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88472" w14:textId="5E69C56D" w:rsidR="00C657FF" w:rsidRPr="00E37AF3" w:rsidRDefault="00C657FF" w:rsidP="00C657FF">
      <w:pPr>
        <w:spacing w:before="1440"/>
        <w:jc w:val="center"/>
        <w:rPr>
          <w:rFonts w:ascii="Arial" w:hAnsi="Arial" w:cs="Arial"/>
          <w:b/>
          <w:sz w:val="22"/>
          <w:szCs w:val="22"/>
        </w:rPr>
      </w:pPr>
      <w:r w:rsidRPr="00E37AF3">
        <w:rPr>
          <w:rFonts w:ascii="Arial" w:hAnsi="Arial"/>
          <w:b/>
          <w:sz w:val="22"/>
        </w:rPr>
        <w:t>CONVENTION POUR LA SAUVEGARDE DU</w:t>
      </w:r>
      <w:r w:rsidRPr="00E37AF3">
        <w:rPr>
          <w:rFonts w:ascii="Arial" w:hAnsi="Arial"/>
          <w:b/>
          <w:sz w:val="22"/>
        </w:rPr>
        <w:br/>
        <w:t>PATRIMOINE CULTUREL IMMATÉRIEL</w:t>
      </w:r>
    </w:p>
    <w:p w14:paraId="275E062C" w14:textId="77777777" w:rsidR="00C657FF" w:rsidRPr="00E37AF3" w:rsidRDefault="00C657FF" w:rsidP="00C657FF">
      <w:pPr>
        <w:spacing w:before="1200"/>
        <w:jc w:val="center"/>
        <w:rPr>
          <w:rFonts w:ascii="Arial" w:hAnsi="Arial" w:cs="Arial"/>
          <w:b/>
          <w:sz w:val="22"/>
          <w:szCs w:val="22"/>
        </w:rPr>
      </w:pPr>
      <w:r w:rsidRPr="00E37AF3">
        <w:rPr>
          <w:rFonts w:ascii="Arial" w:hAnsi="Arial"/>
          <w:b/>
          <w:sz w:val="22"/>
        </w:rPr>
        <w:t xml:space="preserve">Groupe de travail intergouvernemental à composition non limitée </w:t>
      </w:r>
    </w:p>
    <w:p w14:paraId="5D1F8A05" w14:textId="4125910E" w:rsidR="00C657FF" w:rsidRPr="00E37AF3" w:rsidRDefault="00C657FF" w:rsidP="00C657FF">
      <w:pPr>
        <w:jc w:val="center"/>
        <w:rPr>
          <w:rFonts w:ascii="Arial" w:hAnsi="Arial" w:cs="Arial"/>
          <w:b/>
          <w:sz w:val="22"/>
          <w:szCs w:val="22"/>
        </w:rPr>
      </w:pPr>
      <w:r w:rsidRPr="00E37AF3">
        <w:rPr>
          <w:rFonts w:ascii="Arial" w:hAnsi="Arial"/>
          <w:b/>
          <w:sz w:val="22"/>
        </w:rPr>
        <w:t>dans le cadre de la réflexion sur une mise en œuvre plus large de l</w:t>
      </w:r>
      <w:r w:rsidR="006F1EF9" w:rsidRPr="00E37AF3">
        <w:rPr>
          <w:rFonts w:ascii="Arial" w:hAnsi="Arial"/>
          <w:b/>
          <w:sz w:val="22"/>
        </w:rPr>
        <w:t>’</w:t>
      </w:r>
      <w:r w:rsidRPr="00E37AF3">
        <w:rPr>
          <w:rFonts w:ascii="Arial" w:hAnsi="Arial"/>
          <w:b/>
          <w:sz w:val="22"/>
        </w:rPr>
        <w:t>article 18 de la Convention de 2003 pour la sauvegarde du patrimoine culturel immatériel</w:t>
      </w:r>
    </w:p>
    <w:p w14:paraId="1DFEB8F6" w14:textId="593A9775" w:rsidR="00C657FF" w:rsidRPr="00E37AF3" w:rsidRDefault="00C657FF" w:rsidP="00C657FF">
      <w:pPr>
        <w:spacing w:before="840"/>
        <w:jc w:val="center"/>
        <w:rPr>
          <w:rFonts w:ascii="Arial" w:eastAsiaTheme="minorEastAsia" w:hAnsi="Arial" w:cs="Arial"/>
          <w:b/>
          <w:sz w:val="22"/>
          <w:szCs w:val="22"/>
        </w:rPr>
      </w:pPr>
      <w:r w:rsidRPr="00E37AF3">
        <w:rPr>
          <w:rFonts w:ascii="Arial" w:hAnsi="Arial"/>
          <w:b/>
          <w:sz w:val="22"/>
        </w:rPr>
        <w:t>Siège de l</w:t>
      </w:r>
      <w:r w:rsidR="006F1EF9" w:rsidRPr="00E37AF3">
        <w:rPr>
          <w:rFonts w:ascii="Arial" w:hAnsi="Arial"/>
          <w:b/>
          <w:sz w:val="22"/>
        </w:rPr>
        <w:t>’</w:t>
      </w:r>
      <w:r w:rsidRPr="00E37AF3">
        <w:rPr>
          <w:rFonts w:ascii="Arial" w:hAnsi="Arial"/>
          <w:b/>
          <w:sz w:val="22"/>
        </w:rPr>
        <w:t>UNESCO, Salle XI</w:t>
      </w:r>
    </w:p>
    <w:p w14:paraId="500A725C" w14:textId="77777777" w:rsidR="00C657FF" w:rsidRPr="00E37AF3" w:rsidRDefault="00C657FF" w:rsidP="00C657FF">
      <w:pPr>
        <w:jc w:val="center"/>
        <w:rPr>
          <w:rFonts w:ascii="Arial" w:hAnsi="Arial"/>
          <w:b/>
          <w:sz w:val="22"/>
        </w:rPr>
      </w:pPr>
      <w:r w:rsidRPr="00E37AF3">
        <w:rPr>
          <w:rFonts w:ascii="Arial" w:hAnsi="Arial"/>
          <w:b/>
          <w:sz w:val="22"/>
        </w:rPr>
        <w:t>4 – 6 juillet 2023</w:t>
      </w:r>
    </w:p>
    <w:p w14:paraId="1FD89575" w14:textId="36A13E1C" w:rsidR="00B2172B" w:rsidRPr="00E37AF3" w:rsidRDefault="00B2172B" w:rsidP="00B2172B">
      <w:pPr>
        <w:jc w:val="center"/>
        <w:rPr>
          <w:rFonts w:ascii="Arial" w:hAnsi="Arial" w:cs="Arial"/>
          <w:b/>
          <w:sz w:val="22"/>
          <w:szCs w:val="22"/>
        </w:rPr>
      </w:pPr>
    </w:p>
    <w:p w14:paraId="0365203A" w14:textId="26F91112" w:rsidR="00EC6F8D" w:rsidRPr="00E37AF3" w:rsidRDefault="00C657FF" w:rsidP="00EC6F8D">
      <w:pPr>
        <w:pStyle w:val="Sansinterligne2"/>
        <w:spacing w:before="1200"/>
        <w:jc w:val="center"/>
        <w:rPr>
          <w:rFonts w:ascii="Arial" w:hAnsi="Arial" w:cs="Arial"/>
          <w:b/>
          <w:sz w:val="22"/>
          <w:szCs w:val="22"/>
        </w:rPr>
      </w:pPr>
      <w:r w:rsidRPr="00E37AF3">
        <w:rPr>
          <w:rFonts w:ascii="Arial" w:hAnsi="Arial"/>
          <w:b/>
          <w:sz w:val="22"/>
          <w:u w:val="single"/>
        </w:rPr>
        <w:t>Point 2 </w:t>
      </w:r>
      <w:r w:rsidRPr="00E37AF3">
        <w:rPr>
          <w:rFonts w:ascii="Arial" w:hAnsi="Arial"/>
          <w:b/>
          <w:sz w:val="22"/>
        </w:rPr>
        <w:t>:</w:t>
      </w:r>
    </w:p>
    <w:p w14:paraId="1616E923" w14:textId="72AC594F" w:rsidR="007B3D37" w:rsidRPr="00E37AF3" w:rsidRDefault="00C70647" w:rsidP="007B3D37">
      <w:pPr>
        <w:pStyle w:val="Sansinterligne2"/>
        <w:jc w:val="center"/>
        <w:rPr>
          <w:rFonts w:ascii="Arial" w:hAnsi="Arial" w:cs="Arial"/>
          <w:b/>
          <w:sz w:val="22"/>
          <w:szCs w:val="22"/>
        </w:rPr>
      </w:pPr>
      <w:r w:rsidRPr="00E37AF3">
        <w:rPr>
          <w:rFonts w:ascii="Arial" w:hAnsi="Arial"/>
          <w:b/>
          <w:sz w:val="22"/>
        </w:rPr>
        <w:t>Une n</w:t>
      </w:r>
      <w:r w:rsidR="007B3D37" w:rsidRPr="00E37AF3">
        <w:rPr>
          <w:rFonts w:ascii="Arial" w:hAnsi="Arial"/>
          <w:b/>
          <w:sz w:val="22"/>
        </w:rPr>
        <w:t>ouvelle réflexion sur une mise en œuvre plus large de l</w:t>
      </w:r>
      <w:r w:rsidR="006F1EF9" w:rsidRPr="00E37AF3">
        <w:rPr>
          <w:rFonts w:ascii="Arial" w:hAnsi="Arial"/>
          <w:b/>
          <w:sz w:val="22"/>
        </w:rPr>
        <w:t>’</w:t>
      </w:r>
      <w:r w:rsidR="007B3D37" w:rsidRPr="00E37AF3">
        <w:rPr>
          <w:rFonts w:ascii="Arial" w:hAnsi="Arial"/>
          <w:b/>
          <w:sz w:val="22"/>
        </w:rPr>
        <w:t>article 18 de la Convention :</w:t>
      </w:r>
    </w:p>
    <w:p w14:paraId="59920478" w14:textId="58EB1C51" w:rsidR="004A2875" w:rsidRPr="00E37AF3" w:rsidRDefault="00C70647" w:rsidP="004A2875">
      <w:pPr>
        <w:pStyle w:val="Sansinterligne2"/>
        <w:spacing w:after="960"/>
        <w:jc w:val="center"/>
        <w:rPr>
          <w:rFonts w:ascii="Arial" w:hAnsi="Arial" w:cs="Arial"/>
          <w:bCs/>
          <w:sz w:val="22"/>
          <w:szCs w:val="22"/>
        </w:rPr>
      </w:pPr>
      <w:r w:rsidRPr="00E37AF3">
        <w:rPr>
          <w:rFonts w:ascii="Arial" w:hAnsi="Arial"/>
          <w:b/>
          <w:sz w:val="22"/>
        </w:rPr>
        <w:t>p</w:t>
      </w:r>
      <w:r w:rsidR="00E417E5" w:rsidRPr="00E37AF3">
        <w:rPr>
          <w:rFonts w:ascii="Arial" w:hAnsi="Arial"/>
          <w:b/>
          <w:sz w:val="22"/>
        </w:rPr>
        <w:t xml:space="preserve">rogrès </w:t>
      </w:r>
      <w:r w:rsidRPr="00E37AF3">
        <w:rPr>
          <w:rFonts w:ascii="Arial" w:hAnsi="Arial"/>
          <w:b/>
          <w:sz w:val="22"/>
        </w:rPr>
        <w:t xml:space="preserve">accomplis </w:t>
      </w:r>
      <w:r w:rsidR="00E417E5" w:rsidRPr="00E37AF3">
        <w:rPr>
          <w:rFonts w:ascii="Arial" w:hAnsi="Arial"/>
          <w:b/>
          <w:sz w:val="22"/>
        </w:rPr>
        <w:t>à ce jour et objectifs de la réunion</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E37AF3" w14:paraId="75AC6221" w14:textId="77777777" w:rsidTr="00EC6F8D">
        <w:trPr>
          <w:jc w:val="center"/>
        </w:trPr>
        <w:tc>
          <w:tcPr>
            <w:tcW w:w="5670" w:type="dxa"/>
            <w:vAlign w:val="center"/>
          </w:tcPr>
          <w:p w14:paraId="0737B97D" w14:textId="77777777" w:rsidR="00C657FF" w:rsidRPr="00E37AF3" w:rsidRDefault="00C657FF" w:rsidP="00C657FF">
            <w:pPr>
              <w:pStyle w:val="Sansinterligne1"/>
              <w:spacing w:before="200" w:after="200"/>
              <w:jc w:val="center"/>
              <w:rPr>
                <w:rFonts w:ascii="Arial" w:hAnsi="Arial" w:cs="Arial"/>
                <w:b/>
                <w:sz w:val="22"/>
                <w:szCs w:val="22"/>
              </w:rPr>
            </w:pPr>
            <w:r w:rsidRPr="00E37AF3">
              <w:rPr>
                <w:rFonts w:ascii="Arial" w:hAnsi="Arial"/>
                <w:b/>
                <w:sz w:val="22"/>
              </w:rPr>
              <w:t>Résumé</w:t>
            </w:r>
          </w:p>
          <w:p w14:paraId="290310E8" w14:textId="710966DB" w:rsidR="00EC6F8D" w:rsidRPr="00E37AF3" w:rsidRDefault="00807902" w:rsidP="003F46D0">
            <w:pPr>
              <w:pStyle w:val="Sansinterligne1"/>
              <w:spacing w:after="120"/>
              <w:jc w:val="both"/>
              <w:rPr>
                <w:rFonts w:ascii="Arial" w:hAnsi="Arial" w:cs="Arial"/>
                <w:bCs/>
                <w:sz w:val="22"/>
                <w:szCs w:val="22"/>
              </w:rPr>
            </w:pPr>
            <w:r w:rsidRPr="00E37AF3">
              <w:rPr>
                <w:rFonts w:ascii="Arial" w:hAnsi="Arial"/>
                <w:sz w:val="22"/>
              </w:rPr>
              <w:t>En 2021, le Comité a lancé une réflexion sur une mise en œuvre plus large de l</w:t>
            </w:r>
            <w:r w:rsidR="006F1EF9" w:rsidRPr="00E37AF3">
              <w:rPr>
                <w:rFonts w:ascii="Arial" w:hAnsi="Arial"/>
                <w:sz w:val="22"/>
              </w:rPr>
              <w:t>’</w:t>
            </w:r>
            <w:r w:rsidRPr="00E37AF3">
              <w:rPr>
                <w:rFonts w:ascii="Arial" w:hAnsi="Arial"/>
                <w:sz w:val="22"/>
              </w:rPr>
              <w:t>article 18 de la Convention de 2003 pour explorer pleinement le potentiel de cet</w:t>
            </w:r>
            <w:r w:rsidR="00C70647" w:rsidRPr="00E37AF3">
              <w:rPr>
                <w:rFonts w:ascii="Arial" w:hAnsi="Arial"/>
                <w:sz w:val="22"/>
              </w:rPr>
              <w:t>te disposition</w:t>
            </w:r>
            <w:r w:rsidRPr="00E37AF3">
              <w:rPr>
                <w:rFonts w:ascii="Arial" w:hAnsi="Arial"/>
                <w:sz w:val="22"/>
              </w:rPr>
              <w:t xml:space="preserve"> (Décision </w:t>
            </w:r>
            <w:hyperlink r:id="rId8" w:history="1">
              <w:r w:rsidRPr="00E37AF3">
                <w:rPr>
                  <w:rStyle w:val="Hyperlink"/>
                  <w:rFonts w:ascii="Arial" w:hAnsi="Arial"/>
                  <w:sz w:val="22"/>
                </w:rPr>
                <w:t>16.COM 14</w:t>
              </w:r>
            </w:hyperlink>
            <w:r w:rsidRPr="00E37AF3">
              <w:rPr>
                <w:rFonts w:ascii="Arial" w:hAnsi="Arial"/>
                <w:sz w:val="22"/>
              </w:rPr>
              <w:t>) et établi un groupe de travail intergouvernemental à composition non limitée. Le présent document résume le processus de réflexion et présente les objectifs et méthodes de travail proposés pour la réunion du groupe de travail.</w:t>
            </w:r>
          </w:p>
        </w:tc>
      </w:tr>
    </w:tbl>
    <w:p w14:paraId="713D819F" w14:textId="77777777" w:rsidR="004A2875" w:rsidRPr="00E37AF3" w:rsidRDefault="00655736" w:rsidP="00AE7A17">
      <w:pPr>
        <w:pStyle w:val="ListParagraph"/>
        <w:keepLines/>
        <w:numPr>
          <w:ilvl w:val="0"/>
          <w:numId w:val="5"/>
        </w:numPr>
        <w:spacing w:after="240"/>
        <w:ind w:left="567" w:hanging="567"/>
        <w:contextualSpacing w:val="0"/>
        <w:rPr>
          <w:rFonts w:ascii="Arial" w:hAnsi="Arial" w:cs="Arial"/>
          <w:b/>
          <w:snapToGrid w:val="0"/>
          <w:sz w:val="22"/>
          <w:szCs w:val="22"/>
        </w:rPr>
      </w:pPr>
      <w:r w:rsidRPr="00E37AF3">
        <w:br w:type="page"/>
      </w:r>
    </w:p>
    <w:p w14:paraId="6C62585F" w14:textId="433E9722" w:rsidR="00F70CC5" w:rsidRPr="00E37AF3" w:rsidRDefault="00C657FF" w:rsidP="00F70CC5">
      <w:pPr>
        <w:pStyle w:val="COMPara"/>
        <w:numPr>
          <w:ilvl w:val="0"/>
          <w:numId w:val="0"/>
        </w:numPr>
        <w:spacing w:before="240"/>
        <w:jc w:val="both"/>
        <w:rPr>
          <w:b/>
          <w:bCs/>
        </w:rPr>
      </w:pPr>
      <w:bookmarkStart w:id="0" w:name="_Hlk124351255"/>
      <w:r w:rsidRPr="00E37AF3">
        <w:rPr>
          <w:b/>
        </w:rPr>
        <w:lastRenderedPageBreak/>
        <w:t>Contexte</w:t>
      </w:r>
    </w:p>
    <w:bookmarkEnd w:id="0"/>
    <w:p w14:paraId="5FA2B7DB" w14:textId="2BEBA0B5" w:rsidR="0057439C" w:rsidRPr="00E37AF3" w:rsidRDefault="00737253" w:rsidP="00AE7A17">
      <w:pPr>
        <w:pStyle w:val="COMPara"/>
        <w:ind w:left="567" w:hanging="567"/>
        <w:jc w:val="both"/>
      </w:pPr>
      <w:r w:rsidRPr="00E37AF3">
        <w:t xml:space="preserve">Le présent document a pour objet de présenter des informations </w:t>
      </w:r>
      <w:r w:rsidR="00BF34EC" w:rsidRPr="00E37AF3">
        <w:t>générales</w:t>
      </w:r>
      <w:r w:rsidRPr="00E37AF3">
        <w:t xml:space="preserve"> sur le groupe de travail intergouvernemental à composition non limitée créé </w:t>
      </w:r>
      <w:r w:rsidR="00BF34EC" w:rsidRPr="00E37AF3">
        <w:t>par</w:t>
      </w:r>
      <w:r w:rsidRPr="00E37AF3">
        <w:t xml:space="preserve"> la seizième session du Comité (</w:t>
      </w:r>
      <w:r w:rsidR="0060125E" w:rsidRPr="00E37AF3">
        <w:t>d</w:t>
      </w:r>
      <w:r w:rsidRPr="00E37AF3">
        <w:t xml:space="preserve">écision </w:t>
      </w:r>
      <w:hyperlink r:id="rId9" w:history="1">
        <w:r w:rsidRPr="00E37AF3">
          <w:rPr>
            <w:rStyle w:val="Hyperlink"/>
          </w:rPr>
          <w:t>16.COM 14</w:t>
        </w:r>
      </w:hyperlink>
      <w:r w:rsidRPr="00E37AF3">
        <w:t>), pour réfléchir à une mise en œuvre plus large de l</w:t>
      </w:r>
      <w:r w:rsidR="006F1EF9" w:rsidRPr="00E37AF3">
        <w:t>’</w:t>
      </w:r>
      <w:r w:rsidRPr="00E37AF3">
        <w:t>article 18 de la Convention pour la sauvegarde du patrimoine culturel immatériel (ci-après dénommée « la Convention »)</w:t>
      </w:r>
    </w:p>
    <w:p w14:paraId="053F512D" w14:textId="675597E4" w:rsidR="000C12F9" w:rsidRPr="00E37AF3" w:rsidRDefault="00BF34EC" w:rsidP="00AE7A17">
      <w:pPr>
        <w:pStyle w:val="COMPara"/>
        <w:ind w:left="567" w:hanging="567"/>
        <w:jc w:val="both"/>
      </w:pPr>
      <w:r w:rsidRPr="00E37AF3">
        <w:t xml:space="preserve">Composé de </w:t>
      </w:r>
      <w:r w:rsidR="00BA6498" w:rsidRPr="00E37AF3">
        <w:t>trois paragraphes</w:t>
      </w:r>
      <w:r w:rsidR="00B0244F" w:rsidRPr="00E37AF3">
        <w:t>,</w:t>
      </w:r>
      <w:r w:rsidR="00BA6498" w:rsidRPr="00E37AF3">
        <w:t xml:space="preserve"> l</w:t>
      </w:r>
      <w:r w:rsidR="006F1EF9" w:rsidRPr="00E37AF3">
        <w:t>’</w:t>
      </w:r>
      <w:r w:rsidR="00BA6498" w:rsidRPr="00E37AF3">
        <w:t xml:space="preserve">article 18 porte sur la sélection et </w:t>
      </w:r>
      <w:r w:rsidR="00B0244F" w:rsidRPr="00E37AF3">
        <w:t xml:space="preserve">le partage </w:t>
      </w:r>
      <w:r w:rsidR="00BA6498" w:rsidRPr="00E37AF3">
        <w:t xml:space="preserve">des programmes, projets et activités (ou « programmes ») </w:t>
      </w:r>
      <w:r w:rsidRPr="00E37AF3">
        <w:t xml:space="preserve">pour la </w:t>
      </w:r>
      <w:r w:rsidR="00BA6498" w:rsidRPr="00E37AF3">
        <w:t xml:space="preserve">sauvegarde du patrimoine </w:t>
      </w:r>
      <w:r w:rsidRPr="00E37AF3">
        <w:t>vivant</w:t>
      </w:r>
      <w:r w:rsidR="00BA6498" w:rsidRPr="00E37AF3">
        <w:t xml:space="preserve"> qui reflètent le mieux les principes et objectifs de la Convention :</w:t>
      </w:r>
    </w:p>
    <w:p w14:paraId="24ED34C8" w14:textId="77777777" w:rsidR="009136F6" w:rsidRPr="00E37AF3" w:rsidRDefault="009136F6" w:rsidP="009136F6">
      <w:pPr>
        <w:pStyle w:val="1GAPara"/>
        <w:numPr>
          <w:ilvl w:val="0"/>
          <w:numId w:val="0"/>
        </w:numPr>
        <w:pBdr>
          <w:top w:val="single" w:sz="4" w:space="1" w:color="auto"/>
          <w:left w:val="single" w:sz="4" w:space="4" w:color="auto"/>
          <w:bottom w:val="single" w:sz="4" w:space="1" w:color="auto"/>
          <w:right w:val="single" w:sz="4" w:space="4" w:color="auto"/>
        </w:pBdr>
        <w:shd w:val="clear" w:color="auto" w:fill="DAEEF3" w:themeFill="accent5" w:themeFillTint="33"/>
        <w:ind w:left="1134" w:hanging="567"/>
        <w:rPr>
          <w:u w:val="single"/>
        </w:rPr>
      </w:pPr>
      <w:r w:rsidRPr="00E37AF3">
        <w:rPr>
          <w:u w:val="single"/>
        </w:rPr>
        <w:t>Article 18</w:t>
      </w:r>
    </w:p>
    <w:p w14:paraId="3B0EA603" w14:textId="4515D1CB" w:rsidR="009136F6" w:rsidRPr="00E37AF3" w:rsidRDefault="009136F6" w:rsidP="00AE7A17">
      <w:pPr>
        <w:pStyle w:val="1GAPara"/>
        <w:numPr>
          <w:ilvl w:val="0"/>
          <w:numId w:val="9"/>
        </w:numPr>
        <w:pBdr>
          <w:top w:val="single" w:sz="4" w:space="1" w:color="auto"/>
          <w:left w:val="single" w:sz="4" w:space="4" w:color="auto"/>
          <w:bottom w:val="single" w:sz="4" w:space="1" w:color="auto"/>
          <w:right w:val="single" w:sz="4" w:space="4" w:color="auto"/>
        </w:pBdr>
        <w:shd w:val="clear" w:color="auto" w:fill="DAEEF3" w:themeFill="accent5" w:themeFillTint="33"/>
        <w:ind w:left="1134" w:hanging="567"/>
      </w:pPr>
      <w:r w:rsidRPr="00E37AF3">
        <w:t xml:space="preserve">Sur la base des propositions </w:t>
      </w:r>
      <w:r w:rsidR="00B0244F" w:rsidRPr="00E37AF3">
        <w:t xml:space="preserve">présentées </w:t>
      </w:r>
      <w:r w:rsidRPr="00E37AF3">
        <w:t xml:space="preserve">par les États parties, et conformément aux critères </w:t>
      </w:r>
      <w:r w:rsidR="00B0244F" w:rsidRPr="00E37AF3">
        <w:t>qu</w:t>
      </w:r>
      <w:r w:rsidR="006F1EF9" w:rsidRPr="00E37AF3">
        <w:t>’</w:t>
      </w:r>
      <w:r w:rsidR="00B0244F" w:rsidRPr="00E37AF3">
        <w:t xml:space="preserve">il </w:t>
      </w:r>
      <w:r w:rsidRPr="00E37AF3">
        <w:t>défini</w:t>
      </w:r>
      <w:r w:rsidR="00B0244F" w:rsidRPr="00E37AF3">
        <w:t>t</w:t>
      </w:r>
      <w:r w:rsidRPr="00E37AF3">
        <w:t xml:space="preserve"> et</w:t>
      </w:r>
      <w:r w:rsidR="00B0244F" w:rsidRPr="00E37AF3">
        <w:t xml:space="preserve"> qui sont</w:t>
      </w:r>
      <w:r w:rsidRPr="00E37AF3">
        <w:t xml:space="preserve"> approuvés par l</w:t>
      </w:r>
      <w:r w:rsidR="006F1EF9" w:rsidRPr="00E37AF3">
        <w:t>’</w:t>
      </w:r>
      <w:r w:rsidRPr="00E37AF3">
        <w:t>Assemblée générale, le Comité sélectionne périodiquement et fait la promotion des programmes, projets et activités de caractère national, sous-régional ou régional de sauvegarde du patrimoine qu</w:t>
      </w:r>
      <w:r w:rsidR="006F1EF9" w:rsidRPr="00E37AF3">
        <w:t>’</w:t>
      </w:r>
      <w:r w:rsidRPr="00E37AF3">
        <w:t>il estime refléter le mieux les principes et objectifs de la présente Convention, en tenant compte des besoins particuliers des pays en développement.</w:t>
      </w:r>
    </w:p>
    <w:p w14:paraId="3C039443" w14:textId="2FB82875" w:rsidR="009136F6" w:rsidRPr="00E37AF3" w:rsidRDefault="009136F6" w:rsidP="00AE7A17">
      <w:pPr>
        <w:pStyle w:val="1GAPara"/>
        <w:numPr>
          <w:ilvl w:val="0"/>
          <w:numId w:val="9"/>
        </w:numPr>
        <w:pBdr>
          <w:top w:val="single" w:sz="4" w:space="1" w:color="auto"/>
          <w:left w:val="single" w:sz="4" w:space="4" w:color="auto"/>
          <w:bottom w:val="single" w:sz="4" w:space="1" w:color="auto"/>
          <w:right w:val="single" w:sz="4" w:space="4" w:color="auto"/>
        </w:pBdr>
        <w:shd w:val="clear" w:color="auto" w:fill="DAEEF3" w:themeFill="accent5" w:themeFillTint="33"/>
        <w:ind w:left="1134" w:hanging="567"/>
      </w:pPr>
      <w:r w:rsidRPr="00E37AF3">
        <w:t>À cette fin, il reçoit, examine et approuve les demandes d</w:t>
      </w:r>
      <w:r w:rsidR="006F1EF9" w:rsidRPr="00E37AF3">
        <w:t>’</w:t>
      </w:r>
      <w:r w:rsidRPr="00E37AF3">
        <w:t>assistance internationale formulées par les États parties pour l</w:t>
      </w:r>
      <w:r w:rsidR="006F1EF9" w:rsidRPr="00E37AF3">
        <w:t>’</w:t>
      </w:r>
      <w:r w:rsidRPr="00E37AF3">
        <w:t>élaboration de ces propositions.</w:t>
      </w:r>
    </w:p>
    <w:p w14:paraId="705B99A4" w14:textId="0CAF2247" w:rsidR="009136F6" w:rsidRPr="00E37AF3" w:rsidRDefault="009136F6" w:rsidP="00AE7A17">
      <w:pPr>
        <w:pStyle w:val="1GAPara"/>
        <w:numPr>
          <w:ilvl w:val="0"/>
          <w:numId w:val="9"/>
        </w:numPr>
        <w:pBdr>
          <w:top w:val="single" w:sz="4" w:space="1" w:color="auto"/>
          <w:left w:val="single" w:sz="4" w:space="4" w:color="auto"/>
          <w:bottom w:val="single" w:sz="4" w:space="1" w:color="auto"/>
          <w:right w:val="single" w:sz="4" w:space="4" w:color="auto"/>
        </w:pBdr>
        <w:shd w:val="clear" w:color="auto" w:fill="DAEEF3" w:themeFill="accent5" w:themeFillTint="33"/>
        <w:ind w:left="1134" w:hanging="567"/>
      </w:pPr>
      <w:r w:rsidRPr="00E37AF3">
        <w:t xml:space="preserve">Le Comité accompagne la mise en œuvre desdits </w:t>
      </w:r>
      <w:r w:rsidR="00B0244F" w:rsidRPr="00E37AF3">
        <w:t xml:space="preserve">programmes </w:t>
      </w:r>
      <w:r w:rsidRPr="00E37AF3">
        <w:t>,</w:t>
      </w:r>
      <w:r w:rsidR="00B0244F" w:rsidRPr="00E37AF3">
        <w:t xml:space="preserve"> projets</w:t>
      </w:r>
      <w:r w:rsidR="00224393" w:rsidRPr="00E37AF3">
        <w:t xml:space="preserve"> </w:t>
      </w:r>
      <w:r w:rsidRPr="00E37AF3">
        <w:t>et activités par la diffusion des meilleures pratiques selon les modalités qu</w:t>
      </w:r>
      <w:r w:rsidR="006F1EF9" w:rsidRPr="00E37AF3">
        <w:t>’</w:t>
      </w:r>
      <w:r w:rsidRPr="00E37AF3">
        <w:t>il aura déterminées.</w:t>
      </w:r>
    </w:p>
    <w:p w14:paraId="6774DAFB" w14:textId="07656945" w:rsidR="009D40E5" w:rsidRPr="00E37AF3" w:rsidRDefault="009D40E5" w:rsidP="009D40E5">
      <w:pPr>
        <w:pStyle w:val="COMPara"/>
        <w:numPr>
          <w:ilvl w:val="0"/>
          <w:numId w:val="0"/>
        </w:numPr>
        <w:spacing w:before="240"/>
        <w:ind w:left="567"/>
        <w:jc w:val="both"/>
        <w:rPr>
          <w:u w:val="single"/>
        </w:rPr>
      </w:pPr>
      <w:r w:rsidRPr="00E37AF3">
        <w:rPr>
          <w:u w:val="single"/>
        </w:rPr>
        <w:t>Le Registre de bonnes pratiques de sauvegarde dans le cadre du système d</w:t>
      </w:r>
      <w:r w:rsidR="006F1EF9" w:rsidRPr="00E37AF3">
        <w:rPr>
          <w:u w:val="single"/>
        </w:rPr>
        <w:t>’</w:t>
      </w:r>
      <w:r w:rsidRPr="00E37AF3">
        <w:rPr>
          <w:u w:val="single"/>
        </w:rPr>
        <w:t>inscription sur les listes</w:t>
      </w:r>
    </w:p>
    <w:p w14:paraId="493E5340" w14:textId="40DE03AD" w:rsidR="009D40E5" w:rsidRPr="00E37AF3" w:rsidRDefault="00900024" w:rsidP="00AE7A17">
      <w:pPr>
        <w:pStyle w:val="COMPara"/>
        <w:ind w:left="567" w:hanging="567"/>
        <w:jc w:val="both"/>
      </w:pPr>
      <w:r w:rsidRPr="00E37AF3">
        <w:t>L</w:t>
      </w:r>
      <w:r w:rsidR="006F1EF9" w:rsidRPr="00E37AF3">
        <w:t>’</w:t>
      </w:r>
      <w:r w:rsidRPr="00E37AF3">
        <w:t xml:space="preserve">article 18, </w:t>
      </w:r>
      <w:r w:rsidR="00BF34EC" w:rsidRPr="00E37AF3">
        <w:t xml:space="preserve">et en particulier son </w:t>
      </w:r>
      <w:r w:rsidRPr="00E37AF3">
        <w:t xml:space="preserve">paragraphe 1, est mis en œuvre </w:t>
      </w:r>
      <w:r w:rsidR="00BF34EC" w:rsidRPr="00E37AF3">
        <w:t>par le biais</w:t>
      </w:r>
      <w:r w:rsidRPr="00E37AF3">
        <w:t xml:space="preserve"> du système </w:t>
      </w:r>
      <w:r w:rsidR="00BF34EC" w:rsidRPr="00E37AF3">
        <w:t xml:space="preserve">international </w:t>
      </w:r>
      <w:r w:rsidRPr="00E37AF3">
        <w:t>d</w:t>
      </w:r>
      <w:r w:rsidR="006F1EF9" w:rsidRPr="00E37AF3">
        <w:t>’</w:t>
      </w:r>
      <w:r w:rsidRPr="00E37AF3">
        <w:t>inscription sur les listes de la Convention</w:t>
      </w:r>
      <w:r w:rsidR="00C70647" w:rsidRPr="00E37AF3">
        <w:t>, qui est composé de</w:t>
      </w:r>
      <w:r w:rsidRPr="00E37AF3">
        <w:t xml:space="preserve"> trois mécanismes :</w:t>
      </w:r>
    </w:p>
    <w:p w14:paraId="0197D1DD" w14:textId="203FED59" w:rsidR="002471D8" w:rsidRPr="00E37AF3" w:rsidRDefault="00A200C1" w:rsidP="00AE7A17">
      <w:pPr>
        <w:pStyle w:val="COMPara"/>
        <w:numPr>
          <w:ilvl w:val="0"/>
          <w:numId w:val="10"/>
        </w:numPr>
        <w:jc w:val="both"/>
      </w:pPr>
      <w:r w:rsidRPr="00E37AF3">
        <w:t>La Liste représentative du patrimoine culturel immatériel (ci-après « </w:t>
      </w:r>
      <w:r w:rsidR="00C70647" w:rsidRPr="00E37AF3">
        <w:t>l</w:t>
      </w:r>
      <w:r w:rsidR="00BF34EC" w:rsidRPr="00E37AF3">
        <w:t xml:space="preserve">a </w:t>
      </w:r>
      <w:r w:rsidRPr="00E37AF3">
        <w:t>Liste représentative ») ;</w:t>
      </w:r>
    </w:p>
    <w:p w14:paraId="34D2A0AD" w14:textId="4F813F94" w:rsidR="002471D8" w:rsidRPr="00E37AF3" w:rsidRDefault="00A200C1" w:rsidP="00AE7A17">
      <w:pPr>
        <w:pStyle w:val="COMPara"/>
        <w:numPr>
          <w:ilvl w:val="0"/>
          <w:numId w:val="10"/>
        </w:numPr>
        <w:jc w:val="both"/>
      </w:pPr>
      <w:r w:rsidRPr="00E37AF3">
        <w:t>La Liste du patrimoine culturel immatériel nécessitant une sauvegarde urgente (ci-après « </w:t>
      </w:r>
      <w:r w:rsidR="00C70647" w:rsidRPr="00E37AF3">
        <w:t>l</w:t>
      </w:r>
      <w:r w:rsidR="00BF34EC" w:rsidRPr="00E37AF3">
        <w:t xml:space="preserve">a </w:t>
      </w:r>
      <w:r w:rsidRPr="00E37AF3">
        <w:t>Liste de sauvegarde urgente ») ;</w:t>
      </w:r>
    </w:p>
    <w:p w14:paraId="087BC4CC" w14:textId="2C70FF36" w:rsidR="000B301B" w:rsidRPr="00E37AF3" w:rsidRDefault="00A200C1" w:rsidP="00AE7A17">
      <w:pPr>
        <w:pStyle w:val="COMPara"/>
        <w:numPr>
          <w:ilvl w:val="0"/>
          <w:numId w:val="10"/>
        </w:numPr>
        <w:jc w:val="both"/>
      </w:pPr>
      <w:r w:rsidRPr="00E37AF3">
        <w:t>Le Registre des programmes, projets et activités qui reflètent le mieux les principes et objectifs de la Convention (ci-après « </w:t>
      </w:r>
      <w:r w:rsidR="00BF34EC" w:rsidRPr="00E37AF3">
        <w:t xml:space="preserve">Le </w:t>
      </w:r>
      <w:r w:rsidRPr="00E37AF3">
        <w:t>Registre de bonnes pratiques de sauvegarde »).</w:t>
      </w:r>
    </w:p>
    <w:p w14:paraId="30F0BF18" w14:textId="58912BC8" w:rsidR="00E3331B" w:rsidRPr="00E37AF3" w:rsidRDefault="00A200C1" w:rsidP="00AE7A17">
      <w:pPr>
        <w:pStyle w:val="COMPara"/>
        <w:ind w:left="567" w:hanging="567"/>
        <w:jc w:val="both"/>
      </w:pPr>
      <w:r w:rsidRPr="00E37AF3">
        <w:t>Si les articles 16 et 17 mentionnent clairement la Liste représentative et la Liste de sauvegarde urgente, l</w:t>
      </w:r>
      <w:r w:rsidR="006F1EF9" w:rsidRPr="00E37AF3">
        <w:t>’</w:t>
      </w:r>
      <w:r w:rsidRPr="00E37AF3">
        <w:t xml:space="preserve">article 18 ne </w:t>
      </w:r>
      <w:r w:rsidR="00BF34EC" w:rsidRPr="00E37AF3">
        <w:t xml:space="preserve">fait </w:t>
      </w:r>
      <w:r w:rsidRPr="00E37AF3">
        <w:t xml:space="preserve">pas </w:t>
      </w:r>
      <w:r w:rsidR="00BF34EC" w:rsidRPr="00E37AF3">
        <w:t xml:space="preserve">référence au </w:t>
      </w:r>
      <w:r w:rsidRPr="00E37AF3">
        <w:t>Registre de bonnes pratiques de sauvegarde</w:t>
      </w:r>
      <w:r w:rsidR="00BF34EC" w:rsidRPr="00E37AF3">
        <w:t xml:space="preserve"> en tant que tel</w:t>
      </w:r>
      <w:r w:rsidRPr="00E37AF3">
        <w:t xml:space="preserve">. Le </w:t>
      </w:r>
      <w:r w:rsidR="00C70647" w:rsidRPr="00E37AF3">
        <w:t>R</w:t>
      </w:r>
      <w:r w:rsidRPr="00E37AF3">
        <w:t>egistre a été créé par les organes directeurs de la Convention de 2003, à savoir le Comité intergouvernemental et l</w:t>
      </w:r>
      <w:r w:rsidR="006F1EF9" w:rsidRPr="00E37AF3">
        <w:t>’</w:t>
      </w:r>
      <w:r w:rsidRPr="00E37AF3">
        <w:t>Assemblée générale, lorsqu</w:t>
      </w:r>
      <w:r w:rsidR="006F1EF9" w:rsidRPr="00E37AF3">
        <w:t>’</w:t>
      </w:r>
      <w:r w:rsidRPr="00E37AF3">
        <w:t xml:space="preserve">ils ont cherché un moyen </w:t>
      </w:r>
      <w:r w:rsidR="0057058D" w:rsidRPr="00E37AF3">
        <w:t xml:space="preserve">de </w:t>
      </w:r>
      <w:r w:rsidRPr="00E37AF3">
        <w:t xml:space="preserve">mettre en </w:t>
      </w:r>
      <w:r w:rsidR="00BF34EC" w:rsidRPr="00E37AF3">
        <w:t>pratique</w:t>
      </w:r>
      <w:r w:rsidR="00B0244F" w:rsidRPr="00E37AF3">
        <w:t xml:space="preserve"> la portée </w:t>
      </w:r>
      <w:r w:rsidRPr="00E37AF3">
        <w:t>de l</w:t>
      </w:r>
      <w:r w:rsidR="006F1EF9" w:rsidRPr="00E37AF3">
        <w:t>’</w:t>
      </w:r>
      <w:r w:rsidRPr="00E37AF3">
        <w:t>article 18 lors de la préparation de la première série de</w:t>
      </w:r>
      <w:r w:rsidR="0057058D" w:rsidRPr="00E37AF3">
        <w:t>s</w:t>
      </w:r>
      <w:r w:rsidRPr="00E37AF3">
        <w:t xml:space="preserve"> Directives opérationnelles.</w:t>
      </w:r>
    </w:p>
    <w:p w14:paraId="66A880B1" w14:textId="7AEF9CEB" w:rsidR="00E3331B" w:rsidRPr="00E37AF3" w:rsidRDefault="00E3331B" w:rsidP="00AE7A17">
      <w:pPr>
        <w:pStyle w:val="COMPara"/>
        <w:ind w:left="567" w:hanging="567"/>
        <w:jc w:val="both"/>
      </w:pPr>
      <w:r w:rsidRPr="00E37AF3">
        <w:t>L</w:t>
      </w:r>
      <w:r w:rsidR="006F1EF9" w:rsidRPr="00E37AF3">
        <w:t>’</w:t>
      </w:r>
      <w:r w:rsidRPr="00E37AF3">
        <w:t>idée d</w:t>
      </w:r>
      <w:r w:rsidR="006F1EF9" w:rsidRPr="00E37AF3">
        <w:t>’</w:t>
      </w:r>
      <w:r w:rsidRPr="00E37AF3">
        <w:t xml:space="preserve">inclure la notion de « meilleures pratiques » dans le nouvel instrument normatif est </w:t>
      </w:r>
      <w:r w:rsidR="00B0244F" w:rsidRPr="00E37AF3">
        <w:t xml:space="preserve">en réalité </w:t>
      </w:r>
      <w:r w:rsidRPr="00E37AF3">
        <w:t>apparue très tôt au cours de la préparation de la Convention. Elle a été discutée en mars 2002 lors de la deuxième réunion d</w:t>
      </w:r>
      <w:r w:rsidR="006F1EF9" w:rsidRPr="00E37AF3">
        <w:t>’</w:t>
      </w:r>
      <w:r w:rsidRPr="00E37AF3">
        <w:t>experts organisée par l</w:t>
      </w:r>
      <w:r w:rsidR="006F1EF9" w:rsidRPr="00E37AF3">
        <w:t>’</w:t>
      </w:r>
      <w:r w:rsidRPr="00E37AF3">
        <w:t xml:space="preserve">UNESCO pour préparer le processus de rédaction de la Convention (Rio de Janeiro, Brésil, janvier 2002). La Convention de 2003 devait </w:t>
      </w:r>
      <w:r w:rsidR="00224393" w:rsidRPr="00E37AF3">
        <w:t>s</w:t>
      </w:r>
      <w:r w:rsidR="006F1EF9" w:rsidRPr="00E37AF3">
        <w:t>’</w:t>
      </w:r>
      <w:r w:rsidR="00224393" w:rsidRPr="00E37AF3">
        <w:t>appuyer</w:t>
      </w:r>
      <w:r w:rsidRPr="00E37AF3">
        <w:t xml:space="preserve"> spécifiquement sur l</w:t>
      </w:r>
      <w:r w:rsidR="006F1EF9" w:rsidRPr="00E37AF3">
        <w:t>’</w:t>
      </w:r>
      <w:r w:rsidRPr="00E37AF3">
        <w:t>expérience acquise dans le cadre du programme de la Proclamation des chefs-d</w:t>
      </w:r>
      <w:r w:rsidR="006F1EF9" w:rsidRPr="00E37AF3">
        <w:t>’</w:t>
      </w:r>
      <w:r w:rsidRPr="00E37AF3">
        <w:t>œuvre du patrimoine oral et immatériel de l</w:t>
      </w:r>
      <w:r w:rsidR="006F1EF9" w:rsidRPr="00E37AF3">
        <w:t>’</w:t>
      </w:r>
      <w:r w:rsidRPr="00E37AF3">
        <w:t>humanité et sur les « meilleures pratiques de sauvegarde et de protection du patrimoine culturel immatériel »</w:t>
      </w:r>
      <w:r w:rsidRPr="00E37AF3">
        <w:rPr>
          <w:rStyle w:val="FootnoteReference"/>
        </w:rPr>
        <w:footnoteReference w:id="1"/>
      </w:r>
      <w:r w:rsidRPr="00E37AF3">
        <w:t xml:space="preserve">. Si </w:t>
      </w:r>
      <w:r w:rsidR="00B50865" w:rsidRPr="00E37AF3">
        <w:t xml:space="preserve">le libellé </w:t>
      </w:r>
      <w:r w:rsidRPr="00E37AF3">
        <w:t xml:space="preserve">a évolué au cours des différentes étapes de la préparation </w:t>
      </w:r>
      <w:r w:rsidRPr="00E37AF3">
        <w:lastRenderedPageBreak/>
        <w:t xml:space="preserve">de la Convention, </w:t>
      </w:r>
      <w:r w:rsidR="00B50865" w:rsidRPr="00E37AF3">
        <w:t xml:space="preserve">la compréhension </w:t>
      </w:r>
      <w:r w:rsidRPr="00E37AF3">
        <w:t>générale</w:t>
      </w:r>
      <w:r w:rsidR="00224393" w:rsidRPr="00E37AF3">
        <w:t xml:space="preserve"> a persisté et</w:t>
      </w:r>
      <w:r w:rsidRPr="00E37AF3">
        <w:t xml:space="preserve"> </w:t>
      </w:r>
      <w:r w:rsidR="00B50865" w:rsidRPr="00E37AF3">
        <w:t>s</w:t>
      </w:r>
      <w:r w:rsidR="006F1EF9" w:rsidRPr="00E37AF3">
        <w:t>’</w:t>
      </w:r>
      <w:r w:rsidR="00B50865" w:rsidRPr="00E37AF3">
        <w:t xml:space="preserve">est manifestée </w:t>
      </w:r>
      <w:r w:rsidRPr="00E37AF3">
        <w:t>sous la forme d</w:t>
      </w:r>
      <w:r w:rsidR="006F1EF9" w:rsidRPr="00E37AF3">
        <w:t>’</w:t>
      </w:r>
      <w:r w:rsidRPr="00E37AF3">
        <w:t>un Registre de bonnes</w:t>
      </w:r>
      <w:r w:rsidR="00B50865" w:rsidRPr="00E37AF3">
        <w:t xml:space="preserve"> [alors « meilleures »]</w:t>
      </w:r>
      <w:r w:rsidRPr="00E37AF3">
        <w:t xml:space="preserve"> pratiques de sauvegarde lorsque la deuxième session de l</w:t>
      </w:r>
      <w:r w:rsidR="006F1EF9" w:rsidRPr="00E37AF3">
        <w:t>’</w:t>
      </w:r>
      <w:r w:rsidRPr="00E37AF3">
        <w:t>Assemblée générale en 2008 a approuvé la première version des Directives opérationnelles de la Convention</w:t>
      </w:r>
      <w:r w:rsidR="009C1B93" w:rsidRPr="00E37AF3">
        <w:t xml:space="preserve"> (dans le paragraphe 54)</w:t>
      </w:r>
      <w:r w:rsidRPr="00E37AF3">
        <w:t>.</w:t>
      </w:r>
    </w:p>
    <w:p w14:paraId="060BA45A" w14:textId="51114FBA" w:rsidR="00710D65" w:rsidRPr="00E37AF3" w:rsidRDefault="00710D65" w:rsidP="00AE7A17">
      <w:pPr>
        <w:pStyle w:val="COMPara"/>
        <w:ind w:left="567" w:hanging="567"/>
        <w:jc w:val="both"/>
      </w:pPr>
      <w:r w:rsidRPr="00E37AF3">
        <w:t xml:space="preserve">Le Registre est devenu opérationnel en 2009. </w:t>
      </w:r>
      <w:r w:rsidR="009C1B93" w:rsidRPr="00E37AF3">
        <w:t>Après des amendements successifs, dans la version 2022 des Directives opérationnelles, l</w:t>
      </w:r>
      <w:r w:rsidRPr="00E37AF3">
        <w:t xml:space="preserve">e fonctionnement du Registre </w:t>
      </w:r>
      <w:r w:rsidR="009C1B93" w:rsidRPr="00E37AF3">
        <w:t>est</w:t>
      </w:r>
      <w:r w:rsidRPr="00E37AF3">
        <w:t xml:space="preserve"> précisé dans le sous-chapitre I.13 (paragraphes 42 à 46)</w:t>
      </w:r>
      <w:r w:rsidR="00B50865" w:rsidRPr="00E37AF3">
        <w:t xml:space="preserve"> et n</w:t>
      </w:r>
      <w:r w:rsidRPr="00E37AF3">
        <w:t xml:space="preserve">euf critères de sélection ont été </w:t>
      </w:r>
      <w:r w:rsidR="00B50865" w:rsidRPr="00E37AF3">
        <w:t>élaborés</w:t>
      </w:r>
      <w:r w:rsidRPr="00E37AF3">
        <w:t xml:space="preserve"> dans le sous-chapitre I</w:t>
      </w:r>
      <w:r w:rsidR="009C1B93" w:rsidRPr="00E37AF3">
        <w:t>.</w:t>
      </w:r>
      <w:r w:rsidRPr="00E37AF3">
        <w:t>3 des Directives opérationnelles (paragraphes 3 à 7)</w:t>
      </w:r>
      <w:r w:rsidR="00B50865" w:rsidRPr="00E37AF3">
        <w:t>,</w:t>
      </w:r>
      <w:r w:rsidRPr="00E37AF3">
        <w:t xml:space="preserve"> et ont déterminé la structure du formulaire ICH-03 à utiliser pour soumettre des </w:t>
      </w:r>
      <w:r w:rsidR="008C3DBA" w:rsidRPr="00E37AF3">
        <w:t xml:space="preserve">propositions </w:t>
      </w:r>
      <w:r w:rsidRPr="00E37AF3">
        <w:t>de programmes, de projets et d</w:t>
      </w:r>
      <w:r w:rsidR="006F1EF9" w:rsidRPr="00E37AF3">
        <w:t>’</w:t>
      </w:r>
      <w:r w:rsidRPr="00E37AF3">
        <w:t>activités en vue de leur sélection comme « </w:t>
      </w:r>
      <w:r w:rsidR="009C1B93" w:rsidRPr="00E37AF3">
        <w:t>bonnes</w:t>
      </w:r>
      <w:r w:rsidRPr="00E37AF3">
        <w:t xml:space="preserve"> pratiques ».</w:t>
      </w:r>
    </w:p>
    <w:p w14:paraId="00743995" w14:textId="67A8AA4D" w:rsidR="0057439C" w:rsidRPr="00E37AF3" w:rsidRDefault="00DB79B9" w:rsidP="00DB79B9">
      <w:pPr>
        <w:pStyle w:val="COMPara"/>
        <w:numPr>
          <w:ilvl w:val="0"/>
          <w:numId w:val="0"/>
        </w:numPr>
        <w:ind w:left="567"/>
        <w:jc w:val="both"/>
        <w:rPr>
          <w:u w:val="single"/>
        </w:rPr>
      </w:pPr>
      <w:r w:rsidRPr="00E37AF3">
        <w:rPr>
          <w:u w:val="single"/>
        </w:rPr>
        <w:t>Sous-utilisation du Registre de bonnes pratiques de sauvegarde</w:t>
      </w:r>
    </w:p>
    <w:p w14:paraId="7773C474" w14:textId="045B8962" w:rsidR="0037790B" w:rsidRPr="00E37AF3" w:rsidRDefault="0037790B" w:rsidP="00AE7A17">
      <w:pPr>
        <w:pStyle w:val="COMPara"/>
        <w:ind w:left="567" w:hanging="567"/>
        <w:jc w:val="both"/>
      </w:pPr>
      <w:r w:rsidRPr="00E37AF3">
        <w:t>Bien qu</w:t>
      </w:r>
      <w:r w:rsidR="006F1EF9" w:rsidRPr="00E37AF3">
        <w:t>’</w:t>
      </w:r>
      <w:r w:rsidRPr="00E37AF3">
        <w:t>il soit novateur pour un instrument normatif d</w:t>
      </w:r>
      <w:r w:rsidR="006F1EF9" w:rsidRPr="00E37AF3">
        <w:t>’</w:t>
      </w:r>
      <w:r w:rsidRPr="00E37AF3">
        <w:t>inclure un mécanisme d</w:t>
      </w:r>
      <w:r w:rsidR="006F1EF9" w:rsidRPr="00E37AF3">
        <w:t>’</w:t>
      </w:r>
      <w:r w:rsidRPr="00E37AF3">
        <w:t>inscription pour le partage des bonnes pratiques, le Registre a été sous-utilisé par rapport aux deux autres mécanismes d</w:t>
      </w:r>
      <w:r w:rsidR="006F1EF9" w:rsidRPr="00E37AF3">
        <w:t>’</w:t>
      </w:r>
      <w:r w:rsidRPr="00E37AF3">
        <w:t>inscription de la Convention. À ce jour, le Comité a inscrit un total de 676 éléments du patrimoine vivant, pratiqués dans 140 pays. La Liste représentative est le mécanisme le plus utilisé, et contient 567 éléments (</w:t>
      </w:r>
      <w:r w:rsidR="00B50865" w:rsidRPr="00E37AF3">
        <w:t>83,88%</w:t>
      </w:r>
      <w:r w:rsidR="00B846E9" w:rsidRPr="00E37AF3">
        <w:t> ;</w:t>
      </w:r>
      <w:r w:rsidR="00B50865" w:rsidRPr="00E37AF3">
        <w:t xml:space="preserve"> </w:t>
      </w:r>
      <w:r w:rsidRPr="00E37AF3">
        <w:t>correspondant à 136 États parties), tandis que 76 éléments sont inscrits sur la Liste de sauvegarde urgente (</w:t>
      </w:r>
      <w:r w:rsidR="00B50865" w:rsidRPr="00E37AF3">
        <w:t>11</w:t>
      </w:r>
      <w:r w:rsidR="008C3DBA" w:rsidRPr="00E37AF3">
        <w:t>,24</w:t>
      </w:r>
      <w:r w:rsidR="00B50865" w:rsidRPr="00E37AF3">
        <w:t>%</w:t>
      </w:r>
      <w:r w:rsidR="00B846E9" w:rsidRPr="00E37AF3">
        <w:t> ;</w:t>
      </w:r>
      <w:r w:rsidR="00B50865" w:rsidRPr="00E37AF3">
        <w:t xml:space="preserve"> </w:t>
      </w:r>
      <w:r w:rsidRPr="00E37AF3">
        <w:t>correspondant à 40 États</w:t>
      </w:r>
      <w:r w:rsidR="00727771" w:rsidRPr="00E37AF3">
        <w:t xml:space="preserve"> parties</w:t>
      </w:r>
      <w:r w:rsidRPr="00E37AF3">
        <w:t>). Seules 33 bonnes pratiques (</w:t>
      </w:r>
      <w:r w:rsidR="00B50865" w:rsidRPr="00E37AF3">
        <w:t>4,88%</w:t>
      </w:r>
      <w:r w:rsidR="00B846E9" w:rsidRPr="00E37AF3">
        <w:t> ;</w:t>
      </w:r>
      <w:r w:rsidR="00B50865" w:rsidRPr="00E37AF3">
        <w:t xml:space="preserve"> </w:t>
      </w:r>
      <w:r w:rsidRPr="00E37AF3">
        <w:t>correspondant à 31</w:t>
      </w:r>
      <w:r w:rsidR="00B846E9" w:rsidRPr="00E37AF3">
        <w:t> </w:t>
      </w:r>
      <w:r w:rsidRPr="00E37AF3">
        <w:t>États</w:t>
      </w:r>
      <w:r w:rsidR="00B50865" w:rsidRPr="00E37AF3">
        <w:t xml:space="preserve"> parties</w:t>
      </w:r>
      <w:r w:rsidRPr="00E37AF3">
        <w:t xml:space="preserve">) figurent à ce jour dans le Registre. Des informations complètes sur chacun des éléments inscrits et sur les bonnes pratiques sélectionnées sont </w:t>
      </w:r>
      <w:r w:rsidR="00B50865" w:rsidRPr="00E37AF3">
        <w:t xml:space="preserve">accessibles </w:t>
      </w:r>
      <w:r w:rsidRPr="00E37AF3">
        <w:t xml:space="preserve">sur la page </w:t>
      </w:r>
      <w:r w:rsidR="00B846E9" w:rsidRPr="00E37AF3">
        <w:t xml:space="preserve">Internet </w:t>
      </w:r>
      <w:r w:rsidRPr="00E37AF3">
        <w:t xml:space="preserve">de la Convention de 2003 </w:t>
      </w:r>
      <w:r w:rsidR="008C3DBA" w:rsidRPr="00E37AF3">
        <w:t>relative</w:t>
      </w:r>
      <w:r w:rsidRPr="00E37AF3">
        <w:t xml:space="preserve"> </w:t>
      </w:r>
      <w:r w:rsidR="008C3DBA" w:rsidRPr="00E37AF3">
        <w:t xml:space="preserve">aux </w:t>
      </w:r>
      <w:r w:rsidRPr="00E37AF3">
        <w:t>mécanismes d</w:t>
      </w:r>
      <w:r w:rsidR="006F1EF9" w:rsidRPr="00E37AF3">
        <w:t>’</w:t>
      </w:r>
      <w:r w:rsidRPr="00E37AF3">
        <w:t>inscription</w:t>
      </w:r>
      <w:r w:rsidR="00B846E9" w:rsidRPr="00E37AF3">
        <w:t xml:space="preserve"> sur les listes</w:t>
      </w:r>
      <w:r w:rsidRPr="00E37AF3">
        <w:t xml:space="preserve"> : </w:t>
      </w:r>
      <w:hyperlink r:id="rId10" w:history="1">
        <w:r w:rsidRPr="00E37AF3">
          <w:rPr>
            <w:rStyle w:val="Hyperlink"/>
          </w:rPr>
          <w:t>https://ich.unesco.org/fr/listes</w:t>
        </w:r>
      </w:hyperlink>
      <w:r w:rsidRPr="00E37AF3">
        <w:t>.</w:t>
      </w:r>
    </w:p>
    <w:p w14:paraId="5A9790BD" w14:textId="5ADDC65A" w:rsidR="00721CBB" w:rsidRPr="00E37AF3" w:rsidRDefault="00B846E9" w:rsidP="00AE7A17">
      <w:pPr>
        <w:pStyle w:val="COMPara"/>
        <w:ind w:left="567" w:hanging="567"/>
        <w:jc w:val="both"/>
      </w:pPr>
      <w:r w:rsidRPr="00E37AF3">
        <w:t>Dans le cadre de l’article 18, l</w:t>
      </w:r>
      <w:r w:rsidR="00CC6970" w:rsidRPr="00E37AF3">
        <w:t>a répartition géographique des programmes, projets et activités sélectionnés n</w:t>
      </w:r>
      <w:r w:rsidR="006F1EF9" w:rsidRPr="00E37AF3">
        <w:t>’</w:t>
      </w:r>
      <w:r w:rsidR="00CC6970" w:rsidRPr="00E37AF3">
        <w:t>est pas équilibrée entre les différentes régions comme le montre le tableau ci-</w:t>
      </w:r>
      <w:r w:rsidR="008C3DBA" w:rsidRPr="00E37AF3">
        <w:t>dessous</w:t>
      </w:r>
      <w:r w:rsidR="00CC6970" w:rsidRPr="00E37AF3">
        <w:t xml:space="preserve">. Plus de la moitié des programmes sélectionnés </w:t>
      </w:r>
      <w:r w:rsidR="00B50865" w:rsidRPr="00E37AF3">
        <w:t xml:space="preserve">proviennent des </w:t>
      </w:r>
      <w:r w:rsidR="00CC6970" w:rsidRPr="00E37AF3">
        <w:t xml:space="preserve">groupes électoraux I et II </w:t>
      </w:r>
      <w:r w:rsidR="008C3DBA" w:rsidRPr="00E37AF3">
        <w:t>combinés,</w:t>
      </w:r>
      <w:r w:rsidR="00B50865" w:rsidRPr="00E37AF3">
        <w:t xml:space="preserve"> </w:t>
      </w:r>
      <w:r w:rsidR="00CC6970" w:rsidRPr="00E37AF3">
        <w:t>alors que les groupes électoraux V</w:t>
      </w:r>
      <w:r w:rsidR="008C3DBA" w:rsidRPr="00E37AF3">
        <w:t>(</w:t>
      </w:r>
      <w:r w:rsidR="00CC6970" w:rsidRPr="00E37AF3">
        <w:t>a) et V</w:t>
      </w:r>
      <w:r w:rsidR="008C3DBA" w:rsidRPr="00E37AF3">
        <w:t>(</w:t>
      </w:r>
      <w:r w:rsidR="00CC6970" w:rsidRPr="00E37AF3">
        <w:t xml:space="preserve">b) sont </w:t>
      </w:r>
      <w:r w:rsidR="008C3DBA" w:rsidRPr="00E37AF3">
        <w:t xml:space="preserve">nettement </w:t>
      </w:r>
      <w:r w:rsidR="00CC6970" w:rsidRPr="00E37AF3">
        <w:t xml:space="preserve">sous-représentés. Le non-respect du principe de répartition géographique équitable </w:t>
      </w:r>
      <w:r w:rsidR="008C3DBA" w:rsidRPr="00E37AF3">
        <w:t xml:space="preserve">préconisé au </w:t>
      </w:r>
      <w:r w:rsidR="00CC6970" w:rsidRPr="00E37AF3">
        <w:t xml:space="preserve">paragraphe 6 des Directives opérationnelles est </w:t>
      </w:r>
      <w:r w:rsidR="00B50865" w:rsidRPr="00E37AF3">
        <w:t xml:space="preserve">par conséquent </w:t>
      </w:r>
      <w:r w:rsidR="008C3DBA" w:rsidRPr="00E37AF3">
        <w:t>encore plus</w:t>
      </w:r>
      <w:r w:rsidR="00CC6970" w:rsidRPr="00E37AF3">
        <w:t xml:space="preserve"> préoccupa</w:t>
      </w:r>
      <w:r w:rsidR="008C3DBA" w:rsidRPr="00E37AF3">
        <w:t>nt</w:t>
      </w:r>
      <w:r w:rsidR="00CC6970" w:rsidRPr="00E37AF3">
        <w:t>.</w:t>
      </w:r>
    </w:p>
    <w:tbl>
      <w:tblPr>
        <w:tblStyle w:val="TableGrid"/>
        <w:tblW w:w="0" w:type="auto"/>
        <w:tblInd w:w="567" w:type="dxa"/>
        <w:tblLook w:val="04A0" w:firstRow="1" w:lastRow="0" w:firstColumn="1" w:lastColumn="0" w:noHBand="0" w:noVBand="1"/>
      </w:tblPr>
      <w:tblGrid>
        <w:gridCol w:w="1834"/>
        <w:gridCol w:w="1204"/>
        <w:gridCol w:w="1205"/>
        <w:gridCol w:w="1204"/>
        <w:gridCol w:w="1205"/>
        <w:gridCol w:w="1204"/>
        <w:gridCol w:w="1205"/>
      </w:tblGrid>
      <w:tr w:rsidR="00E02711" w:rsidRPr="00E37AF3" w14:paraId="70B4BEB6" w14:textId="77777777" w:rsidTr="00C56406">
        <w:tc>
          <w:tcPr>
            <w:tcW w:w="1834" w:type="dxa"/>
            <w:shd w:val="clear" w:color="auto" w:fill="D9D9D9" w:themeFill="background1" w:themeFillShade="D9"/>
          </w:tcPr>
          <w:p w14:paraId="0C54940E" w14:textId="150D0B4D" w:rsidR="00E02711" w:rsidRPr="00E37AF3" w:rsidRDefault="00E02711" w:rsidP="00E02711">
            <w:pPr>
              <w:pStyle w:val="COMPara"/>
              <w:numPr>
                <w:ilvl w:val="0"/>
                <w:numId w:val="0"/>
              </w:numPr>
              <w:jc w:val="both"/>
              <w:rPr>
                <w:sz w:val="18"/>
                <w:szCs w:val="18"/>
              </w:rPr>
            </w:pPr>
            <w:r w:rsidRPr="00E37AF3">
              <w:rPr>
                <w:sz w:val="18"/>
              </w:rPr>
              <w:t>Groupe électoral</w:t>
            </w:r>
          </w:p>
        </w:tc>
        <w:tc>
          <w:tcPr>
            <w:tcW w:w="1204" w:type="dxa"/>
            <w:shd w:val="clear" w:color="auto" w:fill="D9D9D9" w:themeFill="background1" w:themeFillShade="D9"/>
          </w:tcPr>
          <w:p w14:paraId="23C09C67" w14:textId="1BA1BB09" w:rsidR="00E02711" w:rsidRPr="00E37AF3" w:rsidRDefault="00E02711" w:rsidP="00E02711">
            <w:pPr>
              <w:pStyle w:val="COMPara"/>
              <w:numPr>
                <w:ilvl w:val="0"/>
                <w:numId w:val="0"/>
              </w:numPr>
              <w:jc w:val="both"/>
              <w:rPr>
                <w:sz w:val="18"/>
                <w:szCs w:val="18"/>
              </w:rPr>
            </w:pPr>
            <w:r w:rsidRPr="00E37AF3">
              <w:rPr>
                <w:sz w:val="18"/>
              </w:rPr>
              <w:t>I</w:t>
            </w:r>
          </w:p>
        </w:tc>
        <w:tc>
          <w:tcPr>
            <w:tcW w:w="1205" w:type="dxa"/>
            <w:shd w:val="clear" w:color="auto" w:fill="D9D9D9" w:themeFill="background1" w:themeFillShade="D9"/>
          </w:tcPr>
          <w:p w14:paraId="2F3CE18D" w14:textId="2316A010" w:rsidR="00E02711" w:rsidRPr="00E37AF3" w:rsidRDefault="00E02711" w:rsidP="00E02711">
            <w:pPr>
              <w:pStyle w:val="COMPara"/>
              <w:numPr>
                <w:ilvl w:val="0"/>
                <w:numId w:val="0"/>
              </w:numPr>
              <w:jc w:val="both"/>
              <w:rPr>
                <w:sz w:val="18"/>
                <w:szCs w:val="18"/>
              </w:rPr>
            </w:pPr>
            <w:r w:rsidRPr="00E37AF3">
              <w:rPr>
                <w:sz w:val="18"/>
              </w:rPr>
              <w:t>II</w:t>
            </w:r>
          </w:p>
        </w:tc>
        <w:tc>
          <w:tcPr>
            <w:tcW w:w="1204" w:type="dxa"/>
            <w:shd w:val="clear" w:color="auto" w:fill="D9D9D9" w:themeFill="background1" w:themeFillShade="D9"/>
          </w:tcPr>
          <w:p w14:paraId="4DA5B8A9" w14:textId="315BAEA2" w:rsidR="00E02711" w:rsidRPr="00E37AF3" w:rsidRDefault="00E02711" w:rsidP="00E02711">
            <w:pPr>
              <w:pStyle w:val="COMPara"/>
              <w:numPr>
                <w:ilvl w:val="0"/>
                <w:numId w:val="0"/>
              </w:numPr>
              <w:jc w:val="both"/>
              <w:rPr>
                <w:sz w:val="18"/>
                <w:szCs w:val="18"/>
              </w:rPr>
            </w:pPr>
            <w:r w:rsidRPr="00E37AF3">
              <w:rPr>
                <w:sz w:val="18"/>
              </w:rPr>
              <w:t>III</w:t>
            </w:r>
          </w:p>
        </w:tc>
        <w:tc>
          <w:tcPr>
            <w:tcW w:w="1205" w:type="dxa"/>
            <w:shd w:val="clear" w:color="auto" w:fill="D9D9D9" w:themeFill="background1" w:themeFillShade="D9"/>
          </w:tcPr>
          <w:p w14:paraId="69AA0E73" w14:textId="3AC1CDE6" w:rsidR="00E02711" w:rsidRPr="00E37AF3" w:rsidRDefault="00E02711" w:rsidP="00E02711">
            <w:pPr>
              <w:pStyle w:val="COMPara"/>
              <w:numPr>
                <w:ilvl w:val="0"/>
                <w:numId w:val="0"/>
              </w:numPr>
              <w:jc w:val="both"/>
              <w:rPr>
                <w:sz w:val="18"/>
                <w:szCs w:val="18"/>
              </w:rPr>
            </w:pPr>
            <w:r w:rsidRPr="00E37AF3">
              <w:rPr>
                <w:sz w:val="18"/>
              </w:rPr>
              <w:t>IV</w:t>
            </w:r>
          </w:p>
        </w:tc>
        <w:tc>
          <w:tcPr>
            <w:tcW w:w="1204" w:type="dxa"/>
            <w:shd w:val="clear" w:color="auto" w:fill="D9D9D9" w:themeFill="background1" w:themeFillShade="D9"/>
          </w:tcPr>
          <w:p w14:paraId="3BF93090" w14:textId="090F57B8" w:rsidR="00E02711" w:rsidRPr="00E37AF3" w:rsidRDefault="00E02711" w:rsidP="00E02711">
            <w:pPr>
              <w:pStyle w:val="COMPara"/>
              <w:numPr>
                <w:ilvl w:val="0"/>
                <w:numId w:val="0"/>
              </w:numPr>
              <w:jc w:val="both"/>
              <w:rPr>
                <w:sz w:val="18"/>
                <w:szCs w:val="18"/>
              </w:rPr>
            </w:pPr>
            <w:r w:rsidRPr="00E37AF3">
              <w:rPr>
                <w:sz w:val="18"/>
              </w:rPr>
              <w:t>V(a)</w:t>
            </w:r>
          </w:p>
        </w:tc>
        <w:tc>
          <w:tcPr>
            <w:tcW w:w="1205" w:type="dxa"/>
            <w:shd w:val="clear" w:color="auto" w:fill="D9D9D9" w:themeFill="background1" w:themeFillShade="D9"/>
          </w:tcPr>
          <w:p w14:paraId="61C8D588" w14:textId="2CA4EC56" w:rsidR="00E02711" w:rsidRPr="00E37AF3" w:rsidRDefault="00E02711" w:rsidP="00E02711">
            <w:pPr>
              <w:pStyle w:val="COMPara"/>
              <w:numPr>
                <w:ilvl w:val="0"/>
                <w:numId w:val="0"/>
              </w:numPr>
              <w:jc w:val="both"/>
              <w:rPr>
                <w:sz w:val="18"/>
                <w:szCs w:val="18"/>
              </w:rPr>
            </w:pPr>
            <w:r w:rsidRPr="00E37AF3">
              <w:rPr>
                <w:sz w:val="18"/>
              </w:rPr>
              <w:t>V(b)</w:t>
            </w:r>
          </w:p>
        </w:tc>
      </w:tr>
      <w:tr w:rsidR="00E02711" w:rsidRPr="00E37AF3" w14:paraId="63739B5B" w14:textId="77777777" w:rsidTr="00C56406">
        <w:tc>
          <w:tcPr>
            <w:tcW w:w="1834" w:type="dxa"/>
          </w:tcPr>
          <w:p w14:paraId="61053311" w14:textId="1D960A5E" w:rsidR="00E02711" w:rsidRPr="00E37AF3" w:rsidRDefault="00E02711" w:rsidP="003F46D0">
            <w:pPr>
              <w:pStyle w:val="COMPara"/>
              <w:numPr>
                <w:ilvl w:val="0"/>
                <w:numId w:val="0"/>
              </w:numPr>
              <w:rPr>
                <w:sz w:val="18"/>
                <w:szCs w:val="18"/>
              </w:rPr>
            </w:pPr>
            <w:r w:rsidRPr="00E37AF3">
              <w:rPr>
                <w:sz w:val="18"/>
              </w:rPr>
              <w:t>Nombre de programmes sélectionnés</w:t>
            </w:r>
            <w:r w:rsidR="00D502DB" w:rsidRPr="00E37AF3">
              <w:rPr>
                <w:rStyle w:val="FootnoteReference"/>
                <w:sz w:val="18"/>
              </w:rPr>
              <w:footnoteReference w:id="2"/>
            </w:r>
          </w:p>
        </w:tc>
        <w:tc>
          <w:tcPr>
            <w:tcW w:w="1204" w:type="dxa"/>
          </w:tcPr>
          <w:p w14:paraId="1F850332" w14:textId="697957E5" w:rsidR="00E02711" w:rsidRPr="00E37AF3" w:rsidRDefault="00E02711" w:rsidP="00E02711">
            <w:pPr>
              <w:pStyle w:val="COMPara"/>
              <w:numPr>
                <w:ilvl w:val="0"/>
                <w:numId w:val="0"/>
              </w:numPr>
              <w:jc w:val="both"/>
              <w:rPr>
                <w:sz w:val="18"/>
                <w:szCs w:val="18"/>
              </w:rPr>
            </w:pPr>
            <w:r w:rsidRPr="00E37AF3">
              <w:rPr>
                <w:sz w:val="18"/>
              </w:rPr>
              <w:t>13</w:t>
            </w:r>
          </w:p>
        </w:tc>
        <w:tc>
          <w:tcPr>
            <w:tcW w:w="1205" w:type="dxa"/>
          </w:tcPr>
          <w:p w14:paraId="4CD85DD8" w14:textId="6F2DE0DA" w:rsidR="00E02711" w:rsidRPr="00E37AF3" w:rsidRDefault="00E02711" w:rsidP="00E02711">
            <w:pPr>
              <w:pStyle w:val="COMPara"/>
              <w:numPr>
                <w:ilvl w:val="0"/>
                <w:numId w:val="0"/>
              </w:numPr>
              <w:jc w:val="both"/>
              <w:rPr>
                <w:sz w:val="18"/>
                <w:szCs w:val="18"/>
              </w:rPr>
            </w:pPr>
            <w:r w:rsidRPr="00E37AF3">
              <w:rPr>
                <w:sz w:val="18"/>
              </w:rPr>
              <w:t>8</w:t>
            </w:r>
          </w:p>
        </w:tc>
        <w:tc>
          <w:tcPr>
            <w:tcW w:w="1204" w:type="dxa"/>
          </w:tcPr>
          <w:p w14:paraId="239508A7" w14:textId="4E180447" w:rsidR="00E02711" w:rsidRPr="00E37AF3" w:rsidRDefault="00E02711" w:rsidP="00E02711">
            <w:pPr>
              <w:pStyle w:val="COMPara"/>
              <w:numPr>
                <w:ilvl w:val="0"/>
                <w:numId w:val="0"/>
              </w:numPr>
              <w:jc w:val="both"/>
              <w:rPr>
                <w:sz w:val="18"/>
                <w:szCs w:val="18"/>
              </w:rPr>
            </w:pPr>
            <w:r w:rsidRPr="00E37AF3">
              <w:rPr>
                <w:sz w:val="18"/>
              </w:rPr>
              <w:t>6</w:t>
            </w:r>
          </w:p>
        </w:tc>
        <w:tc>
          <w:tcPr>
            <w:tcW w:w="1205" w:type="dxa"/>
          </w:tcPr>
          <w:p w14:paraId="2779B8B3" w14:textId="4E0B6573" w:rsidR="00E02711" w:rsidRPr="00E37AF3" w:rsidRDefault="00361EA9" w:rsidP="00E02711">
            <w:pPr>
              <w:pStyle w:val="COMPara"/>
              <w:numPr>
                <w:ilvl w:val="0"/>
                <w:numId w:val="0"/>
              </w:numPr>
              <w:jc w:val="both"/>
              <w:rPr>
                <w:sz w:val="18"/>
                <w:szCs w:val="18"/>
              </w:rPr>
            </w:pPr>
            <w:r w:rsidRPr="00E37AF3">
              <w:rPr>
                <w:sz w:val="18"/>
              </w:rPr>
              <w:t>5</w:t>
            </w:r>
          </w:p>
        </w:tc>
        <w:tc>
          <w:tcPr>
            <w:tcW w:w="1204" w:type="dxa"/>
          </w:tcPr>
          <w:p w14:paraId="03AF7031" w14:textId="7A188258" w:rsidR="00E02711" w:rsidRPr="00E37AF3" w:rsidRDefault="00E02711" w:rsidP="00E02711">
            <w:pPr>
              <w:pStyle w:val="COMPara"/>
              <w:numPr>
                <w:ilvl w:val="0"/>
                <w:numId w:val="0"/>
              </w:numPr>
              <w:jc w:val="both"/>
              <w:rPr>
                <w:sz w:val="18"/>
                <w:szCs w:val="18"/>
              </w:rPr>
            </w:pPr>
            <w:r w:rsidRPr="00E37AF3">
              <w:rPr>
                <w:sz w:val="18"/>
              </w:rPr>
              <w:t>1</w:t>
            </w:r>
          </w:p>
        </w:tc>
        <w:tc>
          <w:tcPr>
            <w:tcW w:w="1205" w:type="dxa"/>
          </w:tcPr>
          <w:p w14:paraId="7C6FAE03" w14:textId="194D6155" w:rsidR="00E02711" w:rsidRPr="00E37AF3" w:rsidRDefault="00E02711" w:rsidP="00E02711">
            <w:pPr>
              <w:pStyle w:val="COMPara"/>
              <w:numPr>
                <w:ilvl w:val="0"/>
                <w:numId w:val="0"/>
              </w:numPr>
              <w:jc w:val="both"/>
              <w:rPr>
                <w:sz w:val="18"/>
                <w:szCs w:val="18"/>
              </w:rPr>
            </w:pPr>
            <w:r w:rsidRPr="00E37AF3">
              <w:rPr>
                <w:sz w:val="18"/>
              </w:rPr>
              <w:t>1</w:t>
            </w:r>
          </w:p>
        </w:tc>
      </w:tr>
      <w:tr w:rsidR="00E02711" w:rsidRPr="00E37AF3" w14:paraId="1EE4127E" w14:textId="77777777" w:rsidTr="00C56406">
        <w:tc>
          <w:tcPr>
            <w:tcW w:w="1834" w:type="dxa"/>
          </w:tcPr>
          <w:p w14:paraId="651BCC0C" w14:textId="6031A973" w:rsidR="00E02711" w:rsidRPr="00E37AF3" w:rsidRDefault="00E02711" w:rsidP="00E02711">
            <w:pPr>
              <w:pStyle w:val="COMPara"/>
              <w:numPr>
                <w:ilvl w:val="0"/>
                <w:numId w:val="0"/>
              </w:numPr>
              <w:jc w:val="both"/>
              <w:rPr>
                <w:sz w:val="18"/>
                <w:szCs w:val="18"/>
              </w:rPr>
            </w:pPr>
            <w:r w:rsidRPr="00E37AF3">
              <w:rPr>
                <w:sz w:val="18"/>
              </w:rPr>
              <w:t>Pourcentage</w:t>
            </w:r>
          </w:p>
        </w:tc>
        <w:tc>
          <w:tcPr>
            <w:tcW w:w="1204" w:type="dxa"/>
          </w:tcPr>
          <w:p w14:paraId="766FC7F7" w14:textId="5057D739" w:rsidR="00E02711" w:rsidRPr="00E37AF3" w:rsidRDefault="00E02711" w:rsidP="00E02711">
            <w:pPr>
              <w:pStyle w:val="COMPara"/>
              <w:numPr>
                <w:ilvl w:val="0"/>
                <w:numId w:val="0"/>
              </w:numPr>
              <w:jc w:val="both"/>
              <w:rPr>
                <w:sz w:val="18"/>
                <w:szCs w:val="18"/>
              </w:rPr>
            </w:pPr>
            <w:r w:rsidRPr="00E37AF3">
              <w:rPr>
                <w:sz w:val="18"/>
              </w:rPr>
              <w:t>38,24 %</w:t>
            </w:r>
          </w:p>
        </w:tc>
        <w:tc>
          <w:tcPr>
            <w:tcW w:w="1205" w:type="dxa"/>
          </w:tcPr>
          <w:p w14:paraId="3957463E" w14:textId="1014AC24" w:rsidR="00E02711" w:rsidRPr="00E37AF3" w:rsidRDefault="00E02711" w:rsidP="00E02711">
            <w:pPr>
              <w:pStyle w:val="COMPara"/>
              <w:numPr>
                <w:ilvl w:val="0"/>
                <w:numId w:val="0"/>
              </w:numPr>
              <w:jc w:val="both"/>
              <w:rPr>
                <w:sz w:val="18"/>
                <w:szCs w:val="18"/>
              </w:rPr>
            </w:pPr>
            <w:r w:rsidRPr="00E37AF3">
              <w:rPr>
                <w:sz w:val="18"/>
              </w:rPr>
              <w:t>23,53 %</w:t>
            </w:r>
          </w:p>
        </w:tc>
        <w:tc>
          <w:tcPr>
            <w:tcW w:w="1204" w:type="dxa"/>
          </w:tcPr>
          <w:p w14:paraId="642E8792" w14:textId="1D71474E" w:rsidR="00E02711" w:rsidRPr="00E37AF3" w:rsidRDefault="00E02711" w:rsidP="00E02711">
            <w:pPr>
              <w:pStyle w:val="COMPara"/>
              <w:numPr>
                <w:ilvl w:val="0"/>
                <w:numId w:val="0"/>
              </w:numPr>
              <w:jc w:val="both"/>
              <w:rPr>
                <w:sz w:val="18"/>
                <w:szCs w:val="18"/>
              </w:rPr>
            </w:pPr>
            <w:r w:rsidRPr="00E37AF3">
              <w:rPr>
                <w:sz w:val="18"/>
              </w:rPr>
              <w:t>17,65 %</w:t>
            </w:r>
          </w:p>
        </w:tc>
        <w:tc>
          <w:tcPr>
            <w:tcW w:w="1205" w:type="dxa"/>
          </w:tcPr>
          <w:p w14:paraId="6813DE14" w14:textId="263FCE30" w:rsidR="00E02711" w:rsidRPr="00E37AF3" w:rsidRDefault="00D502DB" w:rsidP="00E02711">
            <w:pPr>
              <w:pStyle w:val="COMPara"/>
              <w:numPr>
                <w:ilvl w:val="0"/>
                <w:numId w:val="0"/>
              </w:numPr>
              <w:jc w:val="both"/>
              <w:rPr>
                <w:sz w:val="18"/>
                <w:szCs w:val="18"/>
              </w:rPr>
            </w:pPr>
            <w:r w:rsidRPr="00E37AF3">
              <w:rPr>
                <w:sz w:val="18"/>
              </w:rPr>
              <w:t>14,70</w:t>
            </w:r>
            <w:r w:rsidR="00E02711" w:rsidRPr="00E37AF3">
              <w:rPr>
                <w:sz w:val="18"/>
              </w:rPr>
              <w:t> %</w:t>
            </w:r>
          </w:p>
        </w:tc>
        <w:tc>
          <w:tcPr>
            <w:tcW w:w="1204" w:type="dxa"/>
          </w:tcPr>
          <w:p w14:paraId="5D3B90A3" w14:textId="1F85E4AF" w:rsidR="00E02711" w:rsidRPr="00E37AF3" w:rsidRDefault="00E02711" w:rsidP="00E02711">
            <w:pPr>
              <w:pStyle w:val="COMPara"/>
              <w:numPr>
                <w:ilvl w:val="0"/>
                <w:numId w:val="0"/>
              </w:numPr>
              <w:jc w:val="both"/>
              <w:rPr>
                <w:sz w:val="18"/>
                <w:szCs w:val="18"/>
              </w:rPr>
            </w:pPr>
            <w:r w:rsidRPr="00E37AF3">
              <w:rPr>
                <w:sz w:val="18"/>
              </w:rPr>
              <w:t>2,9</w:t>
            </w:r>
            <w:r w:rsidR="00D502DB" w:rsidRPr="00E37AF3">
              <w:rPr>
                <w:sz w:val="18"/>
              </w:rPr>
              <w:t>4</w:t>
            </w:r>
            <w:r w:rsidRPr="00E37AF3">
              <w:rPr>
                <w:sz w:val="18"/>
              </w:rPr>
              <w:t> %</w:t>
            </w:r>
          </w:p>
        </w:tc>
        <w:tc>
          <w:tcPr>
            <w:tcW w:w="1205" w:type="dxa"/>
          </w:tcPr>
          <w:p w14:paraId="5128A238" w14:textId="099C92E5" w:rsidR="00E02711" w:rsidRPr="00E37AF3" w:rsidRDefault="00E02711" w:rsidP="00E02711">
            <w:pPr>
              <w:pStyle w:val="COMPara"/>
              <w:numPr>
                <w:ilvl w:val="0"/>
                <w:numId w:val="0"/>
              </w:numPr>
              <w:jc w:val="both"/>
              <w:rPr>
                <w:sz w:val="18"/>
                <w:szCs w:val="18"/>
              </w:rPr>
            </w:pPr>
            <w:r w:rsidRPr="00E37AF3">
              <w:rPr>
                <w:sz w:val="18"/>
              </w:rPr>
              <w:t>2,9</w:t>
            </w:r>
            <w:r w:rsidR="00D502DB" w:rsidRPr="00E37AF3">
              <w:rPr>
                <w:sz w:val="18"/>
              </w:rPr>
              <w:t>4</w:t>
            </w:r>
            <w:r w:rsidRPr="00E37AF3">
              <w:rPr>
                <w:sz w:val="18"/>
              </w:rPr>
              <w:t> %</w:t>
            </w:r>
          </w:p>
        </w:tc>
      </w:tr>
    </w:tbl>
    <w:p w14:paraId="23BA1A44" w14:textId="7776C86C" w:rsidR="00BD7335" w:rsidRPr="00E37AF3" w:rsidRDefault="00BD7335" w:rsidP="00BD7335">
      <w:pPr>
        <w:pStyle w:val="COMPara"/>
        <w:spacing w:before="120"/>
        <w:ind w:left="567" w:hanging="567"/>
        <w:jc w:val="both"/>
        <w:rPr>
          <w:u w:val="single"/>
        </w:rPr>
      </w:pPr>
      <w:r w:rsidRPr="00E37AF3">
        <w:t>Conformément au paragraphe 2 de l</w:t>
      </w:r>
      <w:r w:rsidR="006F1EF9" w:rsidRPr="00E37AF3">
        <w:t>’</w:t>
      </w:r>
      <w:r w:rsidRPr="00E37AF3">
        <w:t xml:space="preserve">article 18, les Directives opérationnelles (paragraphes 21 à 23) stipulent que les États parties peuvent demander une assistance préparatoire, en consultation avec les communautés, </w:t>
      </w:r>
      <w:r w:rsidR="00AE6249" w:rsidRPr="00E37AF3">
        <w:t xml:space="preserve">les </w:t>
      </w:r>
      <w:r w:rsidRPr="00E37AF3">
        <w:t xml:space="preserve">groupes et, le cas échéant, </w:t>
      </w:r>
      <w:r w:rsidR="00AE6249" w:rsidRPr="00E37AF3">
        <w:t xml:space="preserve">les </w:t>
      </w:r>
      <w:r w:rsidRPr="00E37AF3">
        <w:t>individus concernés, pour l</w:t>
      </w:r>
      <w:r w:rsidR="006F1EF9" w:rsidRPr="00E37AF3">
        <w:t>’</w:t>
      </w:r>
      <w:r w:rsidRPr="00E37AF3">
        <w:t xml:space="preserve">élaboration de propositions de programmes, projets et activités pour </w:t>
      </w:r>
      <w:r w:rsidR="00B50865" w:rsidRPr="00E37AF3">
        <w:t xml:space="preserve">sélection </w:t>
      </w:r>
      <w:r w:rsidRPr="00E37AF3">
        <w:t xml:space="preserve">au Registre de bonnes pratiques de sauvegarde. Les </w:t>
      </w:r>
      <w:r w:rsidR="00AE6249" w:rsidRPr="00E37AF3">
        <w:t xml:space="preserve">montants des </w:t>
      </w:r>
      <w:r w:rsidRPr="00E37AF3">
        <w:t>demandes d</w:t>
      </w:r>
      <w:r w:rsidR="006F1EF9" w:rsidRPr="00E37AF3">
        <w:t>’</w:t>
      </w:r>
      <w:r w:rsidRPr="00E37AF3">
        <w:t xml:space="preserve">assistance </w:t>
      </w:r>
      <w:r w:rsidR="00AE6249" w:rsidRPr="00E37AF3">
        <w:t>sont</w:t>
      </w:r>
      <w:r w:rsidRPr="00E37AF3">
        <w:t xml:space="preserve"> normalement compris entre 5 000 et 10 000 dollars des États-Unis </w:t>
      </w:r>
      <w:r w:rsidR="00AE6249" w:rsidRPr="00E37AF3">
        <w:t>et sont</w:t>
      </w:r>
      <w:r w:rsidRPr="00E37AF3">
        <w:t xml:space="preserve"> généralement </w:t>
      </w:r>
      <w:r w:rsidR="00AE6249" w:rsidRPr="00E37AF3">
        <w:t>destinés à mener d</w:t>
      </w:r>
      <w:r w:rsidRPr="00E37AF3">
        <w:t xml:space="preserve">es consultations </w:t>
      </w:r>
      <w:r w:rsidR="00AE6249" w:rsidRPr="00E37AF3">
        <w:t>au sein des communautés</w:t>
      </w:r>
      <w:r w:rsidRPr="00E37AF3">
        <w:t xml:space="preserve">, </w:t>
      </w:r>
      <w:r w:rsidR="00AE6249" w:rsidRPr="00E37AF3">
        <w:t xml:space="preserve">à </w:t>
      </w:r>
      <w:r w:rsidRPr="00E37AF3">
        <w:t xml:space="preserve">préparer </w:t>
      </w:r>
      <w:r w:rsidR="00AE6249" w:rsidRPr="00E37AF3">
        <w:t>d</w:t>
      </w:r>
      <w:r w:rsidRPr="00E37AF3">
        <w:t xml:space="preserve">es supports audiovisuels ou </w:t>
      </w:r>
      <w:r w:rsidR="00AE6249" w:rsidRPr="00E37AF3">
        <w:t xml:space="preserve">à </w:t>
      </w:r>
      <w:r w:rsidRPr="00E37AF3">
        <w:t>couvrir les frais administratifs ou logistiques</w:t>
      </w:r>
      <w:r w:rsidR="00B50865" w:rsidRPr="00E37AF3">
        <w:t xml:space="preserve"> liés à </w:t>
      </w:r>
      <w:r w:rsidRPr="00E37AF3">
        <w:t xml:space="preserve">la préparation des </w:t>
      </w:r>
      <w:r w:rsidR="00AE6249" w:rsidRPr="00E37AF3">
        <w:t>propositions</w:t>
      </w:r>
      <w:r w:rsidRPr="00E37AF3">
        <w:t>. Suite à la réflexion globale sur les mécanismes d</w:t>
      </w:r>
      <w:r w:rsidR="006F1EF9" w:rsidRPr="00E37AF3">
        <w:t>’</w:t>
      </w:r>
      <w:r w:rsidRPr="00E37AF3">
        <w:t>inscription sur les listes de la Convention, toutes les demandes d</w:t>
      </w:r>
      <w:r w:rsidR="006F1EF9" w:rsidRPr="00E37AF3">
        <w:t>’</w:t>
      </w:r>
      <w:r w:rsidRPr="00E37AF3">
        <w:t xml:space="preserve">assistance préparatoire doivent être soumises </w:t>
      </w:r>
      <w:r w:rsidR="00AE6249" w:rsidRPr="00E37AF3">
        <w:t>à l</w:t>
      </w:r>
      <w:r w:rsidR="006F1EF9" w:rsidRPr="00E37AF3">
        <w:t>’</w:t>
      </w:r>
      <w:r w:rsidR="00AE6249" w:rsidRPr="00E37AF3">
        <w:t>aide</w:t>
      </w:r>
      <w:r w:rsidR="00B50865" w:rsidRPr="00E37AF3">
        <w:t xml:space="preserve"> </w:t>
      </w:r>
      <w:r w:rsidR="00AE6249" w:rsidRPr="00E37AF3">
        <w:t>du</w:t>
      </w:r>
      <w:r w:rsidRPr="00E37AF3">
        <w:t xml:space="preserve"> formulaire ICH-05. Cette possibilité a rarement été utilisée par les </w:t>
      </w:r>
      <w:r w:rsidR="00B50865" w:rsidRPr="00E37AF3">
        <w:t>É</w:t>
      </w:r>
      <w:r w:rsidRPr="00E37AF3">
        <w:t xml:space="preserve">tats </w:t>
      </w:r>
      <w:r w:rsidR="00B50865" w:rsidRPr="00E37AF3">
        <w:t>p</w:t>
      </w:r>
      <w:r w:rsidRPr="00E37AF3">
        <w:t>arties : seules 3 des 26 demandes d</w:t>
      </w:r>
      <w:r w:rsidR="006F1EF9" w:rsidRPr="00E37AF3">
        <w:t>’</w:t>
      </w:r>
      <w:r w:rsidRPr="00E37AF3">
        <w:t xml:space="preserve">assistance préparatoire </w:t>
      </w:r>
      <w:r w:rsidR="00AE6249" w:rsidRPr="00E37AF3">
        <w:t xml:space="preserve">accordées à ce jour </w:t>
      </w:r>
      <w:r w:rsidRPr="00E37AF3">
        <w:t>concernent le Registre de bonnes pratiques de sauvegarde.</w:t>
      </w:r>
    </w:p>
    <w:p w14:paraId="39C309F8" w14:textId="13704087" w:rsidR="001867DD" w:rsidRPr="00E37AF3" w:rsidRDefault="008751F0" w:rsidP="00BD7335">
      <w:pPr>
        <w:pStyle w:val="COMPara"/>
        <w:spacing w:before="120"/>
        <w:ind w:left="567" w:hanging="567"/>
        <w:jc w:val="both"/>
        <w:rPr>
          <w:u w:val="single"/>
        </w:rPr>
      </w:pPr>
      <w:r w:rsidRPr="00E37AF3">
        <w:t>En outre,</w:t>
      </w:r>
      <w:r w:rsidR="00B50865" w:rsidRPr="00E37AF3">
        <w:t xml:space="preserve"> l</w:t>
      </w:r>
      <w:r w:rsidR="006F1EF9" w:rsidRPr="00E37AF3">
        <w:t>’</w:t>
      </w:r>
      <w:r w:rsidR="00B50865" w:rsidRPr="00E37AF3">
        <w:t>article 18 précise</w:t>
      </w:r>
      <w:r w:rsidR="00AD4342" w:rsidRPr="00E37AF3">
        <w:t>, par le biais de son</w:t>
      </w:r>
      <w:r w:rsidRPr="00E37AF3">
        <w:t xml:space="preserve"> paragraphe 3</w:t>
      </w:r>
      <w:r w:rsidR="00AD4342" w:rsidRPr="00E37AF3">
        <w:t>,</w:t>
      </w:r>
      <w:r w:rsidR="00D502DB" w:rsidRPr="00E37AF3">
        <w:t xml:space="preserve"> </w:t>
      </w:r>
      <w:r w:rsidR="00AD4342" w:rsidRPr="00E37AF3">
        <w:t>le rôle d</w:t>
      </w:r>
      <w:r w:rsidR="006F1EF9" w:rsidRPr="00E37AF3">
        <w:t>’</w:t>
      </w:r>
      <w:r w:rsidR="00AD4342" w:rsidRPr="00E37AF3">
        <w:t xml:space="preserve">accompagnement du </w:t>
      </w:r>
      <w:r w:rsidR="005103EB" w:rsidRPr="00E37AF3">
        <w:t>Comité</w:t>
      </w:r>
      <w:r w:rsidR="00AD4342" w:rsidRPr="00E37AF3">
        <w:t xml:space="preserve"> dans</w:t>
      </w:r>
      <w:r w:rsidRPr="00E37AF3">
        <w:t xml:space="preserve"> la mise en œuvre desdits projets, programmes et activités</w:t>
      </w:r>
      <w:r w:rsidR="00AD4342" w:rsidRPr="00E37AF3">
        <w:t xml:space="preserve"> sélectionnés en diffusant les </w:t>
      </w:r>
      <w:r w:rsidR="00111526" w:rsidRPr="00E37AF3">
        <w:t>bonnes</w:t>
      </w:r>
      <w:r w:rsidRPr="00E37AF3">
        <w:t xml:space="preserve"> pratiques</w:t>
      </w:r>
      <w:r w:rsidR="00111526" w:rsidRPr="00E37AF3">
        <w:t xml:space="preserve"> de sauvegarde</w:t>
      </w:r>
      <w:r w:rsidRPr="00E37AF3">
        <w:t xml:space="preserve"> selon les modalités qu</w:t>
      </w:r>
      <w:r w:rsidR="006F1EF9" w:rsidRPr="00E37AF3">
        <w:t>’</w:t>
      </w:r>
      <w:r w:rsidRPr="00E37AF3">
        <w:t xml:space="preserve">il aura déterminé. </w:t>
      </w:r>
      <w:r w:rsidR="005103EB" w:rsidRPr="00E37AF3">
        <w:t xml:space="preserve">La </w:t>
      </w:r>
      <w:r w:rsidRPr="00E37AF3">
        <w:lastRenderedPageBreak/>
        <w:t>fonction du Comité définie à l</w:t>
      </w:r>
      <w:r w:rsidR="006F1EF9" w:rsidRPr="00E37AF3">
        <w:t>’</w:t>
      </w:r>
      <w:r w:rsidRPr="00E37AF3">
        <w:t xml:space="preserve">article 18 est </w:t>
      </w:r>
      <w:r w:rsidR="005103EB" w:rsidRPr="00E37AF3">
        <w:t xml:space="preserve">également </w:t>
      </w:r>
      <w:r w:rsidRPr="00E37AF3">
        <w:t>précisée à l</w:t>
      </w:r>
      <w:r w:rsidR="006F1EF9" w:rsidRPr="00E37AF3">
        <w:t>’</w:t>
      </w:r>
      <w:r w:rsidRPr="00E37AF3">
        <w:t xml:space="preserve">article 7 (b) de la Convention </w:t>
      </w:r>
      <w:r w:rsidR="005103EB" w:rsidRPr="00E37AF3">
        <w:t>en termes d</w:t>
      </w:r>
      <w:r w:rsidR="006F1EF9" w:rsidRPr="00E37AF3">
        <w:t>’</w:t>
      </w:r>
      <w:r w:rsidR="005103EB" w:rsidRPr="00E37AF3">
        <w:t>orientations</w:t>
      </w:r>
      <w:r w:rsidRPr="00E37AF3">
        <w:t xml:space="preserve"> sur les </w:t>
      </w:r>
      <w:r w:rsidR="00111526" w:rsidRPr="00E37AF3">
        <w:t>bonnes</w:t>
      </w:r>
      <w:r w:rsidRPr="00E37AF3">
        <w:t xml:space="preserve"> pratiques</w:t>
      </w:r>
      <w:r w:rsidR="00111526" w:rsidRPr="00E37AF3">
        <w:t xml:space="preserve"> de sauvegarde</w:t>
      </w:r>
      <w:r w:rsidRPr="00E37AF3">
        <w:t xml:space="preserve"> et </w:t>
      </w:r>
      <w:r w:rsidR="005103EB" w:rsidRPr="00E37AF3">
        <w:t>de</w:t>
      </w:r>
      <w:r w:rsidRPr="00E37AF3">
        <w:t xml:space="preserve"> recommandations sur les mesures </w:t>
      </w:r>
      <w:r w:rsidR="005103EB" w:rsidRPr="00E37AF3">
        <w:t>visant</w:t>
      </w:r>
      <w:r w:rsidR="00AD4342" w:rsidRPr="00E37AF3">
        <w:t xml:space="preserve"> </w:t>
      </w:r>
      <w:r w:rsidR="005103EB" w:rsidRPr="00E37AF3">
        <w:t xml:space="preserve">à </w:t>
      </w:r>
      <w:r w:rsidRPr="00E37AF3">
        <w:t>sauvegarde</w:t>
      </w:r>
      <w:r w:rsidR="005103EB" w:rsidRPr="00E37AF3">
        <w:t>r</w:t>
      </w:r>
      <w:r w:rsidRPr="00E37AF3">
        <w:t xml:space="preserve"> </w:t>
      </w:r>
      <w:r w:rsidR="005103EB" w:rsidRPr="00E37AF3">
        <w:t>le</w:t>
      </w:r>
      <w:r w:rsidRPr="00E37AF3">
        <w:t xml:space="preserve"> patrimoine culturel immatériel. Ces dispositions sont notamment détaillées dans le sous-chapitre I.13 des Directives opérationnelles (paragraphes 42 à 46). Compte tenu de </w:t>
      </w:r>
      <w:r w:rsidR="00AD4342" w:rsidRPr="00E37AF3">
        <w:t>la portée potentiellement étendue de</w:t>
      </w:r>
      <w:r w:rsidRPr="00E37AF3">
        <w:t xml:space="preserve"> l</w:t>
      </w:r>
      <w:r w:rsidR="006F1EF9" w:rsidRPr="00E37AF3">
        <w:t>’</w:t>
      </w:r>
      <w:r w:rsidRPr="00E37AF3">
        <w:t>article 18, il</w:t>
      </w:r>
      <w:r w:rsidR="00AD4342" w:rsidRPr="00E37AF3">
        <w:t xml:space="preserve"> pourrait être important de tenir compte de sa </w:t>
      </w:r>
      <w:r w:rsidRPr="00E37AF3">
        <w:t>mise en œuvre</w:t>
      </w:r>
      <w:r w:rsidR="00AD4342" w:rsidRPr="00E37AF3">
        <w:t xml:space="preserve"> en </w:t>
      </w:r>
      <w:r w:rsidR="005103EB" w:rsidRPr="00E37AF3">
        <w:t>conjonction</w:t>
      </w:r>
      <w:r w:rsidR="00AD4342" w:rsidRPr="00E37AF3">
        <w:t xml:space="preserve"> </w:t>
      </w:r>
      <w:r w:rsidRPr="00E37AF3">
        <w:t>avec d</w:t>
      </w:r>
      <w:r w:rsidR="006F1EF9" w:rsidRPr="00E37AF3">
        <w:t>’</w:t>
      </w:r>
      <w:r w:rsidRPr="00E37AF3">
        <w:t>autres dispositions de la Conventio</w:t>
      </w:r>
      <w:r w:rsidR="00D502DB" w:rsidRPr="00E37AF3">
        <w:t xml:space="preserve">n, </w:t>
      </w:r>
      <w:r w:rsidR="00AD4342" w:rsidRPr="00E37AF3">
        <w:t xml:space="preserve">tels que les </w:t>
      </w:r>
      <w:r w:rsidRPr="00E37AF3">
        <w:t>articles 19 à 24</w:t>
      </w:r>
      <w:r w:rsidR="00D502DB" w:rsidRPr="00E37AF3">
        <w:t>,</w:t>
      </w:r>
      <w:r w:rsidRPr="00E37AF3">
        <w:t xml:space="preserve"> </w:t>
      </w:r>
      <w:r w:rsidR="00AD4342" w:rsidRPr="00E37AF3">
        <w:t>afin de faciliter</w:t>
      </w:r>
      <w:r w:rsidRPr="00E37AF3">
        <w:t xml:space="preserve"> la coopération </w:t>
      </w:r>
      <w:r w:rsidR="00AD4342" w:rsidRPr="00E37AF3">
        <w:t xml:space="preserve">internationale </w:t>
      </w:r>
      <w:r w:rsidRPr="00E37AF3">
        <w:t xml:space="preserve">et </w:t>
      </w:r>
      <w:r w:rsidR="00AD4342" w:rsidRPr="00E37AF3">
        <w:t xml:space="preserve">fournir aux États parties et aux communautés concernées un </w:t>
      </w:r>
      <w:r w:rsidRPr="00E37AF3">
        <w:t>appui à la planification, à la mise en œuvre et au suivi des efforts de sauvegarde</w:t>
      </w:r>
      <w:r w:rsidR="00AD4342" w:rsidRPr="00E37AF3">
        <w:t>.</w:t>
      </w:r>
    </w:p>
    <w:p w14:paraId="43B9ECB1" w14:textId="7AD4F507" w:rsidR="00C005C7" w:rsidRPr="00E37AF3" w:rsidRDefault="00773A6C" w:rsidP="008314E8">
      <w:pPr>
        <w:pStyle w:val="COMPara"/>
        <w:keepNext/>
        <w:numPr>
          <w:ilvl w:val="0"/>
          <w:numId w:val="0"/>
        </w:numPr>
        <w:spacing w:before="240"/>
        <w:ind w:left="567"/>
        <w:jc w:val="both"/>
        <w:rPr>
          <w:u w:val="single"/>
        </w:rPr>
      </w:pPr>
      <w:r w:rsidRPr="00E37AF3">
        <w:rPr>
          <w:u w:val="single"/>
        </w:rPr>
        <w:t>Tentative précédente : Autres moyens plus légers de partage des bonnes pratiques de sauvegarde</w:t>
      </w:r>
    </w:p>
    <w:p w14:paraId="146C31FA" w14:textId="07FA71E9" w:rsidR="001A0118" w:rsidRPr="00E37AF3" w:rsidRDefault="001A0118" w:rsidP="008314E8">
      <w:pPr>
        <w:pStyle w:val="COMPara"/>
        <w:keepNext/>
        <w:ind w:left="567" w:hanging="567"/>
        <w:jc w:val="both"/>
      </w:pPr>
      <w:r w:rsidRPr="00E37AF3">
        <w:t>Lorsqu</w:t>
      </w:r>
      <w:r w:rsidR="006F1EF9" w:rsidRPr="00E37AF3">
        <w:t>’</w:t>
      </w:r>
      <w:r w:rsidRPr="00E37AF3">
        <w:t xml:space="preserve">il est apparu que le Registre de bonnes pratiques de sauvegarde ne fonctionnait pas </w:t>
      </w:r>
      <w:r w:rsidR="005103EB" w:rsidRPr="00E37AF3">
        <w:t xml:space="preserve">pleinement </w:t>
      </w:r>
      <w:r w:rsidRPr="00E37AF3">
        <w:t xml:space="preserve">comme prévu, une tentative a été faite pour trouver des « moyens alternatifs et plus légers » de partager les bonnes pratiques de sauvegarde, </w:t>
      </w:r>
      <w:r w:rsidR="005103EB" w:rsidRPr="00E37AF3">
        <w:t>afin de compléter le</w:t>
      </w:r>
      <w:r w:rsidRPr="00E37AF3">
        <w:t xml:space="preserve"> Registre. Suite aux demandes formulées par le Comité lors de ses huitième (décision </w:t>
      </w:r>
      <w:hyperlink r:id="rId11" w:history="1">
        <w:r w:rsidRPr="00E37AF3">
          <w:rPr>
            <w:rStyle w:val="Hyperlink"/>
            <w:rFonts w:asciiTheme="minorBidi" w:hAnsiTheme="minorBidi"/>
          </w:rPr>
          <w:t>8.COM 5.c.1</w:t>
        </w:r>
      </w:hyperlink>
      <w:r w:rsidRPr="00E37AF3">
        <w:t xml:space="preserve">, paragraphe 5), neuvième (décision </w:t>
      </w:r>
      <w:hyperlink r:id="rId12" w:history="1">
        <w:r w:rsidRPr="00E37AF3">
          <w:rPr>
            <w:rStyle w:val="Hyperlink"/>
            <w:rFonts w:asciiTheme="minorBidi" w:hAnsiTheme="minorBidi"/>
          </w:rPr>
          <w:t>9.COM 9.b</w:t>
        </w:r>
      </w:hyperlink>
      <w:r w:rsidRPr="00E37AF3">
        <w:t xml:space="preserve">) et dixième (décision </w:t>
      </w:r>
      <w:hyperlink r:id="rId13" w:history="1">
        <w:r w:rsidRPr="00E37AF3">
          <w:rPr>
            <w:rStyle w:val="Hyperlink"/>
            <w:rFonts w:asciiTheme="minorBidi" w:hAnsiTheme="minorBidi"/>
          </w:rPr>
          <w:t>10.COM 10</w:t>
        </w:r>
      </w:hyperlink>
      <w:r w:rsidRPr="00E37AF3">
        <w:t>, paragraphe</w:t>
      </w:r>
      <w:r w:rsidR="00D502DB" w:rsidRPr="00E37AF3">
        <w:t> </w:t>
      </w:r>
      <w:r w:rsidRPr="00E37AF3">
        <w:t xml:space="preserve">10) sessions, </w:t>
      </w:r>
      <w:r w:rsidRPr="00E37AF3">
        <w:rPr>
          <w:rStyle w:val="hps"/>
        </w:rPr>
        <w:t>le</w:t>
      </w:r>
      <w:r w:rsidRPr="00E37AF3">
        <w:t xml:space="preserve"> Secrétariat </w:t>
      </w:r>
      <w:r w:rsidRPr="00E37AF3">
        <w:rPr>
          <w:rStyle w:val="hps"/>
        </w:rPr>
        <w:t xml:space="preserve">a mené une </w:t>
      </w:r>
      <w:r w:rsidR="005103EB" w:rsidRPr="00E37AF3">
        <w:rPr>
          <w:rStyle w:val="hps"/>
        </w:rPr>
        <w:t>enquête</w:t>
      </w:r>
      <w:r w:rsidRPr="00E37AF3">
        <w:rPr>
          <w:rStyle w:val="FootnoteReference"/>
        </w:rPr>
        <w:footnoteReference w:id="3"/>
      </w:r>
      <w:r w:rsidRPr="00E37AF3">
        <w:rPr>
          <w:rStyle w:val="hps"/>
        </w:rPr>
        <w:t xml:space="preserve"> en 2018</w:t>
      </w:r>
      <w:r w:rsidR="00AD4342" w:rsidRPr="00E37AF3">
        <w:rPr>
          <w:rStyle w:val="hps"/>
        </w:rPr>
        <w:t>. L</w:t>
      </w:r>
      <w:r w:rsidR="006F1EF9" w:rsidRPr="00E37AF3">
        <w:rPr>
          <w:rStyle w:val="hps"/>
        </w:rPr>
        <w:t>’</w:t>
      </w:r>
      <w:r w:rsidR="005103EB" w:rsidRPr="00E37AF3">
        <w:rPr>
          <w:rStyle w:val="hps"/>
        </w:rPr>
        <w:t>enquête</w:t>
      </w:r>
      <w:r w:rsidRPr="00E37AF3">
        <w:rPr>
          <w:rStyle w:val="hps"/>
        </w:rPr>
        <w:t xml:space="preserve"> a été </w:t>
      </w:r>
      <w:r w:rsidR="005103EB" w:rsidRPr="00E37AF3">
        <w:rPr>
          <w:rStyle w:val="hps"/>
        </w:rPr>
        <w:t>diffusée auprès des</w:t>
      </w:r>
      <w:r w:rsidRPr="00E37AF3">
        <w:rPr>
          <w:rStyle w:val="hps"/>
        </w:rPr>
        <w:t xml:space="preserve"> ONG accréditées dans le cadre de la Convention de 2003, </w:t>
      </w:r>
      <w:r w:rsidR="005103EB" w:rsidRPr="00E37AF3">
        <w:rPr>
          <w:rStyle w:val="hps"/>
        </w:rPr>
        <w:t>d</w:t>
      </w:r>
      <w:r w:rsidRPr="00E37AF3">
        <w:rPr>
          <w:rStyle w:val="hps"/>
        </w:rPr>
        <w:t xml:space="preserve">es organisations </w:t>
      </w:r>
      <w:r w:rsidR="005103EB" w:rsidRPr="00E37AF3">
        <w:rPr>
          <w:rStyle w:val="hps"/>
        </w:rPr>
        <w:t xml:space="preserve">des peuples </w:t>
      </w:r>
      <w:r w:rsidRPr="00E37AF3">
        <w:rPr>
          <w:rStyle w:val="hps"/>
        </w:rPr>
        <w:t xml:space="preserve">autochtones, </w:t>
      </w:r>
      <w:r w:rsidR="005103EB" w:rsidRPr="00E37AF3">
        <w:rPr>
          <w:rStyle w:val="hps"/>
        </w:rPr>
        <w:t>d</w:t>
      </w:r>
      <w:r w:rsidRPr="00E37AF3">
        <w:rPr>
          <w:rStyle w:val="hps"/>
        </w:rPr>
        <w:t xml:space="preserve">es municipalités/autorités locales, </w:t>
      </w:r>
      <w:r w:rsidR="005103EB" w:rsidRPr="00E37AF3">
        <w:rPr>
          <w:rStyle w:val="hps"/>
        </w:rPr>
        <w:t>d</w:t>
      </w:r>
      <w:r w:rsidRPr="00E37AF3">
        <w:rPr>
          <w:rStyle w:val="hps"/>
        </w:rPr>
        <w:t xml:space="preserve">es institutions nationales, </w:t>
      </w:r>
      <w:r w:rsidR="005103EB" w:rsidRPr="00E37AF3">
        <w:rPr>
          <w:rStyle w:val="hps"/>
        </w:rPr>
        <w:t>d</w:t>
      </w:r>
      <w:r w:rsidRPr="00E37AF3">
        <w:rPr>
          <w:rStyle w:val="hps"/>
        </w:rPr>
        <w:t xml:space="preserve">es communautés universitaires, </w:t>
      </w:r>
      <w:r w:rsidR="005103EB" w:rsidRPr="00E37AF3">
        <w:rPr>
          <w:rStyle w:val="hps"/>
        </w:rPr>
        <w:t>d</w:t>
      </w:r>
      <w:r w:rsidRPr="00E37AF3">
        <w:rPr>
          <w:rStyle w:val="hps"/>
        </w:rPr>
        <w:t xml:space="preserve">es chaires UNESCO et </w:t>
      </w:r>
      <w:r w:rsidR="005103EB" w:rsidRPr="00E37AF3">
        <w:rPr>
          <w:rStyle w:val="hps"/>
        </w:rPr>
        <w:t>d</w:t>
      </w:r>
      <w:r w:rsidRPr="00E37AF3">
        <w:rPr>
          <w:rStyle w:val="hps"/>
        </w:rPr>
        <w:t>es centres de catégorie 2.</w:t>
      </w:r>
    </w:p>
    <w:p w14:paraId="15C60A7B" w14:textId="05041463" w:rsidR="001A0118" w:rsidRPr="00E37AF3" w:rsidRDefault="001A0118" w:rsidP="00AE7A17">
      <w:pPr>
        <w:pStyle w:val="COMPara"/>
        <w:ind w:left="567" w:hanging="567"/>
        <w:jc w:val="both"/>
      </w:pPr>
      <w:r w:rsidRPr="00E37AF3">
        <w:t>Les résultats de l</w:t>
      </w:r>
      <w:r w:rsidR="006F1EF9" w:rsidRPr="00E37AF3">
        <w:t>’</w:t>
      </w:r>
      <w:r w:rsidRPr="00E37AF3">
        <w:t xml:space="preserve">étude, qui ne furent pas concluants, ont mis en évidence les points suivants (cliquer </w:t>
      </w:r>
      <w:hyperlink r:id="rId14" w:history="1">
        <w:r w:rsidRPr="00E37AF3">
          <w:rPr>
            <w:rStyle w:val="Hyperlink"/>
          </w:rPr>
          <w:t>ici</w:t>
        </w:r>
      </w:hyperlink>
      <w:r w:rsidRPr="00E37AF3">
        <w:t xml:space="preserve"> pour consulter le résumé et le rapport de </w:t>
      </w:r>
      <w:r w:rsidR="00E65167" w:rsidRPr="00E37AF3">
        <w:t>l</w:t>
      </w:r>
      <w:r w:rsidR="006F1EF9" w:rsidRPr="00E37AF3">
        <w:t>’</w:t>
      </w:r>
      <w:r w:rsidR="00E65167" w:rsidRPr="00E37AF3">
        <w:t>enquête</w:t>
      </w:r>
      <w:r w:rsidRPr="00E37AF3">
        <w:t>) :</w:t>
      </w:r>
    </w:p>
    <w:p w14:paraId="698CCF2C" w14:textId="77777777" w:rsidR="001A0118" w:rsidRPr="00E37AF3" w:rsidRDefault="001A0118" w:rsidP="00AE7A17">
      <w:pPr>
        <w:pStyle w:val="1GAPara"/>
        <w:numPr>
          <w:ilvl w:val="0"/>
          <w:numId w:val="11"/>
        </w:numPr>
        <w:ind w:left="1134" w:hanging="567"/>
      </w:pPr>
      <w:r w:rsidRPr="00E37AF3">
        <w:t>Les bonnes pratiques de sauvegarde sont partagées de diverses manières, principalement au niveau local ou national, puis au niveau régional ;</w:t>
      </w:r>
    </w:p>
    <w:p w14:paraId="59F4B78E" w14:textId="088EC1E8" w:rsidR="001A0118" w:rsidRPr="00E37AF3" w:rsidRDefault="001A0118" w:rsidP="00AE7A17">
      <w:pPr>
        <w:pStyle w:val="1GAPara"/>
        <w:numPr>
          <w:ilvl w:val="0"/>
          <w:numId w:val="11"/>
        </w:numPr>
        <w:ind w:left="1134" w:hanging="567"/>
      </w:pPr>
      <w:r w:rsidRPr="00E37AF3">
        <w:t>Si les réseaux sociaux sont les canaux les plus fréquemment utilisés, ils sont considérés comme le mode de partage d</w:t>
      </w:r>
      <w:r w:rsidR="006F1EF9" w:rsidRPr="00E37AF3">
        <w:t>’</w:t>
      </w:r>
      <w:r w:rsidRPr="00E37AF3">
        <w:t>informations le moins significatif ;</w:t>
      </w:r>
    </w:p>
    <w:p w14:paraId="1C32A3FF" w14:textId="67B18DA3" w:rsidR="001A0118" w:rsidRPr="00E37AF3" w:rsidRDefault="001A0118" w:rsidP="00AE7A17">
      <w:pPr>
        <w:pStyle w:val="1GAPara"/>
        <w:numPr>
          <w:ilvl w:val="0"/>
          <w:numId w:val="11"/>
        </w:numPr>
        <w:ind w:left="1134" w:hanging="567"/>
      </w:pPr>
      <w:r w:rsidRPr="00E37AF3">
        <w:t>La plupart des participants sont favorables au maintien du Registre de la Convention, mais avec un mécanisme de filtrage et de validation plus simple, par le biais de l</w:t>
      </w:r>
      <w:r w:rsidR="006F1EF9" w:rsidRPr="00E37AF3">
        <w:t>’</w:t>
      </w:r>
      <w:r w:rsidRPr="00E37AF3">
        <w:t>UNESCO.</w:t>
      </w:r>
    </w:p>
    <w:p w14:paraId="5DCA2635" w14:textId="6EB8E306" w:rsidR="001A0118" w:rsidRPr="00E37AF3" w:rsidRDefault="001A0118" w:rsidP="00AE7A17">
      <w:pPr>
        <w:pStyle w:val="COMPara"/>
        <w:ind w:left="567" w:hanging="567"/>
        <w:jc w:val="both"/>
        <w:rPr>
          <w:rStyle w:val="hps"/>
          <w:rFonts w:asciiTheme="minorBidi" w:hAnsiTheme="minorBidi" w:cstheme="minorBidi"/>
        </w:rPr>
      </w:pPr>
      <w:r w:rsidRPr="00E37AF3">
        <w:t xml:space="preserve">Les résultats de </w:t>
      </w:r>
      <w:r w:rsidR="00E65167" w:rsidRPr="00E37AF3">
        <w:t>l</w:t>
      </w:r>
      <w:r w:rsidR="006F1EF9" w:rsidRPr="00E37AF3">
        <w:t>’</w:t>
      </w:r>
      <w:r w:rsidR="00E65167" w:rsidRPr="00E37AF3">
        <w:t xml:space="preserve">enquête </w:t>
      </w:r>
      <w:r w:rsidRPr="00E37AF3">
        <w:rPr>
          <w:rStyle w:val="hps"/>
        </w:rPr>
        <w:t>ont été présentés au Comité lors de sa quatorzième session (décision </w:t>
      </w:r>
      <w:hyperlink r:id="rId15" w:history="1">
        <w:r w:rsidRPr="00E37AF3">
          <w:rPr>
            <w:rStyle w:val="Hyperlink"/>
          </w:rPr>
          <w:t>13.COM 5</w:t>
        </w:r>
      </w:hyperlink>
      <w:r w:rsidRPr="00E37AF3">
        <w:rPr>
          <w:rStyle w:val="hps"/>
        </w:rPr>
        <w:t xml:space="preserve"> ; document </w:t>
      </w:r>
      <w:hyperlink r:id="rId16" w:history="1">
        <w:r w:rsidRPr="00E37AF3">
          <w:rPr>
            <w:rStyle w:val="Hyperlink"/>
          </w:rPr>
          <w:t>LHE/19/14.COM 5.b</w:t>
        </w:r>
      </w:hyperlink>
      <w:r w:rsidRPr="00E37AF3">
        <w:rPr>
          <w:rStyle w:val="hps"/>
        </w:rPr>
        <w:t>). Le Comité a décidé de prendre ces résultats en considération dans le cadre de la réflexion globale sur les mécanismes d</w:t>
      </w:r>
      <w:r w:rsidR="006F1EF9" w:rsidRPr="00E37AF3">
        <w:rPr>
          <w:rStyle w:val="hps"/>
        </w:rPr>
        <w:t>’</w:t>
      </w:r>
      <w:r w:rsidRPr="00E37AF3">
        <w:rPr>
          <w:rStyle w:val="hps"/>
        </w:rPr>
        <w:t>inscription sur les listes de la Convention</w:t>
      </w:r>
      <w:r w:rsidR="00E65167" w:rsidRPr="00E37AF3">
        <w:rPr>
          <w:rStyle w:val="hps"/>
        </w:rPr>
        <w:t xml:space="preserve"> qui était alors</w:t>
      </w:r>
      <w:r w:rsidRPr="00E37AF3">
        <w:rPr>
          <w:rStyle w:val="hps"/>
        </w:rPr>
        <w:t xml:space="preserve"> </w:t>
      </w:r>
      <w:r w:rsidR="00E65167" w:rsidRPr="00E37AF3">
        <w:rPr>
          <w:rStyle w:val="hps"/>
        </w:rPr>
        <w:t xml:space="preserve">en cours </w:t>
      </w:r>
      <w:r w:rsidRPr="00E37AF3">
        <w:rPr>
          <w:rStyle w:val="hps"/>
        </w:rPr>
        <w:t xml:space="preserve">(décision </w:t>
      </w:r>
      <w:hyperlink r:id="rId17" w:history="1">
        <w:r w:rsidRPr="00E37AF3">
          <w:rPr>
            <w:rStyle w:val="Hyperlink"/>
          </w:rPr>
          <w:t>14.COM 5.b</w:t>
        </w:r>
      </w:hyperlink>
      <w:r w:rsidRPr="00E37AF3">
        <w:rPr>
          <w:rStyle w:val="hps"/>
        </w:rPr>
        <w:t>).</w:t>
      </w:r>
    </w:p>
    <w:p w14:paraId="0B75ED68" w14:textId="45EA507F" w:rsidR="00F716CA" w:rsidRPr="00E37AF3" w:rsidRDefault="008F13F1" w:rsidP="003A7A4A">
      <w:pPr>
        <w:pStyle w:val="COMPara"/>
        <w:keepNext/>
        <w:numPr>
          <w:ilvl w:val="0"/>
          <w:numId w:val="6"/>
        </w:numPr>
        <w:spacing w:before="240"/>
        <w:ind w:left="567" w:hanging="567"/>
        <w:jc w:val="both"/>
        <w:rPr>
          <w:b/>
          <w:bCs/>
        </w:rPr>
      </w:pPr>
      <w:r w:rsidRPr="00E37AF3">
        <w:rPr>
          <w:b/>
        </w:rPr>
        <w:t>Réflexion globale sur les mécanismes d</w:t>
      </w:r>
      <w:r w:rsidR="006F1EF9" w:rsidRPr="00E37AF3">
        <w:rPr>
          <w:b/>
        </w:rPr>
        <w:t>’</w:t>
      </w:r>
      <w:r w:rsidRPr="00E37AF3">
        <w:rPr>
          <w:b/>
        </w:rPr>
        <w:t>inscription sur les listes de la Convention</w:t>
      </w:r>
    </w:p>
    <w:p w14:paraId="29BB8473" w14:textId="232DDDB1" w:rsidR="008F13F1" w:rsidRPr="00E37AF3" w:rsidRDefault="00A45537" w:rsidP="003A7A4A">
      <w:pPr>
        <w:pStyle w:val="COMPara"/>
        <w:keepNext/>
        <w:ind w:left="567" w:hanging="567"/>
        <w:jc w:val="both"/>
      </w:pPr>
      <w:r w:rsidRPr="00E37AF3">
        <w:t xml:space="preserve">La réflexion en cours </w:t>
      </w:r>
      <w:r w:rsidR="00F43951" w:rsidRPr="00E37AF3">
        <w:t>pour explorer tout le</w:t>
      </w:r>
      <w:r w:rsidRPr="00E37AF3">
        <w:t xml:space="preserve"> potentiel de l</w:t>
      </w:r>
      <w:r w:rsidR="006F1EF9" w:rsidRPr="00E37AF3">
        <w:t>’</w:t>
      </w:r>
      <w:r w:rsidRPr="00E37AF3">
        <w:t xml:space="preserve">article 18 a </w:t>
      </w:r>
      <w:r w:rsidR="00F43951" w:rsidRPr="00E37AF3">
        <w:t xml:space="preserve">été initiée </w:t>
      </w:r>
      <w:r w:rsidRPr="00E37AF3">
        <w:t>dans le cadre de la réflexion globale sur les mécanismes d</w:t>
      </w:r>
      <w:r w:rsidR="006F1EF9" w:rsidRPr="00E37AF3">
        <w:t>’</w:t>
      </w:r>
      <w:r w:rsidRPr="00E37AF3">
        <w:t>inscription sur les listes de la Convention entre 2018 et 2022</w:t>
      </w:r>
      <w:r w:rsidR="008F13F1" w:rsidRPr="00E37AF3">
        <w:rPr>
          <w:rStyle w:val="FootnoteReference"/>
        </w:rPr>
        <w:footnoteReference w:id="4"/>
      </w:r>
      <w:r w:rsidRPr="00E37AF3">
        <w:t xml:space="preserve">. La réflexion globale </w:t>
      </w:r>
      <w:r w:rsidR="00F43951" w:rsidRPr="00E37AF3">
        <w:t>visait</w:t>
      </w:r>
      <w:r w:rsidRPr="00E37AF3">
        <w:t xml:space="preserve"> à rendre les mécanismes d</w:t>
      </w:r>
      <w:r w:rsidR="006F1EF9" w:rsidRPr="00E37AF3">
        <w:t>’</w:t>
      </w:r>
      <w:r w:rsidRPr="00E37AF3">
        <w:t>inscription plus dynamiques et plus fluides en reliant mieux les deux Listes et le Registre. On peut espérer qu</w:t>
      </w:r>
      <w:r w:rsidR="006F1EF9" w:rsidRPr="00E37AF3">
        <w:t>’</w:t>
      </w:r>
      <w:r w:rsidRPr="00E37AF3">
        <w:t xml:space="preserve">un tel changement </w:t>
      </w:r>
      <w:r w:rsidR="00F43951" w:rsidRPr="00E37AF3">
        <w:t xml:space="preserve">ne </w:t>
      </w:r>
      <w:r w:rsidRPr="00E37AF3">
        <w:t xml:space="preserve">rendra </w:t>
      </w:r>
      <w:r w:rsidR="00F43951" w:rsidRPr="00E37AF3">
        <w:t xml:space="preserve">pas seulement </w:t>
      </w:r>
      <w:r w:rsidRPr="00E37AF3">
        <w:t>le Registre plus attrayant mais contribuera aussi à mieux faire prendre conscience de l</w:t>
      </w:r>
      <w:r w:rsidR="006F1EF9" w:rsidRPr="00E37AF3">
        <w:t>’</w:t>
      </w:r>
      <w:r w:rsidRPr="00E37AF3">
        <w:t xml:space="preserve">importance de la sauvegarde du patrimoine culturel immatériel pour le développement durable des communautés, des groupes et des individus concernés, </w:t>
      </w:r>
      <w:r w:rsidR="00AD4342" w:rsidRPr="00E37AF3">
        <w:t>ainsi que pour l</w:t>
      </w:r>
      <w:r w:rsidR="006F1EF9" w:rsidRPr="00E37AF3">
        <w:t>’</w:t>
      </w:r>
      <w:r w:rsidR="00AD4342" w:rsidRPr="00E37AF3">
        <w:t xml:space="preserve">épanouissement </w:t>
      </w:r>
      <w:r w:rsidR="00F43951" w:rsidRPr="00E37AF3">
        <w:t xml:space="preserve">futur </w:t>
      </w:r>
      <w:r w:rsidRPr="00E37AF3">
        <w:t>de la diversité culturelle.</w:t>
      </w:r>
    </w:p>
    <w:p w14:paraId="793FDFCA" w14:textId="16EAB95D" w:rsidR="008F13F1" w:rsidRPr="00E37AF3" w:rsidRDefault="00DA494B" w:rsidP="00AE7A17">
      <w:pPr>
        <w:pStyle w:val="COMPara"/>
        <w:ind w:left="567" w:hanging="567"/>
        <w:jc w:val="both"/>
      </w:pPr>
      <w:r w:rsidRPr="00E37AF3">
        <w:t>En ce qui concerne le Registre des bonnes pratiques de sauvegarde, la neuvième session de l</w:t>
      </w:r>
      <w:r w:rsidR="006F1EF9" w:rsidRPr="00E37AF3">
        <w:t>’</w:t>
      </w:r>
      <w:r w:rsidRPr="00E37AF3">
        <w:t xml:space="preserve">Assemblée générale a </w:t>
      </w:r>
      <w:r w:rsidR="0060125E" w:rsidRPr="00E37AF3">
        <w:t>formalisé</w:t>
      </w:r>
      <w:r w:rsidR="00541DE3" w:rsidRPr="00E37AF3">
        <w:t xml:space="preserve"> </w:t>
      </w:r>
      <w:r w:rsidRPr="00E37AF3">
        <w:t>deux résultats concrets de la réflexion globale sur les mécanismes d</w:t>
      </w:r>
      <w:r w:rsidR="006F1EF9" w:rsidRPr="00E37AF3">
        <w:t>’</w:t>
      </w:r>
      <w:r w:rsidRPr="00E37AF3">
        <w:t xml:space="preserve">inscription sur les listes de la Convention de 2003 (résolution </w:t>
      </w:r>
      <w:hyperlink r:id="rId18" w:history="1">
        <w:r w:rsidRPr="00E37AF3">
          <w:rPr>
            <w:rStyle w:val="Hyperlink"/>
          </w:rPr>
          <w:t>9.GA.9</w:t>
        </w:r>
      </w:hyperlink>
      <w:r w:rsidRPr="00E37AF3">
        <w:t xml:space="preserve">), suite à </w:t>
      </w:r>
      <w:r w:rsidRPr="00E37AF3">
        <w:lastRenderedPageBreak/>
        <w:t>des consultations d</w:t>
      </w:r>
      <w:r w:rsidR="006F1EF9" w:rsidRPr="00E37AF3">
        <w:t>’</w:t>
      </w:r>
      <w:r w:rsidRPr="00E37AF3">
        <w:t>experts et à une réunion en trois parties d</w:t>
      </w:r>
      <w:r w:rsidR="006F1EF9" w:rsidRPr="00E37AF3">
        <w:t>’</w:t>
      </w:r>
      <w:r w:rsidRPr="00E37AF3">
        <w:t>un groupe de travail intergouvernemental à composition non limitée :</w:t>
      </w:r>
    </w:p>
    <w:p w14:paraId="227946CA" w14:textId="354D9EEE" w:rsidR="008F13F1" w:rsidRPr="00E37AF3" w:rsidRDefault="008F13F1" w:rsidP="008F13F1">
      <w:pPr>
        <w:pStyle w:val="ListParagraph"/>
        <w:spacing w:after="120"/>
        <w:ind w:left="567"/>
        <w:contextualSpacing w:val="0"/>
        <w:jc w:val="both"/>
        <w:rPr>
          <w:rFonts w:ascii="Arial" w:hAnsi="Arial" w:cs="Arial"/>
          <w:sz w:val="22"/>
          <w:szCs w:val="22"/>
        </w:rPr>
      </w:pPr>
      <w:r w:rsidRPr="00E37AF3">
        <w:rPr>
          <w:rFonts w:ascii="Arial" w:hAnsi="Arial"/>
          <w:sz w:val="22"/>
        </w:rPr>
        <w:t xml:space="preserve">a. </w:t>
      </w:r>
      <w:r w:rsidR="00AD4342" w:rsidRPr="00E37AF3">
        <w:rPr>
          <w:rFonts w:ascii="Arial" w:hAnsi="Arial"/>
          <w:sz w:val="22"/>
          <w:u w:val="single"/>
        </w:rPr>
        <w:t>La s</w:t>
      </w:r>
      <w:r w:rsidRPr="00E37AF3">
        <w:rPr>
          <w:rFonts w:ascii="Arial" w:hAnsi="Arial"/>
          <w:sz w:val="22"/>
          <w:u w:val="single"/>
        </w:rPr>
        <w:t>uppression du critère P.9</w:t>
      </w:r>
      <w:r w:rsidRPr="00E37AF3">
        <w:rPr>
          <w:rStyle w:val="FootnoteReference"/>
          <w:rFonts w:ascii="Arial" w:hAnsi="Arial" w:cs="Arial"/>
          <w:lang w:val="en-GB"/>
        </w:rPr>
        <w:footnoteReference w:id="5"/>
      </w:r>
      <w:r w:rsidRPr="00E37AF3">
        <w:rPr>
          <w:rFonts w:ascii="Arial" w:hAnsi="Arial"/>
          <w:sz w:val="22"/>
        </w:rPr>
        <w:t> : Il a été considéré que la manière d</w:t>
      </w:r>
      <w:r w:rsidR="006F1EF9" w:rsidRPr="00E37AF3">
        <w:rPr>
          <w:rFonts w:ascii="Arial" w:hAnsi="Arial"/>
          <w:sz w:val="22"/>
        </w:rPr>
        <w:t>’</w:t>
      </w:r>
      <w:r w:rsidRPr="00E37AF3">
        <w:rPr>
          <w:rFonts w:ascii="Arial" w:hAnsi="Arial"/>
          <w:sz w:val="22"/>
        </w:rPr>
        <w:t>évaluer « les besoins des pays en développement » n</w:t>
      </w:r>
      <w:r w:rsidR="006F1EF9" w:rsidRPr="00E37AF3">
        <w:rPr>
          <w:rFonts w:ascii="Arial" w:hAnsi="Arial"/>
          <w:sz w:val="22"/>
        </w:rPr>
        <w:t>’</w:t>
      </w:r>
      <w:r w:rsidRPr="00E37AF3">
        <w:rPr>
          <w:rFonts w:ascii="Arial" w:hAnsi="Arial"/>
          <w:sz w:val="22"/>
        </w:rPr>
        <w:t>était pas claire. Ce critère a également donné l</w:t>
      </w:r>
      <w:r w:rsidR="006F1EF9" w:rsidRPr="00E37AF3">
        <w:rPr>
          <w:rFonts w:ascii="Arial" w:hAnsi="Arial"/>
          <w:sz w:val="22"/>
        </w:rPr>
        <w:t>’</w:t>
      </w:r>
      <w:r w:rsidRPr="00E37AF3">
        <w:rPr>
          <w:rFonts w:ascii="Arial" w:hAnsi="Arial"/>
          <w:sz w:val="22"/>
        </w:rPr>
        <w:t>impression erronée que les pays développés pouvaient fournir de bons exemples aux pays en développement, mais pas l</w:t>
      </w:r>
      <w:r w:rsidR="006F1EF9" w:rsidRPr="00E37AF3">
        <w:rPr>
          <w:rFonts w:ascii="Arial" w:hAnsi="Arial"/>
          <w:sz w:val="22"/>
        </w:rPr>
        <w:t>’</w:t>
      </w:r>
      <w:r w:rsidRPr="00E37AF3">
        <w:rPr>
          <w:rFonts w:ascii="Arial" w:hAnsi="Arial"/>
          <w:sz w:val="22"/>
        </w:rPr>
        <w:t xml:space="preserve">inverse. </w:t>
      </w:r>
      <w:r w:rsidR="00541DE3" w:rsidRPr="00E37AF3">
        <w:rPr>
          <w:rFonts w:ascii="Arial" w:hAnsi="Arial"/>
          <w:sz w:val="22"/>
        </w:rPr>
        <w:t>Par conséquent</w:t>
      </w:r>
      <w:r w:rsidRPr="00E37AF3">
        <w:rPr>
          <w:rFonts w:ascii="Arial" w:hAnsi="Arial"/>
          <w:sz w:val="22"/>
        </w:rPr>
        <w:t>, le critère P.9 a été supprimé du paragraphe 7 des Directives opérationnelles.</w:t>
      </w:r>
    </w:p>
    <w:p w14:paraId="219D7758" w14:textId="5DEC8AC9" w:rsidR="008F13F1" w:rsidRPr="00E37AF3" w:rsidRDefault="008F13F1" w:rsidP="003F46D0">
      <w:pPr>
        <w:pStyle w:val="COMPara"/>
        <w:numPr>
          <w:ilvl w:val="0"/>
          <w:numId w:val="0"/>
        </w:numPr>
        <w:ind w:left="567"/>
        <w:jc w:val="both"/>
      </w:pPr>
      <w:r w:rsidRPr="00E37AF3">
        <w:t xml:space="preserve">b. </w:t>
      </w:r>
      <w:r w:rsidR="00AD4342" w:rsidRPr="00E37AF3">
        <w:rPr>
          <w:u w:val="single"/>
        </w:rPr>
        <w:t>L</w:t>
      </w:r>
      <w:r w:rsidR="006F1EF9" w:rsidRPr="00E37AF3">
        <w:rPr>
          <w:u w:val="single"/>
        </w:rPr>
        <w:t>’</w:t>
      </w:r>
      <w:r w:rsidR="00AD4342" w:rsidRPr="00E37AF3">
        <w:rPr>
          <w:u w:val="single"/>
        </w:rPr>
        <w:t>i</w:t>
      </w:r>
      <w:r w:rsidRPr="00E37AF3">
        <w:rPr>
          <w:u w:val="single"/>
        </w:rPr>
        <w:t xml:space="preserve">nclusion </w:t>
      </w:r>
      <w:r w:rsidR="0060125E" w:rsidRPr="00E37AF3">
        <w:rPr>
          <w:u w:val="single"/>
        </w:rPr>
        <w:t>dans le</w:t>
      </w:r>
      <w:r w:rsidRPr="00E37AF3">
        <w:rPr>
          <w:u w:val="single"/>
        </w:rPr>
        <w:t xml:space="preserve"> Registre des </w:t>
      </w:r>
      <w:r w:rsidR="00541DE3" w:rsidRPr="00E37AF3">
        <w:rPr>
          <w:u w:val="single"/>
        </w:rPr>
        <w:t xml:space="preserve">bonnes expériences </w:t>
      </w:r>
      <w:r w:rsidRPr="00E37AF3">
        <w:rPr>
          <w:u w:val="single"/>
        </w:rPr>
        <w:t>de sauvegarde observées sur des éléments inscrits sur la Liste de sauvegarde urgente</w:t>
      </w:r>
      <w:r w:rsidRPr="00E37AF3">
        <w:t> : le nouveau paragraphe 39.3 des Directives opérationnelles donne la possibilité à l</w:t>
      </w:r>
      <w:r w:rsidR="006F1EF9" w:rsidRPr="00E37AF3">
        <w:t>’</w:t>
      </w:r>
      <w:r w:rsidRPr="00E37AF3">
        <w:t>Organe d</w:t>
      </w:r>
      <w:r w:rsidR="006F1EF9" w:rsidRPr="00E37AF3">
        <w:t>’</w:t>
      </w:r>
      <w:r w:rsidRPr="00E37AF3">
        <w:t xml:space="preserve">évaluation de recommander au Comité </w:t>
      </w:r>
      <w:r w:rsidR="0060125E" w:rsidRPr="00E37AF3">
        <w:t>–</w:t>
      </w:r>
      <w:r w:rsidRPr="00E37AF3">
        <w:t xml:space="preserve"> après</w:t>
      </w:r>
      <w:r w:rsidR="0060125E" w:rsidRPr="00E37AF3">
        <w:t xml:space="preserve"> </w:t>
      </w:r>
      <w:r w:rsidRPr="00E37AF3">
        <w:t>avoir évalué une demande de transfert d</w:t>
      </w:r>
      <w:r w:rsidR="006F1EF9" w:rsidRPr="00E37AF3">
        <w:t>’</w:t>
      </w:r>
      <w:r w:rsidRPr="00E37AF3">
        <w:t xml:space="preserve">un élément de la Liste de sauvegarde urgente à la Liste représentative </w:t>
      </w:r>
      <w:r w:rsidR="0060125E" w:rsidRPr="00E37AF3">
        <w:t>–</w:t>
      </w:r>
      <w:r w:rsidRPr="00E37AF3">
        <w:t xml:space="preserve"> d</w:t>
      </w:r>
      <w:r w:rsidR="006F1EF9" w:rsidRPr="00E37AF3">
        <w:t>’</w:t>
      </w:r>
      <w:r w:rsidRPr="00E37AF3">
        <w:t>inclure</w:t>
      </w:r>
      <w:r w:rsidR="0060125E" w:rsidRPr="00E37AF3">
        <w:t xml:space="preserve"> </w:t>
      </w:r>
      <w:r w:rsidRPr="00E37AF3">
        <w:t>dans le Registre une expérience de sauvegarde appliquée avec succès à un élément inscrit sur la Liste de sauvegarde urgente. L</w:t>
      </w:r>
      <w:r w:rsidR="006F1EF9" w:rsidRPr="00E37AF3">
        <w:t>’</w:t>
      </w:r>
      <w:r w:rsidRPr="00E37AF3">
        <w:t xml:space="preserve">intention était de mieux </w:t>
      </w:r>
      <w:r w:rsidR="00541DE3" w:rsidRPr="00E37AF3">
        <w:t>inter</w:t>
      </w:r>
      <w:r w:rsidRPr="00E37AF3">
        <w:t xml:space="preserve">connecter les Listes et le Registre, </w:t>
      </w:r>
      <w:r w:rsidR="00541DE3" w:rsidRPr="00E37AF3">
        <w:t xml:space="preserve">de reconnaître les efforts de sauvegarde réels entrepris pour les éléments inscrits </w:t>
      </w:r>
      <w:r w:rsidRPr="00E37AF3">
        <w:t>sur la Liste de sauvegarde urgente</w:t>
      </w:r>
      <w:r w:rsidR="00541DE3" w:rsidRPr="00E37AF3">
        <w:t>,</w:t>
      </w:r>
      <w:r w:rsidRPr="00E37AF3">
        <w:t xml:space="preserve"> </w:t>
      </w:r>
      <w:r w:rsidR="00541DE3" w:rsidRPr="00E37AF3">
        <w:t>tout en enrichissant</w:t>
      </w:r>
      <w:r w:rsidRPr="00E37AF3">
        <w:t xml:space="preserve"> </w:t>
      </w:r>
      <w:r w:rsidR="00541DE3" w:rsidRPr="00E37AF3">
        <w:t xml:space="preserve">le Registre de bonnes pratiques de sauvegarde </w:t>
      </w:r>
      <w:r w:rsidRPr="00E37AF3">
        <w:t>avec des exemples inspirants, sans nécessairement passer par le processus habituel mais plus lourd de sélection des bonnes pratiques soumises par les États parties.</w:t>
      </w:r>
    </w:p>
    <w:p w14:paraId="30F83B25" w14:textId="059D6600" w:rsidR="008F13F1" w:rsidRPr="00E37AF3" w:rsidRDefault="008F13F1" w:rsidP="00AE7A17">
      <w:pPr>
        <w:pStyle w:val="COMPara"/>
        <w:ind w:left="567" w:hanging="567"/>
        <w:jc w:val="both"/>
      </w:pPr>
      <w:r w:rsidRPr="00E37AF3">
        <w:t>Un autre résultat de la réflexion globale sur les mécanismes d</w:t>
      </w:r>
      <w:r w:rsidR="006F1EF9" w:rsidRPr="00E37AF3">
        <w:t>’</w:t>
      </w:r>
      <w:r w:rsidRPr="00E37AF3">
        <w:t xml:space="preserve">inscription sur les listes a conduit à une décision du Comité (décision </w:t>
      </w:r>
      <w:hyperlink r:id="rId19" w:history="1">
        <w:r w:rsidRPr="00E37AF3">
          <w:rPr>
            <w:rStyle w:val="Hyperlink"/>
          </w:rPr>
          <w:t>16.COM 14</w:t>
        </w:r>
      </w:hyperlink>
      <w:r w:rsidRPr="00E37AF3">
        <w:t> ; paragraphe 9) de lancer une réflexion distincte pour explorer les moyens de mettre en œuvre plus largement l</w:t>
      </w:r>
      <w:r w:rsidR="006F1EF9" w:rsidRPr="00E37AF3">
        <w:t>’</w:t>
      </w:r>
      <w:r w:rsidRPr="00E37AF3">
        <w:t xml:space="preserve">article 18 de la Convention. Compte tenu de la nature complexe et technique de la réflexion globale, et en </w:t>
      </w:r>
      <w:r w:rsidR="0030254A" w:rsidRPr="00E37AF3">
        <w:t>s</w:t>
      </w:r>
      <w:r w:rsidR="006F1EF9" w:rsidRPr="00E37AF3">
        <w:t>’</w:t>
      </w:r>
      <w:r w:rsidR="0030254A" w:rsidRPr="00E37AF3">
        <w:t>appuyant</w:t>
      </w:r>
      <w:r w:rsidRPr="00E37AF3">
        <w:t xml:space="preserve"> sur l</w:t>
      </w:r>
      <w:r w:rsidR="006F1EF9" w:rsidRPr="00E37AF3">
        <w:t>’</w:t>
      </w:r>
      <w:r w:rsidRPr="00E37AF3">
        <w:t xml:space="preserve">avis des experts et du groupe de travail </w:t>
      </w:r>
      <w:r w:rsidRPr="00E37AF3">
        <w:rPr>
          <w:snapToGrid/>
        </w:rPr>
        <w:t>intergouvernemental</w:t>
      </w:r>
      <w:r w:rsidRPr="00E37AF3">
        <w:t xml:space="preserve"> à composition non limitée, le Comité a estimé que la réflexion globale n</w:t>
      </w:r>
      <w:r w:rsidR="006F1EF9" w:rsidRPr="00E37AF3">
        <w:t>’</w:t>
      </w:r>
      <w:r w:rsidRPr="00E37AF3">
        <w:t xml:space="preserve">avait pas encore exploré </w:t>
      </w:r>
      <w:r w:rsidR="0030254A" w:rsidRPr="00E37AF3">
        <w:t>tout le potentiel</w:t>
      </w:r>
      <w:r w:rsidRPr="00E37AF3">
        <w:t xml:space="preserve"> </w:t>
      </w:r>
      <w:r w:rsidR="0030254A" w:rsidRPr="00E37AF3">
        <w:t xml:space="preserve">de </w:t>
      </w:r>
      <w:r w:rsidRPr="00E37AF3">
        <w:t>l</w:t>
      </w:r>
      <w:r w:rsidR="006F1EF9" w:rsidRPr="00E37AF3">
        <w:t>’</w:t>
      </w:r>
      <w:r w:rsidRPr="00E37AF3">
        <w:t>article 18, étant donné que certaines questions n</w:t>
      </w:r>
      <w:r w:rsidR="006F1EF9" w:rsidRPr="00E37AF3">
        <w:t>’</w:t>
      </w:r>
      <w:r w:rsidRPr="00E37AF3">
        <w:t xml:space="preserve">ont pas pu être abordées ou couvertes dans leur intégralité. </w:t>
      </w:r>
      <w:r w:rsidRPr="00E37AF3">
        <w:rPr>
          <w:u w:val="single"/>
        </w:rPr>
        <w:t>L</w:t>
      </w:r>
      <w:r w:rsidR="006F1EF9" w:rsidRPr="00E37AF3">
        <w:rPr>
          <w:u w:val="single"/>
        </w:rPr>
        <w:t>’</w:t>
      </w:r>
      <w:r w:rsidRPr="00E37AF3">
        <w:rPr>
          <w:u w:val="single"/>
        </w:rPr>
        <w:t>idée était non seulement de continuer à discuter des questions soulevées au cours de la réflexion globale concernant la gestion du Registre de bonnes pratiques de sauvegarde, mais également de porter une attention particulière à la mise en œuvre de l</w:t>
      </w:r>
      <w:r w:rsidR="006F1EF9" w:rsidRPr="00E37AF3">
        <w:rPr>
          <w:u w:val="single"/>
        </w:rPr>
        <w:t>’</w:t>
      </w:r>
      <w:r w:rsidRPr="00E37AF3">
        <w:rPr>
          <w:u w:val="single"/>
        </w:rPr>
        <w:t>article 18 au-delà du Registre</w:t>
      </w:r>
      <w:r w:rsidRPr="00E37AF3">
        <w:t xml:space="preserve">. </w:t>
      </w:r>
    </w:p>
    <w:p w14:paraId="3E01BB8E" w14:textId="5F07E2D2" w:rsidR="008F13F1" w:rsidRPr="00E37AF3" w:rsidRDefault="008F13F1" w:rsidP="00846486">
      <w:pPr>
        <w:pStyle w:val="COMPara"/>
        <w:keepNext/>
        <w:ind w:left="567" w:hanging="567"/>
        <w:jc w:val="both"/>
        <w:rPr>
          <w:rStyle w:val="hps"/>
        </w:rPr>
      </w:pPr>
      <w:r w:rsidRPr="00E37AF3">
        <w:t>C</w:t>
      </w:r>
      <w:r w:rsidRPr="00E37AF3">
        <w:rPr>
          <w:rStyle w:val="hps"/>
          <w:rFonts w:asciiTheme="minorBidi" w:hAnsiTheme="minorBidi"/>
          <w:snapToGrid/>
        </w:rPr>
        <w:t xml:space="preserve">ette nouvelle réflexion a été rendue possible grâce à une contribution du Royaume de Suède en septembre 2021 </w:t>
      </w:r>
      <w:r w:rsidR="00AD4342" w:rsidRPr="00E37AF3">
        <w:rPr>
          <w:rStyle w:val="hps"/>
          <w:rFonts w:asciiTheme="minorBidi" w:hAnsiTheme="minorBidi"/>
          <w:snapToGrid/>
        </w:rPr>
        <w:t xml:space="preserve">et 2022 </w:t>
      </w:r>
      <w:r w:rsidRPr="00E37AF3">
        <w:rPr>
          <w:rStyle w:val="hps"/>
          <w:rFonts w:asciiTheme="minorBidi" w:hAnsiTheme="minorBidi"/>
          <w:snapToGrid/>
        </w:rPr>
        <w:t>sous</w:t>
      </w:r>
      <w:r w:rsidRPr="00E37AF3">
        <w:t xml:space="preserve"> la forme de deux </w:t>
      </w:r>
      <w:r w:rsidR="00AD4342" w:rsidRPr="00E37AF3">
        <w:t>contributions additionnelles</w:t>
      </w:r>
      <w:r w:rsidRPr="00E37AF3">
        <w:t xml:space="preserve"> au Programme ordinaire de l</w:t>
      </w:r>
      <w:r w:rsidR="006F1EF9" w:rsidRPr="00E37AF3">
        <w:t>’</w:t>
      </w:r>
      <w:r w:rsidRPr="00E37AF3">
        <w:t xml:space="preserve">UNESCO (document </w:t>
      </w:r>
      <w:hyperlink r:id="rId20" w:history="1">
        <w:r w:rsidRPr="00E37AF3">
          <w:rPr>
            <w:rStyle w:val="Hyperlink"/>
          </w:rPr>
          <w:t>LHE/22/17.COM/12</w:t>
        </w:r>
      </w:hyperlink>
      <w:r w:rsidRPr="00E37AF3">
        <w:t>)</w:t>
      </w:r>
      <w:r w:rsidR="0060125E" w:rsidRPr="00E37AF3">
        <w:t> ; les ressources financières pour cette initiative sont</w:t>
      </w:r>
      <w:r w:rsidRPr="00E37AF3">
        <w:t xml:space="preserve"> complété</w:t>
      </w:r>
      <w:r w:rsidR="0030254A" w:rsidRPr="00E37AF3">
        <w:t>e</w:t>
      </w:r>
      <w:r w:rsidRPr="00E37AF3">
        <w:t>s</w:t>
      </w:r>
      <w:r w:rsidR="0060125E" w:rsidRPr="00E37AF3">
        <w:t xml:space="preserve"> en outre</w:t>
      </w:r>
      <w:r w:rsidRPr="00E37AF3">
        <w:t xml:space="preserve"> par le Fonds pour la sauvegarde du patrimoine culturel immatériel. Des informations générales sur la réflexion menée </w:t>
      </w:r>
      <w:r w:rsidR="0030254A" w:rsidRPr="00E37AF3">
        <w:t>peuvent être consultées</w:t>
      </w:r>
      <w:r w:rsidRPr="00E37AF3">
        <w:t xml:space="preserve"> sur la </w:t>
      </w:r>
      <w:hyperlink r:id="rId21" w:history="1">
        <w:r w:rsidRPr="00E37AF3">
          <w:rPr>
            <w:rStyle w:val="Hyperlink"/>
          </w:rPr>
          <w:t xml:space="preserve">page </w:t>
        </w:r>
        <w:r w:rsidR="0060125E" w:rsidRPr="00E37AF3">
          <w:rPr>
            <w:rStyle w:val="Hyperlink"/>
          </w:rPr>
          <w:t>I</w:t>
        </w:r>
        <w:r w:rsidRPr="00E37AF3">
          <w:rPr>
            <w:rStyle w:val="Hyperlink"/>
          </w:rPr>
          <w:t xml:space="preserve">nternet </w:t>
        </w:r>
        <w:r w:rsidR="0030254A" w:rsidRPr="00E37AF3">
          <w:rPr>
            <w:rStyle w:val="Hyperlink"/>
          </w:rPr>
          <w:t>dédiée</w:t>
        </w:r>
        <w:r w:rsidR="0030254A" w:rsidRPr="00E37AF3">
          <w:rPr>
            <w:rStyle w:val="Hyperlink"/>
            <w:u w:val="none"/>
          </w:rPr>
          <w:t xml:space="preserve"> </w:t>
        </w:r>
      </w:hyperlink>
      <w:r w:rsidRPr="00E37AF3">
        <w:t>de la Convention.</w:t>
      </w:r>
    </w:p>
    <w:p w14:paraId="494BC2CA" w14:textId="4C958395" w:rsidR="008F13F1" w:rsidRPr="00E37AF3" w:rsidRDefault="008F13F1" w:rsidP="00AE7A17">
      <w:pPr>
        <w:pStyle w:val="COMPara"/>
        <w:keepNext/>
        <w:numPr>
          <w:ilvl w:val="0"/>
          <w:numId w:val="6"/>
        </w:numPr>
        <w:spacing w:before="240"/>
        <w:ind w:left="567" w:hanging="567"/>
        <w:jc w:val="both"/>
        <w:rPr>
          <w:b/>
          <w:bCs/>
        </w:rPr>
      </w:pPr>
      <w:r w:rsidRPr="00E37AF3">
        <w:rPr>
          <w:b/>
        </w:rPr>
        <w:t xml:space="preserve">Processus de réflexion : </w:t>
      </w:r>
      <w:r w:rsidR="00092324" w:rsidRPr="00E37AF3">
        <w:rPr>
          <w:b/>
        </w:rPr>
        <w:t xml:space="preserve">chronologie </w:t>
      </w:r>
      <w:r w:rsidRPr="00E37AF3">
        <w:rPr>
          <w:b/>
        </w:rPr>
        <w:t>et thèmes</w:t>
      </w:r>
    </w:p>
    <w:p w14:paraId="7E8FC5E2" w14:textId="78168D79" w:rsidR="00A61049" w:rsidRPr="00E37AF3" w:rsidRDefault="0067208B" w:rsidP="00AE7A17">
      <w:pPr>
        <w:pStyle w:val="COMPara"/>
        <w:ind w:left="567" w:hanging="567"/>
        <w:jc w:val="both"/>
      </w:pPr>
      <w:r w:rsidRPr="00E37AF3">
        <w:t xml:space="preserve">Le calendrier du processus de réflexion, </w:t>
      </w:r>
      <w:r w:rsidR="00092324" w:rsidRPr="00E37AF3">
        <w:t>tel qu</w:t>
      </w:r>
      <w:r w:rsidR="006F1EF9" w:rsidRPr="00E37AF3">
        <w:t>’</w:t>
      </w:r>
      <w:r w:rsidRPr="00E37AF3">
        <w:t xml:space="preserve">approuvé </w:t>
      </w:r>
      <w:r w:rsidR="00092324" w:rsidRPr="00E37AF3">
        <w:t>par</w:t>
      </w:r>
      <w:r w:rsidRPr="00E37AF3">
        <w:t xml:space="preserve"> la dix-septième session du Comité (décision </w:t>
      </w:r>
      <w:hyperlink r:id="rId22" w:history="1">
        <w:r w:rsidRPr="00E37AF3">
          <w:rPr>
            <w:rStyle w:val="Hyperlink"/>
          </w:rPr>
          <w:t>17.COM 10</w:t>
        </w:r>
      </w:hyperlink>
      <w:r w:rsidR="003C06F2" w:rsidRPr="00E37AF3">
        <w:rPr>
          <w:rStyle w:val="Hyperlink"/>
          <w:color w:val="auto"/>
          <w:u w:val="none"/>
        </w:rPr>
        <w:t> ;</w:t>
      </w:r>
      <w:r w:rsidRPr="00E37AF3">
        <w:t xml:space="preserve"> et </w:t>
      </w:r>
      <w:r w:rsidR="00092324" w:rsidRPr="00E37AF3">
        <w:t>l</w:t>
      </w:r>
      <w:r w:rsidR="006F1EF9" w:rsidRPr="00E37AF3">
        <w:t>’</w:t>
      </w:r>
      <w:r w:rsidR="00092324" w:rsidRPr="00E37AF3">
        <w:t>a</w:t>
      </w:r>
      <w:r w:rsidRPr="00E37AF3">
        <w:t xml:space="preserve">nnexe au document </w:t>
      </w:r>
      <w:hyperlink r:id="rId23" w:history="1">
        <w:r w:rsidRPr="00E37AF3">
          <w:rPr>
            <w:rStyle w:val="Hyperlink"/>
          </w:rPr>
          <w:t>LHE/22/17.COM/10</w:t>
        </w:r>
      </w:hyperlink>
      <w:r w:rsidRPr="00E37AF3">
        <w:t>) inclut une réunion d</w:t>
      </w:r>
      <w:r w:rsidR="006F1EF9" w:rsidRPr="00E37AF3">
        <w:t>’</w:t>
      </w:r>
      <w:r w:rsidRPr="00E37AF3">
        <w:t>experts de catégorie VI qui s</w:t>
      </w:r>
      <w:r w:rsidR="006F1EF9" w:rsidRPr="00E37AF3">
        <w:t>’</w:t>
      </w:r>
      <w:r w:rsidRPr="00E37AF3">
        <w:t xml:space="preserve">est tenue du 19 au 21 avril 2023 (Stockholm, Suède) pour </w:t>
      </w:r>
      <w:r w:rsidR="00092324" w:rsidRPr="00E37AF3">
        <w:t xml:space="preserve">jeter </w:t>
      </w:r>
      <w:r w:rsidRPr="00E37AF3">
        <w:t xml:space="preserve">les bases des discussions </w:t>
      </w:r>
      <w:r w:rsidR="003C06F2" w:rsidRPr="00E37AF3">
        <w:t xml:space="preserve">de </w:t>
      </w:r>
      <w:r w:rsidR="00092324" w:rsidRPr="00E37AF3">
        <w:t>la présente réunion du</w:t>
      </w:r>
      <w:r w:rsidR="003C06F2" w:rsidRPr="00E37AF3">
        <w:t xml:space="preserve"> </w:t>
      </w:r>
      <w:r w:rsidRPr="00E37AF3">
        <w:t>groupe du travail. À l</w:t>
      </w:r>
      <w:r w:rsidR="006F1EF9" w:rsidRPr="00E37AF3">
        <w:t>’</w:t>
      </w:r>
      <w:r w:rsidRPr="00E37AF3">
        <w:t>issue de la réunion du groupe de travail, la dix-huitième session du Comité (4 au 9 décembre 2023, Kasane, République du Botswana) permettra de poursuivre les discussions intergouvernementales avant de présenter l</w:t>
      </w:r>
      <w:r w:rsidR="006F1EF9" w:rsidRPr="00E37AF3">
        <w:t>’</w:t>
      </w:r>
      <w:r w:rsidRPr="00E37AF3">
        <w:t>état d</w:t>
      </w:r>
      <w:r w:rsidR="006F1EF9" w:rsidRPr="00E37AF3">
        <w:t>’</w:t>
      </w:r>
      <w:r w:rsidRPr="00E37AF3">
        <w:t>avancement de la réflexion à la dixième session de l</w:t>
      </w:r>
      <w:r w:rsidR="006F1EF9" w:rsidRPr="00E37AF3">
        <w:t>’</w:t>
      </w:r>
      <w:r w:rsidRPr="00E37AF3">
        <w:t xml:space="preserve">Assemblée générale (mi-2024, </w:t>
      </w:r>
      <w:r w:rsidR="00A61049" w:rsidRPr="00E37AF3">
        <w:t>s</w:t>
      </w:r>
      <w:r w:rsidRPr="00E37AF3">
        <w:t>iège de l</w:t>
      </w:r>
      <w:r w:rsidR="006F1EF9" w:rsidRPr="00E37AF3">
        <w:t>’</w:t>
      </w:r>
      <w:r w:rsidRPr="00E37AF3">
        <w:t xml:space="preserve">UNESCO). </w:t>
      </w:r>
    </w:p>
    <w:p w14:paraId="6F1AED02" w14:textId="77777777" w:rsidR="00A61049" w:rsidRPr="00E37AF3" w:rsidRDefault="00A61049">
      <w:pPr>
        <w:rPr>
          <w:rFonts w:ascii="Arial" w:hAnsi="Arial" w:cs="Arial"/>
          <w:snapToGrid w:val="0"/>
          <w:sz w:val="22"/>
          <w:szCs w:val="22"/>
          <w:lang w:eastAsia="en-US"/>
        </w:rPr>
      </w:pPr>
      <w:r w:rsidRPr="00E37AF3">
        <w:br w:type="page"/>
      </w:r>
    </w:p>
    <w:p w14:paraId="4D5FCD8C" w14:textId="18A10A0B" w:rsidR="0067208B" w:rsidRPr="00E37AF3" w:rsidRDefault="00A12054" w:rsidP="00A61049">
      <w:pPr>
        <w:pStyle w:val="COMPara"/>
        <w:ind w:left="567" w:hanging="567"/>
        <w:jc w:val="both"/>
      </w:pPr>
      <w:r w:rsidRPr="00E37AF3">
        <w:lastRenderedPageBreak/>
        <w:t>Le tableau ci-</w:t>
      </w:r>
      <w:r w:rsidR="00D13260" w:rsidRPr="00E37AF3">
        <w:t xml:space="preserve">dessous </w:t>
      </w:r>
      <w:r w:rsidRPr="00E37AF3">
        <w:t>présente le calendrier de la réflexion initiée avec les étapes clés :</w:t>
      </w:r>
    </w:p>
    <w:tbl>
      <w:tblPr>
        <w:tblStyle w:val="TableGrid"/>
        <w:tblW w:w="0" w:type="auto"/>
        <w:tblInd w:w="567" w:type="dxa"/>
        <w:tblLook w:val="04A0" w:firstRow="1" w:lastRow="0" w:firstColumn="1" w:lastColumn="0" w:noHBand="0" w:noVBand="1"/>
      </w:tblPr>
      <w:tblGrid>
        <w:gridCol w:w="3256"/>
        <w:gridCol w:w="5805"/>
      </w:tblGrid>
      <w:tr w:rsidR="00A12054" w:rsidRPr="00E37AF3" w14:paraId="702C6AFA" w14:textId="77777777" w:rsidTr="0034794D">
        <w:tc>
          <w:tcPr>
            <w:tcW w:w="3256" w:type="dxa"/>
            <w:shd w:val="clear" w:color="auto" w:fill="F2F2F2" w:themeFill="background1" w:themeFillShade="F2"/>
          </w:tcPr>
          <w:p w14:paraId="02EBA02C" w14:textId="7E8AD2E0" w:rsidR="00A12054" w:rsidRPr="00E37AF3" w:rsidRDefault="00A12054" w:rsidP="00A12054">
            <w:pPr>
              <w:pStyle w:val="COMPara"/>
              <w:numPr>
                <w:ilvl w:val="0"/>
                <w:numId w:val="0"/>
              </w:numPr>
              <w:spacing w:after="0"/>
              <w:jc w:val="both"/>
              <w:rPr>
                <w:b/>
                <w:bCs/>
                <w:sz w:val="18"/>
                <w:szCs w:val="18"/>
              </w:rPr>
            </w:pPr>
            <w:r w:rsidRPr="00E37AF3">
              <w:rPr>
                <w:b/>
                <w:sz w:val="18"/>
              </w:rPr>
              <w:t>Dates</w:t>
            </w:r>
          </w:p>
        </w:tc>
        <w:tc>
          <w:tcPr>
            <w:tcW w:w="5805" w:type="dxa"/>
            <w:shd w:val="clear" w:color="auto" w:fill="F2F2F2" w:themeFill="background1" w:themeFillShade="F2"/>
          </w:tcPr>
          <w:p w14:paraId="246C7760" w14:textId="01203FB6" w:rsidR="00A12054" w:rsidRPr="00E37AF3" w:rsidRDefault="00A12054" w:rsidP="00A12054">
            <w:pPr>
              <w:pStyle w:val="COMPara"/>
              <w:numPr>
                <w:ilvl w:val="0"/>
                <w:numId w:val="0"/>
              </w:numPr>
              <w:spacing w:after="0"/>
              <w:jc w:val="both"/>
              <w:rPr>
                <w:b/>
                <w:bCs/>
                <w:sz w:val="18"/>
                <w:szCs w:val="18"/>
              </w:rPr>
            </w:pPr>
            <w:r w:rsidRPr="00E37AF3">
              <w:rPr>
                <w:b/>
                <w:sz w:val="18"/>
              </w:rPr>
              <w:t>Étapes clés</w:t>
            </w:r>
          </w:p>
        </w:tc>
      </w:tr>
      <w:tr w:rsidR="00A12054" w:rsidRPr="00E37AF3" w14:paraId="122E2416" w14:textId="77777777" w:rsidTr="0034794D">
        <w:tc>
          <w:tcPr>
            <w:tcW w:w="3256" w:type="dxa"/>
          </w:tcPr>
          <w:p w14:paraId="66581123" w14:textId="4488BE29" w:rsidR="003767EF" w:rsidRPr="00E37AF3" w:rsidRDefault="006B739D" w:rsidP="00A12054">
            <w:pPr>
              <w:pStyle w:val="COMPara"/>
              <w:numPr>
                <w:ilvl w:val="0"/>
                <w:numId w:val="0"/>
              </w:numPr>
              <w:spacing w:after="0"/>
              <w:jc w:val="both"/>
              <w:rPr>
                <w:sz w:val="18"/>
                <w:szCs w:val="18"/>
              </w:rPr>
            </w:pPr>
            <w:r w:rsidRPr="00E37AF3">
              <w:rPr>
                <w:sz w:val="18"/>
              </w:rPr>
              <w:t>13 </w:t>
            </w:r>
            <w:r w:rsidR="00A61049" w:rsidRPr="00E37AF3">
              <w:rPr>
                <w:sz w:val="18"/>
              </w:rPr>
              <w:t>–</w:t>
            </w:r>
            <w:r w:rsidRPr="00E37AF3">
              <w:rPr>
                <w:sz w:val="18"/>
              </w:rPr>
              <w:t xml:space="preserve"> 18</w:t>
            </w:r>
            <w:r w:rsidR="00A61049" w:rsidRPr="00E37AF3">
              <w:rPr>
                <w:sz w:val="18"/>
              </w:rPr>
              <w:t xml:space="preserve"> </w:t>
            </w:r>
            <w:r w:rsidRPr="00E37AF3">
              <w:rPr>
                <w:sz w:val="18"/>
              </w:rPr>
              <w:t>décembre 2021</w:t>
            </w:r>
          </w:p>
          <w:p w14:paraId="7310E623" w14:textId="399D65D3" w:rsidR="00A12054" w:rsidRPr="00E37AF3" w:rsidRDefault="006B739D" w:rsidP="00A12054">
            <w:pPr>
              <w:pStyle w:val="COMPara"/>
              <w:numPr>
                <w:ilvl w:val="0"/>
                <w:numId w:val="0"/>
              </w:numPr>
              <w:spacing w:after="0"/>
              <w:jc w:val="both"/>
              <w:rPr>
                <w:sz w:val="18"/>
                <w:szCs w:val="18"/>
              </w:rPr>
            </w:pPr>
            <w:r w:rsidRPr="00E37AF3">
              <w:rPr>
                <w:sz w:val="18"/>
              </w:rPr>
              <w:t>(En ligne)</w:t>
            </w:r>
          </w:p>
        </w:tc>
        <w:tc>
          <w:tcPr>
            <w:tcW w:w="5805" w:type="dxa"/>
          </w:tcPr>
          <w:p w14:paraId="73083652" w14:textId="1E520B6B" w:rsidR="00A12054" w:rsidRPr="00E37AF3" w:rsidRDefault="006B739D" w:rsidP="00FA35A9">
            <w:pPr>
              <w:pStyle w:val="COMPara"/>
              <w:numPr>
                <w:ilvl w:val="0"/>
                <w:numId w:val="0"/>
              </w:numPr>
              <w:jc w:val="both"/>
              <w:rPr>
                <w:b/>
                <w:bCs/>
                <w:sz w:val="18"/>
                <w:szCs w:val="18"/>
              </w:rPr>
            </w:pPr>
            <w:r w:rsidRPr="00E37AF3">
              <w:rPr>
                <w:b/>
                <w:sz w:val="18"/>
              </w:rPr>
              <w:t>Seizième session du Comité</w:t>
            </w:r>
          </w:p>
          <w:p w14:paraId="78BC97EC" w14:textId="2F1753A4" w:rsidR="006B739D" w:rsidRPr="00E37AF3" w:rsidRDefault="006B739D" w:rsidP="00FA35A9">
            <w:pPr>
              <w:pStyle w:val="COMPara"/>
              <w:numPr>
                <w:ilvl w:val="0"/>
                <w:numId w:val="0"/>
              </w:numPr>
              <w:jc w:val="both"/>
              <w:rPr>
                <w:sz w:val="18"/>
                <w:szCs w:val="18"/>
              </w:rPr>
            </w:pPr>
            <w:r w:rsidRPr="00E37AF3">
              <w:rPr>
                <w:sz w:val="18"/>
              </w:rPr>
              <w:t>Point 14 : Réflexion sur les mécanismes d</w:t>
            </w:r>
            <w:r w:rsidR="006F1EF9" w:rsidRPr="00E37AF3">
              <w:rPr>
                <w:sz w:val="18"/>
              </w:rPr>
              <w:t>’</w:t>
            </w:r>
            <w:r w:rsidRPr="00E37AF3">
              <w:rPr>
                <w:sz w:val="18"/>
              </w:rPr>
              <w:t xml:space="preserve">inscription </w:t>
            </w:r>
            <w:r w:rsidR="00D13260" w:rsidRPr="00E37AF3">
              <w:rPr>
                <w:sz w:val="18"/>
              </w:rPr>
              <w:t xml:space="preserve">sur les listes </w:t>
            </w:r>
            <w:r w:rsidRPr="00E37AF3">
              <w:rPr>
                <w:sz w:val="18"/>
              </w:rPr>
              <w:t xml:space="preserve">de la Convention et proposition </w:t>
            </w:r>
            <w:r w:rsidR="00A61049" w:rsidRPr="00E37AF3">
              <w:rPr>
                <w:sz w:val="18"/>
              </w:rPr>
              <w:t>de révisions connexes des directives</w:t>
            </w:r>
            <w:r w:rsidRPr="00E37AF3">
              <w:rPr>
                <w:sz w:val="18"/>
              </w:rPr>
              <w:t xml:space="preserve"> opérationnelles</w:t>
            </w:r>
          </w:p>
          <w:p w14:paraId="3C89B701" w14:textId="134D9824" w:rsidR="006B739D" w:rsidRPr="00E37AF3" w:rsidRDefault="006B739D" w:rsidP="00FA35A9">
            <w:pPr>
              <w:pStyle w:val="COMPara"/>
              <w:numPr>
                <w:ilvl w:val="0"/>
                <w:numId w:val="0"/>
              </w:numPr>
              <w:jc w:val="both"/>
              <w:rPr>
                <w:sz w:val="18"/>
                <w:szCs w:val="18"/>
              </w:rPr>
            </w:pPr>
            <w:r w:rsidRPr="00E37AF3">
              <w:rPr>
                <w:sz w:val="18"/>
              </w:rPr>
              <w:t xml:space="preserve">Décision </w:t>
            </w:r>
            <w:hyperlink r:id="rId24" w:history="1">
              <w:r w:rsidRPr="00E37AF3">
                <w:rPr>
                  <w:rStyle w:val="Hyperlink"/>
                  <w:sz w:val="18"/>
                </w:rPr>
                <w:t>16.COM 14</w:t>
              </w:r>
            </w:hyperlink>
          </w:p>
          <w:p w14:paraId="42F13850" w14:textId="77777777" w:rsidR="00F87F27" w:rsidRPr="00E37AF3" w:rsidRDefault="00F87F27" w:rsidP="00F87F27">
            <w:pPr>
              <w:pStyle w:val="COMPara"/>
              <w:numPr>
                <w:ilvl w:val="0"/>
                <w:numId w:val="0"/>
              </w:numPr>
              <w:spacing w:after="0"/>
              <w:jc w:val="right"/>
              <w:rPr>
                <w:color w:val="365F91" w:themeColor="accent1" w:themeShade="BF"/>
                <w:sz w:val="18"/>
                <w:szCs w:val="18"/>
              </w:rPr>
            </w:pPr>
            <w:r w:rsidRPr="00E37AF3">
              <w:rPr>
                <w:color w:val="365F91" w:themeColor="accent1" w:themeShade="BF"/>
                <w:sz w:val="18"/>
              </w:rPr>
              <w:t xml:space="preserve">Adoption des recommandations des parties I et II de la réunion </w:t>
            </w:r>
          </w:p>
          <w:p w14:paraId="35F2C3B3" w14:textId="2CF0929F" w:rsidR="00F87F27" w:rsidRPr="00E37AF3" w:rsidRDefault="00F87F27" w:rsidP="00F87F27">
            <w:pPr>
              <w:pStyle w:val="COMPara"/>
              <w:numPr>
                <w:ilvl w:val="0"/>
                <w:numId w:val="0"/>
              </w:numPr>
              <w:spacing w:after="0"/>
              <w:jc w:val="right"/>
              <w:rPr>
                <w:color w:val="365F91" w:themeColor="accent1" w:themeShade="BF"/>
                <w:sz w:val="18"/>
                <w:szCs w:val="18"/>
              </w:rPr>
            </w:pPr>
            <w:r w:rsidRPr="00E37AF3">
              <w:rPr>
                <w:color w:val="365F91" w:themeColor="accent1" w:themeShade="BF"/>
                <w:sz w:val="18"/>
              </w:rPr>
              <w:t>du groupe de travail intergouvernemental à composition non limitée dans le cadre de la réflexion globale sur les mécanismes d</w:t>
            </w:r>
            <w:r w:rsidR="006F1EF9" w:rsidRPr="00E37AF3">
              <w:rPr>
                <w:color w:val="365F91" w:themeColor="accent1" w:themeShade="BF"/>
                <w:sz w:val="18"/>
              </w:rPr>
              <w:t>’</w:t>
            </w:r>
            <w:r w:rsidRPr="00E37AF3">
              <w:rPr>
                <w:color w:val="365F91" w:themeColor="accent1" w:themeShade="BF"/>
                <w:sz w:val="18"/>
              </w:rPr>
              <w:t>inscription sur les listes de la Convention</w:t>
            </w:r>
          </w:p>
          <w:p w14:paraId="4F9CD79E" w14:textId="77777777" w:rsidR="00F87F27" w:rsidRPr="00E37AF3" w:rsidRDefault="00F87F27" w:rsidP="00F87F27">
            <w:pPr>
              <w:pStyle w:val="COMPara"/>
              <w:numPr>
                <w:ilvl w:val="0"/>
                <w:numId w:val="0"/>
              </w:numPr>
              <w:spacing w:after="0"/>
              <w:jc w:val="right"/>
              <w:rPr>
                <w:color w:val="365F91" w:themeColor="accent1" w:themeShade="BF"/>
                <w:sz w:val="18"/>
                <w:szCs w:val="18"/>
              </w:rPr>
            </w:pPr>
          </w:p>
          <w:p w14:paraId="6A59CD84" w14:textId="2435A1A6" w:rsidR="00F87F27" w:rsidRPr="00E37AF3" w:rsidRDefault="00AE7A17" w:rsidP="00F87F27">
            <w:pPr>
              <w:pStyle w:val="COMPara"/>
              <w:numPr>
                <w:ilvl w:val="0"/>
                <w:numId w:val="0"/>
              </w:numPr>
              <w:spacing w:after="0"/>
              <w:jc w:val="right"/>
              <w:rPr>
                <w:sz w:val="18"/>
                <w:szCs w:val="18"/>
              </w:rPr>
            </w:pPr>
            <w:r w:rsidRPr="00E37AF3">
              <w:rPr>
                <w:color w:val="365F91" w:themeColor="accent1" w:themeShade="BF"/>
                <w:sz w:val="18"/>
              </w:rPr>
              <w:t>Lancement de la réflexion sur l</w:t>
            </w:r>
            <w:r w:rsidR="006F1EF9" w:rsidRPr="00E37AF3">
              <w:rPr>
                <w:color w:val="365F91" w:themeColor="accent1" w:themeShade="BF"/>
                <w:sz w:val="18"/>
              </w:rPr>
              <w:t>’</w:t>
            </w:r>
            <w:r w:rsidRPr="00E37AF3">
              <w:rPr>
                <w:color w:val="365F91" w:themeColor="accent1" w:themeShade="BF"/>
                <w:sz w:val="18"/>
              </w:rPr>
              <w:t>article 18</w:t>
            </w:r>
          </w:p>
        </w:tc>
      </w:tr>
      <w:tr w:rsidR="00A12054" w:rsidRPr="00E37AF3" w14:paraId="684A32B5" w14:textId="77777777" w:rsidTr="0034794D">
        <w:tc>
          <w:tcPr>
            <w:tcW w:w="3256" w:type="dxa"/>
          </w:tcPr>
          <w:p w14:paraId="334CB857" w14:textId="7B8E75A3" w:rsidR="003767EF" w:rsidRPr="00E37AF3" w:rsidRDefault="00782E9D" w:rsidP="00782E9D">
            <w:pPr>
              <w:pStyle w:val="COMPara"/>
              <w:numPr>
                <w:ilvl w:val="0"/>
                <w:numId w:val="0"/>
              </w:numPr>
              <w:tabs>
                <w:tab w:val="center" w:pos="1520"/>
              </w:tabs>
              <w:spacing w:after="0"/>
              <w:jc w:val="both"/>
              <w:rPr>
                <w:sz w:val="18"/>
                <w:szCs w:val="18"/>
              </w:rPr>
            </w:pPr>
            <w:r w:rsidRPr="00E37AF3">
              <w:rPr>
                <w:sz w:val="18"/>
              </w:rPr>
              <w:t>1 juillet 2022</w:t>
            </w:r>
          </w:p>
          <w:p w14:paraId="0F2B1F63" w14:textId="0143836E" w:rsidR="00A12054" w:rsidRPr="00E37AF3" w:rsidRDefault="003767EF" w:rsidP="00782E9D">
            <w:pPr>
              <w:pStyle w:val="COMPara"/>
              <w:numPr>
                <w:ilvl w:val="0"/>
                <w:numId w:val="0"/>
              </w:numPr>
              <w:tabs>
                <w:tab w:val="center" w:pos="1520"/>
              </w:tabs>
              <w:spacing w:after="0"/>
              <w:jc w:val="both"/>
              <w:rPr>
                <w:sz w:val="18"/>
                <w:szCs w:val="18"/>
              </w:rPr>
            </w:pPr>
            <w:r w:rsidRPr="00E37AF3">
              <w:rPr>
                <w:sz w:val="18"/>
              </w:rPr>
              <w:t>(En ligne)</w:t>
            </w:r>
          </w:p>
        </w:tc>
        <w:tc>
          <w:tcPr>
            <w:tcW w:w="5805" w:type="dxa"/>
          </w:tcPr>
          <w:p w14:paraId="276DD687" w14:textId="010ABB1F" w:rsidR="00782E9D" w:rsidRPr="00E37AF3" w:rsidRDefault="00782E9D" w:rsidP="00782E9D">
            <w:pPr>
              <w:pStyle w:val="COMPara"/>
              <w:numPr>
                <w:ilvl w:val="0"/>
                <w:numId w:val="0"/>
              </w:numPr>
              <w:jc w:val="both"/>
              <w:rPr>
                <w:b/>
                <w:bCs/>
                <w:sz w:val="18"/>
                <w:szCs w:val="18"/>
              </w:rPr>
            </w:pPr>
            <w:r w:rsidRPr="00E37AF3">
              <w:rPr>
                <w:b/>
                <w:sz w:val="18"/>
              </w:rPr>
              <w:t>Cinquième session extraordinaire du Comité</w:t>
            </w:r>
          </w:p>
          <w:p w14:paraId="5CAB0659" w14:textId="740FD891" w:rsidR="00782E9D" w:rsidRPr="00E37AF3" w:rsidRDefault="00782E9D" w:rsidP="00782E9D">
            <w:pPr>
              <w:pStyle w:val="COMPara"/>
              <w:numPr>
                <w:ilvl w:val="0"/>
                <w:numId w:val="0"/>
              </w:numPr>
              <w:jc w:val="both"/>
              <w:rPr>
                <w:sz w:val="18"/>
                <w:szCs w:val="18"/>
              </w:rPr>
            </w:pPr>
            <w:r w:rsidRPr="00E37AF3">
              <w:rPr>
                <w:sz w:val="18"/>
              </w:rPr>
              <w:t xml:space="preserve">Point 4 : </w:t>
            </w:r>
            <w:r w:rsidR="00A61049" w:rsidRPr="00E37AF3">
              <w:rPr>
                <w:sz w:val="18"/>
              </w:rPr>
              <w:t>La r</w:t>
            </w:r>
            <w:r w:rsidRPr="00E37AF3">
              <w:rPr>
                <w:sz w:val="18"/>
              </w:rPr>
              <w:t>éflexion globale sur les mécanismes d</w:t>
            </w:r>
            <w:r w:rsidR="006F1EF9" w:rsidRPr="00E37AF3">
              <w:rPr>
                <w:sz w:val="18"/>
              </w:rPr>
              <w:t>’</w:t>
            </w:r>
            <w:r w:rsidRPr="00E37AF3">
              <w:rPr>
                <w:sz w:val="18"/>
              </w:rPr>
              <w:t xml:space="preserve">inscription </w:t>
            </w:r>
            <w:r w:rsidR="00D13260" w:rsidRPr="00E37AF3">
              <w:rPr>
                <w:sz w:val="18"/>
              </w:rPr>
              <w:t xml:space="preserve">sur les listes </w:t>
            </w:r>
            <w:r w:rsidRPr="00E37AF3">
              <w:rPr>
                <w:sz w:val="18"/>
              </w:rPr>
              <w:t xml:space="preserve">de la Convention et </w:t>
            </w:r>
            <w:r w:rsidR="00A61049" w:rsidRPr="00E37AF3">
              <w:rPr>
                <w:sz w:val="18"/>
              </w:rPr>
              <w:t>révisions proposées</w:t>
            </w:r>
            <w:r w:rsidRPr="00E37AF3">
              <w:rPr>
                <w:sz w:val="18"/>
              </w:rPr>
              <w:t xml:space="preserve"> aux </w:t>
            </w:r>
            <w:r w:rsidR="00A61049" w:rsidRPr="00E37AF3">
              <w:rPr>
                <w:sz w:val="18"/>
              </w:rPr>
              <w:t>d</w:t>
            </w:r>
            <w:r w:rsidRPr="00E37AF3">
              <w:rPr>
                <w:sz w:val="18"/>
              </w:rPr>
              <w:t>irectives opérationnelles</w:t>
            </w:r>
          </w:p>
          <w:p w14:paraId="29D73252" w14:textId="77777777" w:rsidR="00A12054" w:rsidRPr="00E37AF3" w:rsidRDefault="00782E9D" w:rsidP="00782E9D">
            <w:pPr>
              <w:pStyle w:val="COMPara"/>
              <w:numPr>
                <w:ilvl w:val="0"/>
                <w:numId w:val="0"/>
              </w:numPr>
              <w:jc w:val="both"/>
              <w:rPr>
                <w:sz w:val="18"/>
                <w:szCs w:val="18"/>
              </w:rPr>
            </w:pPr>
            <w:r w:rsidRPr="00E37AF3">
              <w:rPr>
                <w:sz w:val="18"/>
              </w:rPr>
              <w:t xml:space="preserve">Décision </w:t>
            </w:r>
            <w:hyperlink r:id="rId25" w:history="1">
              <w:r w:rsidRPr="00E37AF3">
                <w:rPr>
                  <w:rStyle w:val="Hyperlink"/>
                  <w:sz w:val="18"/>
                </w:rPr>
                <w:t>5.EXT.COM 4</w:t>
              </w:r>
            </w:hyperlink>
          </w:p>
          <w:p w14:paraId="3DB05403" w14:textId="17E963BA" w:rsidR="00F87F27" w:rsidRPr="00E37AF3" w:rsidRDefault="00F87F27" w:rsidP="00D13260">
            <w:pPr>
              <w:pStyle w:val="COMPara"/>
              <w:numPr>
                <w:ilvl w:val="0"/>
                <w:numId w:val="0"/>
              </w:numPr>
              <w:spacing w:after="0"/>
              <w:jc w:val="right"/>
              <w:rPr>
                <w:color w:val="365F91" w:themeColor="accent1" w:themeShade="BF"/>
                <w:sz w:val="18"/>
                <w:szCs w:val="18"/>
              </w:rPr>
            </w:pPr>
            <w:r w:rsidRPr="00E37AF3">
              <w:rPr>
                <w:color w:val="365F91" w:themeColor="accent1" w:themeShade="BF"/>
                <w:sz w:val="18"/>
              </w:rPr>
              <w:t>Adoption des recommandations de la partie III de la réunion du groupe de travail intergouvernemental à composition non limitée concernant la</w:t>
            </w:r>
            <w:r w:rsidR="00D13260" w:rsidRPr="00E37AF3">
              <w:rPr>
                <w:color w:val="365F91" w:themeColor="accent1" w:themeShade="BF"/>
                <w:sz w:val="18"/>
              </w:rPr>
              <w:t xml:space="preserve"> </w:t>
            </w:r>
            <w:r w:rsidRPr="00E37AF3">
              <w:rPr>
                <w:color w:val="365F91" w:themeColor="accent1" w:themeShade="BF"/>
                <w:sz w:val="18"/>
              </w:rPr>
              <w:t>réflexion globale sur les mécanismes d</w:t>
            </w:r>
            <w:r w:rsidR="006F1EF9" w:rsidRPr="00E37AF3">
              <w:rPr>
                <w:color w:val="365F91" w:themeColor="accent1" w:themeShade="BF"/>
                <w:sz w:val="18"/>
              </w:rPr>
              <w:t>’</w:t>
            </w:r>
            <w:r w:rsidRPr="00E37AF3">
              <w:rPr>
                <w:color w:val="365F91" w:themeColor="accent1" w:themeShade="BF"/>
                <w:sz w:val="18"/>
              </w:rPr>
              <w:t>inscription sur les listes de la Convention</w:t>
            </w:r>
          </w:p>
          <w:p w14:paraId="5BD4EFA5" w14:textId="77777777" w:rsidR="00C336E8" w:rsidRPr="00E37AF3" w:rsidRDefault="00C336E8" w:rsidP="00367087">
            <w:pPr>
              <w:pStyle w:val="COMPara"/>
              <w:numPr>
                <w:ilvl w:val="0"/>
                <w:numId w:val="0"/>
              </w:numPr>
              <w:spacing w:after="0"/>
              <w:jc w:val="right"/>
              <w:rPr>
                <w:color w:val="365F91" w:themeColor="accent1" w:themeShade="BF"/>
                <w:sz w:val="18"/>
                <w:szCs w:val="18"/>
              </w:rPr>
            </w:pPr>
          </w:p>
          <w:p w14:paraId="045FBFB5" w14:textId="746EAC6D" w:rsidR="00C336E8" w:rsidRPr="00E37AF3" w:rsidRDefault="00A61049" w:rsidP="00367087">
            <w:pPr>
              <w:pStyle w:val="COMPara"/>
              <w:numPr>
                <w:ilvl w:val="0"/>
                <w:numId w:val="0"/>
              </w:numPr>
              <w:spacing w:after="0"/>
              <w:jc w:val="right"/>
              <w:rPr>
                <w:sz w:val="18"/>
                <w:szCs w:val="18"/>
              </w:rPr>
            </w:pPr>
            <w:r w:rsidRPr="00E37AF3">
              <w:rPr>
                <w:color w:val="365F91" w:themeColor="accent1" w:themeShade="BF"/>
                <w:sz w:val="18"/>
              </w:rPr>
              <w:t>Référence à la</w:t>
            </w:r>
            <w:r w:rsidR="00C336E8" w:rsidRPr="00E37AF3">
              <w:rPr>
                <w:color w:val="365F91" w:themeColor="accent1" w:themeShade="BF"/>
                <w:sz w:val="18"/>
              </w:rPr>
              <w:t xml:space="preserve"> réflexion sur l</w:t>
            </w:r>
            <w:r w:rsidR="006F1EF9" w:rsidRPr="00E37AF3">
              <w:rPr>
                <w:color w:val="365F91" w:themeColor="accent1" w:themeShade="BF"/>
                <w:sz w:val="18"/>
              </w:rPr>
              <w:t>’</w:t>
            </w:r>
            <w:r w:rsidR="00C336E8" w:rsidRPr="00E37AF3">
              <w:rPr>
                <w:color w:val="365F91" w:themeColor="accent1" w:themeShade="BF"/>
                <w:sz w:val="18"/>
              </w:rPr>
              <w:t>article 18</w:t>
            </w:r>
          </w:p>
        </w:tc>
      </w:tr>
      <w:tr w:rsidR="00A12054" w:rsidRPr="00E37AF3" w14:paraId="359CA939" w14:textId="77777777" w:rsidTr="0034794D">
        <w:tc>
          <w:tcPr>
            <w:tcW w:w="3256" w:type="dxa"/>
          </w:tcPr>
          <w:p w14:paraId="3A41277B" w14:textId="54D9D6BF" w:rsidR="00A12054" w:rsidRPr="00E37AF3" w:rsidRDefault="0034794D" w:rsidP="00A12054">
            <w:pPr>
              <w:pStyle w:val="COMPara"/>
              <w:numPr>
                <w:ilvl w:val="0"/>
                <w:numId w:val="0"/>
              </w:numPr>
              <w:spacing w:after="0"/>
              <w:jc w:val="both"/>
              <w:rPr>
                <w:sz w:val="18"/>
                <w:szCs w:val="18"/>
              </w:rPr>
            </w:pPr>
            <w:r w:rsidRPr="00E37AF3">
              <w:rPr>
                <w:sz w:val="18"/>
              </w:rPr>
              <w:t>5 </w:t>
            </w:r>
            <w:r w:rsidR="00A61049" w:rsidRPr="00E37AF3">
              <w:rPr>
                <w:sz w:val="18"/>
              </w:rPr>
              <w:t>–</w:t>
            </w:r>
            <w:r w:rsidRPr="00E37AF3">
              <w:rPr>
                <w:sz w:val="18"/>
              </w:rPr>
              <w:t xml:space="preserve"> 7 juillet 2022</w:t>
            </w:r>
          </w:p>
          <w:p w14:paraId="01882D30" w14:textId="44102EAF" w:rsidR="0034794D" w:rsidRPr="00E37AF3" w:rsidRDefault="0034794D" w:rsidP="00A12054">
            <w:pPr>
              <w:pStyle w:val="COMPara"/>
              <w:numPr>
                <w:ilvl w:val="0"/>
                <w:numId w:val="0"/>
              </w:numPr>
              <w:spacing w:after="0"/>
              <w:jc w:val="both"/>
              <w:rPr>
                <w:sz w:val="18"/>
                <w:szCs w:val="18"/>
              </w:rPr>
            </w:pPr>
            <w:r w:rsidRPr="00E37AF3">
              <w:rPr>
                <w:sz w:val="18"/>
              </w:rPr>
              <w:t>(Siège de l</w:t>
            </w:r>
            <w:r w:rsidR="006F1EF9" w:rsidRPr="00E37AF3">
              <w:rPr>
                <w:sz w:val="18"/>
              </w:rPr>
              <w:t>’</w:t>
            </w:r>
            <w:r w:rsidRPr="00E37AF3">
              <w:rPr>
                <w:sz w:val="18"/>
              </w:rPr>
              <w:t>UNESCO)</w:t>
            </w:r>
          </w:p>
        </w:tc>
        <w:tc>
          <w:tcPr>
            <w:tcW w:w="5805" w:type="dxa"/>
          </w:tcPr>
          <w:p w14:paraId="6A40EDA0" w14:textId="3BDBCC7C" w:rsidR="00A12054" w:rsidRPr="00E37AF3" w:rsidRDefault="0034794D" w:rsidP="00FA35A9">
            <w:pPr>
              <w:pStyle w:val="COMPara"/>
              <w:numPr>
                <w:ilvl w:val="0"/>
                <w:numId w:val="0"/>
              </w:numPr>
              <w:jc w:val="both"/>
              <w:rPr>
                <w:b/>
                <w:bCs/>
                <w:sz w:val="18"/>
                <w:szCs w:val="18"/>
              </w:rPr>
            </w:pPr>
            <w:r w:rsidRPr="00E37AF3">
              <w:rPr>
                <w:b/>
                <w:sz w:val="18"/>
              </w:rPr>
              <w:t>Neuvième session de l</w:t>
            </w:r>
            <w:r w:rsidR="006F1EF9" w:rsidRPr="00E37AF3">
              <w:rPr>
                <w:b/>
                <w:sz w:val="18"/>
              </w:rPr>
              <w:t>’</w:t>
            </w:r>
            <w:r w:rsidRPr="00E37AF3">
              <w:rPr>
                <w:b/>
                <w:sz w:val="18"/>
              </w:rPr>
              <w:t>Assemblée générale</w:t>
            </w:r>
          </w:p>
          <w:p w14:paraId="0A0A421B" w14:textId="74B8CF14" w:rsidR="0034794D" w:rsidRPr="00E37AF3" w:rsidRDefault="0034794D" w:rsidP="00FA35A9">
            <w:pPr>
              <w:pStyle w:val="COMPara"/>
              <w:numPr>
                <w:ilvl w:val="0"/>
                <w:numId w:val="0"/>
              </w:numPr>
              <w:jc w:val="both"/>
              <w:rPr>
                <w:sz w:val="18"/>
                <w:szCs w:val="18"/>
              </w:rPr>
            </w:pPr>
            <w:r w:rsidRPr="00E37AF3">
              <w:rPr>
                <w:sz w:val="18"/>
              </w:rPr>
              <w:t xml:space="preserve">Point 9 : </w:t>
            </w:r>
            <w:r w:rsidR="00A61049" w:rsidRPr="00E37AF3">
              <w:rPr>
                <w:sz w:val="18"/>
              </w:rPr>
              <w:t>La r</w:t>
            </w:r>
            <w:r w:rsidRPr="00E37AF3">
              <w:rPr>
                <w:sz w:val="18"/>
              </w:rPr>
              <w:t>éflexion globale sur les mécanismes d</w:t>
            </w:r>
            <w:r w:rsidR="006F1EF9" w:rsidRPr="00E37AF3">
              <w:rPr>
                <w:sz w:val="18"/>
              </w:rPr>
              <w:t>’</w:t>
            </w:r>
            <w:r w:rsidRPr="00E37AF3">
              <w:rPr>
                <w:sz w:val="18"/>
              </w:rPr>
              <w:t xml:space="preserve">inscription </w:t>
            </w:r>
            <w:r w:rsidR="00D13260" w:rsidRPr="00E37AF3">
              <w:rPr>
                <w:sz w:val="18"/>
              </w:rPr>
              <w:t xml:space="preserve">sur les listes </w:t>
            </w:r>
            <w:r w:rsidRPr="00E37AF3">
              <w:rPr>
                <w:sz w:val="18"/>
              </w:rPr>
              <w:t xml:space="preserve">de la Convention et </w:t>
            </w:r>
            <w:r w:rsidR="00A61049" w:rsidRPr="00E37AF3">
              <w:rPr>
                <w:sz w:val="18"/>
              </w:rPr>
              <w:t>révisions proposées aux directives opérationnelles</w:t>
            </w:r>
          </w:p>
          <w:p w14:paraId="6FE111B6" w14:textId="0F75EFF2" w:rsidR="0034794D" w:rsidRPr="00E37AF3" w:rsidRDefault="0034794D" w:rsidP="00FA35A9">
            <w:pPr>
              <w:pStyle w:val="COMPara"/>
              <w:numPr>
                <w:ilvl w:val="0"/>
                <w:numId w:val="0"/>
              </w:numPr>
              <w:jc w:val="both"/>
              <w:rPr>
                <w:sz w:val="18"/>
                <w:szCs w:val="18"/>
              </w:rPr>
            </w:pPr>
            <w:r w:rsidRPr="00E37AF3">
              <w:rPr>
                <w:sz w:val="18"/>
              </w:rPr>
              <w:t xml:space="preserve">Résolution </w:t>
            </w:r>
            <w:hyperlink r:id="rId26" w:history="1">
              <w:r w:rsidRPr="00E37AF3">
                <w:rPr>
                  <w:rStyle w:val="Hyperlink"/>
                  <w:sz w:val="18"/>
                </w:rPr>
                <w:t>9.GA 9</w:t>
              </w:r>
            </w:hyperlink>
          </w:p>
          <w:p w14:paraId="603A3F56" w14:textId="70ED3A55" w:rsidR="00AE7A17" w:rsidRPr="00E37AF3" w:rsidRDefault="00D13260" w:rsidP="00AE7A17">
            <w:pPr>
              <w:pStyle w:val="COMPara"/>
              <w:numPr>
                <w:ilvl w:val="0"/>
                <w:numId w:val="0"/>
              </w:numPr>
              <w:spacing w:after="0"/>
              <w:jc w:val="right"/>
              <w:rPr>
                <w:sz w:val="18"/>
                <w:szCs w:val="18"/>
              </w:rPr>
            </w:pPr>
            <w:r w:rsidRPr="00E37AF3">
              <w:rPr>
                <w:color w:val="365F91" w:themeColor="accent1" w:themeShade="BF"/>
                <w:sz w:val="18"/>
              </w:rPr>
              <w:t>Prise en compte</w:t>
            </w:r>
            <w:r w:rsidR="00AE7A17" w:rsidRPr="00E37AF3">
              <w:rPr>
                <w:color w:val="365F91" w:themeColor="accent1" w:themeShade="BF"/>
                <w:sz w:val="18"/>
              </w:rPr>
              <w:t xml:space="preserve"> de la réflexion</w:t>
            </w:r>
          </w:p>
        </w:tc>
      </w:tr>
      <w:tr w:rsidR="00A12054" w:rsidRPr="00E37AF3" w14:paraId="270F4605" w14:textId="77777777" w:rsidTr="0034794D">
        <w:tc>
          <w:tcPr>
            <w:tcW w:w="3256" w:type="dxa"/>
          </w:tcPr>
          <w:p w14:paraId="72AFF6ED" w14:textId="77777777" w:rsidR="00A12054" w:rsidRPr="00E37AF3" w:rsidRDefault="0034794D" w:rsidP="00A12054">
            <w:pPr>
              <w:pStyle w:val="COMPara"/>
              <w:numPr>
                <w:ilvl w:val="0"/>
                <w:numId w:val="0"/>
              </w:numPr>
              <w:spacing w:after="0"/>
              <w:jc w:val="both"/>
              <w:rPr>
                <w:sz w:val="18"/>
                <w:szCs w:val="18"/>
              </w:rPr>
            </w:pPr>
            <w:r w:rsidRPr="00E37AF3">
              <w:rPr>
                <w:sz w:val="18"/>
              </w:rPr>
              <w:t>28 novembre – 3 décembre 2022</w:t>
            </w:r>
          </w:p>
          <w:p w14:paraId="5614D2FC" w14:textId="2820FB91" w:rsidR="0034794D" w:rsidRPr="00E37AF3" w:rsidRDefault="0034794D" w:rsidP="00A12054">
            <w:pPr>
              <w:pStyle w:val="COMPara"/>
              <w:numPr>
                <w:ilvl w:val="0"/>
                <w:numId w:val="0"/>
              </w:numPr>
              <w:spacing w:after="0"/>
              <w:jc w:val="both"/>
              <w:rPr>
                <w:sz w:val="18"/>
                <w:szCs w:val="18"/>
              </w:rPr>
            </w:pPr>
            <w:r w:rsidRPr="00E37AF3">
              <w:rPr>
                <w:sz w:val="18"/>
              </w:rPr>
              <w:t>(Rabat, Royaume du Maroc)</w:t>
            </w:r>
          </w:p>
        </w:tc>
        <w:tc>
          <w:tcPr>
            <w:tcW w:w="5805" w:type="dxa"/>
          </w:tcPr>
          <w:p w14:paraId="30BF0A76" w14:textId="77777777" w:rsidR="00A12054" w:rsidRPr="00E37AF3" w:rsidRDefault="0034794D" w:rsidP="00DC6476">
            <w:pPr>
              <w:pStyle w:val="COMPara"/>
              <w:numPr>
                <w:ilvl w:val="0"/>
                <w:numId w:val="0"/>
              </w:numPr>
              <w:jc w:val="both"/>
              <w:rPr>
                <w:b/>
                <w:bCs/>
                <w:sz w:val="18"/>
                <w:szCs w:val="18"/>
              </w:rPr>
            </w:pPr>
            <w:r w:rsidRPr="00E37AF3">
              <w:rPr>
                <w:b/>
                <w:sz w:val="18"/>
              </w:rPr>
              <w:t>Dix-septième session du Comité</w:t>
            </w:r>
          </w:p>
          <w:p w14:paraId="0E02BA32" w14:textId="57E3C9AF" w:rsidR="00EA3AC7" w:rsidRPr="00E37AF3" w:rsidRDefault="00EA3AC7" w:rsidP="00DC6476">
            <w:pPr>
              <w:pStyle w:val="COMPara"/>
              <w:numPr>
                <w:ilvl w:val="0"/>
                <w:numId w:val="0"/>
              </w:numPr>
              <w:jc w:val="both"/>
              <w:rPr>
                <w:sz w:val="18"/>
                <w:szCs w:val="18"/>
              </w:rPr>
            </w:pPr>
            <w:r w:rsidRPr="00E37AF3">
              <w:rPr>
                <w:sz w:val="18"/>
              </w:rPr>
              <w:t>Point 10 : Point sur la réflexion sur la mise en œuvre plus large de l</w:t>
            </w:r>
            <w:r w:rsidR="006F1EF9" w:rsidRPr="00E37AF3">
              <w:rPr>
                <w:sz w:val="18"/>
              </w:rPr>
              <w:t>’</w:t>
            </w:r>
            <w:r w:rsidRPr="00E37AF3">
              <w:rPr>
                <w:sz w:val="18"/>
              </w:rPr>
              <w:t>article 18 de la Convention</w:t>
            </w:r>
          </w:p>
          <w:p w14:paraId="384091BA" w14:textId="4C3D9877" w:rsidR="0034794D" w:rsidRPr="00E37AF3" w:rsidRDefault="0034794D" w:rsidP="00DC6476">
            <w:pPr>
              <w:pStyle w:val="COMPara"/>
              <w:numPr>
                <w:ilvl w:val="0"/>
                <w:numId w:val="0"/>
              </w:numPr>
              <w:jc w:val="both"/>
              <w:rPr>
                <w:sz w:val="18"/>
                <w:szCs w:val="18"/>
              </w:rPr>
            </w:pPr>
            <w:r w:rsidRPr="00E37AF3">
              <w:rPr>
                <w:sz w:val="18"/>
              </w:rPr>
              <w:t xml:space="preserve">Décision </w:t>
            </w:r>
            <w:hyperlink r:id="rId27" w:history="1">
              <w:r w:rsidRPr="00E37AF3">
                <w:rPr>
                  <w:rStyle w:val="Hyperlink"/>
                  <w:sz w:val="18"/>
                </w:rPr>
                <w:t>17.COM 10</w:t>
              </w:r>
            </w:hyperlink>
          </w:p>
          <w:p w14:paraId="77EF013C" w14:textId="0A7E4E63" w:rsidR="00AE7A17" w:rsidRPr="00E37AF3" w:rsidRDefault="00AE7A17" w:rsidP="00AE7A17">
            <w:pPr>
              <w:pStyle w:val="COMPara"/>
              <w:numPr>
                <w:ilvl w:val="0"/>
                <w:numId w:val="0"/>
              </w:numPr>
              <w:spacing w:after="0"/>
              <w:jc w:val="right"/>
              <w:rPr>
                <w:sz w:val="18"/>
                <w:szCs w:val="18"/>
              </w:rPr>
            </w:pPr>
            <w:r w:rsidRPr="00E37AF3">
              <w:rPr>
                <w:color w:val="365F91" w:themeColor="accent1" w:themeShade="BF"/>
                <w:sz w:val="18"/>
              </w:rPr>
              <w:t>Identification des sujets de réflexion et du calendrier</w:t>
            </w:r>
          </w:p>
        </w:tc>
      </w:tr>
      <w:tr w:rsidR="00A12054" w:rsidRPr="00E37AF3" w14:paraId="6C60B3B7" w14:textId="77777777" w:rsidTr="0034794D">
        <w:tc>
          <w:tcPr>
            <w:tcW w:w="3256" w:type="dxa"/>
          </w:tcPr>
          <w:p w14:paraId="42B88BD3" w14:textId="58BD33B0" w:rsidR="00A12054" w:rsidRPr="00E37AF3" w:rsidRDefault="0034794D" w:rsidP="00A12054">
            <w:pPr>
              <w:pStyle w:val="COMPara"/>
              <w:numPr>
                <w:ilvl w:val="0"/>
                <w:numId w:val="0"/>
              </w:numPr>
              <w:spacing w:after="0"/>
              <w:jc w:val="both"/>
              <w:rPr>
                <w:sz w:val="18"/>
                <w:szCs w:val="18"/>
              </w:rPr>
            </w:pPr>
            <w:r w:rsidRPr="00E37AF3">
              <w:rPr>
                <w:sz w:val="18"/>
              </w:rPr>
              <w:t>19 </w:t>
            </w:r>
            <w:r w:rsidR="00A61049" w:rsidRPr="00E37AF3">
              <w:rPr>
                <w:sz w:val="18"/>
              </w:rPr>
              <w:t>–</w:t>
            </w:r>
            <w:r w:rsidRPr="00E37AF3">
              <w:rPr>
                <w:sz w:val="18"/>
              </w:rPr>
              <w:t xml:space="preserve"> 21 avril 2023</w:t>
            </w:r>
          </w:p>
          <w:p w14:paraId="0FFE04F6" w14:textId="4D0686A3" w:rsidR="0034794D" w:rsidRPr="00E37AF3" w:rsidRDefault="0034794D" w:rsidP="00A12054">
            <w:pPr>
              <w:pStyle w:val="COMPara"/>
              <w:numPr>
                <w:ilvl w:val="0"/>
                <w:numId w:val="0"/>
              </w:numPr>
              <w:spacing w:after="0"/>
              <w:jc w:val="both"/>
              <w:rPr>
                <w:sz w:val="18"/>
                <w:szCs w:val="18"/>
              </w:rPr>
            </w:pPr>
            <w:r w:rsidRPr="00E37AF3">
              <w:rPr>
                <w:sz w:val="18"/>
              </w:rPr>
              <w:t>(Stockholm, Suède)</w:t>
            </w:r>
          </w:p>
        </w:tc>
        <w:tc>
          <w:tcPr>
            <w:tcW w:w="5805" w:type="dxa"/>
          </w:tcPr>
          <w:p w14:paraId="6F73B586" w14:textId="6D74BD1A" w:rsidR="00A12054" w:rsidRPr="00E37AF3" w:rsidRDefault="0034794D" w:rsidP="00A12054">
            <w:pPr>
              <w:pStyle w:val="COMPara"/>
              <w:numPr>
                <w:ilvl w:val="0"/>
                <w:numId w:val="0"/>
              </w:numPr>
              <w:spacing w:after="0"/>
              <w:jc w:val="both"/>
              <w:rPr>
                <w:b/>
                <w:bCs/>
                <w:sz w:val="18"/>
                <w:szCs w:val="18"/>
              </w:rPr>
            </w:pPr>
            <w:r w:rsidRPr="00E37AF3">
              <w:rPr>
                <w:b/>
                <w:sz w:val="18"/>
              </w:rPr>
              <w:t>Réunion d</w:t>
            </w:r>
            <w:r w:rsidR="006F1EF9" w:rsidRPr="00E37AF3">
              <w:rPr>
                <w:b/>
                <w:sz w:val="18"/>
              </w:rPr>
              <w:t>’</w:t>
            </w:r>
            <w:r w:rsidRPr="00E37AF3">
              <w:rPr>
                <w:b/>
                <w:sz w:val="18"/>
              </w:rPr>
              <w:t>experts de catégorie VI</w:t>
            </w:r>
          </w:p>
          <w:p w14:paraId="2DF6FB1D" w14:textId="77777777" w:rsidR="008A5249" w:rsidRPr="00E37AF3" w:rsidRDefault="008A5249" w:rsidP="00A12054">
            <w:pPr>
              <w:pStyle w:val="COMPara"/>
              <w:numPr>
                <w:ilvl w:val="0"/>
                <w:numId w:val="0"/>
              </w:numPr>
              <w:spacing w:after="0"/>
              <w:jc w:val="both"/>
              <w:rPr>
                <w:sz w:val="18"/>
                <w:szCs w:val="18"/>
              </w:rPr>
            </w:pPr>
            <w:r w:rsidRPr="00E37AF3">
              <w:rPr>
                <w:sz w:val="18"/>
              </w:rPr>
              <w:t>Recommandations</w:t>
            </w:r>
          </w:p>
          <w:p w14:paraId="080C9F7A" w14:textId="32878A4E" w:rsidR="006247B3" w:rsidRPr="00E37AF3" w:rsidRDefault="006247B3" w:rsidP="006247B3">
            <w:pPr>
              <w:pStyle w:val="COMPara"/>
              <w:numPr>
                <w:ilvl w:val="0"/>
                <w:numId w:val="0"/>
              </w:numPr>
              <w:spacing w:after="0"/>
              <w:jc w:val="right"/>
              <w:rPr>
                <w:color w:val="365F91" w:themeColor="accent1" w:themeShade="BF"/>
                <w:sz w:val="18"/>
                <w:szCs w:val="18"/>
              </w:rPr>
            </w:pPr>
            <w:r w:rsidRPr="00E37AF3">
              <w:rPr>
                <w:color w:val="365F91" w:themeColor="accent1" w:themeShade="BF"/>
                <w:sz w:val="18"/>
              </w:rPr>
              <w:t>Consultation d</w:t>
            </w:r>
            <w:r w:rsidR="006F1EF9" w:rsidRPr="00E37AF3">
              <w:rPr>
                <w:color w:val="365F91" w:themeColor="accent1" w:themeShade="BF"/>
                <w:sz w:val="18"/>
              </w:rPr>
              <w:t>’</w:t>
            </w:r>
            <w:r w:rsidRPr="00E37AF3">
              <w:rPr>
                <w:color w:val="365F91" w:themeColor="accent1" w:themeShade="BF"/>
                <w:sz w:val="18"/>
              </w:rPr>
              <w:t>experts</w:t>
            </w:r>
          </w:p>
          <w:p w14:paraId="1F110E5C" w14:textId="14D18F8E" w:rsidR="006247B3" w:rsidRPr="00E37AF3" w:rsidRDefault="006247B3" w:rsidP="006247B3">
            <w:pPr>
              <w:pStyle w:val="COMPara"/>
              <w:numPr>
                <w:ilvl w:val="0"/>
                <w:numId w:val="0"/>
              </w:numPr>
              <w:spacing w:after="0"/>
              <w:jc w:val="right"/>
              <w:rPr>
                <w:sz w:val="18"/>
                <w:szCs w:val="18"/>
              </w:rPr>
            </w:pPr>
            <w:r w:rsidRPr="00E37AF3">
              <w:rPr>
                <w:color w:val="365F91" w:themeColor="accent1" w:themeShade="BF"/>
                <w:sz w:val="18"/>
              </w:rPr>
              <w:t xml:space="preserve">pour </w:t>
            </w:r>
            <w:r w:rsidR="00D13260" w:rsidRPr="00E37AF3">
              <w:rPr>
                <w:color w:val="365F91" w:themeColor="accent1" w:themeShade="BF"/>
                <w:sz w:val="18"/>
              </w:rPr>
              <w:t xml:space="preserve">jeter </w:t>
            </w:r>
            <w:r w:rsidRPr="00E37AF3">
              <w:rPr>
                <w:color w:val="365F91" w:themeColor="accent1" w:themeShade="BF"/>
                <w:sz w:val="18"/>
              </w:rPr>
              <w:t>les bases de la discussion intergouvernementale</w:t>
            </w:r>
          </w:p>
        </w:tc>
      </w:tr>
      <w:tr w:rsidR="00A12054" w:rsidRPr="00E37AF3" w14:paraId="66F702E7" w14:textId="77777777" w:rsidTr="0034794D">
        <w:tc>
          <w:tcPr>
            <w:tcW w:w="3256" w:type="dxa"/>
          </w:tcPr>
          <w:p w14:paraId="2FB239EF" w14:textId="467CFD6C" w:rsidR="0034794D" w:rsidRPr="00E37AF3" w:rsidRDefault="0034794D" w:rsidP="00A12054">
            <w:pPr>
              <w:pStyle w:val="COMPara"/>
              <w:numPr>
                <w:ilvl w:val="0"/>
                <w:numId w:val="0"/>
              </w:numPr>
              <w:spacing w:after="0"/>
              <w:jc w:val="both"/>
              <w:rPr>
                <w:sz w:val="18"/>
                <w:szCs w:val="18"/>
              </w:rPr>
            </w:pPr>
            <w:r w:rsidRPr="00E37AF3">
              <w:rPr>
                <w:sz w:val="18"/>
              </w:rPr>
              <w:t>4 </w:t>
            </w:r>
            <w:r w:rsidR="00A61049" w:rsidRPr="00E37AF3">
              <w:rPr>
                <w:sz w:val="18"/>
              </w:rPr>
              <w:t>–</w:t>
            </w:r>
            <w:r w:rsidRPr="00E37AF3">
              <w:rPr>
                <w:sz w:val="18"/>
              </w:rPr>
              <w:t xml:space="preserve"> 6 juillet 2023</w:t>
            </w:r>
          </w:p>
          <w:p w14:paraId="54DB5A95" w14:textId="4412F2F9" w:rsidR="00A12054" w:rsidRPr="00E37AF3" w:rsidRDefault="0034794D" w:rsidP="00A12054">
            <w:pPr>
              <w:pStyle w:val="COMPara"/>
              <w:numPr>
                <w:ilvl w:val="0"/>
                <w:numId w:val="0"/>
              </w:numPr>
              <w:spacing w:after="0"/>
              <w:jc w:val="both"/>
              <w:rPr>
                <w:sz w:val="18"/>
                <w:szCs w:val="18"/>
              </w:rPr>
            </w:pPr>
            <w:r w:rsidRPr="00E37AF3">
              <w:rPr>
                <w:sz w:val="18"/>
              </w:rPr>
              <w:t>(Siège de l</w:t>
            </w:r>
            <w:r w:rsidR="006F1EF9" w:rsidRPr="00E37AF3">
              <w:rPr>
                <w:sz w:val="18"/>
              </w:rPr>
              <w:t>’</w:t>
            </w:r>
            <w:r w:rsidRPr="00E37AF3">
              <w:rPr>
                <w:sz w:val="18"/>
              </w:rPr>
              <w:t>UNESCO)</w:t>
            </w:r>
          </w:p>
        </w:tc>
        <w:tc>
          <w:tcPr>
            <w:tcW w:w="5805" w:type="dxa"/>
          </w:tcPr>
          <w:p w14:paraId="3C94725F" w14:textId="19428633" w:rsidR="006247B3" w:rsidRPr="00E37AF3" w:rsidRDefault="008A5249" w:rsidP="004301B1">
            <w:pPr>
              <w:pStyle w:val="COMPara"/>
              <w:numPr>
                <w:ilvl w:val="0"/>
                <w:numId w:val="0"/>
              </w:numPr>
              <w:spacing w:after="0"/>
              <w:jc w:val="both"/>
              <w:rPr>
                <w:b/>
                <w:bCs/>
                <w:sz w:val="18"/>
                <w:szCs w:val="18"/>
              </w:rPr>
            </w:pPr>
            <w:r w:rsidRPr="00E37AF3">
              <w:rPr>
                <w:b/>
                <w:sz w:val="18"/>
              </w:rPr>
              <w:t>Groupe de travail intergouvernemental à composition non limitée</w:t>
            </w:r>
          </w:p>
          <w:p w14:paraId="7E2EDD91" w14:textId="050E8ED4" w:rsidR="006247B3" w:rsidRPr="00E37AF3" w:rsidRDefault="006247B3" w:rsidP="004301B1">
            <w:pPr>
              <w:pStyle w:val="COMPara"/>
              <w:numPr>
                <w:ilvl w:val="0"/>
                <w:numId w:val="0"/>
              </w:numPr>
              <w:spacing w:before="120" w:after="0"/>
              <w:jc w:val="right"/>
              <w:rPr>
                <w:sz w:val="18"/>
                <w:szCs w:val="18"/>
              </w:rPr>
            </w:pPr>
            <w:r w:rsidRPr="00E37AF3">
              <w:rPr>
                <w:color w:val="365F91" w:themeColor="accent1" w:themeShade="BF"/>
                <w:sz w:val="18"/>
              </w:rPr>
              <w:t>Discussion intergouvernementale</w:t>
            </w:r>
          </w:p>
        </w:tc>
      </w:tr>
      <w:tr w:rsidR="00A12054" w:rsidRPr="00E37AF3" w14:paraId="4427D824" w14:textId="77777777" w:rsidTr="0034794D">
        <w:tc>
          <w:tcPr>
            <w:tcW w:w="3256" w:type="dxa"/>
          </w:tcPr>
          <w:p w14:paraId="0B6B7549" w14:textId="26001306" w:rsidR="00734421" w:rsidRPr="00E37AF3" w:rsidRDefault="0034794D" w:rsidP="00A12054">
            <w:pPr>
              <w:pStyle w:val="COMPara"/>
              <w:numPr>
                <w:ilvl w:val="0"/>
                <w:numId w:val="0"/>
              </w:numPr>
              <w:spacing w:after="0"/>
              <w:jc w:val="both"/>
              <w:rPr>
                <w:sz w:val="18"/>
                <w:szCs w:val="18"/>
              </w:rPr>
            </w:pPr>
            <w:r w:rsidRPr="00E37AF3">
              <w:rPr>
                <w:sz w:val="18"/>
              </w:rPr>
              <w:t>4 </w:t>
            </w:r>
            <w:r w:rsidR="00A61049" w:rsidRPr="00E37AF3">
              <w:rPr>
                <w:sz w:val="18"/>
              </w:rPr>
              <w:t>–</w:t>
            </w:r>
            <w:r w:rsidRPr="00E37AF3">
              <w:rPr>
                <w:sz w:val="18"/>
              </w:rPr>
              <w:t xml:space="preserve"> 9 décembre 2023</w:t>
            </w:r>
          </w:p>
          <w:p w14:paraId="2D37423E" w14:textId="763C8948" w:rsidR="00A12054" w:rsidRPr="00E37AF3" w:rsidRDefault="0034794D" w:rsidP="00A12054">
            <w:pPr>
              <w:pStyle w:val="COMPara"/>
              <w:numPr>
                <w:ilvl w:val="0"/>
                <w:numId w:val="0"/>
              </w:numPr>
              <w:spacing w:after="0"/>
              <w:jc w:val="both"/>
              <w:rPr>
                <w:sz w:val="18"/>
                <w:szCs w:val="18"/>
              </w:rPr>
            </w:pPr>
            <w:r w:rsidRPr="00E37AF3">
              <w:rPr>
                <w:sz w:val="18"/>
              </w:rPr>
              <w:t>(Kasane, République du Botswana)</w:t>
            </w:r>
          </w:p>
        </w:tc>
        <w:tc>
          <w:tcPr>
            <w:tcW w:w="5805" w:type="dxa"/>
          </w:tcPr>
          <w:p w14:paraId="7795720B" w14:textId="61D98FFE" w:rsidR="0034794D" w:rsidRPr="00E37AF3" w:rsidRDefault="0034794D" w:rsidP="0034794D">
            <w:pPr>
              <w:pStyle w:val="COMPara"/>
              <w:numPr>
                <w:ilvl w:val="0"/>
                <w:numId w:val="0"/>
              </w:numPr>
              <w:spacing w:after="0"/>
              <w:jc w:val="both"/>
              <w:rPr>
                <w:b/>
                <w:bCs/>
                <w:sz w:val="18"/>
                <w:szCs w:val="18"/>
              </w:rPr>
            </w:pPr>
            <w:r w:rsidRPr="00E37AF3">
              <w:rPr>
                <w:b/>
                <w:sz w:val="18"/>
              </w:rPr>
              <w:t>Dix-huitième session du Comité</w:t>
            </w:r>
          </w:p>
          <w:p w14:paraId="3BF514B3" w14:textId="08E79068" w:rsidR="00A12054" w:rsidRPr="00E37AF3" w:rsidRDefault="00C336E8" w:rsidP="00CF5E1C">
            <w:pPr>
              <w:pStyle w:val="COMPara"/>
              <w:numPr>
                <w:ilvl w:val="0"/>
                <w:numId w:val="0"/>
              </w:numPr>
              <w:spacing w:before="120" w:after="0"/>
              <w:jc w:val="right"/>
              <w:rPr>
                <w:sz w:val="18"/>
                <w:szCs w:val="18"/>
              </w:rPr>
            </w:pPr>
            <w:r w:rsidRPr="00E37AF3">
              <w:rPr>
                <w:color w:val="365F91" w:themeColor="accent1" w:themeShade="BF"/>
                <w:sz w:val="18"/>
              </w:rPr>
              <w:t xml:space="preserve">Proposition </w:t>
            </w:r>
            <w:r w:rsidR="00D13260" w:rsidRPr="00E37AF3">
              <w:rPr>
                <w:color w:val="365F91" w:themeColor="accent1" w:themeShade="BF"/>
                <w:sz w:val="18"/>
              </w:rPr>
              <w:t>sur d</w:t>
            </w:r>
            <w:r w:rsidR="006F1EF9" w:rsidRPr="00E37AF3">
              <w:rPr>
                <w:color w:val="365F91" w:themeColor="accent1" w:themeShade="BF"/>
                <w:sz w:val="18"/>
              </w:rPr>
              <w:t>’</w:t>
            </w:r>
            <w:r w:rsidR="00D13260" w:rsidRPr="00E37AF3">
              <w:rPr>
                <w:color w:val="365F91" w:themeColor="accent1" w:themeShade="BF"/>
                <w:sz w:val="18"/>
              </w:rPr>
              <w:t>éventuels amendements</w:t>
            </w:r>
            <w:r w:rsidRPr="00E37AF3">
              <w:rPr>
                <w:color w:val="365F91" w:themeColor="accent1" w:themeShade="BF"/>
                <w:sz w:val="18"/>
              </w:rPr>
              <w:t xml:space="preserve"> aux Directives opérationnelles et autres décisions/adoption </w:t>
            </w:r>
          </w:p>
        </w:tc>
      </w:tr>
      <w:tr w:rsidR="008A5249" w:rsidRPr="00E37AF3" w14:paraId="7C3EF955" w14:textId="77777777" w:rsidTr="0034794D">
        <w:tc>
          <w:tcPr>
            <w:tcW w:w="3256" w:type="dxa"/>
          </w:tcPr>
          <w:p w14:paraId="51FF8B80" w14:textId="77777777" w:rsidR="008A5249" w:rsidRPr="00E37AF3" w:rsidRDefault="008A5249" w:rsidP="00A12054">
            <w:pPr>
              <w:pStyle w:val="COMPara"/>
              <w:numPr>
                <w:ilvl w:val="0"/>
                <w:numId w:val="0"/>
              </w:numPr>
              <w:spacing w:after="0"/>
              <w:jc w:val="both"/>
              <w:rPr>
                <w:sz w:val="18"/>
                <w:szCs w:val="18"/>
              </w:rPr>
            </w:pPr>
            <w:r w:rsidRPr="00E37AF3">
              <w:rPr>
                <w:sz w:val="18"/>
              </w:rPr>
              <w:t>Mi-2024</w:t>
            </w:r>
          </w:p>
          <w:p w14:paraId="7446F1CF" w14:textId="369BADA3" w:rsidR="008A5249" w:rsidRPr="00E37AF3" w:rsidRDefault="008A5249" w:rsidP="00A12054">
            <w:pPr>
              <w:pStyle w:val="COMPara"/>
              <w:numPr>
                <w:ilvl w:val="0"/>
                <w:numId w:val="0"/>
              </w:numPr>
              <w:spacing w:after="0"/>
              <w:jc w:val="both"/>
              <w:rPr>
                <w:sz w:val="18"/>
                <w:szCs w:val="18"/>
              </w:rPr>
            </w:pPr>
            <w:r w:rsidRPr="00E37AF3">
              <w:rPr>
                <w:sz w:val="18"/>
              </w:rPr>
              <w:t>(Siège de l</w:t>
            </w:r>
            <w:r w:rsidR="006F1EF9" w:rsidRPr="00E37AF3">
              <w:rPr>
                <w:sz w:val="18"/>
              </w:rPr>
              <w:t>’</w:t>
            </w:r>
            <w:r w:rsidRPr="00E37AF3">
              <w:rPr>
                <w:sz w:val="18"/>
              </w:rPr>
              <w:t>UNESCO)</w:t>
            </w:r>
          </w:p>
        </w:tc>
        <w:tc>
          <w:tcPr>
            <w:tcW w:w="5805" w:type="dxa"/>
          </w:tcPr>
          <w:p w14:paraId="4A2B0C4C" w14:textId="0D61277A" w:rsidR="008A5249" w:rsidRPr="00E37AF3" w:rsidRDefault="008A5249" w:rsidP="008A5249">
            <w:pPr>
              <w:pStyle w:val="COMPara"/>
              <w:numPr>
                <w:ilvl w:val="0"/>
                <w:numId w:val="0"/>
              </w:numPr>
              <w:spacing w:after="0"/>
              <w:jc w:val="both"/>
              <w:rPr>
                <w:b/>
                <w:bCs/>
                <w:sz w:val="18"/>
                <w:szCs w:val="18"/>
              </w:rPr>
            </w:pPr>
            <w:r w:rsidRPr="00E37AF3">
              <w:rPr>
                <w:b/>
                <w:sz w:val="18"/>
              </w:rPr>
              <w:t>Dixième session de l</w:t>
            </w:r>
            <w:r w:rsidR="006F1EF9" w:rsidRPr="00E37AF3">
              <w:rPr>
                <w:b/>
                <w:sz w:val="18"/>
              </w:rPr>
              <w:t>’</w:t>
            </w:r>
            <w:r w:rsidRPr="00E37AF3">
              <w:rPr>
                <w:b/>
                <w:sz w:val="18"/>
              </w:rPr>
              <w:t>Assemblée générale</w:t>
            </w:r>
          </w:p>
          <w:p w14:paraId="0CDD2568" w14:textId="77777777" w:rsidR="00EF2A07" w:rsidRPr="00E37AF3" w:rsidRDefault="00C336E8" w:rsidP="00EF2A07">
            <w:pPr>
              <w:pStyle w:val="COMPara"/>
              <w:numPr>
                <w:ilvl w:val="0"/>
                <w:numId w:val="0"/>
              </w:numPr>
              <w:spacing w:after="0"/>
              <w:jc w:val="right"/>
              <w:rPr>
                <w:color w:val="365F91" w:themeColor="accent1" w:themeShade="BF"/>
                <w:sz w:val="18"/>
              </w:rPr>
            </w:pPr>
            <w:r w:rsidRPr="00E37AF3">
              <w:rPr>
                <w:color w:val="365F91" w:themeColor="accent1" w:themeShade="BF"/>
                <w:sz w:val="18"/>
              </w:rPr>
              <w:t xml:space="preserve">Amendements éventuels aux Directives opérationnelles </w:t>
            </w:r>
          </w:p>
          <w:p w14:paraId="60B78A3C" w14:textId="192072B4" w:rsidR="008A5249" w:rsidRPr="00E37AF3" w:rsidRDefault="00C336E8" w:rsidP="00EF2A07">
            <w:pPr>
              <w:pStyle w:val="COMPara"/>
              <w:numPr>
                <w:ilvl w:val="0"/>
                <w:numId w:val="0"/>
              </w:numPr>
              <w:spacing w:after="0"/>
              <w:jc w:val="right"/>
              <w:rPr>
                <w:sz w:val="18"/>
                <w:szCs w:val="18"/>
              </w:rPr>
            </w:pPr>
            <w:r w:rsidRPr="00E37AF3">
              <w:rPr>
                <w:color w:val="365F91" w:themeColor="accent1" w:themeShade="BF"/>
                <w:sz w:val="18"/>
              </w:rPr>
              <w:t>et autres décisions/adoption</w:t>
            </w:r>
          </w:p>
        </w:tc>
      </w:tr>
    </w:tbl>
    <w:p w14:paraId="79849A49" w14:textId="77777777" w:rsidR="00E37AF3" w:rsidRDefault="0086584C" w:rsidP="003B3F9F">
      <w:pPr>
        <w:pStyle w:val="COMPara"/>
        <w:spacing w:before="240"/>
        <w:ind w:left="567" w:hanging="567"/>
        <w:jc w:val="both"/>
      </w:pPr>
      <w:r w:rsidRPr="00E37AF3">
        <w:t>L</w:t>
      </w:r>
      <w:r w:rsidR="006F1EF9" w:rsidRPr="00E37AF3">
        <w:t>’</w:t>
      </w:r>
      <w:r w:rsidRPr="00E37AF3">
        <w:t>objectif général de la nouvelle réflexion est d</w:t>
      </w:r>
      <w:r w:rsidR="006F1EF9" w:rsidRPr="00E37AF3">
        <w:t>’</w:t>
      </w:r>
      <w:r w:rsidRPr="00E37AF3">
        <w:t xml:space="preserve">examiner comment partager plus largement les bonnes </w:t>
      </w:r>
      <w:r w:rsidRPr="00E37AF3">
        <w:rPr>
          <w:rStyle w:val="hps"/>
          <w:snapToGrid/>
        </w:rPr>
        <w:t>expériences</w:t>
      </w:r>
      <w:r w:rsidRPr="00E37AF3">
        <w:t xml:space="preserve"> de sauvegarde du patrimoine vivant et comment </w:t>
      </w:r>
      <w:r w:rsidR="003C06F2" w:rsidRPr="00E37AF3">
        <w:t>faire entendre</w:t>
      </w:r>
      <w:r w:rsidRPr="00E37AF3">
        <w:t xml:space="preserve"> les voix des communautés et leurs aspirations </w:t>
      </w:r>
      <w:r w:rsidR="003C06F2" w:rsidRPr="00E37AF3">
        <w:t>en matière de</w:t>
      </w:r>
      <w:r w:rsidRPr="00E37AF3">
        <w:t xml:space="preserve"> sauvegarde de leur patrimoine vivant. </w:t>
      </w:r>
      <w:r w:rsidR="003C06F2" w:rsidRPr="00E37AF3">
        <w:t>Sur la base de</w:t>
      </w:r>
      <w:r w:rsidRPr="00E37AF3">
        <w:t xml:space="preserve"> la décision </w:t>
      </w:r>
      <w:hyperlink r:id="rId28" w:history="1">
        <w:r w:rsidRPr="00E37AF3">
          <w:rPr>
            <w:rStyle w:val="Hyperlink"/>
          </w:rPr>
          <w:t>17.COM 10</w:t>
        </w:r>
      </w:hyperlink>
      <w:r w:rsidRPr="00E37AF3">
        <w:rPr>
          <w:rStyle w:val="Hyperlink"/>
          <w:color w:val="auto"/>
          <w:u w:val="none"/>
        </w:rPr>
        <w:t>,</w:t>
      </w:r>
      <w:r w:rsidRPr="00E37AF3">
        <w:t xml:space="preserve"> adoptée </w:t>
      </w:r>
      <w:r w:rsidR="001070C4" w:rsidRPr="00E37AF3">
        <w:t>par</w:t>
      </w:r>
      <w:r w:rsidRPr="00E37AF3">
        <w:t xml:space="preserve"> la dix-septième session du Comité intergouvernemental, et </w:t>
      </w:r>
      <w:r w:rsidR="001070C4" w:rsidRPr="00E37AF3">
        <w:t xml:space="preserve">des </w:t>
      </w:r>
      <w:r w:rsidRPr="00E37AF3">
        <w:t>résultats de la réunion d</w:t>
      </w:r>
      <w:r w:rsidR="006F1EF9" w:rsidRPr="00E37AF3">
        <w:t>’</w:t>
      </w:r>
      <w:r w:rsidRPr="00E37AF3">
        <w:t>experts de catégorie VI, il est proposé au groupe de travail d</w:t>
      </w:r>
      <w:r w:rsidR="006F1EF9" w:rsidRPr="00E37AF3">
        <w:t>’</w:t>
      </w:r>
      <w:r w:rsidRPr="00E37AF3">
        <w:t>axer ses discussions sur les trois sujets suivants :</w:t>
      </w:r>
    </w:p>
    <w:p w14:paraId="35272682" w14:textId="77777777" w:rsidR="00E37AF3" w:rsidRDefault="00E37AF3">
      <w:pPr>
        <w:rPr>
          <w:rFonts w:ascii="Arial" w:hAnsi="Arial" w:cs="Arial"/>
          <w:snapToGrid w:val="0"/>
          <w:sz w:val="22"/>
          <w:szCs w:val="22"/>
          <w:lang w:eastAsia="en-US"/>
        </w:rPr>
      </w:pPr>
      <w:r>
        <w:br w:type="page"/>
      </w:r>
    </w:p>
    <w:tbl>
      <w:tblPr>
        <w:tblStyle w:val="TableGrid"/>
        <w:tblW w:w="9072" w:type="dxa"/>
        <w:tblInd w:w="562" w:type="dxa"/>
        <w:tblLook w:val="04A0" w:firstRow="1" w:lastRow="0" w:firstColumn="1" w:lastColumn="0" w:noHBand="0" w:noVBand="1"/>
      </w:tblPr>
      <w:tblGrid>
        <w:gridCol w:w="9072"/>
      </w:tblGrid>
      <w:tr w:rsidR="009136F6" w:rsidRPr="00E37AF3" w14:paraId="710AFAE6" w14:textId="77777777" w:rsidTr="00B8360C">
        <w:tc>
          <w:tcPr>
            <w:tcW w:w="9072" w:type="dxa"/>
            <w:shd w:val="clear" w:color="auto" w:fill="DBE5F1" w:themeFill="accent1" w:themeFillTint="33"/>
          </w:tcPr>
          <w:p w14:paraId="28B7FB01" w14:textId="16319DB7" w:rsidR="009136F6" w:rsidRPr="00E37AF3" w:rsidRDefault="009136F6" w:rsidP="00AE7A17">
            <w:pPr>
              <w:pStyle w:val="1GAPara"/>
              <w:numPr>
                <w:ilvl w:val="0"/>
                <w:numId w:val="8"/>
              </w:numPr>
              <w:ind w:left="453" w:hanging="425"/>
            </w:pPr>
            <w:r w:rsidRPr="00E37AF3">
              <w:lastRenderedPageBreak/>
              <w:t>Sujet 1 : Améliorer l</w:t>
            </w:r>
            <w:r w:rsidR="006F1EF9" w:rsidRPr="00E37AF3">
              <w:t>’</w:t>
            </w:r>
            <w:r w:rsidRPr="00E37AF3">
              <w:t>accès et augmenter la visibilité du Registre de bonnes pratiques de sauvegarde</w:t>
            </w:r>
          </w:p>
          <w:p w14:paraId="35252995" w14:textId="26F0E0BC" w:rsidR="009136F6" w:rsidRPr="00E37AF3" w:rsidRDefault="009136F6" w:rsidP="00AE7A17">
            <w:pPr>
              <w:pStyle w:val="1GAPara"/>
              <w:numPr>
                <w:ilvl w:val="0"/>
                <w:numId w:val="8"/>
              </w:numPr>
              <w:ind w:left="453" w:hanging="425"/>
            </w:pPr>
            <w:r w:rsidRPr="00E37AF3">
              <w:t>Sujet 2 : Vers la création d</w:t>
            </w:r>
            <w:r w:rsidR="006F1EF9" w:rsidRPr="00E37AF3">
              <w:t>’</w:t>
            </w:r>
            <w:r w:rsidRPr="00E37AF3">
              <w:t xml:space="preserve">une plateforme en ligne pour le partage de bonnes </w:t>
            </w:r>
            <w:r w:rsidR="00A61049" w:rsidRPr="00E37AF3">
              <w:t xml:space="preserve">expériences </w:t>
            </w:r>
            <w:r w:rsidRPr="00E37AF3">
              <w:t>de sauvegarde</w:t>
            </w:r>
          </w:p>
          <w:p w14:paraId="6DB91942" w14:textId="01EA5CED" w:rsidR="009136F6" w:rsidRPr="00E37AF3" w:rsidRDefault="009136F6" w:rsidP="00AE7A17">
            <w:pPr>
              <w:pStyle w:val="1GAPara"/>
              <w:numPr>
                <w:ilvl w:val="0"/>
                <w:numId w:val="8"/>
              </w:numPr>
              <w:ind w:left="453" w:hanging="425"/>
            </w:pPr>
            <w:r w:rsidRPr="00E37AF3">
              <w:t>Sujet 3 : Toute autre question</w:t>
            </w:r>
          </w:p>
        </w:tc>
      </w:tr>
    </w:tbl>
    <w:p w14:paraId="6E579484" w14:textId="16FB8E4C" w:rsidR="00F716CA" w:rsidRPr="00E37AF3" w:rsidRDefault="00F716CA" w:rsidP="00AE7A17">
      <w:pPr>
        <w:pStyle w:val="COMPara"/>
        <w:numPr>
          <w:ilvl w:val="0"/>
          <w:numId w:val="6"/>
        </w:numPr>
        <w:spacing w:before="240"/>
        <w:ind w:left="567" w:hanging="567"/>
        <w:jc w:val="both"/>
        <w:rPr>
          <w:b/>
          <w:bCs/>
        </w:rPr>
      </w:pPr>
      <w:r w:rsidRPr="00E37AF3">
        <w:rPr>
          <w:b/>
        </w:rPr>
        <w:t>Progrès accomplis à ce jour : Réunion d</w:t>
      </w:r>
      <w:r w:rsidR="006F1EF9" w:rsidRPr="00E37AF3">
        <w:rPr>
          <w:b/>
        </w:rPr>
        <w:t>’</w:t>
      </w:r>
      <w:r w:rsidRPr="00E37AF3">
        <w:rPr>
          <w:b/>
        </w:rPr>
        <w:t>experts de catégorie VI</w:t>
      </w:r>
    </w:p>
    <w:p w14:paraId="47485B2E" w14:textId="7FF70C55" w:rsidR="00F716CA" w:rsidRPr="00E37AF3" w:rsidRDefault="007B389E" w:rsidP="007B389E">
      <w:pPr>
        <w:pStyle w:val="COMPara"/>
        <w:ind w:left="567" w:hanging="567"/>
        <w:jc w:val="both"/>
      </w:pPr>
      <w:r w:rsidRPr="00E37AF3">
        <w:t>Suite à la réflexion globale sur les mécanismes d</w:t>
      </w:r>
      <w:r w:rsidR="006F1EF9" w:rsidRPr="00E37AF3">
        <w:t>’</w:t>
      </w:r>
      <w:r w:rsidRPr="00E37AF3">
        <w:t>inscription sur les listes de la Convention, l</w:t>
      </w:r>
      <w:r w:rsidR="006F1EF9" w:rsidRPr="00E37AF3">
        <w:t>’</w:t>
      </w:r>
      <w:r w:rsidRPr="00E37AF3">
        <w:t>organisation de la réunion d</w:t>
      </w:r>
      <w:r w:rsidR="006F1EF9" w:rsidRPr="00E37AF3">
        <w:t>’</w:t>
      </w:r>
      <w:r w:rsidRPr="00E37AF3">
        <w:t xml:space="preserve">experts de catégorie VI (consulter la </w:t>
      </w:r>
      <w:hyperlink r:id="rId29" w:history="1">
        <w:r w:rsidRPr="00E37AF3">
          <w:rPr>
            <w:rStyle w:val="Hyperlink"/>
          </w:rPr>
          <w:t xml:space="preserve">page </w:t>
        </w:r>
        <w:r w:rsidR="00874F0E" w:rsidRPr="00E37AF3">
          <w:rPr>
            <w:rStyle w:val="Hyperlink"/>
          </w:rPr>
          <w:t xml:space="preserve">Internet </w:t>
        </w:r>
        <w:r w:rsidR="00427E05" w:rsidRPr="00E37AF3">
          <w:rPr>
            <w:rStyle w:val="Hyperlink"/>
          </w:rPr>
          <w:t>dédiée</w:t>
        </w:r>
        <w:r w:rsidR="00427E05" w:rsidRPr="00E37AF3">
          <w:rPr>
            <w:rStyle w:val="Hyperlink"/>
            <w:u w:val="none"/>
          </w:rPr>
          <w:t xml:space="preserve"> </w:t>
        </w:r>
      </w:hyperlink>
      <w:r w:rsidRPr="00E37AF3">
        <w:t>pour plus</w:t>
      </w:r>
      <w:r w:rsidR="00427E05" w:rsidRPr="00E37AF3">
        <w:t xml:space="preserve"> d</w:t>
      </w:r>
      <w:r w:rsidR="006F1EF9" w:rsidRPr="00E37AF3">
        <w:t>’</w:t>
      </w:r>
      <w:r w:rsidR="00427E05" w:rsidRPr="00E37AF3">
        <w:t>information</w:t>
      </w:r>
      <w:r w:rsidRPr="00E37AF3">
        <w:t xml:space="preserve">) par le </w:t>
      </w:r>
      <w:r w:rsidR="00874F0E" w:rsidRPr="00E37AF3">
        <w:t>M</w:t>
      </w:r>
      <w:r w:rsidRPr="00E37AF3">
        <w:t xml:space="preserve">inistère de la </w:t>
      </w:r>
      <w:r w:rsidR="00874F0E" w:rsidRPr="00E37AF3">
        <w:t>c</w:t>
      </w:r>
      <w:r w:rsidRPr="00E37AF3">
        <w:t xml:space="preserve">ulture </w:t>
      </w:r>
      <w:r w:rsidR="00874F0E" w:rsidRPr="00E37AF3">
        <w:t>de la Suède</w:t>
      </w:r>
      <w:r w:rsidRPr="00E37AF3">
        <w:t>, la Commission nationale suédoise pour l</w:t>
      </w:r>
      <w:r w:rsidR="006F1EF9" w:rsidRPr="00E37AF3">
        <w:t>’</w:t>
      </w:r>
      <w:r w:rsidRPr="00E37AF3">
        <w:t>UNESCO et l</w:t>
      </w:r>
      <w:r w:rsidR="006F1EF9" w:rsidRPr="00E37AF3">
        <w:t>’</w:t>
      </w:r>
      <w:r w:rsidRPr="00E37AF3">
        <w:t>Institut des langues et du folklore constitue la principale avancée concernant la réflexion sur l</w:t>
      </w:r>
      <w:r w:rsidR="006F1EF9" w:rsidRPr="00E37AF3">
        <w:t>’</w:t>
      </w:r>
      <w:r w:rsidRPr="00E37AF3">
        <w:t>article 18. Vingt-et-un experts ont participé à la réunion, identifiés par le biais d</w:t>
      </w:r>
      <w:r w:rsidR="006F1EF9" w:rsidRPr="00E37AF3">
        <w:t>’</w:t>
      </w:r>
      <w:r w:rsidRPr="00E37AF3">
        <w:t xml:space="preserve">un appel (du 3 au 24 février 2023) </w:t>
      </w:r>
      <w:r w:rsidR="00427E05" w:rsidRPr="00E37AF3">
        <w:t>invitant les</w:t>
      </w:r>
      <w:r w:rsidRPr="00E37AF3">
        <w:t xml:space="preserve"> États </w:t>
      </w:r>
      <w:r w:rsidR="00427E05" w:rsidRPr="00E37AF3">
        <w:t>p</w:t>
      </w:r>
      <w:r w:rsidRPr="00E37AF3">
        <w:t xml:space="preserve">arties </w:t>
      </w:r>
      <w:r w:rsidR="00427E05" w:rsidRPr="00E37AF3">
        <w:t>à proposer</w:t>
      </w:r>
      <w:r w:rsidRPr="00E37AF3">
        <w:t xml:space="preserve"> des experts compétents,</w:t>
      </w:r>
      <w:r w:rsidR="00427E05" w:rsidRPr="00E37AF3">
        <w:t xml:space="preserve"> et complété par l</w:t>
      </w:r>
      <w:r w:rsidR="006F1EF9" w:rsidRPr="00E37AF3">
        <w:t>’</w:t>
      </w:r>
      <w:r w:rsidR="00427E05" w:rsidRPr="00E37AF3">
        <w:t>identification effectuée par le Secrétariat,</w:t>
      </w:r>
      <w:r w:rsidRPr="00E37AF3">
        <w:t xml:space="preserve"> en tenant compte de leur profil, de leur expérience et de critères tels que l</w:t>
      </w:r>
      <w:r w:rsidR="006F1EF9" w:rsidRPr="00E37AF3">
        <w:t>’</w:t>
      </w:r>
      <w:r w:rsidRPr="00E37AF3">
        <w:t xml:space="preserve">équilibre géographique et le genre. </w:t>
      </w:r>
      <w:r w:rsidR="003C06F2" w:rsidRPr="00E37AF3">
        <w:t xml:space="preserve">Ces experts sélectionnés ont participé </w:t>
      </w:r>
      <w:r w:rsidRPr="00E37AF3">
        <w:t>à titre personnel et non en qualité de représentant de quelque gouvernement ou organisation que ce soit.</w:t>
      </w:r>
    </w:p>
    <w:p w14:paraId="1A85B64B" w14:textId="120E5950" w:rsidR="0006430F" w:rsidRPr="00E37AF3" w:rsidRDefault="00A10CD1" w:rsidP="00A10CD1">
      <w:pPr>
        <w:pStyle w:val="COMPara"/>
        <w:ind w:left="567" w:hanging="567"/>
        <w:jc w:val="both"/>
      </w:pPr>
      <w:r w:rsidRPr="00E37AF3">
        <w:t>Cette réunion a porté sur les trois sujets de réflexion susmentionnés. Pour les sujets 1 (</w:t>
      </w:r>
      <w:r w:rsidR="00427E05" w:rsidRPr="00E37AF3">
        <w:t>jour 1</w:t>
      </w:r>
      <w:r w:rsidRPr="00E37AF3">
        <w:t>) et 2 (jour</w:t>
      </w:r>
      <w:r w:rsidR="00427E05" w:rsidRPr="00E37AF3">
        <w:t xml:space="preserve"> 2</w:t>
      </w:r>
      <w:r w:rsidRPr="00E37AF3">
        <w:t xml:space="preserve">), une brève session plénière a </w:t>
      </w:r>
      <w:r w:rsidR="00427E05" w:rsidRPr="00E37AF3">
        <w:t>d</w:t>
      </w:r>
      <w:r w:rsidR="006F1EF9" w:rsidRPr="00E37AF3">
        <w:t>’</w:t>
      </w:r>
      <w:r w:rsidR="00427E05" w:rsidRPr="00E37AF3">
        <w:t xml:space="preserve">abord </w:t>
      </w:r>
      <w:r w:rsidRPr="00E37AF3">
        <w:t>présenté les principales questions à débattre</w:t>
      </w:r>
      <w:r w:rsidR="003C06F2" w:rsidRPr="00E37AF3">
        <w:t xml:space="preserve"> ; les experts </w:t>
      </w:r>
      <w:r w:rsidR="00427E05" w:rsidRPr="00E37AF3">
        <w:t xml:space="preserve">se sont ensuite </w:t>
      </w:r>
      <w:r w:rsidR="003C06F2" w:rsidRPr="00E37AF3">
        <w:t>répartis</w:t>
      </w:r>
      <w:r w:rsidRPr="00E37AF3">
        <w:t xml:space="preserve"> en deux groupes </w:t>
      </w:r>
      <w:r w:rsidR="003C06F2" w:rsidRPr="00E37AF3">
        <w:t xml:space="preserve">séparés pour des discussions approfondies avant de présenter </w:t>
      </w:r>
      <w:r w:rsidRPr="00E37AF3">
        <w:t>les résultats de leurs échanges lors de la session plénière. Le sujet 3 (</w:t>
      </w:r>
      <w:r w:rsidR="00427E05" w:rsidRPr="00E37AF3">
        <w:t>jour 3</w:t>
      </w:r>
      <w:r w:rsidRPr="00E37AF3">
        <w:t xml:space="preserve">) a été discuté en session plénière uniquement, sans travail préalable en groupes. Le dernier jour, les experts ont continué à discuter et </w:t>
      </w:r>
      <w:r w:rsidR="00315D7F" w:rsidRPr="00E37AF3">
        <w:t xml:space="preserve">ont </w:t>
      </w:r>
      <w:r w:rsidRPr="00E37AF3">
        <w:t xml:space="preserve">adopté un rapport avec des recommandations sur les trois sujets définis, présentées dans un ensemble de documents de travail préparés pour la </w:t>
      </w:r>
      <w:r w:rsidR="00427E05" w:rsidRPr="00E37AF3">
        <w:t xml:space="preserve">présente </w:t>
      </w:r>
      <w:r w:rsidRPr="00E37AF3">
        <w:t xml:space="preserve">réunion du groupe de travail (document </w:t>
      </w:r>
      <w:hyperlink r:id="rId30" w:history="1">
        <w:r w:rsidRPr="00E37AF3">
          <w:rPr>
            <w:rStyle w:val="Hyperlink"/>
          </w:rPr>
          <w:t>LHE/23/18.COM</w:t>
        </w:r>
        <w:r w:rsidR="00111526" w:rsidRPr="00E37AF3">
          <w:rPr>
            <w:rStyle w:val="Hyperlink"/>
          </w:rPr>
          <w:t> </w:t>
        </w:r>
        <w:r w:rsidRPr="00E37AF3">
          <w:rPr>
            <w:rStyle w:val="Hyperlink"/>
          </w:rPr>
          <w:t>EXP/4</w:t>
        </w:r>
      </w:hyperlink>
      <w:r w:rsidRPr="00E37AF3">
        <w:t>).</w:t>
      </w:r>
    </w:p>
    <w:p w14:paraId="2C11CA79" w14:textId="46F94EBD" w:rsidR="004C10D4" w:rsidRPr="00E37AF3" w:rsidRDefault="006F1EF9" w:rsidP="00A10CD1">
      <w:pPr>
        <w:pStyle w:val="COMPara"/>
        <w:ind w:left="567" w:hanging="567"/>
        <w:jc w:val="both"/>
      </w:pPr>
      <w:r w:rsidRPr="00E37AF3">
        <w:t>L</w:t>
      </w:r>
      <w:r w:rsidR="004C10D4" w:rsidRPr="00E37AF3">
        <w:t xml:space="preserve">es experts ont </w:t>
      </w:r>
      <w:r w:rsidRPr="00E37AF3">
        <w:t xml:space="preserve">avant tout </w:t>
      </w:r>
      <w:r w:rsidR="004C10D4" w:rsidRPr="00E37AF3">
        <w:t>estimé que l</w:t>
      </w:r>
      <w:r w:rsidRPr="00E37AF3">
        <w:t>’</w:t>
      </w:r>
      <w:r w:rsidR="004C10D4" w:rsidRPr="00E37AF3">
        <w:t>article 18 offre un potentiel considérable pour atteindre pleinement les objectifs de la Convention, tout en affirmant l</w:t>
      </w:r>
      <w:r w:rsidRPr="00E37AF3">
        <w:t>’</w:t>
      </w:r>
      <w:r w:rsidR="004C10D4" w:rsidRPr="00E37AF3">
        <w:t>importance de placer les communautés, les groupes et, le cas échéant, les individus au centre des efforts de sauvegarde. Bien que les experts aient formulé plusieurs recommandations sur les trois sujets de réflexion, les principaux points concernent a) la manière d</w:t>
      </w:r>
      <w:r w:rsidRPr="00E37AF3">
        <w:t>’</w:t>
      </w:r>
      <w:r w:rsidR="004C10D4" w:rsidRPr="00E37AF3">
        <w:t>inclure davantage de bonnes pratiques de sauvegarde par le biais de programmes, de projets et d</w:t>
      </w:r>
      <w:r w:rsidRPr="00E37AF3">
        <w:t>’</w:t>
      </w:r>
      <w:r w:rsidR="004C10D4" w:rsidRPr="00E37AF3">
        <w:t>activités dans le Registre de bonnes pratiques de sauvegarde, b) les révisions possibles des critères de sélection du Registre et c) les moyens de se connecter à d</w:t>
      </w:r>
      <w:r w:rsidRPr="00E37AF3">
        <w:t>’</w:t>
      </w:r>
      <w:r w:rsidR="004C10D4" w:rsidRPr="00E37AF3">
        <w:t>autres mécanismes de coopération internationale, tels que les mécanismes de rapports périodiques. Au-delà du Registre lui-même, les experts ont plaidé en faveur de la création d</w:t>
      </w:r>
      <w:r w:rsidRPr="00E37AF3">
        <w:t>’</w:t>
      </w:r>
      <w:r w:rsidR="004C10D4" w:rsidRPr="00E37AF3">
        <w:t xml:space="preserve">une plateforme en ligne modérée pour le partage des bonnes pratiques de sauvegarde, ce qui est essentiel pour rendre </w:t>
      </w:r>
      <w:r w:rsidR="00F25EF3" w:rsidRPr="00E37AF3">
        <w:t xml:space="preserve">l’article 18 </w:t>
      </w:r>
      <w:r w:rsidR="004C10D4" w:rsidRPr="00E37AF3">
        <w:t>pleinement opérationnel. En outre, une série de propositions concrètes ont été faites pour améliorer la participation des différentes parties prenantes à la mise en œuvre de l</w:t>
      </w:r>
      <w:r w:rsidRPr="00E37AF3">
        <w:t>‘</w:t>
      </w:r>
      <w:r w:rsidR="004C10D4" w:rsidRPr="00E37AF3">
        <w:t>article 18.</w:t>
      </w:r>
    </w:p>
    <w:p w14:paraId="35064EA2" w14:textId="29D3A4F8" w:rsidR="00F716CA" w:rsidRPr="00E37AF3" w:rsidRDefault="00F716CA" w:rsidP="00FA1C2E">
      <w:pPr>
        <w:pStyle w:val="COMPara"/>
        <w:keepNext/>
        <w:numPr>
          <w:ilvl w:val="0"/>
          <w:numId w:val="6"/>
        </w:numPr>
        <w:spacing w:before="240"/>
        <w:ind w:left="567" w:hanging="567"/>
        <w:jc w:val="both"/>
        <w:rPr>
          <w:b/>
          <w:bCs/>
        </w:rPr>
      </w:pPr>
      <w:r w:rsidRPr="00E37AF3">
        <w:rPr>
          <w:b/>
        </w:rPr>
        <w:t>Objectifs et méthodes de travail de la présente réunion</w:t>
      </w:r>
    </w:p>
    <w:p w14:paraId="376C9589" w14:textId="4B7F964B" w:rsidR="006E6D0F" w:rsidRPr="00E37AF3" w:rsidRDefault="006E6D0F" w:rsidP="00FA1C2E">
      <w:pPr>
        <w:pStyle w:val="COMPara"/>
        <w:keepNext/>
        <w:ind w:left="567" w:hanging="567"/>
        <w:jc w:val="both"/>
      </w:pPr>
      <w:r w:rsidRPr="00E37AF3">
        <w:t>Le premier objectif du groupe de travail consistera à trouver un consensus sur l</w:t>
      </w:r>
      <w:r w:rsidR="006F1EF9" w:rsidRPr="00E37AF3">
        <w:t>’</w:t>
      </w:r>
      <w:r w:rsidRPr="00E37AF3">
        <w:t xml:space="preserve">approche globale à suivre pour </w:t>
      </w:r>
      <w:r w:rsidR="006F1EF9" w:rsidRPr="00E37AF3">
        <w:t xml:space="preserve">garantir </w:t>
      </w:r>
      <w:r w:rsidRPr="00E37AF3">
        <w:t>l</w:t>
      </w:r>
      <w:r w:rsidR="006F1EF9" w:rsidRPr="00E37AF3">
        <w:t>’</w:t>
      </w:r>
      <w:r w:rsidRPr="00E37AF3">
        <w:t>utilisation de tout le potentiel de l</w:t>
      </w:r>
      <w:r w:rsidR="006F1EF9" w:rsidRPr="00E37AF3">
        <w:t>’</w:t>
      </w:r>
      <w:r w:rsidRPr="00E37AF3">
        <w:t>article 18 de la Convention de 2003 et à se mettre d</w:t>
      </w:r>
      <w:r w:rsidR="006F1EF9" w:rsidRPr="00E37AF3">
        <w:t>’</w:t>
      </w:r>
      <w:r w:rsidRPr="00E37AF3">
        <w:t xml:space="preserve">accord sur les changements nécessaires pour </w:t>
      </w:r>
      <w:r w:rsidR="006F1EF9" w:rsidRPr="00E37AF3">
        <w:t>concrétiser</w:t>
      </w:r>
      <w:r w:rsidRPr="00E37AF3">
        <w:t xml:space="preserve"> la vision </w:t>
      </w:r>
      <w:r w:rsidR="00BD7493" w:rsidRPr="00E37AF3">
        <w:t>partagée</w:t>
      </w:r>
      <w:r w:rsidRPr="00E37AF3">
        <w:t>.</w:t>
      </w:r>
    </w:p>
    <w:p w14:paraId="5096DAE6" w14:textId="4812863E" w:rsidR="00C42D34" w:rsidRPr="00E37AF3" w:rsidRDefault="00111526" w:rsidP="00AE7A17">
      <w:pPr>
        <w:pStyle w:val="COMPara"/>
        <w:ind w:left="567" w:hanging="567"/>
        <w:jc w:val="both"/>
      </w:pPr>
      <w:r w:rsidRPr="00E37AF3">
        <w:t>Il s’agit d’une réunion</w:t>
      </w:r>
      <w:r w:rsidR="00BB75E4" w:rsidRPr="00E37AF3">
        <w:t xml:space="preserve"> en présentiel </w:t>
      </w:r>
      <w:r w:rsidR="00BD7493" w:rsidRPr="00E37AF3">
        <w:t>(les modérateurs chargés de rendre compte des résultats de la réunion des experts</w:t>
      </w:r>
      <w:r w:rsidR="00BB75E4" w:rsidRPr="00E37AF3">
        <w:t xml:space="preserve"> de catégorie VI </w:t>
      </w:r>
      <w:r w:rsidR="00BD7493" w:rsidRPr="00E37AF3">
        <w:t>peuvent toutefois intervenir en ligne)</w:t>
      </w:r>
      <w:r w:rsidR="00BB75E4" w:rsidRPr="00E37AF3">
        <w:t xml:space="preserve">. </w:t>
      </w:r>
      <w:r w:rsidR="006F1EF9" w:rsidRPr="00E37AF3">
        <w:t>Pour c</w:t>
      </w:r>
      <w:r w:rsidR="00BB75E4" w:rsidRPr="00E37AF3">
        <w:t xml:space="preserve">onsulter </w:t>
      </w:r>
      <w:r w:rsidR="006F1EF9" w:rsidRPr="00E37AF3">
        <w:t xml:space="preserve">l’ordre du jour </w:t>
      </w:r>
      <w:r w:rsidR="00BB75E4" w:rsidRPr="00E37AF3">
        <w:t>et le calendrier de la réunion</w:t>
      </w:r>
      <w:r w:rsidR="006F1EF9" w:rsidRPr="00E37AF3">
        <w:t>,</w:t>
      </w:r>
      <w:r w:rsidR="00BB75E4" w:rsidRPr="00E37AF3">
        <w:t xml:space="preserve"> </w:t>
      </w:r>
      <w:r w:rsidR="006F1EF9" w:rsidRPr="00E37AF3">
        <w:t xml:space="preserve">voir </w:t>
      </w:r>
      <w:r w:rsidR="00BB75E4" w:rsidRPr="00E37AF3">
        <w:t xml:space="preserve">le document de travail </w:t>
      </w:r>
      <w:hyperlink r:id="rId31" w:history="1">
        <w:r w:rsidR="00BB75E4" w:rsidRPr="00E37AF3">
          <w:rPr>
            <w:rStyle w:val="Hyperlink"/>
          </w:rPr>
          <w:t>LHE/23/18.COM WG ART18/1</w:t>
        </w:r>
      </w:hyperlink>
      <w:r w:rsidR="00BB75E4" w:rsidRPr="00E37AF3">
        <w:t xml:space="preserve">. Les États Parties à la Convention de 2003 sont les principaux participants à la réunion </w:t>
      </w:r>
      <w:r w:rsidR="00BD7493" w:rsidRPr="00E37AF3">
        <w:t xml:space="preserve">alors que les États non parties à la </w:t>
      </w:r>
      <w:r w:rsidR="0096155E" w:rsidRPr="00E37AF3">
        <w:t>C</w:t>
      </w:r>
      <w:r w:rsidR="00BD7493" w:rsidRPr="00E37AF3">
        <w:t>onvention, l</w:t>
      </w:r>
      <w:r w:rsidR="00BB75E4" w:rsidRPr="00E37AF3">
        <w:t xml:space="preserve">es organisations non gouvernementales accréditées et </w:t>
      </w:r>
      <w:r w:rsidR="00BD7493" w:rsidRPr="00E37AF3">
        <w:t>l</w:t>
      </w:r>
      <w:r w:rsidR="00BB75E4" w:rsidRPr="00E37AF3">
        <w:t xml:space="preserve">es centres de catégorie 2 peuvent également participer en </w:t>
      </w:r>
      <w:r w:rsidR="00BB75E4" w:rsidRPr="00E37AF3">
        <w:lastRenderedPageBreak/>
        <w:t>qualité d</w:t>
      </w:r>
      <w:r w:rsidR="006F1EF9" w:rsidRPr="00E37AF3">
        <w:t>’</w:t>
      </w:r>
      <w:r w:rsidR="00BB75E4" w:rsidRPr="00E37AF3">
        <w:t xml:space="preserve">observateurs (consulter la </w:t>
      </w:r>
      <w:hyperlink r:id="rId32" w:history="1">
        <w:r w:rsidR="00BB75E4" w:rsidRPr="00E37AF3">
          <w:rPr>
            <w:rStyle w:val="Hyperlink"/>
          </w:rPr>
          <w:t>liste préliminaire de participants</w:t>
        </w:r>
      </w:hyperlink>
      <w:r w:rsidR="00BB75E4" w:rsidRPr="00E37AF3">
        <w:t xml:space="preserve">). Les débats </w:t>
      </w:r>
      <w:r w:rsidR="00BD7493" w:rsidRPr="00E37AF3">
        <w:t xml:space="preserve">de la réunion </w:t>
      </w:r>
      <w:r w:rsidR="00BB75E4" w:rsidRPr="00E37AF3">
        <w:t xml:space="preserve">sont publics et seront retransmis en direct sur la </w:t>
      </w:r>
      <w:hyperlink r:id="rId33" w:history="1">
        <w:r w:rsidR="0096155E" w:rsidRPr="00E37AF3">
          <w:rPr>
            <w:rStyle w:val="Hyperlink"/>
          </w:rPr>
          <w:t>page Internet</w:t>
        </w:r>
      </w:hyperlink>
      <w:r w:rsidR="0096155E" w:rsidRPr="00E37AF3">
        <w:t xml:space="preserve"> </w:t>
      </w:r>
      <w:r w:rsidR="00BB75E4" w:rsidRPr="00E37AF3">
        <w:t>de la Convention.</w:t>
      </w:r>
    </w:p>
    <w:p w14:paraId="3AB19806" w14:textId="22278F2F" w:rsidR="00BB75E4" w:rsidRPr="00E37AF3" w:rsidRDefault="00C42D34" w:rsidP="00AE7A17">
      <w:pPr>
        <w:pStyle w:val="COMPara"/>
        <w:ind w:left="567" w:hanging="567"/>
        <w:jc w:val="both"/>
      </w:pPr>
      <w:r w:rsidRPr="00E37AF3">
        <w:t xml:space="preserve">Le premier jour, le groupe de travail commencera </w:t>
      </w:r>
      <w:r w:rsidR="00133A69" w:rsidRPr="00E37AF3">
        <w:t xml:space="preserve">ses travaux </w:t>
      </w:r>
      <w:r w:rsidRPr="00E37AF3">
        <w:t xml:space="preserve">par </w:t>
      </w:r>
      <w:r w:rsidR="00133A69" w:rsidRPr="00E37AF3">
        <w:t xml:space="preserve">l’élection du </w:t>
      </w:r>
      <w:r w:rsidRPr="00E37AF3">
        <w:t xml:space="preserve">Bureau (un Président et cinq </w:t>
      </w:r>
      <w:r w:rsidR="0096155E" w:rsidRPr="00E37AF3">
        <w:t>V</w:t>
      </w:r>
      <w:r w:rsidRPr="00E37AF3">
        <w:t>ice-Présidents, un pour chaque groupe électoral restant de l</w:t>
      </w:r>
      <w:r w:rsidR="006F1EF9" w:rsidRPr="00E37AF3">
        <w:t>’</w:t>
      </w:r>
      <w:r w:rsidRPr="00E37AF3">
        <w:t>UNESCO) pour toute la durée de la réunion. Les attributions du Président seront les mêmes que celles du Président de l</w:t>
      </w:r>
      <w:r w:rsidR="006F1EF9" w:rsidRPr="00E37AF3">
        <w:t>’</w:t>
      </w:r>
      <w:r w:rsidRPr="00E37AF3">
        <w:t xml:space="preserve">Assemblée générale des États </w:t>
      </w:r>
      <w:r w:rsidR="00133A69" w:rsidRPr="00E37AF3">
        <w:t>p</w:t>
      </w:r>
      <w:r w:rsidRPr="00E37AF3">
        <w:t xml:space="preserve">arties à la Convention de 2003. Les cinq </w:t>
      </w:r>
      <w:r w:rsidR="0096155E" w:rsidRPr="00E37AF3">
        <w:t>V</w:t>
      </w:r>
      <w:r w:rsidRPr="00E37AF3">
        <w:t xml:space="preserve">ice-Présidents aideront le Président à remplir ses fonctions tout en assurant un rôle de rapporteur. </w:t>
      </w:r>
      <w:r w:rsidR="0096155E" w:rsidRPr="00E37AF3">
        <w:t>Il est prévu que l</w:t>
      </w:r>
      <w:r w:rsidRPr="00E37AF3">
        <w:t>e Bureau du groupe de travail se réuni</w:t>
      </w:r>
      <w:r w:rsidR="0096155E" w:rsidRPr="00E37AF3">
        <w:t>sse</w:t>
      </w:r>
      <w:r w:rsidRPr="00E37AF3">
        <w:t xml:space="preserve"> quotidiennement </w:t>
      </w:r>
      <w:r w:rsidR="0096155E" w:rsidRPr="00E37AF3">
        <w:t>en privé</w:t>
      </w:r>
      <w:r w:rsidRPr="00E37AF3">
        <w:t xml:space="preserve"> </w:t>
      </w:r>
      <w:r w:rsidR="00133A69" w:rsidRPr="00E37AF3">
        <w:t xml:space="preserve">juste </w:t>
      </w:r>
      <w:r w:rsidRPr="00E37AF3">
        <w:t>avant l</w:t>
      </w:r>
      <w:r w:rsidR="0096155E" w:rsidRPr="00E37AF3">
        <w:t>e début de l</w:t>
      </w:r>
      <w:r w:rsidRPr="00E37AF3">
        <w:t>a session de l</w:t>
      </w:r>
      <w:r w:rsidR="006F1EF9" w:rsidRPr="00E37AF3">
        <w:t>’</w:t>
      </w:r>
      <w:r w:rsidRPr="00E37AF3">
        <w:t>après-midi pour faciliter les discussions de la session plénière.</w:t>
      </w:r>
    </w:p>
    <w:p w14:paraId="79D865BA" w14:textId="41646C80" w:rsidR="0070689B" w:rsidRPr="00E37AF3" w:rsidRDefault="006B2BAA" w:rsidP="00ED457C">
      <w:pPr>
        <w:pStyle w:val="COMPara"/>
        <w:ind w:left="567" w:hanging="567"/>
        <w:jc w:val="both"/>
      </w:pPr>
      <w:r w:rsidRPr="00E37AF3">
        <w:t xml:space="preserve">Le groupe de travail discutera des trois principaux sujets de réflexion définis dans le document de travail </w:t>
      </w:r>
      <w:hyperlink r:id="rId34" w:history="1">
        <w:r w:rsidRPr="00E37AF3">
          <w:rPr>
            <w:rStyle w:val="Hyperlink"/>
          </w:rPr>
          <w:t>LHE/23/18.COM WG ART18/3</w:t>
        </w:r>
      </w:hyperlink>
      <w:r w:rsidRPr="00E37AF3">
        <w:t>, en tenant compte des conseils de la réunion d</w:t>
      </w:r>
      <w:r w:rsidR="006F1EF9" w:rsidRPr="00E37AF3">
        <w:t>’</w:t>
      </w:r>
      <w:r w:rsidRPr="00E37AF3">
        <w:t xml:space="preserve">experts de catégorie IV </w:t>
      </w:r>
      <w:r w:rsidR="003913C8" w:rsidRPr="00E37AF3">
        <w:t>qui s’est tenue en avril</w:t>
      </w:r>
      <w:r w:rsidRPr="00E37AF3">
        <w:t xml:space="preserve"> 2023 et des échanges qui ont eu lieu dans le cadre de la réflexion globale sur les mécanismes d</w:t>
      </w:r>
      <w:r w:rsidR="006F1EF9" w:rsidRPr="00E37AF3">
        <w:t>’</w:t>
      </w:r>
      <w:r w:rsidRPr="00E37AF3">
        <w:t>inscription sur les listes de la Convention en lien avec la mise en œuvre de l</w:t>
      </w:r>
      <w:r w:rsidR="006F1EF9" w:rsidRPr="00E37AF3">
        <w:t>’</w:t>
      </w:r>
      <w:r w:rsidRPr="00E37AF3">
        <w:t xml:space="preserve">article 18 de la Convention. Les recommandations du groupe de travail seront adoptées avant la fin de la réunion, </w:t>
      </w:r>
      <w:r w:rsidR="003913C8" w:rsidRPr="00E37AF3">
        <w:t xml:space="preserve">sur la base du projet de </w:t>
      </w:r>
      <w:r w:rsidRPr="00E37AF3">
        <w:t xml:space="preserve">structure </w:t>
      </w:r>
      <w:r w:rsidR="003913C8" w:rsidRPr="00E37AF3">
        <w:t xml:space="preserve">présenté </w:t>
      </w:r>
      <w:r w:rsidRPr="00E37AF3">
        <w:t xml:space="preserve">dans le document de travail </w:t>
      </w:r>
      <w:hyperlink r:id="rId35" w:history="1">
        <w:r w:rsidRPr="00E37AF3">
          <w:rPr>
            <w:rStyle w:val="Hyperlink"/>
          </w:rPr>
          <w:t>LHE/23/18.COM WG ART18/4</w:t>
        </w:r>
      </w:hyperlink>
      <w:r w:rsidRPr="00E37AF3">
        <w:t xml:space="preserve">. Le Bureau du groupe de travail </w:t>
      </w:r>
      <w:r w:rsidR="00BD7493" w:rsidRPr="00E37AF3">
        <w:t xml:space="preserve">aura la responsabilité de </w:t>
      </w:r>
      <w:r w:rsidRPr="00E37AF3">
        <w:t>préparer les projets de recommandations qui seront débattus lors de la session plénière du dernier jour.</w:t>
      </w:r>
    </w:p>
    <w:p w14:paraId="542B391F" w14:textId="475C95EA" w:rsidR="00837B31" w:rsidRPr="00E37AF3" w:rsidRDefault="00BD7493" w:rsidP="00BD7493">
      <w:pPr>
        <w:pStyle w:val="COMPara"/>
        <w:ind w:left="567" w:hanging="567"/>
        <w:jc w:val="both"/>
      </w:pPr>
      <w:r w:rsidRPr="00E37AF3">
        <w:t>Il est prévu que c</w:t>
      </w:r>
      <w:r w:rsidR="0070689B" w:rsidRPr="00E37AF3">
        <w:t xml:space="preserve">ertaines recommandations du groupe de travail </w:t>
      </w:r>
      <w:r w:rsidRPr="00E37AF3">
        <w:t xml:space="preserve">puissent nécessiter des amendements aux Directives opérationnelles par </w:t>
      </w:r>
      <w:r w:rsidR="0070689B" w:rsidRPr="00E37AF3">
        <w:t>l</w:t>
      </w:r>
      <w:r w:rsidR="006F1EF9" w:rsidRPr="00E37AF3">
        <w:t>’</w:t>
      </w:r>
      <w:r w:rsidR="0070689B" w:rsidRPr="00E37AF3">
        <w:t xml:space="preserve">Assemblée générale </w:t>
      </w:r>
      <w:r w:rsidRPr="00E37AF3">
        <w:t xml:space="preserve">des </w:t>
      </w:r>
      <w:r w:rsidR="0070689B" w:rsidRPr="00E37AF3">
        <w:t xml:space="preserve">États </w:t>
      </w:r>
      <w:r w:rsidRPr="00E37AF3">
        <w:t>p</w:t>
      </w:r>
      <w:r w:rsidR="0070689B" w:rsidRPr="00E37AF3">
        <w:t>arties à la Convention</w:t>
      </w:r>
      <w:r w:rsidR="003913C8" w:rsidRPr="00E37AF3">
        <w:t>,</w:t>
      </w:r>
      <w:r w:rsidR="0070689B" w:rsidRPr="00E37AF3">
        <w:t xml:space="preserve"> </w:t>
      </w:r>
      <w:r w:rsidRPr="00E37AF3">
        <w:t xml:space="preserve">tandis </w:t>
      </w:r>
      <w:r w:rsidR="0070689B" w:rsidRPr="00E37AF3">
        <w:t>que d</w:t>
      </w:r>
      <w:r w:rsidR="006F1EF9" w:rsidRPr="00E37AF3">
        <w:t>’</w:t>
      </w:r>
      <w:r w:rsidR="0070689B" w:rsidRPr="00E37AF3">
        <w:t>autres pourraient nécessiter d</w:t>
      </w:r>
      <w:r w:rsidR="006F1EF9" w:rsidRPr="00E37AF3">
        <w:t>’</w:t>
      </w:r>
      <w:r w:rsidR="0070689B" w:rsidRPr="00E37AF3">
        <w:t xml:space="preserve">autres types de décision ou </w:t>
      </w:r>
      <w:r w:rsidR="003913C8" w:rsidRPr="00E37AF3">
        <w:t>l’approbation</w:t>
      </w:r>
      <w:r w:rsidR="0070689B" w:rsidRPr="00E37AF3">
        <w:t xml:space="preserve"> </w:t>
      </w:r>
      <w:r w:rsidR="003913C8" w:rsidRPr="00E37AF3">
        <w:t>du</w:t>
      </w:r>
      <w:r w:rsidR="0070689B" w:rsidRPr="00E37AF3">
        <w:t xml:space="preserve"> Comité et/ou </w:t>
      </w:r>
      <w:r w:rsidR="003913C8" w:rsidRPr="00E37AF3">
        <w:t xml:space="preserve">de </w:t>
      </w:r>
      <w:r w:rsidR="0070689B" w:rsidRPr="00E37AF3">
        <w:t>l</w:t>
      </w:r>
      <w:r w:rsidR="006F1EF9" w:rsidRPr="00E37AF3">
        <w:t>’</w:t>
      </w:r>
      <w:r w:rsidR="0070689B" w:rsidRPr="00E37AF3">
        <w:t xml:space="preserve">Assemblée générale. À cet égard, la recommandation du groupe de travail sera présentée, en premier lieu, </w:t>
      </w:r>
      <w:r w:rsidR="003913C8" w:rsidRPr="00E37AF3">
        <w:t>à</w:t>
      </w:r>
      <w:r w:rsidR="0070689B" w:rsidRPr="00E37AF3">
        <w:t xml:space="preserve"> la dix-huitième session du Comité en décembre 2023. Dans ce cadre, le groupe de travail souhaitera peut-être </w:t>
      </w:r>
      <w:r w:rsidR="003913C8" w:rsidRPr="00E37AF3">
        <w:t>demander au</w:t>
      </w:r>
      <w:r w:rsidR="0070689B" w:rsidRPr="00E37AF3">
        <w:t xml:space="preserve"> Secrétariat </w:t>
      </w:r>
      <w:r w:rsidR="003913C8" w:rsidRPr="00E37AF3">
        <w:t xml:space="preserve">de </w:t>
      </w:r>
      <w:r w:rsidR="0070689B" w:rsidRPr="00E37AF3">
        <w:t xml:space="preserve">prépare </w:t>
      </w:r>
      <w:r w:rsidR="003913C8" w:rsidRPr="00E37AF3">
        <w:t>d</w:t>
      </w:r>
      <w:r w:rsidR="0070689B" w:rsidRPr="00E37AF3">
        <w:t>es projets d</w:t>
      </w:r>
      <w:r w:rsidR="006F1EF9" w:rsidRPr="00E37AF3">
        <w:t>’</w:t>
      </w:r>
      <w:r w:rsidR="0070689B" w:rsidRPr="00E37AF3">
        <w:t>amendements aux Directives opérationnelles</w:t>
      </w:r>
      <w:r w:rsidRPr="00E37AF3">
        <w:t>. Si le Comité le souhaite, ils pourront être transmis à la dixième session de l</w:t>
      </w:r>
      <w:r w:rsidR="006F1EF9" w:rsidRPr="00E37AF3">
        <w:t>‘</w:t>
      </w:r>
      <w:r w:rsidRPr="00E37AF3">
        <w:t>Assemblée générale qui se tiendra à la mi-2024, en même temps que toute autre question nécessitant une décision et/ou une approbation de sa part.</w:t>
      </w:r>
    </w:p>
    <w:sectPr w:rsidR="00837B31" w:rsidRPr="00E37AF3" w:rsidSect="00655736">
      <w:headerReference w:type="even" r:id="rId36"/>
      <w:headerReference w:type="default" r:id="rId37"/>
      <w:headerReference w:type="first" r:id="rId38"/>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9330E" w14:textId="77777777" w:rsidR="002245EA" w:rsidRDefault="002245EA" w:rsidP="00655736">
      <w:r>
        <w:separator/>
      </w:r>
    </w:p>
  </w:endnote>
  <w:endnote w:type="continuationSeparator" w:id="0">
    <w:p w14:paraId="36D2CB2D" w14:textId="77777777" w:rsidR="002245EA" w:rsidRDefault="002245EA"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BDE5B" w14:textId="77777777" w:rsidR="002245EA" w:rsidRDefault="002245EA" w:rsidP="00655736">
      <w:r>
        <w:separator/>
      </w:r>
    </w:p>
  </w:footnote>
  <w:footnote w:type="continuationSeparator" w:id="0">
    <w:p w14:paraId="475E6A53" w14:textId="77777777" w:rsidR="002245EA" w:rsidRDefault="002245EA" w:rsidP="00655736">
      <w:r>
        <w:continuationSeparator/>
      </w:r>
    </w:p>
  </w:footnote>
  <w:footnote w:id="1">
    <w:p w14:paraId="532742D5" w14:textId="45F01450" w:rsidR="00E3331B" w:rsidRPr="00E37AF3" w:rsidRDefault="00E3331B" w:rsidP="00E3331B">
      <w:pPr>
        <w:pStyle w:val="FootnoteText"/>
        <w:ind w:left="567" w:hanging="567"/>
        <w:rPr>
          <w:rFonts w:asciiTheme="minorBidi" w:hAnsiTheme="minorBidi" w:cstheme="minorBidi"/>
          <w:sz w:val="18"/>
          <w:szCs w:val="18"/>
        </w:rPr>
      </w:pPr>
      <w:r w:rsidRPr="00E37AF3">
        <w:rPr>
          <w:rStyle w:val="FootnoteReference"/>
          <w:rFonts w:asciiTheme="minorBidi" w:hAnsiTheme="minorBidi" w:cstheme="minorBidi"/>
          <w:sz w:val="18"/>
          <w:szCs w:val="18"/>
          <w:lang w:val="en-GB"/>
        </w:rPr>
        <w:footnoteRef/>
      </w:r>
      <w:r w:rsidRPr="00E37AF3">
        <w:rPr>
          <w:rFonts w:asciiTheme="minorBidi" w:hAnsiTheme="minorBidi"/>
          <w:sz w:val="18"/>
        </w:rPr>
        <w:t xml:space="preserve"> </w:t>
      </w:r>
      <w:r w:rsidRPr="00E37AF3">
        <w:rPr>
          <w:rFonts w:asciiTheme="minorBidi" w:hAnsiTheme="minorBidi"/>
          <w:sz w:val="18"/>
        </w:rPr>
        <w:tab/>
        <w:t xml:space="preserve">Réunion internationale d’experts sur le patrimoine culturel immatériel : Domaines prioritaires pour une Convention internationale : </w:t>
      </w:r>
      <w:hyperlink r:id="rId1" w:history="1">
        <w:r w:rsidRPr="00E37AF3">
          <w:rPr>
            <w:rStyle w:val="Hyperlink"/>
            <w:rFonts w:asciiTheme="minorBidi" w:hAnsiTheme="minorBidi"/>
            <w:sz w:val="18"/>
          </w:rPr>
          <w:t>Rapport final</w:t>
        </w:r>
      </w:hyperlink>
      <w:r w:rsidRPr="00E37AF3">
        <w:rPr>
          <w:rFonts w:asciiTheme="minorBidi" w:hAnsiTheme="minorBidi"/>
          <w:sz w:val="18"/>
        </w:rPr>
        <w:t xml:space="preserve"> (22-24 janvier 2002)</w:t>
      </w:r>
      <w:r w:rsidR="00C70647" w:rsidRPr="00E37AF3">
        <w:rPr>
          <w:rFonts w:asciiTheme="minorBidi" w:hAnsiTheme="minorBidi"/>
          <w:sz w:val="18"/>
        </w:rPr>
        <w:t xml:space="preserve">. </w:t>
      </w:r>
      <w:r w:rsidR="00C70647" w:rsidRPr="00E37AF3">
        <w:rPr>
          <w:rFonts w:asciiTheme="minorBidi" w:hAnsiTheme="minorBidi"/>
          <w:i/>
          <w:iCs/>
          <w:sz w:val="18"/>
        </w:rPr>
        <w:t>Seulement disponible en anglais</w:t>
      </w:r>
      <w:r w:rsidR="00C70647" w:rsidRPr="00E37AF3">
        <w:rPr>
          <w:rFonts w:asciiTheme="minorBidi" w:hAnsiTheme="minorBidi"/>
          <w:sz w:val="18"/>
        </w:rPr>
        <w:t>.</w:t>
      </w:r>
    </w:p>
  </w:footnote>
  <w:footnote w:id="2">
    <w:p w14:paraId="20186AA7" w14:textId="72531D7B" w:rsidR="00D502DB" w:rsidRPr="00E37AF3" w:rsidRDefault="00D502DB" w:rsidP="003F46D0">
      <w:pPr>
        <w:pStyle w:val="FootnoteText"/>
        <w:ind w:left="567" w:hanging="567"/>
        <w:jc w:val="both"/>
      </w:pPr>
      <w:r w:rsidRPr="00E37AF3">
        <w:rPr>
          <w:rStyle w:val="FootnoteReference"/>
        </w:rPr>
        <w:footnoteRef/>
      </w:r>
      <w:r w:rsidRPr="00E37AF3">
        <w:t xml:space="preserve"> </w:t>
      </w:r>
      <w:r w:rsidRPr="00E37AF3">
        <w:rPr>
          <w:rFonts w:asciiTheme="minorBidi" w:hAnsiTheme="minorBidi" w:cstheme="minorBidi"/>
          <w:sz w:val="18"/>
          <w:szCs w:val="18"/>
        </w:rPr>
        <w:tab/>
        <w:t>Un programme sélectionné concerne des États des groupes électoraux I et II ; aux fins du présent tableau, il est inclus à la fois dans les groupes électoraux I et II.</w:t>
      </w:r>
    </w:p>
  </w:footnote>
  <w:footnote w:id="3">
    <w:p w14:paraId="2F289E6A" w14:textId="0A1E8AA8" w:rsidR="001A0118" w:rsidRPr="00E37AF3" w:rsidRDefault="001A0118" w:rsidP="001A0118">
      <w:pPr>
        <w:pStyle w:val="FootnoteText"/>
        <w:ind w:left="567" w:hanging="567"/>
        <w:rPr>
          <w:rFonts w:asciiTheme="minorBidi" w:hAnsiTheme="minorBidi" w:cstheme="minorBidi"/>
          <w:sz w:val="18"/>
          <w:szCs w:val="18"/>
        </w:rPr>
      </w:pPr>
      <w:r w:rsidRPr="00E37AF3">
        <w:rPr>
          <w:rStyle w:val="FootnoteReference"/>
          <w:rFonts w:asciiTheme="minorBidi" w:hAnsiTheme="minorBidi" w:cstheme="minorBidi"/>
          <w:sz w:val="18"/>
          <w:szCs w:val="18"/>
        </w:rPr>
        <w:footnoteRef/>
      </w:r>
      <w:r w:rsidRPr="00E37AF3">
        <w:rPr>
          <w:rFonts w:asciiTheme="minorBidi" w:hAnsiTheme="minorBidi"/>
          <w:sz w:val="18"/>
        </w:rPr>
        <w:t xml:space="preserve"> </w:t>
      </w:r>
      <w:r w:rsidRPr="00E37AF3">
        <w:rPr>
          <w:rFonts w:asciiTheme="minorBidi" w:hAnsiTheme="minorBidi"/>
          <w:sz w:val="18"/>
        </w:rPr>
        <w:tab/>
        <w:t xml:space="preserve">Cliquer </w:t>
      </w:r>
      <w:hyperlink r:id="rId2" w:history="1">
        <w:r w:rsidRPr="00E37AF3">
          <w:rPr>
            <w:rStyle w:val="Hyperlink"/>
            <w:rFonts w:asciiTheme="minorBidi" w:hAnsiTheme="minorBidi"/>
            <w:sz w:val="18"/>
          </w:rPr>
          <w:t>ici</w:t>
        </w:r>
      </w:hyperlink>
      <w:r w:rsidRPr="00E37AF3">
        <w:rPr>
          <w:rStyle w:val="Hyperlink"/>
          <w:rFonts w:asciiTheme="minorBidi" w:hAnsiTheme="minorBidi"/>
          <w:sz w:val="18"/>
          <w:u w:val="none"/>
        </w:rPr>
        <w:t xml:space="preserve"> </w:t>
      </w:r>
      <w:r w:rsidRPr="00E37AF3">
        <w:rPr>
          <w:rFonts w:asciiTheme="minorBidi" w:hAnsiTheme="minorBidi"/>
          <w:sz w:val="18"/>
        </w:rPr>
        <w:t>pour consulter le résumé et le rapport de l’étude</w:t>
      </w:r>
      <w:r w:rsidR="0060125E" w:rsidRPr="00E37AF3">
        <w:rPr>
          <w:rFonts w:asciiTheme="minorBidi" w:hAnsiTheme="minorBidi"/>
          <w:sz w:val="18"/>
        </w:rPr>
        <w:t>.</w:t>
      </w:r>
    </w:p>
  </w:footnote>
  <w:footnote w:id="4">
    <w:p w14:paraId="19D4F3AA" w14:textId="264826E4" w:rsidR="008F13F1" w:rsidRPr="00E37AF3" w:rsidRDefault="008F13F1" w:rsidP="008F13F1">
      <w:pPr>
        <w:pStyle w:val="FootnoteText"/>
        <w:ind w:left="567" w:hanging="567"/>
        <w:rPr>
          <w:rFonts w:asciiTheme="minorBidi" w:hAnsiTheme="minorBidi" w:cstheme="minorBidi"/>
        </w:rPr>
      </w:pPr>
      <w:r w:rsidRPr="00E37AF3">
        <w:rPr>
          <w:rStyle w:val="FootnoteReference"/>
        </w:rPr>
        <w:footnoteRef/>
      </w:r>
      <w:r w:rsidRPr="00E37AF3">
        <w:rPr>
          <w:rFonts w:asciiTheme="minorBidi" w:hAnsiTheme="minorBidi"/>
          <w:sz w:val="18"/>
        </w:rPr>
        <w:t xml:space="preserve"> </w:t>
      </w:r>
      <w:r w:rsidRPr="00E37AF3">
        <w:rPr>
          <w:rFonts w:asciiTheme="minorBidi" w:hAnsiTheme="minorBidi"/>
          <w:sz w:val="18"/>
        </w:rPr>
        <w:tab/>
        <w:t>Voir </w:t>
      </w:r>
      <w:hyperlink r:id="rId3" w:history="1">
        <w:r w:rsidRPr="00E37AF3">
          <w:rPr>
            <w:rStyle w:val="Hyperlink"/>
            <w:rFonts w:asciiTheme="minorBidi" w:hAnsiTheme="minorBidi"/>
            <w:sz w:val="18"/>
          </w:rPr>
          <w:t>https://ich.unesco.org/fr/rflexion-globale-sur-les-mcanismes-dinscription-sur-les-listes-01164</w:t>
        </w:r>
      </w:hyperlink>
      <w:r w:rsidR="0060125E" w:rsidRPr="00E37AF3">
        <w:rPr>
          <w:rStyle w:val="Hyperlink"/>
          <w:rFonts w:asciiTheme="minorBidi" w:hAnsiTheme="minorBidi"/>
          <w:color w:val="auto"/>
          <w:sz w:val="18"/>
          <w:u w:val="none"/>
        </w:rPr>
        <w:t>.</w:t>
      </w:r>
    </w:p>
  </w:footnote>
  <w:footnote w:id="5">
    <w:p w14:paraId="63850A81" w14:textId="3908CCE6" w:rsidR="008F13F1" w:rsidRPr="00AE7B9E" w:rsidRDefault="008F13F1" w:rsidP="008F13F1">
      <w:pPr>
        <w:pStyle w:val="FootnoteText"/>
        <w:ind w:left="567" w:hanging="567"/>
        <w:jc w:val="both"/>
        <w:rPr>
          <w:rFonts w:asciiTheme="minorBidi" w:hAnsiTheme="minorBidi" w:cstheme="minorBidi"/>
          <w:sz w:val="18"/>
          <w:szCs w:val="18"/>
        </w:rPr>
      </w:pPr>
      <w:r w:rsidRPr="00E37AF3">
        <w:rPr>
          <w:rStyle w:val="FootnoteReference"/>
          <w:rFonts w:asciiTheme="minorBidi" w:hAnsiTheme="minorBidi" w:cstheme="minorBidi"/>
          <w:sz w:val="18"/>
          <w:szCs w:val="18"/>
        </w:rPr>
        <w:footnoteRef/>
      </w:r>
      <w:r w:rsidRPr="00E37AF3">
        <w:rPr>
          <w:rFonts w:asciiTheme="minorBidi" w:hAnsiTheme="minorBidi"/>
          <w:sz w:val="18"/>
        </w:rPr>
        <w:tab/>
        <w:t xml:space="preserve">Critère P.9 : « Le programme, le projet ou l’activité </w:t>
      </w:r>
      <w:r w:rsidR="0060125E" w:rsidRPr="00E37AF3">
        <w:rPr>
          <w:rFonts w:asciiTheme="minorBidi" w:hAnsiTheme="minorBidi"/>
          <w:sz w:val="18"/>
        </w:rPr>
        <w:t>répond essentiellement</w:t>
      </w:r>
      <w:r w:rsidRPr="00E37AF3">
        <w:rPr>
          <w:rFonts w:asciiTheme="minorBidi" w:hAnsiTheme="minorBidi"/>
          <w:sz w:val="18"/>
        </w:rPr>
        <w:t xml:space="preserve"> aux besoins particuliers des pays en développement.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3D84690A" w:rsidR="00D95C4C" w:rsidRPr="00C23A97" w:rsidRDefault="005326DB" w:rsidP="00C5776D">
    <w:pPr>
      <w:pStyle w:val="Header"/>
      <w:rPr>
        <w:rFonts w:ascii="Arial" w:hAnsi="Arial" w:cs="Arial"/>
      </w:rPr>
    </w:pPr>
    <w:r>
      <w:rPr>
        <w:rFonts w:ascii="Arial" w:hAnsi="Arial"/>
        <w:sz w:val="20"/>
      </w:rPr>
      <w:t xml:space="preserve">LHE/23/18.COM WG ART18/2 – page </w:t>
    </w:r>
    <w:r w:rsidR="00D95C4C" w:rsidRPr="00C23A97">
      <w:rPr>
        <w:rStyle w:val="PageNumber"/>
        <w:rFonts w:ascii="Arial" w:hAnsi="Arial" w:cs="Arial"/>
        <w:sz w:val="20"/>
      </w:rPr>
      <w:fldChar w:fldCharType="begin"/>
    </w:r>
    <w:r w:rsidR="00D95C4C" w:rsidRPr="00C23A97">
      <w:rPr>
        <w:rStyle w:val="PageNumber"/>
        <w:rFonts w:ascii="Arial" w:hAnsi="Arial" w:cs="Arial"/>
        <w:sz w:val="20"/>
      </w:rPr>
      <w:instrText xml:space="preserve"> PAGE </w:instrText>
    </w:r>
    <w:r w:rsidR="00D95C4C" w:rsidRPr="00C23A97">
      <w:rPr>
        <w:rStyle w:val="PageNumber"/>
        <w:rFonts w:ascii="Arial" w:hAnsi="Arial" w:cs="Arial"/>
        <w:sz w:val="20"/>
      </w:rPr>
      <w:fldChar w:fldCharType="separate"/>
    </w:r>
    <w:r w:rsidR="006E75EB">
      <w:rPr>
        <w:rStyle w:val="PageNumber"/>
        <w:rFonts w:ascii="Arial" w:hAnsi="Arial" w:cs="Arial"/>
        <w:sz w:val="20"/>
      </w:rPr>
      <w:t>2</w:t>
    </w:r>
    <w:r w:rsidR="00D95C4C" w:rsidRPr="00C23A97">
      <w:rPr>
        <w:rStyle w:val="PageNumber"/>
        <w:rFonts w:ascii="Arial" w:hAnsi="Arial" w:cs="Arial"/>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16E81913" w:rsidR="00D95C4C" w:rsidRPr="0063300C" w:rsidRDefault="005326DB" w:rsidP="00C5776D">
    <w:pPr>
      <w:pStyle w:val="Header"/>
      <w:jc w:val="right"/>
      <w:rPr>
        <w:rFonts w:ascii="Arial" w:hAnsi="Arial" w:cs="Arial"/>
      </w:rPr>
    </w:pPr>
    <w:r>
      <w:rPr>
        <w:rFonts w:ascii="Arial" w:hAnsi="Arial"/>
        <w:sz w:val="20"/>
      </w:rPr>
      <w:t xml:space="preserve">LHE/23/18.COM WG ART18/2 – page </w:t>
    </w:r>
    <w:r w:rsidR="004A34A0" w:rsidRPr="0063300C">
      <w:rPr>
        <w:rStyle w:val="PageNumber"/>
        <w:rFonts w:ascii="Arial" w:hAnsi="Arial" w:cs="Arial"/>
        <w:sz w:val="20"/>
      </w:rPr>
      <w:fldChar w:fldCharType="begin"/>
    </w:r>
    <w:r w:rsidR="004A34A0" w:rsidRPr="0063300C">
      <w:rPr>
        <w:rStyle w:val="PageNumber"/>
        <w:rFonts w:ascii="Arial" w:hAnsi="Arial" w:cs="Arial"/>
        <w:sz w:val="20"/>
      </w:rPr>
      <w:instrText xml:space="preserve"> PAGE </w:instrText>
    </w:r>
    <w:r w:rsidR="004A34A0" w:rsidRPr="0063300C">
      <w:rPr>
        <w:rStyle w:val="PageNumber"/>
        <w:rFonts w:ascii="Arial" w:hAnsi="Arial" w:cs="Arial"/>
        <w:sz w:val="20"/>
      </w:rPr>
      <w:fldChar w:fldCharType="separate"/>
    </w:r>
    <w:r w:rsidR="00190205">
      <w:rPr>
        <w:rStyle w:val="PageNumber"/>
        <w:rFonts w:ascii="Arial" w:hAnsi="Arial" w:cs="Arial"/>
        <w:sz w:val="20"/>
      </w:rPr>
      <w:t>3</w:t>
    </w:r>
    <w:r w:rsidR="004A34A0" w:rsidRPr="0063300C">
      <w:rPr>
        <w:rStyle w:val="PageNumber"/>
        <w:rFonts w:ascii="Arial" w:hAnsi="Arial" w:cs="Arial"/>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1940D55B" w:rsidR="00D95C4C" w:rsidRPr="00565238" w:rsidRDefault="00C657FF">
    <w:pPr>
      <w:pStyle w:val="Header"/>
      <w:rPr>
        <w:sz w:val="22"/>
        <w:szCs w:val="22"/>
      </w:rPr>
    </w:pPr>
    <w:r w:rsidRPr="00565238">
      <w:rPr>
        <w:rFonts w:ascii="Arial" w:hAnsi="Arial"/>
        <w:b/>
        <w:noProof/>
        <w:sz w:val="44"/>
      </w:rPr>
      <w:drawing>
        <wp:anchor distT="0" distB="0" distL="114300" distR="114300" simplePos="0" relativeHeight="251659264" behindDoc="0" locked="0" layoutInCell="1" allowOverlap="1" wp14:anchorId="15ED410D" wp14:editId="2D10318A">
          <wp:simplePos x="0" y="0"/>
          <wp:positionH relativeFrom="margin">
            <wp:posOffset>0</wp:posOffset>
          </wp:positionH>
          <wp:positionV relativeFrom="paragraph">
            <wp:posOffset>-38304</wp:posOffset>
          </wp:positionV>
          <wp:extent cx="1710000" cy="1436138"/>
          <wp:effectExtent l="0" t="0" r="508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00" cy="14361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A3D2E2" w14:textId="0626CADB" w:rsidR="0078767C" w:rsidRPr="004272C8" w:rsidRDefault="002F33AC" w:rsidP="0078767C">
    <w:pPr>
      <w:pStyle w:val="Header"/>
      <w:spacing w:after="520"/>
      <w:jc w:val="right"/>
      <w:rPr>
        <w:rFonts w:ascii="Arial" w:hAnsi="Arial" w:cs="Arial"/>
        <w:b/>
        <w:sz w:val="44"/>
        <w:szCs w:val="44"/>
        <w:lang w:val="en-GB"/>
      </w:rPr>
    </w:pPr>
    <w:bookmarkStart w:id="1" w:name="_Hlk133506479"/>
    <w:r w:rsidRPr="00565238">
      <w:rPr>
        <w:rFonts w:ascii="Arial" w:hAnsi="Arial"/>
        <w:b/>
        <w:sz w:val="44"/>
        <w:lang w:val="pt-PT"/>
      </w:rPr>
      <w:t>18.COM WG ART18</w:t>
    </w:r>
  </w:p>
  <w:bookmarkEnd w:id="1"/>
  <w:p w14:paraId="306484B8" w14:textId="795116F9" w:rsidR="00D95C4C" w:rsidRPr="004272C8" w:rsidRDefault="00C5776D" w:rsidP="00C5776D">
    <w:pPr>
      <w:jc w:val="right"/>
      <w:rPr>
        <w:rFonts w:ascii="Arial" w:hAnsi="Arial" w:cs="Arial"/>
        <w:b/>
        <w:sz w:val="22"/>
        <w:szCs w:val="22"/>
        <w:lang w:val="en-GB"/>
      </w:rPr>
    </w:pPr>
    <w:r w:rsidRPr="00565238">
      <w:rPr>
        <w:rFonts w:ascii="Arial" w:hAnsi="Arial"/>
        <w:b/>
        <w:sz w:val="22"/>
        <w:lang w:val="pt-PT"/>
      </w:rPr>
      <w:t>LHE/23/</w:t>
    </w:r>
    <w:bookmarkStart w:id="2" w:name="_Hlk133506473"/>
    <w:r w:rsidRPr="00565238">
      <w:rPr>
        <w:rFonts w:ascii="Arial" w:hAnsi="Arial"/>
        <w:b/>
        <w:sz w:val="22"/>
        <w:lang w:val="pt-PT"/>
      </w:rPr>
      <w:t>18.COM WG ART18</w:t>
    </w:r>
    <w:bookmarkEnd w:id="2"/>
    <w:r w:rsidRPr="00565238">
      <w:rPr>
        <w:rFonts w:ascii="Arial" w:hAnsi="Arial"/>
        <w:b/>
        <w:sz w:val="22"/>
        <w:lang w:val="pt-PT"/>
      </w:rPr>
      <w:t>/2</w:t>
    </w:r>
  </w:p>
  <w:p w14:paraId="1B4446C3" w14:textId="71833CB0" w:rsidR="00D95C4C" w:rsidRPr="00565238" w:rsidRDefault="00D95C4C" w:rsidP="00655736">
    <w:pPr>
      <w:jc w:val="right"/>
      <w:rPr>
        <w:rFonts w:ascii="Arial" w:eastAsiaTheme="minorEastAsia" w:hAnsi="Arial" w:cs="Arial"/>
        <w:b/>
        <w:sz w:val="22"/>
        <w:szCs w:val="22"/>
      </w:rPr>
    </w:pPr>
    <w:r w:rsidRPr="00565238">
      <w:rPr>
        <w:rFonts w:ascii="Arial" w:hAnsi="Arial"/>
        <w:b/>
        <w:sz w:val="22"/>
        <w:lang w:val="pt-PT"/>
      </w:rPr>
      <w:t>Paris, le 6 juin 2023</w:t>
    </w:r>
  </w:p>
  <w:p w14:paraId="255B57FF" w14:textId="52B20E36" w:rsidR="00D95C4C" w:rsidRPr="00565238" w:rsidRDefault="00D95C4C" w:rsidP="00962034">
    <w:pPr>
      <w:spacing w:after="120"/>
      <w:jc w:val="right"/>
      <w:rPr>
        <w:rFonts w:ascii="Arial" w:hAnsi="Arial" w:cs="Arial"/>
        <w:b/>
        <w:sz w:val="22"/>
        <w:szCs w:val="22"/>
      </w:rPr>
    </w:pPr>
    <w:r w:rsidRPr="00565238">
      <w:rPr>
        <w:rFonts w:ascii="Arial" w:hAnsi="Arial"/>
        <w:b/>
        <w:sz w:val="22"/>
      </w:rPr>
      <w:t>Original : anglais</w:t>
    </w:r>
  </w:p>
  <w:p w14:paraId="3C4B8B1B" w14:textId="77777777" w:rsidR="00D95C4C" w:rsidRPr="00565238" w:rsidRDefault="00D95C4C">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B64026C"/>
    <w:multiLevelType w:val="hybridMultilevel"/>
    <w:tmpl w:val="47C6FB5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BA40D70"/>
    <w:multiLevelType w:val="hybridMultilevel"/>
    <w:tmpl w:val="FA48674E"/>
    <w:lvl w:ilvl="0" w:tplc="FFFFFFFF">
      <w:start w:val="1"/>
      <w:numFmt w:val="upperLetter"/>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15:restartNumberingAfterBreak="0">
    <w:nsid w:val="1E1D6D65"/>
    <w:multiLevelType w:val="hybridMultilevel"/>
    <w:tmpl w:val="F58C85E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FCB6519"/>
    <w:multiLevelType w:val="hybridMultilevel"/>
    <w:tmpl w:val="8C54D918"/>
    <w:lvl w:ilvl="0" w:tplc="10ACF596">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5" w15:restartNumberingAfterBreak="0">
    <w:nsid w:val="29497D4C"/>
    <w:multiLevelType w:val="hybridMultilevel"/>
    <w:tmpl w:val="42A63E7E"/>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2C196BF0"/>
    <w:multiLevelType w:val="hybridMultilevel"/>
    <w:tmpl w:val="4F528278"/>
    <w:lvl w:ilvl="0" w:tplc="D480F024">
      <w:start w:val="1"/>
      <w:numFmt w:val="decimal"/>
      <w:pStyle w:val="1GAPara"/>
      <w:lvlText w:val="%1."/>
      <w:lvlJc w:val="left"/>
      <w:pPr>
        <w:ind w:left="153" w:hanging="360"/>
      </w:p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7"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C627CF4"/>
    <w:multiLevelType w:val="hybridMultilevel"/>
    <w:tmpl w:val="FA48674E"/>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2146270374">
    <w:abstractNumId w:val="0"/>
  </w:num>
  <w:num w:numId="2" w16cid:durableId="1533764642">
    <w:abstractNumId w:val="7"/>
  </w:num>
  <w:num w:numId="3" w16cid:durableId="1246129">
    <w:abstractNumId w:val="8"/>
  </w:num>
  <w:num w:numId="4" w16cid:durableId="1088770206">
    <w:abstractNumId w:val="9"/>
  </w:num>
  <w:num w:numId="5" w16cid:durableId="1263951029">
    <w:abstractNumId w:val="10"/>
  </w:num>
  <w:num w:numId="6" w16cid:durableId="540821319">
    <w:abstractNumId w:val="2"/>
  </w:num>
  <w:num w:numId="7" w16cid:durableId="44567868">
    <w:abstractNumId w:val="6"/>
  </w:num>
  <w:num w:numId="8" w16cid:durableId="1652631429">
    <w:abstractNumId w:val="1"/>
  </w:num>
  <w:num w:numId="9" w16cid:durableId="1054962475">
    <w:abstractNumId w:val="4"/>
  </w:num>
  <w:num w:numId="10" w16cid:durableId="1282223481">
    <w:abstractNumId w:val="5"/>
  </w:num>
  <w:num w:numId="11" w16cid:durableId="1682050477">
    <w:abstractNumId w:val="3"/>
  </w:num>
  <w:num w:numId="12" w16cid:durableId="983385547">
    <w:abstractNumId w:val="7"/>
  </w:num>
  <w:num w:numId="13" w16cid:durableId="1393387073">
    <w:abstractNumId w:val="7"/>
  </w:num>
  <w:num w:numId="14" w16cid:durableId="525337011">
    <w:abstractNumId w:val="7"/>
  </w:num>
  <w:num w:numId="15" w16cid:durableId="2036269913">
    <w:abstractNumId w:val="7"/>
  </w:num>
  <w:num w:numId="16" w16cid:durableId="1974366798">
    <w:abstractNumId w:val="7"/>
  </w:num>
  <w:num w:numId="17" w16cid:durableId="971709120">
    <w:abstractNumId w:val="7"/>
  </w:num>
  <w:num w:numId="18" w16cid:durableId="12505103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48ED"/>
    <w:rsid w:val="000049FF"/>
    <w:rsid w:val="00006BAD"/>
    <w:rsid w:val="000130DB"/>
    <w:rsid w:val="00013DE9"/>
    <w:rsid w:val="00014915"/>
    <w:rsid w:val="000200FC"/>
    <w:rsid w:val="00041A66"/>
    <w:rsid w:val="00041AFB"/>
    <w:rsid w:val="00042D88"/>
    <w:rsid w:val="0005176E"/>
    <w:rsid w:val="0006430F"/>
    <w:rsid w:val="000669CC"/>
    <w:rsid w:val="00073DEA"/>
    <w:rsid w:val="00074EB4"/>
    <w:rsid w:val="000765F7"/>
    <w:rsid w:val="0007725F"/>
    <w:rsid w:val="00077AB7"/>
    <w:rsid w:val="00081CD8"/>
    <w:rsid w:val="00090884"/>
    <w:rsid w:val="00092324"/>
    <w:rsid w:val="000A1169"/>
    <w:rsid w:val="000A6587"/>
    <w:rsid w:val="000A7F0E"/>
    <w:rsid w:val="000B1C8F"/>
    <w:rsid w:val="000B301B"/>
    <w:rsid w:val="000C0D61"/>
    <w:rsid w:val="000C12F9"/>
    <w:rsid w:val="000F3A3F"/>
    <w:rsid w:val="00102557"/>
    <w:rsid w:val="00102FFA"/>
    <w:rsid w:val="001070C4"/>
    <w:rsid w:val="00111526"/>
    <w:rsid w:val="00116C7E"/>
    <w:rsid w:val="00131BFA"/>
    <w:rsid w:val="00133A69"/>
    <w:rsid w:val="00147A38"/>
    <w:rsid w:val="00151343"/>
    <w:rsid w:val="00163EB0"/>
    <w:rsid w:val="00164D56"/>
    <w:rsid w:val="00167B10"/>
    <w:rsid w:val="0017402F"/>
    <w:rsid w:val="00181A76"/>
    <w:rsid w:val="001867DD"/>
    <w:rsid w:val="00190205"/>
    <w:rsid w:val="00196C1B"/>
    <w:rsid w:val="001A0118"/>
    <w:rsid w:val="001A2A16"/>
    <w:rsid w:val="001A7FC2"/>
    <w:rsid w:val="001B0F73"/>
    <w:rsid w:val="001B5321"/>
    <w:rsid w:val="001B623E"/>
    <w:rsid w:val="001C2DB7"/>
    <w:rsid w:val="001C5D68"/>
    <w:rsid w:val="001D14FE"/>
    <w:rsid w:val="001D5C04"/>
    <w:rsid w:val="001E62D7"/>
    <w:rsid w:val="001F26CF"/>
    <w:rsid w:val="002053BB"/>
    <w:rsid w:val="00222A2D"/>
    <w:rsid w:val="00223029"/>
    <w:rsid w:val="00224393"/>
    <w:rsid w:val="002245EA"/>
    <w:rsid w:val="0022544E"/>
    <w:rsid w:val="00234745"/>
    <w:rsid w:val="002351A6"/>
    <w:rsid w:val="002407AF"/>
    <w:rsid w:val="00245501"/>
    <w:rsid w:val="00247194"/>
    <w:rsid w:val="002471D8"/>
    <w:rsid w:val="0025150F"/>
    <w:rsid w:val="00254B26"/>
    <w:rsid w:val="002620DC"/>
    <w:rsid w:val="0026221A"/>
    <w:rsid w:val="0027466B"/>
    <w:rsid w:val="002814F6"/>
    <w:rsid w:val="002838A5"/>
    <w:rsid w:val="00284025"/>
    <w:rsid w:val="00285BB4"/>
    <w:rsid w:val="002900BB"/>
    <w:rsid w:val="0029039F"/>
    <w:rsid w:val="002B3B09"/>
    <w:rsid w:val="002B709F"/>
    <w:rsid w:val="002C09E3"/>
    <w:rsid w:val="002C6A2C"/>
    <w:rsid w:val="002C7022"/>
    <w:rsid w:val="002D1244"/>
    <w:rsid w:val="002D2CEC"/>
    <w:rsid w:val="002E21B2"/>
    <w:rsid w:val="002F33AC"/>
    <w:rsid w:val="0030254A"/>
    <w:rsid w:val="003046FA"/>
    <w:rsid w:val="00311A66"/>
    <w:rsid w:val="00315D7F"/>
    <w:rsid w:val="00324843"/>
    <w:rsid w:val="00337CEB"/>
    <w:rsid w:val="00344B58"/>
    <w:rsid w:val="0034539A"/>
    <w:rsid w:val="00345CB4"/>
    <w:rsid w:val="0034794D"/>
    <w:rsid w:val="0035176B"/>
    <w:rsid w:val="00361EA9"/>
    <w:rsid w:val="00367087"/>
    <w:rsid w:val="003676DD"/>
    <w:rsid w:val="00375D42"/>
    <w:rsid w:val="003767E0"/>
    <w:rsid w:val="003767EF"/>
    <w:rsid w:val="0037790B"/>
    <w:rsid w:val="003913C8"/>
    <w:rsid w:val="00392CD0"/>
    <w:rsid w:val="003944F1"/>
    <w:rsid w:val="003A1D26"/>
    <w:rsid w:val="003A7A4A"/>
    <w:rsid w:val="003B1D4E"/>
    <w:rsid w:val="003B3F9F"/>
    <w:rsid w:val="003B4416"/>
    <w:rsid w:val="003C06F2"/>
    <w:rsid w:val="003D069C"/>
    <w:rsid w:val="003D7646"/>
    <w:rsid w:val="003F113A"/>
    <w:rsid w:val="003F3E63"/>
    <w:rsid w:val="003F46D0"/>
    <w:rsid w:val="00407480"/>
    <w:rsid w:val="00414643"/>
    <w:rsid w:val="004272C8"/>
    <w:rsid w:val="00427E05"/>
    <w:rsid w:val="004301B1"/>
    <w:rsid w:val="004313C4"/>
    <w:rsid w:val="00437B21"/>
    <w:rsid w:val="004421E5"/>
    <w:rsid w:val="00443412"/>
    <w:rsid w:val="00452284"/>
    <w:rsid w:val="0045488F"/>
    <w:rsid w:val="00455352"/>
    <w:rsid w:val="00457C8E"/>
    <w:rsid w:val="00465CA6"/>
    <w:rsid w:val="00480175"/>
    <w:rsid w:val="004856CA"/>
    <w:rsid w:val="00487E67"/>
    <w:rsid w:val="004906B7"/>
    <w:rsid w:val="00490D37"/>
    <w:rsid w:val="00492F27"/>
    <w:rsid w:val="00495D78"/>
    <w:rsid w:val="0049705E"/>
    <w:rsid w:val="004A2875"/>
    <w:rsid w:val="004A2EC5"/>
    <w:rsid w:val="004A34A0"/>
    <w:rsid w:val="004B001D"/>
    <w:rsid w:val="004B0A34"/>
    <w:rsid w:val="004B580F"/>
    <w:rsid w:val="004C10D4"/>
    <w:rsid w:val="004C7C82"/>
    <w:rsid w:val="004F4D72"/>
    <w:rsid w:val="005008A8"/>
    <w:rsid w:val="00503EC5"/>
    <w:rsid w:val="005103EB"/>
    <w:rsid w:val="00515833"/>
    <w:rsid w:val="00517FD8"/>
    <w:rsid w:val="005202D7"/>
    <w:rsid w:val="0052492C"/>
    <w:rsid w:val="00526B7B"/>
    <w:rsid w:val="005274D2"/>
    <w:rsid w:val="00527EDA"/>
    <w:rsid w:val="005308CE"/>
    <w:rsid w:val="005326DB"/>
    <w:rsid w:val="0053318C"/>
    <w:rsid w:val="00541DE3"/>
    <w:rsid w:val="00550478"/>
    <w:rsid w:val="00553FAE"/>
    <w:rsid w:val="00554BDD"/>
    <w:rsid w:val="00561AB9"/>
    <w:rsid w:val="00565238"/>
    <w:rsid w:val="0057058D"/>
    <w:rsid w:val="00571178"/>
    <w:rsid w:val="0057439C"/>
    <w:rsid w:val="005765CE"/>
    <w:rsid w:val="005960FA"/>
    <w:rsid w:val="005A1C04"/>
    <w:rsid w:val="005B0127"/>
    <w:rsid w:val="005B7A35"/>
    <w:rsid w:val="005C4B73"/>
    <w:rsid w:val="005E1D2B"/>
    <w:rsid w:val="005E1D62"/>
    <w:rsid w:val="005E7074"/>
    <w:rsid w:val="005F2BAF"/>
    <w:rsid w:val="00600D93"/>
    <w:rsid w:val="0060125E"/>
    <w:rsid w:val="00620C94"/>
    <w:rsid w:val="006247B3"/>
    <w:rsid w:val="00626BEA"/>
    <w:rsid w:val="0063300C"/>
    <w:rsid w:val="0063346B"/>
    <w:rsid w:val="006350CF"/>
    <w:rsid w:val="00637991"/>
    <w:rsid w:val="00646B3C"/>
    <w:rsid w:val="00651A5B"/>
    <w:rsid w:val="00655736"/>
    <w:rsid w:val="006566F7"/>
    <w:rsid w:val="00663B8D"/>
    <w:rsid w:val="00671521"/>
    <w:rsid w:val="0067208B"/>
    <w:rsid w:val="006944E0"/>
    <w:rsid w:val="00696C8D"/>
    <w:rsid w:val="006A2AC2"/>
    <w:rsid w:val="006A3617"/>
    <w:rsid w:val="006B2BAA"/>
    <w:rsid w:val="006B4452"/>
    <w:rsid w:val="006B739D"/>
    <w:rsid w:val="006B7CF6"/>
    <w:rsid w:val="006E3426"/>
    <w:rsid w:val="006E46E4"/>
    <w:rsid w:val="006E6D0F"/>
    <w:rsid w:val="006E75EB"/>
    <w:rsid w:val="006F1EF9"/>
    <w:rsid w:val="0070689B"/>
    <w:rsid w:val="00710D65"/>
    <w:rsid w:val="00717288"/>
    <w:rsid w:val="00717DA5"/>
    <w:rsid w:val="00721CBB"/>
    <w:rsid w:val="0072280B"/>
    <w:rsid w:val="00727771"/>
    <w:rsid w:val="007333D0"/>
    <w:rsid w:val="00734421"/>
    <w:rsid w:val="00737253"/>
    <w:rsid w:val="00744484"/>
    <w:rsid w:val="00746BCA"/>
    <w:rsid w:val="00747566"/>
    <w:rsid w:val="00747CEF"/>
    <w:rsid w:val="0075065A"/>
    <w:rsid w:val="00761A9B"/>
    <w:rsid w:val="00773188"/>
    <w:rsid w:val="00773A6C"/>
    <w:rsid w:val="00777D09"/>
    <w:rsid w:val="00782E9D"/>
    <w:rsid w:val="00783782"/>
    <w:rsid w:val="00784B8C"/>
    <w:rsid w:val="00784C6A"/>
    <w:rsid w:val="0078700A"/>
    <w:rsid w:val="0078767C"/>
    <w:rsid w:val="007879E1"/>
    <w:rsid w:val="0079102C"/>
    <w:rsid w:val="007A10BD"/>
    <w:rsid w:val="007B389E"/>
    <w:rsid w:val="007B3D37"/>
    <w:rsid w:val="007B518E"/>
    <w:rsid w:val="007B561A"/>
    <w:rsid w:val="007E57AA"/>
    <w:rsid w:val="00803E5F"/>
    <w:rsid w:val="00807902"/>
    <w:rsid w:val="0081482C"/>
    <w:rsid w:val="00823A11"/>
    <w:rsid w:val="00823B8D"/>
    <w:rsid w:val="008314E8"/>
    <w:rsid w:val="008374EF"/>
    <w:rsid w:val="00837B31"/>
    <w:rsid w:val="0085405E"/>
    <w:rsid w:val="0085414A"/>
    <w:rsid w:val="00857EB9"/>
    <w:rsid w:val="0086269D"/>
    <w:rsid w:val="0086543A"/>
    <w:rsid w:val="00865630"/>
    <w:rsid w:val="0086584C"/>
    <w:rsid w:val="008724E5"/>
    <w:rsid w:val="00874F0E"/>
    <w:rsid w:val="008751F0"/>
    <w:rsid w:val="008765C9"/>
    <w:rsid w:val="00876DCA"/>
    <w:rsid w:val="00884A9D"/>
    <w:rsid w:val="0088512B"/>
    <w:rsid w:val="008A2B2D"/>
    <w:rsid w:val="008A4E1E"/>
    <w:rsid w:val="008A5249"/>
    <w:rsid w:val="008A6458"/>
    <w:rsid w:val="008C296C"/>
    <w:rsid w:val="008C3DBA"/>
    <w:rsid w:val="008D4305"/>
    <w:rsid w:val="008E0E34"/>
    <w:rsid w:val="008E1A85"/>
    <w:rsid w:val="008E344F"/>
    <w:rsid w:val="008F13F1"/>
    <w:rsid w:val="008F167A"/>
    <w:rsid w:val="008F2CCC"/>
    <w:rsid w:val="00900024"/>
    <w:rsid w:val="009136F6"/>
    <w:rsid w:val="009163A7"/>
    <w:rsid w:val="00937D53"/>
    <w:rsid w:val="009407CE"/>
    <w:rsid w:val="00946D0B"/>
    <w:rsid w:val="009511EE"/>
    <w:rsid w:val="00955877"/>
    <w:rsid w:val="0096155E"/>
    <w:rsid w:val="00962034"/>
    <w:rsid w:val="00972E0E"/>
    <w:rsid w:val="00977182"/>
    <w:rsid w:val="00981B98"/>
    <w:rsid w:val="00985016"/>
    <w:rsid w:val="009A18CD"/>
    <w:rsid w:val="009A202C"/>
    <w:rsid w:val="009B34B0"/>
    <w:rsid w:val="009B798E"/>
    <w:rsid w:val="009C1B93"/>
    <w:rsid w:val="009C2E63"/>
    <w:rsid w:val="009D40E5"/>
    <w:rsid w:val="009D5428"/>
    <w:rsid w:val="009F0E56"/>
    <w:rsid w:val="00A002E8"/>
    <w:rsid w:val="00A1096B"/>
    <w:rsid w:val="00A10CD1"/>
    <w:rsid w:val="00A12054"/>
    <w:rsid w:val="00A12558"/>
    <w:rsid w:val="00A13903"/>
    <w:rsid w:val="00A200C1"/>
    <w:rsid w:val="00A27D73"/>
    <w:rsid w:val="00A32996"/>
    <w:rsid w:val="00A330E0"/>
    <w:rsid w:val="00A34ED5"/>
    <w:rsid w:val="00A449A1"/>
    <w:rsid w:val="00A45537"/>
    <w:rsid w:val="00A45DBF"/>
    <w:rsid w:val="00A52CE1"/>
    <w:rsid w:val="00A556DD"/>
    <w:rsid w:val="00A61049"/>
    <w:rsid w:val="00A725CF"/>
    <w:rsid w:val="00A755A2"/>
    <w:rsid w:val="00A91430"/>
    <w:rsid w:val="00A94DE5"/>
    <w:rsid w:val="00AA1B82"/>
    <w:rsid w:val="00AA590D"/>
    <w:rsid w:val="00AA6660"/>
    <w:rsid w:val="00AB1AC2"/>
    <w:rsid w:val="00AB2C36"/>
    <w:rsid w:val="00AB6DDE"/>
    <w:rsid w:val="00AB70B6"/>
    <w:rsid w:val="00AC18C1"/>
    <w:rsid w:val="00AC5363"/>
    <w:rsid w:val="00AC6BDB"/>
    <w:rsid w:val="00AD1A86"/>
    <w:rsid w:val="00AD4342"/>
    <w:rsid w:val="00AD5C46"/>
    <w:rsid w:val="00AE103E"/>
    <w:rsid w:val="00AE6249"/>
    <w:rsid w:val="00AE7A17"/>
    <w:rsid w:val="00AF0A07"/>
    <w:rsid w:val="00AF4AEC"/>
    <w:rsid w:val="00AF625E"/>
    <w:rsid w:val="00B0244F"/>
    <w:rsid w:val="00B109C5"/>
    <w:rsid w:val="00B11027"/>
    <w:rsid w:val="00B139BE"/>
    <w:rsid w:val="00B2172B"/>
    <w:rsid w:val="00B34428"/>
    <w:rsid w:val="00B459BA"/>
    <w:rsid w:val="00B50865"/>
    <w:rsid w:val="00B532B0"/>
    <w:rsid w:val="00B550F9"/>
    <w:rsid w:val="00B57CAB"/>
    <w:rsid w:val="00B67CF4"/>
    <w:rsid w:val="00B846E9"/>
    <w:rsid w:val="00B917D2"/>
    <w:rsid w:val="00B97EB3"/>
    <w:rsid w:val="00BA241A"/>
    <w:rsid w:val="00BA6498"/>
    <w:rsid w:val="00BA74A2"/>
    <w:rsid w:val="00BB04AF"/>
    <w:rsid w:val="00BB6EEC"/>
    <w:rsid w:val="00BB75E4"/>
    <w:rsid w:val="00BC2E6A"/>
    <w:rsid w:val="00BD4B5B"/>
    <w:rsid w:val="00BD52C9"/>
    <w:rsid w:val="00BD7335"/>
    <w:rsid w:val="00BD7493"/>
    <w:rsid w:val="00BE15CC"/>
    <w:rsid w:val="00BE6354"/>
    <w:rsid w:val="00BF34EC"/>
    <w:rsid w:val="00C005C7"/>
    <w:rsid w:val="00C138D1"/>
    <w:rsid w:val="00C23A97"/>
    <w:rsid w:val="00C336E8"/>
    <w:rsid w:val="00C338C7"/>
    <w:rsid w:val="00C42D34"/>
    <w:rsid w:val="00C52EBE"/>
    <w:rsid w:val="00C538F8"/>
    <w:rsid w:val="00C54480"/>
    <w:rsid w:val="00C56406"/>
    <w:rsid w:val="00C5776D"/>
    <w:rsid w:val="00C64855"/>
    <w:rsid w:val="00C657FF"/>
    <w:rsid w:val="00C663F7"/>
    <w:rsid w:val="00C664B8"/>
    <w:rsid w:val="00C70647"/>
    <w:rsid w:val="00C70EA7"/>
    <w:rsid w:val="00C731E4"/>
    <w:rsid w:val="00C7433F"/>
    <w:rsid w:val="00C7516E"/>
    <w:rsid w:val="00C75770"/>
    <w:rsid w:val="00C96D81"/>
    <w:rsid w:val="00CA166A"/>
    <w:rsid w:val="00CA56BB"/>
    <w:rsid w:val="00CB0542"/>
    <w:rsid w:val="00CC3A56"/>
    <w:rsid w:val="00CC4A1F"/>
    <w:rsid w:val="00CC6970"/>
    <w:rsid w:val="00CF5E1C"/>
    <w:rsid w:val="00CF6BE1"/>
    <w:rsid w:val="00D00B2B"/>
    <w:rsid w:val="00D13260"/>
    <w:rsid w:val="00D24877"/>
    <w:rsid w:val="00D43464"/>
    <w:rsid w:val="00D47AAD"/>
    <w:rsid w:val="00D502DB"/>
    <w:rsid w:val="00D5384B"/>
    <w:rsid w:val="00D56ED1"/>
    <w:rsid w:val="00D63318"/>
    <w:rsid w:val="00D7105A"/>
    <w:rsid w:val="00D74FF0"/>
    <w:rsid w:val="00D8250F"/>
    <w:rsid w:val="00D86BB3"/>
    <w:rsid w:val="00D91072"/>
    <w:rsid w:val="00D95C4C"/>
    <w:rsid w:val="00DA36ED"/>
    <w:rsid w:val="00DA494B"/>
    <w:rsid w:val="00DB5276"/>
    <w:rsid w:val="00DB79B9"/>
    <w:rsid w:val="00DC6476"/>
    <w:rsid w:val="00DE1A75"/>
    <w:rsid w:val="00DE34F1"/>
    <w:rsid w:val="00DE4DE2"/>
    <w:rsid w:val="00DE6160"/>
    <w:rsid w:val="00DF4942"/>
    <w:rsid w:val="00E02711"/>
    <w:rsid w:val="00E06423"/>
    <w:rsid w:val="00E16293"/>
    <w:rsid w:val="00E1746D"/>
    <w:rsid w:val="00E2125F"/>
    <w:rsid w:val="00E244E1"/>
    <w:rsid w:val="00E31AB2"/>
    <w:rsid w:val="00E3331B"/>
    <w:rsid w:val="00E37AF3"/>
    <w:rsid w:val="00E41185"/>
    <w:rsid w:val="00E4150C"/>
    <w:rsid w:val="00E417E5"/>
    <w:rsid w:val="00E42B8A"/>
    <w:rsid w:val="00E47C0A"/>
    <w:rsid w:val="00E6235D"/>
    <w:rsid w:val="00E627B1"/>
    <w:rsid w:val="00E65167"/>
    <w:rsid w:val="00E70169"/>
    <w:rsid w:val="00E765BA"/>
    <w:rsid w:val="00E841C4"/>
    <w:rsid w:val="00E9376C"/>
    <w:rsid w:val="00E95AE2"/>
    <w:rsid w:val="00EA335E"/>
    <w:rsid w:val="00EA3AC7"/>
    <w:rsid w:val="00EA528C"/>
    <w:rsid w:val="00EA580C"/>
    <w:rsid w:val="00EC6F8D"/>
    <w:rsid w:val="00ED39B2"/>
    <w:rsid w:val="00EE49F4"/>
    <w:rsid w:val="00EF2A07"/>
    <w:rsid w:val="00EF34E2"/>
    <w:rsid w:val="00F07031"/>
    <w:rsid w:val="00F14411"/>
    <w:rsid w:val="00F176B9"/>
    <w:rsid w:val="00F21CCA"/>
    <w:rsid w:val="00F25EF3"/>
    <w:rsid w:val="00F30DC6"/>
    <w:rsid w:val="00F31F96"/>
    <w:rsid w:val="00F32573"/>
    <w:rsid w:val="00F32C23"/>
    <w:rsid w:val="00F43951"/>
    <w:rsid w:val="00F500D4"/>
    <w:rsid w:val="00F53DE9"/>
    <w:rsid w:val="00F576CB"/>
    <w:rsid w:val="00F7035D"/>
    <w:rsid w:val="00F70CC5"/>
    <w:rsid w:val="00F716CA"/>
    <w:rsid w:val="00F71A02"/>
    <w:rsid w:val="00F87F27"/>
    <w:rsid w:val="00FA0D63"/>
    <w:rsid w:val="00FA1C2E"/>
    <w:rsid w:val="00FA35A9"/>
    <w:rsid w:val="00FC2531"/>
    <w:rsid w:val="00FC3477"/>
    <w:rsid w:val="00FD1226"/>
    <w:rsid w:val="00FD4BC8"/>
    <w:rsid w:val="00FF390B"/>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fr-FR"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3"/>
      </w:numPr>
      <w:autoSpaceDE w:val="0"/>
      <w:autoSpaceDN w:val="0"/>
      <w:adjustRightInd w:val="0"/>
      <w:spacing w:after="120"/>
      <w:ind w:left="1134" w:hanging="567"/>
      <w:jc w:val="both"/>
    </w:pPr>
    <w:rPr>
      <w:rFonts w:ascii="Arial" w:eastAsia="SimSun" w:hAnsi="Arial" w:cs="Arial"/>
      <w:sz w:val="22"/>
      <w:szCs w:val="22"/>
      <w:u w:val="single"/>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A2875"/>
    <w:pPr>
      <w:ind w:left="720"/>
      <w:contextualSpacing/>
    </w:pPr>
  </w:style>
  <w:style w:type="paragraph" w:styleId="FootnoteText">
    <w:name w:val="footnote text"/>
    <w:basedOn w:val="Normal"/>
    <w:link w:val="FootnoteTextChar"/>
    <w:uiPriority w:val="99"/>
    <w:semiHidden/>
    <w:unhideWhenUsed/>
    <w:rsid w:val="004313C4"/>
    <w:rPr>
      <w:sz w:val="20"/>
      <w:szCs w:val="20"/>
    </w:rPr>
  </w:style>
  <w:style w:type="character" w:customStyle="1" w:styleId="FootnoteTextChar">
    <w:name w:val="Footnote Text Char"/>
    <w:basedOn w:val="DefaultParagraphFont"/>
    <w:link w:val="FootnoteText"/>
    <w:uiPriority w:val="99"/>
    <w:semiHidden/>
    <w:rsid w:val="004313C4"/>
    <w:rPr>
      <w:rFonts w:ascii="Times New Roman" w:eastAsia="Times New Roman" w:hAnsi="Times New Roman"/>
    </w:rPr>
  </w:style>
  <w:style w:type="character" w:styleId="FootnoteReference">
    <w:name w:val="footnote reference"/>
    <w:basedOn w:val="DefaultParagraphFont"/>
    <w:uiPriority w:val="99"/>
    <w:semiHidden/>
    <w:unhideWhenUsed/>
    <w:rsid w:val="004313C4"/>
    <w:rPr>
      <w:vertAlign w:val="superscript"/>
    </w:rPr>
  </w:style>
  <w:style w:type="character" w:styleId="Hyperlink">
    <w:name w:val="Hyperlink"/>
    <w:basedOn w:val="DefaultParagraphFont"/>
    <w:uiPriority w:val="99"/>
    <w:unhideWhenUsed/>
    <w:rsid w:val="00807902"/>
    <w:rPr>
      <w:color w:val="0000FF" w:themeColor="hyperlink"/>
      <w:u w:val="single"/>
    </w:rPr>
  </w:style>
  <w:style w:type="character" w:styleId="UnresolvedMention">
    <w:name w:val="Unresolved Mention"/>
    <w:basedOn w:val="DefaultParagraphFont"/>
    <w:uiPriority w:val="99"/>
    <w:semiHidden/>
    <w:unhideWhenUsed/>
    <w:rsid w:val="00807902"/>
    <w:rPr>
      <w:color w:val="605E5C"/>
      <w:shd w:val="clear" w:color="auto" w:fill="E1DFDD"/>
    </w:rPr>
  </w:style>
  <w:style w:type="paragraph" w:customStyle="1" w:styleId="1GAPara">
    <w:name w:val="1. GA Para"/>
    <w:qFormat/>
    <w:rsid w:val="009136F6"/>
    <w:pPr>
      <w:numPr>
        <w:numId w:val="7"/>
      </w:numPr>
      <w:spacing w:after="120"/>
      <w:jc w:val="both"/>
    </w:pPr>
    <w:rPr>
      <w:rFonts w:ascii="Arial" w:eastAsia="DengXian" w:hAnsi="Arial" w:cs="Arial"/>
      <w:snapToGrid w:val="0"/>
      <w:sz w:val="22"/>
      <w:szCs w:val="22"/>
      <w:lang w:eastAsia="zh-CN"/>
    </w:rPr>
  </w:style>
  <w:style w:type="table" w:styleId="GridTable4-Accent1">
    <w:name w:val="Grid Table 4 Accent 1"/>
    <w:basedOn w:val="TableNormal"/>
    <w:uiPriority w:val="49"/>
    <w:rsid w:val="009136F6"/>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ps">
    <w:name w:val="hps"/>
    <w:rsid w:val="001A0118"/>
  </w:style>
  <w:style w:type="character" w:customStyle="1" w:styleId="MargeChar">
    <w:name w:val="Marge Char"/>
    <w:link w:val="Marge"/>
    <w:rsid w:val="0067208B"/>
    <w:rPr>
      <w:rFonts w:ascii="Arial" w:eastAsia="Times New Roman" w:hAnsi="Arial"/>
      <w:snapToGrid w:val="0"/>
      <w:sz w:val="22"/>
      <w:szCs w:val="24"/>
      <w:lang w:eastAsia="en-US"/>
    </w:rPr>
  </w:style>
  <w:style w:type="character" w:styleId="FollowedHyperlink">
    <w:name w:val="FollowedHyperlink"/>
    <w:basedOn w:val="DefaultParagraphFont"/>
    <w:uiPriority w:val="99"/>
    <w:semiHidden/>
    <w:unhideWhenUsed/>
    <w:rsid w:val="00F87F27"/>
    <w:rPr>
      <w:color w:val="800080" w:themeColor="followedHyperlink"/>
      <w:u w:val="single"/>
    </w:rPr>
  </w:style>
  <w:style w:type="paragraph" w:styleId="Revision">
    <w:name w:val="Revision"/>
    <w:hidden/>
    <w:uiPriority w:val="99"/>
    <w:semiHidden/>
    <w:rsid w:val="008374EF"/>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4F4D72"/>
    <w:rPr>
      <w:sz w:val="16"/>
      <w:szCs w:val="16"/>
    </w:rPr>
  </w:style>
  <w:style w:type="paragraph" w:styleId="CommentText">
    <w:name w:val="annotation text"/>
    <w:basedOn w:val="Normal"/>
    <w:link w:val="CommentTextChar"/>
    <w:uiPriority w:val="99"/>
    <w:unhideWhenUsed/>
    <w:rsid w:val="004F4D72"/>
    <w:rPr>
      <w:sz w:val="20"/>
      <w:szCs w:val="20"/>
    </w:rPr>
  </w:style>
  <w:style w:type="character" w:customStyle="1" w:styleId="CommentTextChar">
    <w:name w:val="Comment Text Char"/>
    <w:basedOn w:val="DefaultParagraphFont"/>
    <w:link w:val="CommentText"/>
    <w:uiPriority w:val="99"/>
    <w:rsid w:val="004F4D7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F4D72"/>
    <w:rPr>
      <w:b/>
      <w:bCs/>
    </w:rPr>
  </w:style>
  <w:style w:type="character" w:customStyle="1" w:styleId="CommentSubjectChar">
    <w:name w:val="Comment Subject Char"/>
    <w:basedOn w:val="CommentTextChar"/>
    <w:link w:val="CommentSubject"/>
    <w:uiPriority w:val="99"/>
    <w:semiHidden/>
    <w:rsid w:val="004F4D72"/>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Decisions/16.COM/14" TargetMode="External"/><Relationship Id="rId13" Type="http://schemas.openxmlformats.org/officeDocument/2006/relationships/hyperlink" Target="https://ich.unesco.org/fr/Decisions/10.COM/10" TargetMode="External"/><Relationship Id="rId18" Type="http://schemas.openxmlformats.org/officeDocument/2006/relationships/hyperlink" Target="https://ich.unesco.org/fr/Decisions/9.GA/9" TargetMode="External"/><Relationship Id="rId26" Type="http://schemas.openxmlformats.org/officeDocument/2006/relationships/hyperlink" Target="https://ich.unesco.org/fr/Decisions/9.GA/9"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ch.unesco.org/fr/reflexion-sur-une-mise-en-oeuvre-plus-large-de-l-article-18-01302" TargetMode="External"/><Relationship Id="rId34" Type="http://schemas.openxmlformats.org/officeDocument/2006/relationships/hyperlink" Target="https://ich.unesco.org/doc/src/LHE-23-18.COM_WG_ART18-3_EN.docx" TargetMode="External"/><Relationship Id="rId7" Type="http://schemas.openxmlformats.org/officeDocument/2006/relationships/endnotes" Target="endnotes.xml"/><Relationship Id="rId12" Type="http://schemas.openxmlformats.org/officeDocument/2006/relationships/hyperlink" Target="https://ich.unesco.org/fr/Decisions/9.COM/9.b" TargetMode="External"/><Relationship Id="rId17" Type="http://schemas.openxmlformats.org/officeDocument/2006/relationships/hyperlink" Target="https://ich.unesco.org/fr/Decisions/14.COM/5.b" TargetMode="External"/><Relationship Id="rId25" Type="http://schemas.openxmlformats.org/officeDocument/2006/relationships/hyperlink" Target="https://ich.unesco.org/fr/Decisions/5.EXT.COM/4" TargetMode="External"/><Relationship Id="rId33" Type="http://schemas.openxmlformats.org/officeDocument/2006/relationships/hyperlink" Target="https://ich.unesco.org/fr/article-18-groupe-de-travail-intergouvernemental-a-composition-non-limitee-01307"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ch.unesco.org/doc/src/LHE-19-14.COM-5.b-FR.docx" TargetMode="External"/><Relationship Id="rId20" Type="http://schemas.openxmlformats.org/officeDocument/2006/relationships/hyperlink" Target="https://ich.unesco.org/doc/src/LHE-22-17.COM-12-FR.docx" TargetMode="External"/><Relationship Id="rId29" Type="http://schemas.openxmlformats.org/officeDocument/2006/relationships/hyperlink" Target="https://ich.unesco.org/fr/reunion-d-experts-categorie-vi-013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Decisions/8.COM/5.c.1" TargetMode="External"/><Relationship Id="rId24" Type="http://schemas.openxmlformats.org/officeDocument/2006/relationships/hyperlink" Target="https://ich.unesco.org/fr/Decisions/16.COM/14" TargetMode="External"/><Relationship Id="rId32" Type="http://schemas.openxmlformats.org/officeDocument/2006/relationships/hyperlink" Target="https://ich.unesco.org/fr/liste-preliminaire-des-participants-01309"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ch.unesco.org/fr/decisions/13.COM/5" TargetMode="External"/><Relationship Id="rId23" Type="http://schemas.openxmlformats.org/officeDocument/2006/relationships/hyperlink" Target="https://ich.unesco.org/doc/src/LHE-22-17.COM-10-FR.docx" TargetMode="External"/><Relationship Id="rId28" Type="http://schemas.openxmlformats.org/officeDocument/2006/relationships/hyperlink" Target="https://ich.unesco.org/fr/Decisions/17.COM/10" TargetMode="External"/><Relationship Id="rId36" Type="http://schemas.openxmlformats.org/officeDocument/2006/relationships/header" Target="header1.xml"/><Relationship Id="rId10" Type="http://schemas.openxmlformats.org/officeDocument/2006/relationships/hyperlink" Target="https://ich.unesco.org/fr/listes" TargetMode="External"/><Relationship Id="rId19" Type="http://schemas.openxmlformats.org/officeDocument/2006/relationships/hyperlink" Target="https://ich.unesco.org/fr/Decisions/16.COM/14" TargetMode="External"/><Relationship Id="rId31" Type="http://schemas.openxmlformats.org/officeDocument/2006/relationships/hyperlink" Target="https://ich.unesco.org/doc/src/LHE-23-18.COM_WG_ART18-1_FR.docx" TargetMode="External"/><Relationship Id="rId4" Type="http://schemas.openxmlformats.org/officeDocument/2006/relationships/settings" Target="settings.xml"/><Relationship Id="rId9" Type="http://schemas.openxmlformats.org/officeDocument/2006/relationships/hyperlink" Target="https://ich.unesco.org/fr/Decisions/16.COM/14" TargetMode="External"/><Relationship Id="rId14" Type="http://schemas.openxmlformats.org/officeDocument/2006/relationships/hyperlink" Target="https://ich.unesco.org/fr/partager-facilement-les-expriences-de-sauvegarde-00999" TargetMode="External"/><Relationship Id="rId22" Type="http://schemas.openxmlformats.org/officeDocument/2006/relationships/hyperlink" Target="https://ich.unesco.org/fr/Decisions/17.COM/10" TargetMode="External"/><Relationship Id="rId27" Type="http://schemas.openxmlformats.org/officeDocument/2006/relationships/hyperlink" Target="https://ich.unesco.org/fr/Decisions/17.COM/10" TargetMode="External"/><Relationship Id="rId30" Type="http://schemas.openxmlformats.org/officeDocument/2006/relationships/hyperlink" Target="https://ich.unesco.org/doc/src/LHE-23-EXP_ART18-4_FR.docx" TargetMode="External"/><Relationship Id="rId35" Type="http://schemas.openxmlformats.org/officeDocument/2006/relationships/hyperlink" Target="https://ich.unesco.org/doc/src/LHE-23-18.COM_WG_ART18-4_FR.doc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ch.unesco.org/fr/rflexion-globale-sur-les-mcanismes-dinscription-sur-les-listes-01164" TargetMode="External"/><Relationship Id="rId2" Type="http://schemas.openxmlformats.org/officeDocument/2006/relationships/hyperlink" Target="https://ich.unesco.org/fr/partager-facilement-les-expriences-de-sauvegarde-00999" TargetMode="External"/><Relationship Id="rId1" Type="http://schemas.openxmlformats.org/officeDocument/2006/relationships/hyperlink" Target="https://ich.unesco.org/doc/src/00074-EN.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4138</Words>
  <Characters>22765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2023-06-05T13:07:00Z</dcterms:created>
  <dcterms:modified xsi:type="dcterms:W3CDTF">2023-06-06T17:52:00Z</dcterms:modified>
</cp:coreProperties>
</file>