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EA68" w14:textId="5A0D756E" w:rsidR="001578FB" w:rsidRPr="00BB4589" w:rsidRDefault="009069B4">
      <w:pPr>
        <w:spacing w:before="1440"/>
        <w:jc w:val="center"/>
        <w:rPr>
          <w:rFonts w:ascii="Arial" w:hAnsi="Arial" w:cs="Arial"/>
          <w:b/>
          <w:sz w:val="22"/>
          <w:szCs w:val="22"/>
        </w:rPr>
      </w:pPr>
      <w:r w:rsidRPr="00BB4589">
        <w:rPr>
          <w:rFonts w:ascii="Arial" w:hAnsi="Arial" w:cs="Arial"/>
          <w:b/>
          <w:sz w:val="22"/>
          <w:szCs w:val="22"/>
        </w:rPr>
        <w:t>CONVENTION POUR LA SAUVEGARDE DU</w:t>
      </w:r>
      <w:r w:rsidRPr="00BB4589">
        <w:rPr>
          <w:rFonts w:ascii="Arial" w:hAnsi="Arial" w:cs="Arial"/>
          <w:b/>
          <w:sz w:val="22"/>
          <w:szCs w:val="22"/>
        </w:rPr>
        <w:br/>
        <w:t>PATRIMOINE CULTUREL IMMATÉRIEL</w:t>
      </w:r>
    </w:p>
    <w:p w14:paraId="556F0EC4" w14:textId="77777777" w:rsidR="00013D17" w:rsidRPr="003A0AD4" w:rsidRDefault="00013D17" w:rsidP="00013D17">
      <w:pPr>
        <w:spacing w:before="1200"/>
        <w:jc w:val="center"/>
        <w:rPr>
          <w:rFonts w:ascii="Arial" w:hAnsi="Arial" w:cs="Arial"/>
          <w:b/>
          <w:sz w:val="22"/>
          <w:szCs w:val="22"/>
        </w:rPr>
      </w:pPr>
      <w:r>
        <w:rPr>
          <w:rFonts w:ascii="Arial" w:hAnsi="Arial"/>
          <w:b/>
          <w:sz w:val="22"/>
        </w:rPr>
        <w:t>ASSEMBLÉE GÉNÉRALE DES ÉTATS PARTIES À LA CONVENTION</w:t>
      </w:r>
    </w:p>
    <w:p w14:paraId="4DB3ED68" w14:textId="77777777" w:rsidR="001578FB" w:rsidRPr="00BB4589" w:rsidRDefault="009069B4">
      <w:pPr>
        <w:spacing w:before="840"/>
        <w:jc w:val="center"/>
        <w:rPr>
          <w:rFonts w:ascii="Arial" w:hAnsi="Arial" w:cs="Arial"/>
          <w:b/>
          <w:sz w:val="22"/>
          <w:szCs w:val="22"/>
        </w:rPr>
      </w:pPr>
      <w:r w:rsidRPr="00BB4589">
        <w:rPr>
          <w:rFonts w:ascii="Arial" w:hAnsi="Arial" w:cs="Arial"/>
          <w:b/>
          <w:sz w:val="22"/>
          <w:szCs w:val="22"/>
        </w:rPr>
        <w:t xml:space="preserve">Neuvième </w:t>
      </w:r>
      <w:r w:rsidR="00D95C4C" w:rsidRPr="00BB4589">
        <w:rPr>
          <w:rFonts w:ascii="Arial" w:hAnsi="Arial" w:cs="Arial"/>
          <w:b/>
          <w:sz w:val="22"/>
          <w:szCs w:val="22"/>
        </w:rPr>
        <w:t>session</w:t>
      </w:r>
    </w:p>
    <w:p w14:paraId="0AA787BA" w14:textId="67C3BB3D" w:rsidR="001578FB" w:rsidRPr="00BB4589" w:rsidRDefault="009069B4">
      <w:pPr>
        <w:jc w:val="center"/>
        <w:rPr>
          <w:rFonts w:ascii="Arial" w:hAnsi="Arial" w:cs="Arial"/>
          <w:b/>
          <w:sz w:val="22"/>
          <w:szCs w:val="22"/>
        </w:rPr>
      </w:pPr>
      <w:r w:rsidRPr="00BB4589">
        <w:rPr>
          <w:rFonts w:ascii="Arial" w:hAnsi="Arial" w:cs="Arial"/>
          <w:b/>
          <w:sz w:val="22"/>
          <w:szCs w:val="22"/>
        </w:rPr>
        <w:t>Siège de l</w:t>
      </w:r>
      <w:r w:rsidR="00BB4589">
        <w:rPr>
          <w:rFonts w:ascii="Arial" w:hAnsi="Arial" w:cs="Arial"/>
          <w:b/>
          <w:sz w:val="22"/>
          <w:szCs w:val="22"/>
        </w:rPr>
        <w:t>’</w:t>
      </w:r>
      <w:r w:rsidRPr="00BB4589">
        <w:rPr>
          <w:rFonts w:ascii="Arial" w:hAnsi="Arial" w:cs="Arial"/>
          <w:b/>
          <w:sz w:val="22"/>
          <w:szCs w:val="22"/>
        </w:rPr>
        <w:t xml:space="preserve">UNESCO, </w:t>
      </w:r>
      <w:r w:rsidR="00013D17">
        <w:rPr>
          <w:rFonts w:ascii="Arial" w:hAnsi="Arial" w:cs="Arial"/>
          <w:b/>
          <w:sz w:val="22"/>
          <w:szCs w:val="22"/>
        </w:rPr>
        <w:t>S</w:t>
      </w:r>
      <w:r w:rsidRPr="00BB4589">
        <w:rPr>
          <w:rFonts w:ascii="Arial" w:hAnsi="Arial" w:cs="Arial"/>
          <w:b/>
          <w:sz w:val="22"/>
          <w:szCs w:val="22"/>
        </w:rPr>
        <w:t xml:space="preserve">alle </w:t>
      </w:r>
      <w:r w:rsidR="006F41B4" w:rsidRPr="00BB4589">
        <w:rPr>
          <w:rFonts w:ascii="Arial" w:hAnsi="Arial" w:cs="Arial"/>
          <w:b/>
          <w:sz w:val="22"/>
          <w:szCs w:val="22"/>
        </w:rPr>
        <w:t>I</w:t>
      </w:r>
    </w:p>
    <w:p w14:paraId="580E8EFC" w14:textId="4AC843A3" w:rsidR="001578FB" w:rsidRPr="00BB4589" w:rsidRDefault="009069B4">
      <w:pPr>
        <w:jc w:val="center"/>
        <w:rPr>
          <w:rFonts w:ascii="Arial" w:hAnsi="Arial" w:cs="Arial"/>
          <w:b/>
          <w:sz w:val="22"/>
          <w:szCs w:val="22"/>
        </w:rPr>
      </w:pPr>
      <w:r w:rsidRPr="00BB4589">
        <w:rPr>
          <w:rFonts w:ascii="Arial" w:hAnsi="Arial" w:cs="Arial"/>
          <w:b/>
          <w:sz w:val="22"/>
          <w:szCs w:val="22"/>
        </w:rPr>
        <w:t xml:space="preserve">5 </w:t>
      </w:r>
      <w:r w:rsidR="00013D17">
        <w:rPr>
          <w:rFonts w:ascii="Arial" w:hAnsi="Arial" w:cs="Arial"/>
          <w:b/>
          <w:sz w:val="22"/>
          <w:szCs w:val="22"/>
        </w:rPr>
        <w:t>–</w:t>
      </w:r>
      <w:r w:rsidR="00763A0D" w:rsidRPr="00BB4589">
        <w:rPr>
          <w:rFonts w:ascii="Arial" w:hAnsi="Arial" w:cs="Arial"/>
          <w:b/>
          <w:sz w:val="22"/>
          <w:szCs w:val="22"/>
        </w:rPr>
        <w:t xml:space="preserve"> </w:t>
      </w:r>
      <w:r w:rsidRPr="00BB4589">
        <w:rPr>
          <w:rFonts w:ascii="Arial" w:hAnsi="Arial" w:cs="Arial"/>
          <w:b/>
          <w:sz w:val="22"/>
          <w:szCs w:val="22"/>
        </w:rPr>
        <w:t>7</w:t>
      </w:r>
      <w:r w:rsidR="00013D17">
        <w:rPr>
          <w:rFonts w:ascii="Arial" w:hAnsi="Arial" w:cs="Arial"/>
          <w:b/>
          <w:sz w:val="22"/>
          <w:szCs w:val="22"/>
        </w:rPr>
        <w:t xml:space="preserve"> </w:t>
      </w:r>
      <w:r w:rsidRPr="00BB4589">
        <w:rPr>
          <w:rFonts w:ascii="Arial" w:hAnsi="Arial" w:cs="Arial"/>
          <w:b/>
          <w:sz w:val="22"/>
          <w:szCs w:val="22"/>
        </w:rPr>
        <w:t xml:space="preserve">juillet </w:t>
      </w:r>
      <w:r w:rsidR="006F41B4" w:rsidRPr="00BB4589">
        <w:rPr>
          <w:rFonts w:ascii="Arial" w:hAnsi="Arial" w:cs="Arial"/>
          <w:b/>
          <w:sz w:val="22"/>
          <w:szCs w:val="22"/>
        </w:rPr>
        <w:t>2022</w:t>
      </w:r>
    </w:p>
    <w:p w14:paraId="41903E07" w14:textId="2D2ECCB0" w:rsidR="001578FB" w:rsidRPr="00BB4589" w:rsidRDefault="009069B4">
      <w:pPr>
        <w:pStyle w:val="Sansinterligne2"/>
        <w:spacing w:before="1200"/>
        <w:jc w:val="center"/>
        <w:rPr>
          <w:rFonts w:ascii="Arial" w:hAnsi="Arial" w:cs="Arial"/>
          <w:b/>
          <w:sz w:val="22"/>
          <w:szCs w:val="22"/>
        </w:rPr>
      </w:pPr>
      <w:r w:rsidRPr="00BB4589">
        <w:rPr>
          <w:rFonts w:ascii="Arial" w:hAnsi="Arial" w:cs="Arial"/>
          <w:b/>
          <w:sz w:val="22"/>
          <w:szCs w:val="22"/>
          <w:u w:val="single"/>
        </w:rPr>
        <w:t xml:space="preserve">Point </w:t>
      </w:r>
      <w:r w:rsidR="00FC3B53" w:rsidRPr="00BB4589">
        <w:rPr>
          <w:rFonts w:ascii="Arial" w:hAnsi="Arial" w:cs="Arial"/>
          <w:b/>
          <w:sz w:val="22"/>
          <w:szCs w:val="22"/>
          <w:u w:val="single"/>
        </w:rPr>
        <w:t xml:space="preserve">6 </w:t>
      </w:r>
      <w:r w:rsidRPr="00BB4589">
        <w:rPr>
          <w:rFonts w:ascii="Arial" w:hAnsi="Arial" w:cs="Arial"/>
          <w:b/>
          <w:sz w:val="22"/>
          <w:szCs w:val="22"/>
          <w:u w:val="single"/>
        </w:rPr>
        <w:t>de l</w:t>
      </w:r>
      <w:r w:rsidR="00BB4589">
        <w:rPr>
          <w:rFonts w:ascii="Arial" w:hAnsi="Arial" w:cs="Arial"/>
          <w:b/>
          <w:sz w:val="22"/>
          <w:szCs w:val="22"/>
          <w:u w:val="single"/>
        </w:rPr>
        <w:t>’</w:t>
      </w:r>
      <w:r w:rsidRPr="00BB4589">
        <w:rPr>
          <w:rFonts w:ascii="Arial" w:hAnsi="Arial" w:cs="Arial"/>
          <w:b/>
          <w:sz w:val="22"/>
          <w:szCs w:val="22"/>
          <w:u w:val="single"/>
        </w:rPr>
        <w:t>ordre du jour provisoire</w:t>
      </w:r>
      <w:r w:rsidRPr="00013D17">
        <w:rPr>
          <w:rFonts w:ascii="Arial" w:hAnsi="Arial" w:cs="Arial"/>
          <w:b/>
          <w:sz w:val="22"/>
          <w:szCs w:val="22"/>
        </w:rPr>
        <w:t xml:space="preserve"> </w:t>
      </w:r>
      <w:r w:rsidRPr="00BB4589">
        <w:rPr>
          <w:rFonts w:ascii="Arial" w:hAnsi="Arial" w:cs="Arial"/>
          <w:b/>
          <w:sz w:val="22"/>
          <w:szCs w:val="22"/>
        </w:rPr>
        <w:t>:</w:t>
      </w:r>
    </w:p>
    <w:p w14:paraId="55A85C45" w14:textId="77777777" w:rsidR="001578FB" w:rsidRPr="00BB4589" w:rsidRDefault="009069B4">
      <w:pPr>
        <w:pStyle w:val="Sansinterligne2"/>
        <w:jc w:val="center"/>
        <w:rPr>
          <w:rFonts w:asciiTheme="minorBidi" w:hAnsiTheme="minorBidi" w:cstheme="minorBidi"/>
          <w:b/>
          <w:sz w:val="22"/>
          <w:szCs w:val="22"/>
        </w:rPr>
      </w:pPr>
      <w:r w:rsidRPr="00BB4589">
        <w:rPr>
          <w:rFonts w:asciiTheme="minorBidi" w:hAnsiTheme="minorBidi" w:cstheme="minorBidi"/>
          <w:b/>
          <w:sz w:val="22"/>
          <w:szCs w:val="22"/>
        </w:rPr>
        <w:t>Rapport du Secrétariat sur ses activités</w:t>
      </w:r>
    </w:p>
    <w:p w14:paraId="36E8B914" w14:textId="77777777" w:rsidR="001578FB" w:rsidRDefault="009069B4">
      <w:pPr>
        <w:pStyle w:val="Sansinterligne2"/>
        <w:spacing w:after="960"/>
        <w:jc w:val="center"/>
        <w:rPr>
          <w:rFonts w:asciiTheme="minorBidi" w:hAnsiTheme="minorBidi" w:cstheme="minorBidi"/>
          <w:b/>
          <w:sz w:val="22"/>
          <w:szCs w:val="22"/>
          <w:lang w:val="en-GB"/>
        </w:rPr>
      </w:pPr>
      <w:r w:rsidRPr="006B6390">
        <w:rPr>
          <w:rFonts w:asciiTheme="minorBidi" w:hAnsiTheme="minorBidi" w:cstheme="minorBidi"/>
          <w:b/>
          <w:sz w:val="22"/>
          <w:szCs w:val="22"/>
          <w:lang w:val="en-GB"/>
        </w:rPr>
        <w:t xml:space="preserve">(de </w:t>
      </w:r>
      <w:proofErr w:type="spellStart"/>
      <w:r w:rsidRPr="006B6390">
        <w:rPr>
          <w:rFonts w:asciiTheme="minorBidi" w:hAnsiTheme="minorBidi" w:cstheme="minorBidi"/>
          <w:b/>
          <w:sz w:val="22"/>
          <w:szCs w:val="22"/>
          <w:lang w:val="en-GB"/>
        </w:rPr>
        <w:t>janvier</w:t>
      </w:r>
      <w:proofErr w:type="spellEnd"/>
      <w:r w:rsidRPr="006B6390">
        <w:rPr>
          <w:rFonts w:asciiTheme="minorBidi" w:hAnsiTheme="minorBidi" w:cstheme="minorBidi"/>
          <w:b/>
          <w:sz w:val="22"/>
          <w:szCs w:val="22"/>
          <w:lang w:val="en-GB"/>
        </w:rPr>
        <w:t xml:space="preserve"> 2020 à </w:t>
      </w:r>
      <w:proofErr w:type="spellStart"/>
      <w:r>
        <w:rPr>
          <w:rFonts w:asciiTheme="minorBidi" w:hAnsiTheme="minorBidi" w:cstheme="minorBidi"/>
          <w:b/>
          <w:sz w:val="22"/>
          <w:szCs w:val="22"/>
          <w:lang w:val="en-GB"/>
        </w:rPr>
        <w:t>décembre</w:t>
      </w:r>
      <w:proofErr w:type="spellEnd"/>
      <w:r>
        <w:rPr>
          <w:rFonts w:asciiTheme="minorBidi" w:hAnsiTheme="minorBidi" w:cstheme="minorBidi"/>
          <w:b/>
          <w:sz w:val="22"/>
          <w:szCs w:val="22"/>
          <w:lang w:val="en-GB"/>
        </w:rPr>
        <w:t xml:space="preserve"> </w:t>
      </w:r>
      <w:r w:rsidRPr="006B6390">
        <w:rPr>
          <w:rFonts w:asciiTheme="minorBidi" w:hAnsiTheme="minorBidi" w:cstheme="minorBidi"/>
          <w:b/>
          <w:sz w:val="22"/>
          <w:szCs w:val="22"/>
          <w:lang w:val="en-GB"/>
        </w:rPr>
        <w:t>2021)</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844B63" w14:paraId="796B6D01" w14:textId="77777777" w:rsidTr="002F312A">
        <w:trPr>
          <w:jc w:val="center"/>
        </w:trPr>
        <w:tc>
          <w:tcPr>
            <w:tcW w:w="5670" w:type="dxa"/>
            <w:vAlign w:val="center"/>
          </w:tcPr>
          <w:p w14:paraId="19111154" w14:textId="77777777" w:rsidR="001578FB" w:rsidRPr="00BB4589" w:rsidRDefault="009069B4">
            <w:pPr>
              <w:pStyle w:val="Sansinterligne1"/>
              <w:spacing w:before="200" w:after="200"/>
              <w:jc w:val="center"/>
              <w:rPr>
                <w:rFonts w:ascii="Arial" w:hAnsi="Arial" w:cs="Arial"/>
                <w:b/>
                <w:sz w:val="22"/>
                <w:szCs w:val="22"/>
              </w:rPr>
            </w:pPr>
            <w:r w:rsidRPr="00BB4589">
              <w:rPr>
                <w:rFonts w:ascii="Arial" w:hAnsi="Arial" w:cs="Arial"/>
                <w:b/>
                <w:sz w:val="22"/>
                <w:szCs w:val="22"/>
              </w:rPr>
              <w:t>Résumé</w:t>
            </w:r>
          </w:p>
          <w:p w14:paraId="3ED28DEB" w14:textId="77777777" w:rsidR="001578FB" w:rsidRPr="00BB4589" w:rsidRDefault="009069B4">
            <w:pPr>
              <w:pStyle w:val="Sansinterligne1"/>
              <w:spacing w:before="200" w:after="200"/>
              <w:jc w:val="both"/>
              <w:rPr>
                <w:rFonts w:asciiTheme="minorBidi" w:hAnsiTheme="minorBidi" w:cstheme="minorBidi"/>
                <w:bCs/>
                <w:sz w:val="22"/>
                <w:szCs w:val="22"/>
              </w:rPr>
            </w:pPr>
            <w:r w:rsidRPr="00BB4589">
              <w:rPr>
                <w:rFonts w:asciiTheme="minorBidi" w:hAnsiTheme="minorBidi" w:cstheme="minorBidi"/>
                <w:bCs/>
                <w:sz w:val="22"/>
                <w:szCs w:val="22"/>
              </w:rPr>
              <w:t>Ce document donne un aperçu des activités entreprises par le Secrétariat de la Convention de 2003 du 1er janvier 2020 au 31 décembre 2021, y compris la réponse à la pandémie de COVID-19.</w:t>
            </w:r>
          </w:p>
          <w:p w14:paraId="2E9B585F" w14:textId="77777777" w:rsidR="001578FB" w:rsidRPr="000B1D75" w:rsidRDefault="009069B4">
            <w:pPr>
              <w:pStyle w:val="Sansinterligne2"/>
              <w:spacing w:after="120"/>
              <w:jc w:val="both"/>
              <w:rPr>
                <w:rFonts w:ascii="Arial" w:hAnsi="Arial" w:cs="Arial"/>
                <w:b/>
                <w:sz w:val="22"/>
                <w:szCs w:val="22"/>
              </w:rPr>
            </w:pPr>
            <w:r w:rsidRPr="000B1D75">
              <w:rPr>
                <w:rFonts w:ascii="Arial" w:hAnsi="Arial" w:cs="Arial"/>
                <w:b/>
                <w:sz w:val="22"/>
                <w:szCs w:val="22"/>
              </w:rPr>
              <w:t xml:space="preserve">Décision </w:t>
            </w:r>
            <w:r w:rsidR="0057439C" w:rsidRPr="000B1D75">
              <w:rPr>
                <w:rFonts w:ascii="Arial" w:hAnsi="Arial" w:cs="Arial"/>
                <w:b/>
                <w:sz w:val="22"/>
                <w:szCs w:val="22"/>
              </w:rPr>
              <w:t xml:space="preserve">requise : </w:t>
            </w:r>
            <w:r w:rsidR="0057439C" w:rsidRPr="000B1D75">
              <w:rPr>
                <w:rFonts w:ascii="Arial" w:hAnsi="Arial" w:cs="Arial"/>
                <w:bCs/>
                <w:sz w:val="22"/>
                <w:szCs w:val="22"/>
              </w:rPr>
              <w:t xml:space="preserve">paragraphe </w:t>
            </w:r>
            <w:r w:rsidR="00D63C89" w:rsidRPr="000B1D75">
              <w:rPr>
                <w:rFonts w:ascii="Arial" w:hAnsi="Arial" w:cs="Arial"/>
                <w:bCs/>
                <w:sz w:val="22"/>
                <w:szCs w:val="22"/>
              </w:rPr>
              <w:t>35</w:t>
            </w:r>
          </w:p>
        </w:tc>
      </w:tr>
    </w:tbl>
    <w:p w14:paraId="2941B514" w14:textId="77777777" w:rsidR="00176720" w:rsidRDefault="00655736" w:rsidP="00176720">
      <w:pPr>
        <w:pStyle w:val="GAPara"/>
        <w:numPr>
          <w:ilvl w:val="0"/>
          <w:numId w:val="0"/>
        </w:numPr>
        <w:jc w:val="both"/>
      </w:pPr>
      <w:r w:rsidRPr="00414643">
        <w:br w:type="page"/>
      </w:r>
    </w:p>
    <w:p w14:paraId="189A12D9" w14:textId="77777777" w:rsidR="001578FB" w:rsidRDefault="009069B4">
      <w:pPr>
        <w:pStyle w:val="COMPara"/>
        <w:keepNext/>
        <w:spacing w:before="240"/>
        <w:ind w:left="576" w:firstLine="0"/>
        <w:jc w:val="both"/>
        <w:rPr>
          <w:rFonts w:asciiTheme="minorBidi" w:hAnsiTheme="minorBidi" w:cstheme="minorBidi"/>
          <w:b/>
          <w:bCs/>
        </w:rPr>
      </w:pPr>
      <w:r w:rsidRPr="006B6390">
        <w:rPr>
          <w:rFonts w:asciiTheme="minorBidi" w:hAnsiTheme="minorBidi" w:cstheme="minorBidi"/>
          <w:b/>
          <w:bCs/>
        </w:rPr>
        <w:lastRenderedPageBreak/>
        <w:t>Introduction</w:t>
      </w:r>
    </w:p>
    <w:p w14:paraId="69D1DC9B" w14:textId="6B95DDAB" w:rsidR="001578FB" w:rsidRPr="00BB4589" w:rsidRDefault="009069B4">
      <w:pPr>
        <w:pStyle w:val="GAPara"/>
        <w:numPr>
          <w:ilvl w:val="0"/>
          <w:numId w:val="19"/>
        </w:numPr>
        <w:ind w:left="567" w:hanging="567"/>
        <w:jc w:val="both"/>
        <w:rPr>
          <w:bCs/>
          <w:lang w:val="fr-FR"/>
        </w:rPr>
      </w:pPr>
      <w:r w:rsidRPr="00BB4589">
        <w:rPr>
          <w:lang w:val="fr-FR"/>
        </w:rPr>
        <w:t xml:space="preserve">Le présent rapport porte sur les travaux du Secrétariat de la Convention de 2003 de janvier 2020 à décembre 2021. </w:t>
      </w:r>
      <w:r w:rsidRPr="00BB4589">
        <w:rPr>
          <w:bCs/>
          <w:lang w:val="fr-FR"/>
        </w:rPr>
        <w:t xml:space="preserve">Cette période correspond aux autres principaux processus </w:t>
      </w:r>
      <w:r w:rsidR="00BB4589">
        <w:rPr>
          <w:bCs/>
          <w:lang w:val="fr-FR"/>
        </w:rPr>
        <w:t>d’établissement de</w:t>
      </w:r>
      <w:r w:rsidR="00BB4589" w:rsidRPr="00BB4589">
        <w:rPr>
          <w:bCs/>
          <w:lang w:val="fr-FR"/>
        </w:rPr>
        <w:t xml:space="preserve"> </w:t>
      </w:r>
      <w:r w:rsidRPr="00BB4589">
        <w:rPr>
          <w:bCs/>
          <w:lang w:val="fr-FR"/>
        </w:rPr>
        <w:t>rapports statutaires de l</w:t>
      </w:r>
      <w:r w:rsidR="00BB4589">
        <w:rPr>
          <w:bCs/>
          <w:lang w:val="fr-FR"/>
        </w:rPr>
        <w:t>’</w:t>
      </w:r>
      <w:r w:rsidRPr="00BB4589">
        <w:rPr>
          <w:bCs/>
          <w:lang w:val="fr-FR"/>
        </w:rPr>
        <w:t>UNESCO, à savoir les rapports d</w:t>
      </w:r>
      <w:r w:rsidR="00BB4589">
        <w:rPr>
          <w:bCs/>
          <w:lang w:val="fr-FR"/>
        </w:rPr>
        <w:t>e</w:t>
      </w:r>
      <w:r w:rsidRPr="00BB4589">
        <w:rPr>
          <w:bCs/>
          <w:lang w:val="fr-FR"/>
        </w:rPr>
        <w:t xml:space="preserve"> </w:t>
      </w:r>
      <w:r w:rsidR="00BB4589">
        <w:rPr>
          <w:bCs/>
          <w:lang w:val="fr-FR"/>
        </w:rPr>
        <w:t xml:space="preserve">la </w:t>
      </w:r>
      <w:r w:rsidRPr="00BB4589">
        <w:rPr>
          <w:bCs/>
          <w:lang w:val="fr-FR"/>
        </w:rPr>
        <w:t>Direct</w:t>
      </w:r>
      <w:r w:rsidR="00BB4589">
        <w:rPr>
          <w:bCs/>
          <w:lang w:val="fr-FR"/>
        </w:rPr>
        <w:t>rice</w:t>
      </w:r>
      <w:r w:rsidRPr="00BB4589">
        <w:rPr>
          <w:bCs/>
          <w:lang w:val="fr-FR"/>
        </w:rPr>
        <w:t xml:space="preserve"> général</w:t>
      </w:r>
      <w:r w:rsidR="00BB4589">
        <w:rPr>
          <w:bCs/>
          <w:lang w:val="fr-FR"/>
        </w:rPr>
        <w:t>e</w:t>
      </w:r>
      <w:r w:rsidRPr="00BB4589">
        <w:rPr>
          <w:bCs/>
          <w:lang w:val="fr-FR"/>
        </w:rPr>
        <w:t xml:space="preserve"> au Conseil exécutif sur l</w:t>
      </w:r>
      <w:r w:rsidR="00BB4589">
        <w:rPr>
          <w:bCs/>
          <w:lang w:val="fr-FR"/>
        </w:rPr>
        <w:t>’</w:t>
      </w:r>
      <w:r w:rsidRPr="00BB4589">
        <w:rPr>
          <w:bCs/>
          <w:lang w:val="fr-FR"/>
        </w:rPr>
        <w:t xml:space="preserve">exécution du programme adopté par la Conférence générale (EX/4). </w:t>
      </w:r>
      <w:r w:rsidR="00F32411" w:rsidRPr="00BB4589">
        <w:rPr>
          <w:rFonts w:asciiTheme="minorBidi" w:hAnsiTheme="minorBidi" w:cstheme="minorBidi"/>
          <w:lang w:val="fr-FR"/>
        </w:rPr>
        <w:t>L</w:t>
      </w:r>
      <w:r w:rsidR="00BB4589">
        <w:rPr>
          <w:rFonts w:asciiTheme="minorBidi" w:hAnsiTheme="minorBidi" w:cstheme="minorBidi"/>
          <w:lang w:val="fr-FR"/>
        </w:rPr>
        <w:t>’</w:t>
      </w:r>
      <w:r w:rsidR="00F32411" w:rsidRPr="00BB4589">
        <w:rPr>
          <w:rFonts w:asciiTheme="minorBidi" w:hAnsiTheme="minorBidi" w:cstheme="minorBidi"/>
          <w:lang w:val="fr-FR"/>
        </w:rPr>
        <w:t xml:space="preserve">annexe I démontre en outre la contribution </w:t>
      </w:r>
      <w:r w:rsidR="00BB4589">
        <w:rPr>
          <w:rFonts w:asciiTheme="minorBidi" w:hAnsiTheme="minorBidi" w:cstheme="minorBidi"/>
          <w:lang w:val="fr-FR"/>
        </w:rPr>
        <w:t>des travaux</w:t>
      </w:r>
      <w:r w:rsidR="00F32411" w:rsidRPr="00BB4589">
        <w:rPr>
          <w:rFonts w:asciiTheme="minorBidi" w:hAnsiTheme="minorBidi" w:cstheme="minorBidi"/>
          <w:lang w:val="fr-FR"/>
        </w:rPr>
        <w:t xml:space="preserve"> du Secrétariat au cadre de résultats du 40C/5 et aux indicateurs de performance du résultat escompté 6 </w:t>
      </w:r>
      <w:r w:rsidR="00BB4589">
        <w:rPr>
          <w:rFonts w:asciiTheme="minorBidi" w:hAnsiTheme="minorBidi" w:cstheme="minorBidi"/>
          <w:lang w:val="fr-FR"/>
        </w:rPr>
        <w:t xml:space="preserve">au sein </w:t>
      </w:r>
      <w:r w:rsidR="00F32411" w:rsidRPr="00BB4589">
        <w:rPr>
          <w:rFonts w:asciiTheme="minorBidi" w:hAnsiTheme="minorBidi" w:cstheme="minorBidi"/>
          <w:lang w:val="fr-FR"/>
        </w:rPr>
        <w:t xml:space="preserve">du grand programme IV. </w:t>
      </w:r>
      <w:r w:rsidR="00BC4681" w:rsidRPr="00BB4589">
        <w:rPr>
          <w:bCs/>
          <w:lang w:val="fr-FR"/>
        </w:rPr>
        <w:t xml:space="preserve">Ce rapport doit être lu </w:t>
      </w:r>
      <w:r w:rsidR="00BB4589">
        <w:rPr>
          <w:bCs/>
          <w:lang w:val="fr-FR"/>
        </w:rPr>
        <w:t>parallèlement</w:t>
      </w:r>
      <w:r w:rsidR="00BC4681" w:rsidRPr="00BB4589">
        <w:rPr>
          <w:bCs/>
          <w:lang w:val="fr-FR"/>
        </w:rPr>
        <w:t xml:space="preserve"> </w:t>
      </w:r>
      <w:r w:rsidR="00BB4589">
        <w:rPr>
          <w:bCs/>
          <w:lang w:val="fr-FR"/>
        </w:rPr>
        <w:t>au</w:t>
      </w:r>
      <w:r w:rsidR="00BB4589" w:rsidRPr="00BB4589">
        <w:rPr>
          <w:bCs/>
          <w:lang w:val="fr-FR"/>
        </w:rPr>
        <w:t xml:space="preserve"> </w:t>
      </w:r>
      <w:r w:rsidR="00BC4681" w:rsidRPr="00BB4589">
        <w:rPr>
          <w:bCs/>
          <w:lang w:val="fr-FR"/>
        </w:rPr>
        <w:t xml:space="preserve">rapport financier du Fonds de la Convention pour la sauvegarde du patrimoine culturel immatériel (document </w:t>
      </w:r>
      <w:hyperlink r:id="rId8" w:history="1">
        <w:r w:rsidR="00BC4681" w:rsidRPr="00773EA1">
          <w:rPr>
            <w:rStyle w:val="Hyperlink"/>
            <w:rFonts w:cs="Arial"/>
            <w:lang w:val="fr-FR"/>
          </w:rPr>
          <w:t>LHE/22.9.GA/</w:t>
        </w:r>
        <w:r w:rsidR="00536149" w:rsidRPr="00773EA1">
          <w:rPr>
            <w:rStyle w:val="Hyperlink"/>
            <w:rFonts w:cs="Arial"/>
            <w:lang w:val="fr-FR"/>
          </w:rPr>
          <w:t>10</w:t>
        </w:r>
      </w:hyperlink>
      <w:r w:rsidR="00BC4681" w:rsidRPr="00BB4589">
        <w:rPr>
          <w:bCs/>
          <w:lang w:val="fr-FR"/>
        </w:rPr>
        <w:t>). En outre, l</w:t>
      </w:r>
      <w:r w:rsidR="00BB4589">
        <w:rPr>
          <w:bCs/>
          <w:lang w:val="fr-FR"/>
        </w:rPr>
        <w:t>’</w:t>
      </w:r>
      <w:r w:rsidR="00BC4681" w:rsidRPr="00BB4589">
        <w:rPr>
          <w:bCs/>
          <w:lang w:val="fr-FR"/>
        </w:rPr>
        <w:t>évaluation IOS (2021) de l</w:t>
      </w:r>
      <w:r w:rsidR="00BB4589">
        <w:rPr>
          <w:bCs/>
          <w:lang w:val="fr-FR"/>
        </w:rPr>
        <w:t>’</w:t>
      </w:r>
      <w:r w:rsidR="00BC4681" w:rsidRPr="00BB4589">
        <w:rPr>
          <w:bCs/>
          <w:lang w:val="fr-FR"/>
        </w:rPr>
        <w:t>action de l</w:t>
      </w:r>
      <w:r w:rsidR="00BB4589">
        <w:rPr>
          <w:bCs/>
          <w:lang w:val="fr-FR"/>
        </w:rPr>
        <w:t>’</w:t>
      </w:r>
      <w:r w:rsidR="00BC4681" w:rsidRPr="00BB4589">
        <w:rPr>
          <w:bCs/>
          <w:lang w:val="fr-FR"/>
        </w:rPr>
        <w:t xml:space="preserve">UNESCO dans le cadre de la Convention de 2003 (document </w:t>
      </w:r>
      <w:hyperlink r:id="rId9" w:history="1">
        <w:r w:rsidR="00BC4681" w:rsidRPr="00BB4589">
          <w:rPr>
            <w:rStyle w:val="Hyperlink"/>
            <w:rFonts w:cs="Arial"/>
            <w:lang w:val="fr-FR"/>
          </w:rPr>
          <w:t xml:space="preserve">LHE/21/16.COM/INF.10 </w:t>
        </w:r>
        <w:r w:rsidR="00BC4681" w:rsidRPr="00BB4589">
          <w:rPr>
            <w:rStyle w:val="Hyperlink"/>
            <w:rFonts w:cs="Arial"/>
            <w:bCs/>
            <w:lang w:val="fr-FR"/>
          </w:rPr>
          <w:t>Rev.)</w:t>
        </w:r>
      </w:hyperlink>
      <w:r w:rsidR="00BC4681" w:rsidRPr="00BB4589">
        <w:rPr>
          <w:bCs/>
          <w:lang w:val="fr-FR"/>
        </w:rPr>
        <w:t xml:space="preserve"> apporte un éclairage supplémentaire sur les activités du Secrétariat depuis 2018.</w:t>
      </w:r>
    </w:p>
    <w:p w14:paraId="330914FB" w14:textId="0CB09CFB"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La période </w:t>
      </w:r>
      <w:r w:rsidR="00BB4589">
        <w:rPr>
          <w:rFonts w:asciiTheme="minorBidi" w:hAnsiTheme="minorBidi" w:cstheme="minorBidi"/>
          <w:lang w:val="fr-FR"/>
        </w:rPr>
        <w:t>considérée</w:t>
      </w:r>
      <w:r w:rsidRPr="00BB4589">
        <w:rPr>
          <w:rFonts w:asciiTheme="minorBidi" w:hAnsiTheme="minorBidi" w:cstheme="minorBidi"/>
          <w:lang w:val="fr-FR"/>
        </w:rPr>
        <w:t xml:space="preserve"> a </w:t>
      </w:r>
      <w:r w:rsidR="00EE0C4F" w:rsidRPr="00BB4589">
        <w:rPr>
          <w:rFonts w:asciiTheme="minorBidi" w:hAnsiTheme="minorBidi" w:cstheme="minorBidi"/>
          <w:lang w:val="fr-FR"/>
        </w:rPr>
        <w:t xml:space="preserve">été caractérisée par la </w:t>
      </w:r>
      <w:r w:rsidRPr="00BB4589">
        <w:rPr>
          <w:rFonts w:asciiTheme="minorBidi" w:hAnsiTheme="minorBidi" w:cstheme="minorBidi"/>
          <w:lang w:val="fr-FR"/>
        </w:rPr>
        <w:t xml:space="preserve">pandémie de COVID-19 </w:t>
      </w:r>
      <w:r w:rsidR="00717EB4" w:rsidRPr="00BB4589">
        <w:rPr>
          <w:rFonts w:asciiTheme="minorBidi" w:hAnsiTheme="minorBidi" w:cstheme="minorBidi"/>
          <w:lang w:val="fr-FR"/>
        </w:rPr>
        <w:t>(section I)</w:t>
      </w:r>
      <w:r w:rsidR="00F32411" w:rsidRPr="00BB4589">
        <w:rPr>
          <w:rFonts w:asciiTheme="minorBidi" w:hAnsiTheme="minorBidi" w:cstheme="minorBidi"/>
          <w:lang w:val="fr-FR"/>
        </w:rPr>
        <w:t xml:space="preserve">. Les activités principales du Secrétariat se sont </w:t>
      </w:r>
      <w:r w:rsidR="00297DC7" w:rsidRPr="00BB4589">
        <w:rPr>
          <w:rFonts w:asciiTheme="minorBidi" w:hAnsiTheme="minorBidi" w:cstheme="minorBidi"/>
          <w:lang w:val="fr-FR"/>
        </w:rPr>
        <w:t xml:space="preserve">par ailleurs </w:t>
      </w:r>
      <w:r w:rsidR="00F32411" w:rsidRPr="00BB4589">
        <w:rPr>
          <w:rFonts w:asciiTheme="minorBidi" w:hAnsiTheme="minorBidi" w:cstheme="minorBidi"/>
          <w:lang w:val="fr-FR"/>
        </w:rPr>
        <w:t xml:space="preserve">concentrées </w:t>
      </w:r>
      <w:r w:rsidR="007D3B45" w:rsidRPr="00BB4589">
        <w:rPr>
          <w:rFonts w:asciiTheme="minorBidi" w:hAnsiTheme="minorBidi" w:cstheme="minorBidi"/>
          <w:lang w:val="fr-FR"/>
        </w:rPr>
        <w:t xml:space="preserve">sur </w:t>
      </w:r>
      <w:r w:rsidRPr="00BB4589">
        <w:rPr>
          <w:rFonts w:asciiTheme="minorBidi" w:hAnsiTheme="minorBidi" w:cstheme="minorBidi"/>
          <w:lang w:val="fr-FR"/>
        </w:rPr>
        <w:t xml:space="preserve">: La gouvernance de la Convention de 2003 (section </w:t>
      </w:r>
      <w:r w:rsidR="00717EB4" w:rsidRPr="00BB4589">
        <w:rPr>
          <w:rFonts w:asciiTheme="minorBidi" w:hAnsiTheme="minorBidi" w:cstheme="minorBidi"/>
          <w:lang w:val="fr-FR"/>
        </w:rPr>
        <w:t>II</w:t>
      </w:r>
      <w:r w:rsidRPr="00BB4589">
        <w:rPr>
          <w:rFonts w:asciiTheme="minorBidi" w:hAnsiTheme="minorBidi" w:cstheme="minorBidi"/>
          <w:lang w:val="fr-FR"/>
        </w:rPr>
        <w:t>), la mise en œuvre des priorités opérationnelles sur le renforcement des capacités et le patrimoine culturel immatériel et l</w:t>
      </w:r>
      <w:r w:rsidR="00BB4589">
        <w:rPr>
          <w:rFonts w:asciiTheme="minorBidi" w:hAnsiTheme="minorBidi" w:cstheme="minorBidi"/>
          <w:lang w:val="fr-FR"/>
        </w:rPr>
        <w:t>’</w:t>
      </w:r>
      <w:r w:rsidRPr="00BB4589">
        <w:rPr>
          <w:rFonts w:asciiTheme="minorBidi" w:hAnsiTheme="minorBidi" w:cstheme="minorBidi"/>
          <w:lang w:val="fr-FR"/>
        </w:rPr>
        <w:t xml:space="preserve">éducation (section </w:t>
      </w:r>
      <w:r w:rsidR="006D2D5A" w:rsidRPr="00BB4589">
        <w:rPr>
          <w:rFonts w:asciiTheme="minorBidi" w:hAnsiTheme="minorBidi" w:cstheme="minorBidi"/>
          <w:lang w:val="fr-FR"/>
        </w:rPr>
        <w:t>III</w:t>
      </w:r>
      <w:r w:rsidRPr="00BB4589">
        <w:rPr>
          <w:rFonts w:asciiTheme="minorBidi" w:hAnsiTheme="minorBidi" w:cstheme="minorBidi"/>
          <w:lang w:val="fr-FR"/>
        </w:rPr>
        <w:t xml:space="preserve">), ainsi que la communication et la sensibilisation (section </w:t>
      </w:r>
      <w:r w:rsidR="006D2D5A" w:rsidRPr="00BB4589">
        <w:rPr>
          <w:rFonts w:asciiTheme="minorBidi" w:hAnsiTheme="minorBidi" w:cstheme="minorBidi"/>
          <w:lang w:val="fr-FR"/>
        </w:rPr>
        <w:t>IV</w:t>
      </w:r>
      <w:r w:rsidRPr="00BB4589">
        <w:rPr>
          <w:rFonts w:asciiTheme="minorBidi" w:hAnsiTheme="minorBidi" w:cstheme="minorBidi"/>
          <w:lang w:val="fr-FR"/>
        </w:rPr>
        <w:t xml:space="preserve">). En outre, le Secrétariat a </w:t>
      </w:r>
      <w:r w:rsidR="00EE0C4F" w:rsidRPr="00BB4589">
        <w:rPr>
          <w:rFonts w:asciiTheme="minorBidi" w:hAnsiTheme="minorBidi" w:cstheme="minorBidi"/>
          <w:lang w:val="fr-FR"/>
        </w:rPr>
        <w:t xml:space="preserve">lancé </w:t>
      </w:r>
      <w:r w:rsidRPr="00BB4589">
        <w:rPr>
          <w:rFonts w:asciiTheme="minorBidi" w:hAnsiTheme="minorBidi" w:cstheme="minorBidi"/>
          <w:lang w:val="fr-FR"/>
        </w:rPr>
        <w:t xml:space="preserve">et </w:t>
      </w:r>
      <w:r w:rsidR="00EE0C4F" w:rsidRPr="00BB4589">
        <w:rPr>
          <w:rFonts w:asciiTheme="minorBidi" w:hAnsiTheme="minorBidi" w:cstheme="minorBidi"/>
          <w:lang w:val="fr-FR"/>
        </w:rPr>
        <w:t xml:space="preserve">renforcé </w:t>
      </w:r>
      <w:r w:rsidRPr="00BB4589">
        <w:rPr>
          <w:rFonts w:asciiTheme="minorBidi" w:hAnsiTheme="minorBidi" w:cstheme="minorBidi"/>
          <w:lang w:val="fr-FR"/>
        </w:rPr>
        <w:t xml:space="preserve">des initiatives thématiques </w:t>
      </w:r>
      <w:r w:rsidR="00BB4589">
        <w:rPr>
          <w:rFonts w:asciiTheme="minorBidi" w:hAnsiTheme="minorBidi" w:cstheme="minorBidi"/>
          <w:lang w:val="fr-FR"/>
        </w:rPr>
        <w:t>re</w:t>
      </w:r>
      <w:r w:rsidRPr="00BB4589">
        <w:rPr>
          <w:rFonts w:asciiTheme="minorBidi" w:hAnsiTheme="minorBidi" w:cstheme="minorBidi"/>
          <w:lang w:val="fr-FR"/>
        </w:rPr>
        <w:t xml:space="preserve">liant le patrimoine vivant au développement durable (section </w:t>
      </w:r>
      <w:r w:rsidR="006D2D5A" w:rsidRPr="00BB4589">
        <w:rPr>
          <w:rFonts w:asciiTheme="minorBidi" w:hAnsiTheme="minorBidi" w:cstheme="minorBidi"/>
          <w:lang w:val="fr-FR"/>
        </w:rPr>
        <w:t>V</w:t>
      </w:r>
      <w:r w:rsidRPr="00BB4589">
        <w:rPr>
          <w:rFonts w:asciiTheme="minorBidi" w:hAnsiTheme="minorBidi" w:cstheme="minorBidi"/>
          <w:lang w:val="fr-FR"/>
        </w:rPr>
        <w:t xml:space="preserve">) et a </w:t>
      </w:r>
      <w:r w:rsidR="00EE0C4F" w:rsidRPr="00BB4589">
        <w:rPr>
          <w:rFonts w:asciiTheme="minorBidi" w:hAnsiTheme="minorBidi" w:cstheme="minorBidi"/>
          <w:lang w:val="fr-FR"/>
        </w:rPr>
        <w:t xml:space="preserve">renforcé les </w:t>
      </w:r>
      <w:r w:rsidRPr="00BB4589">
        <w:rPr>
          <w:rFonts w:asciiTheme="minorBidi" w:hAnsiTheme="minorBidi" w:cstheme="minorBidi"/>
          <w:lang w:val="fr-FR"/>
        </w:rPr>
        <w:t>synergies avec les autres instruments normatifs de l</w:t>
      </w:r>
      <w:r w:rsidR="00BB4589">
        <w:rPr>
          <w:rFonts w:asciiTheme="minorBidi" w:hAnsiTheme="minorBidi" w:cstheme="minorBidi"/>
          <w:lang w:val="fr-FR"/>
        </w:rPr>
        <w:t>’</w:t>
      </w:r>
      <w:r w:rsidRPr="00BB4589">
        <w:rPr>
          <w:rFonts w:asciiTheme="minorBidi" w:hAnsiTheme="minorBidi" w:cstheme="minorBidi"/>
          <w:lang w:val="fr-FR"/>
        </w:rPr>
        <w:t xml:space="preserve">UNESCO dans le domaine de la culture (section </w:t>
      </w:r>
      <w:r w:rsidR="006D2D5A" w:rsidRPr="00BB4589">
        <w:rPr>
          <w:rFonts w:asciiTheme="minorBidi" w:hAnsiTheme="minorBidi" w:cstheme="minorBidi"/>
          <w:lang w:val="fr-FR"/>
        </w:rPr>
        <w:t>VI</w:t>
      </w:r>
      <w:r w:rsidRPr="00BB4589">
        <w:rPr>
          <w:rFonts w:asciiTheme="minorBidi" w:hAnsiTheme="minorBidi" w:cstheme="minorBidi"/>
          <w:lang w:val="fr-FR"/>
        </w:rPr>
        <w:t>).</w:t>
      </w:r>
    </w:p>
    <w:p w14:paraId="7E769F85" w14:textId="75271F12" w:rsidR="001578FB" w:rsidRPr="00BB4589" w:rsidRDefault="009069B4">
      <w:pPr>
        <w:pStyle w:val="GAPara"/>
        <w:numPr>
          <w:ilvl w:val="0"/>
          <w:numId w:val="19"/>
        </w:numPr>
        <w:ind w:left="567" w:hanging="567"/>
        <w:jc w:val="both"/>
        <w:rPr>
          <w:bCs/>
          <w:lang w:val="fr-FR"/>
        </w:rPr>
      </w:pPr>
      <w:r w:rsidRPr="00BB4589">
        <w:rPr>
          <w:bCs/>
          <w:lang w:val="fr-FR"/>
        </w:rPr>
        <w:t>L</w:t>
      </w:r>
      <w:r w:rsidR="00BB4589">
        <w:rPr>
          <w:bCs/>
          <w:lang w:val="fr-FR"/>
        </w:rPr>
        <w:t>’</w:t>
      </w:r>
      <w:r w:rsidRPr="00BB4589">
        <w:rPr>
          <w:bCs/>
          <w:lang w:val="fr-FR"/>
        </w:rPr>
        <w:t>Entité du patrimoine vivant</w:t>
      </w:r>
      <w:r w:rsidRPr="0005412F">
        <w:rPr>
          <w:rStyle w:val="FootnoteReference"/>
          <w:bCs/>
          <w:lang w:val="en-US"/>
        </w:rPr>
        <w:footnoteReference w:id="1"/>
      </w:r>
      <w:r w:rsidRPr="00BB4589">
        <w:rPr>
          <w:bCs/>
          <w:lang w:val="fr-FR"/>
        </w:rPr>
        <w:t xml:space="preserve"> fait office de Secrétariat de la Convention. Elle est structurée autour de deux unités et deux équipes : l</w:t>
      </w:r>
      <w:r w:rsidR="00BB4589">
        <w:rPr>
          <w:bCs/>
          <w:lang w:val="fr-FR"/>
        </w:rPr>
        <w:t>’</w:t>
      </w:r>
      <w:r w:rsidRPr="00BB4589">
        <w:rPr>
          <w:bCs/>
          <w:lang w:val="fr-FR"/>
        </w:rPr>
        <w:t>unité de gestion du programme (y compris l</w:t>
      </w:r>
      <w:r w:rsidR="00BB4589">
        <w:rPr>
          <w:bCs/>
          <w:lang w:val="fr-FR"/>
        </w:rPr>
        <w:t>’</w:t>
      </w:r>
      <w:r w:rsidRPr="00BB4589">
        <w:rPr>
          <w:bCs/>
          <w:lang w:val="fr-FR"/>
        </w:rPr>
        <w:t xml:space="preserve">équipe </w:t>
      </w:r>
      <w:r w:rsidR="00BB4589">
        <w:rPr>
          <w:bCs/>
          <w:lang w:val="fr-FR"/>
        </w:rPr>
        <w:t>de soutien</w:t>
      </w:r>
      <w:r w:rsidRPr="00BB4589">
        <w:rPr>
          <w:bCs/>
          <w:lang w:val="fr-FR"/>
        </w:rPr>
        <w:t xml:space="preserve"> statutaire)</w:t>
      </w:r>
      <w:r w:rsidR="00EB2E6F">
        <w:rPr>
          <w:bCs/>
          <w:lang w:val="fr-FR"/>
        </w:rPr>
        <w:t>,</w:t>
      </w:r>
      <w:r w:rsidRPr="00BB4589">
        <w:rPr>
          <w:bCs/>
          <w:lang w:val="fr-FR"/>
        </w:rPr>
        <w:t xml:space="preserve"> </w:t>
      </w:r>
      <w:r w:rsidR="00EB2E6F">
        <w:rPr>
          <w:bCs/>
          <w:lang w:val="fr-FR"/>
        </w:rPr>
        <w:t xml:space="preserve">et </w:t>
      </w:r>
      <w:r w:rsidRPr="00BB4589">
        <w:rPr>
          <w:bCs/>
          <w:lang w:val="fr-FR"/>
        </w:rPr>
        <w:t>l</w:t>
      </w:r>
      <w:r w:rsidR="00BB4589">
        <w:rPr>
          <w:bCs/>
          <w:lang w:val="fr-FR"/>
        </w:rPr>
        <w:t>’</w:t>
      </w:r>
      <w:r w:rsidRPr="00BB4589">
        <w:rPr>
          <w:bCs/>
          <w:lang w:val="fr-FR"/>
        </w:rPr>
        <w:t>unité de renforcement des capacités et de</w:t>
      </w:r>
      <w:r w:rsidR="00EB2E6F">
        <w:rPr>
          <w:bCs/>
          <w:lang w:val="fr-FR"/>
        </w:rPr>
        <w:t>s</w:t>
      </w:r>
      <w:r w:rsidRPr="00BB4589">
        <w:rPr>
          <w:bCs/>
          <w:lang w:val="fr-FR"/>
        </w:rPr>
        <w:t xml:space="preserve"> politique</w:t>
      </w:r>
      <w:r w:rsidR="00EB2E6F">
        <w:rPr>
          <w:bCs/>
          <w:lang w:val="fr-FR"/>
        </w:rPr>
        <w:t>s</w:t>
      </w:r>
      <w:r w:rsidRPr="00BB4589">
        <w:rPr>
          <w:bCs/>
          <w:lang w:val="fr-FR"/>
        </w:rPr>
        <w:t xml:space="preserve"> du patrimoine, </w:t>
      </w:r>
      <w:r w:rsidR="00EB2E6F">
        <w:rPr>
          <w:bCs/>
          <w:lang w:val="fr-FR"/>
        </w:rPr>
        <w:t xml:space="preserve">ainsi que de </w:t>
      </w:r>
      <w:r w:rsidRPr="00BB4589">
        <w:rPr>
          <w:bCs/>
          <w:lang w:val="fr-FR"/>
        </w:rPr>
        <w:t>l</w:t>
      </w:r>
      <w:r w:rsidR="00BB4589">
        <w:rPr>
          <w:bCs/>
          <w:lang w:val="fr-FR"/>
        </w:rPr>
        <w:t>’</w:t>
      </w:r>
      <w:r w:rsidRPr="00BB4589">
        <w:rPr>
          <w:bCs/>
          <w:lang w:val="fr-FR"/>
        </w:rPr>
        <w:t>équipe de</w:t>
      </w:r>
      <w:r w:rsidR="00EB2E6F">
        <w:rPr>
          <w:bCs/>
          <w:lang w:val="fr-FR"/>
        </w:rPr>
        <w:t xml:space="preserve"> la mise en œuvre et du suivi de la</w:t>
      </w:r>
      <w:r w:rsidRPr="00BB4589">
        <w:rPr>
          <w:bCs/>
          <w:lang w:val="fr-FR"/>
        </w:rPr>
        <w:t xml:space="preserve"> sauvegarde, </w:t>
      </w:r>
      <w:r w:rsidR="00EB2E6F">
        <w:rPr>
          <w:bCs/>
          <w:lang w:val="fr-FR"/>
        </w:rPr>
        <w:t xml:space="preserve">et </w:t>
      </w:r>
      <w:r w:rsidRPr="00BB4589">
        <w:rPr>
          <w:bCs/>
          <w:lang w:val="fr-FR"/>
        </w:rPr>
        <w:t>l</w:t>
      </w:r>
      <w:r w:rsidR="00BB4589">
        <w:rPr>
          <w:bCs/>
          <w:lang w:val="fr-FR"/>
        </w:rPr>
        <w:t>’</w:t>
      </w:r>
      <w:r w:rsidRPr="00BB4589">
        <w:rPr>
          <w:bCs/>
          <w:lang w:val="fr-FR"/>
        </w:rPr>
        <w:t>équipe de gestion des connaissances et de sensibilisation.</w:t>
      </w:r>
    </w:p>
    <w:p w14:paraId="4429782C" w14:textId="43AC82B8" w:rsidR="001578FB" w:rsidRPr="00BB4589" w:rsidRDefault="009069B4">
      <w:pPr>
        <w:pStyle w:val="COMPara"/>
        <w:keepNext/>
        <w:numPr>
          <w:ilvl w:val="0"/>
          <w:numId w:val="21"/>
        </w:numPr>
        <w:spacing w:before="240"/>
        <w:ind w:left="576" w:hanging="432"/>
        <w:jc w:val="both"/>
        <w:rPr>
          <w:rFonts w:asciiTheme="minorBidi" w:hAnsiTheme="minorBidi" w:cstheme="minorBidi"/>
          <w:b/>
          <w:bCs/>
          <w:lang w:val="fr-FR"/>
        </w:rPr>
      </w:pPr>
      <w:r w:rsidRPr="00BB4589">
        <w:rPr>
          <w:rFonts w:asciiTheme="minorBidi" w:hAnsiTheme="minorBidi" w:cstheme="minorBidi"/>
          <w:b/>
          <w:bCs/>
          <w:lang w:val="fr-FR"/>
        </w:rPr>
        <w:t xml:space="preserve">Impact </w:t>
      </w:r>
      <w:r w:rsidR="00EB2E6F">
        <w:rPr>
          <w:rFonts w:asciiTheme="minorBidi" w:hAnsiTheme="minorBidi" w:cstheme="minorBidi"/>
          <w:b/>
          <w:bCs/>
          <w:lang w:val="fr-FR"/>
        </w:rPr>
        <w:t xml:space="preserve">et réponse à la </w:t>
      </w:r>
      <w:r w:rsidRPr="00BB4589">
        <w:rPr>
          <w:rFonts w:asciiTheme="minorBidi" w:hAnsiTheme="minorBidi" w:cstheme="minorBidi"/>
          <w:b/>
          <w:bCs/>
          <w:lang w:val="fr-FR"/>
        </w:rPr>
        <w:t xml:space="preserve">pandémie de COVID-19 </w:t>
      </w:r>
    </w:p>
    <w:p w14:paraId="05F41212" w14:textId="36401A8B" w:rsidR="001578FB" w:rsidRPr="00BB4589" w:rsidRDefault="009069B4">
      <w:pPr>
        <w:pStyle w:val="GAPara"/>
        <w:numPr>
          <w:ilvl w:val="0"/>
          <w:numId w:val="19"/>
        </w:numPr>
        <w:ind w:left="567" w:hanging="567"/>
        <w:jc w:val="both"/>
        <w:rPr>
          <w:lang w:val="fr-FR"/>
        </w:rPr>
      </w:pPr>
      <w:r w:rsidRPr="00BB4589">
        <w:rPr>
          <w:lang w:val="fr-FR"/>
        </w:rPr>
        <w:t>L</w:t>
      </w:r>
      <w:r w:rsidR="00BB4589">
        <w:rPr>
          <w:lang w:val="fr-FR"/>
        </w:rPr>
        <w:t>’</w:t>
      </w:r>
      <w:r w:rsidRPr="00BB4589">
        <w:rPr>
          <w:lang w:val="fr-FR"/>
        </w:rPr>
        <w:t xml:space="preserve">apparition de la pandémie de COVID-19 au début de 2020 a considérablement affecté les </w:t>
      </w:r>
      <w:r w:rsidR="00975E5A">
        <w:rPr>
          <w:lang w:val="fr-FR"/>
        </w:rPr>
        <w:t>travaux</w:t>
      </w:r>
      <w:r w:rsidR="00975E5A" w:rsidRPr="00BB4589">
        <w:rPr>
          <w:lang w:val="fr-FR"/>
        </w:rPr>
        <w:t xml:space="preserve"> </w:t>
      </w:r>
      <w:r w:rsidRPr="00BB4589">
        <w:rPr>
          <w:lang w:val="fr-FR"/>
        </w:rPr>
        <w:t xml:space="preserve">du Secrétariat. </w:t>
      </w:r>
      <w:r w:rsidRPr="00BB4589">
        <w:rPr>
          <w:rFonts w:asciiTheme="minorBidi" w:hAnsiTheme="minorBidi" w:cstheme="minorBidi"/>
          <w:bCs/>
          <w:lang w:val="fr-FR"/>
        </w:rPr>
        <w:t xml:space="preserve">Un rapport intermédiaire sur la </w:t>
      </w:r>
      <w:r w:rsidR="004C5321" w:rsidRPr="00BB4589">
        <w:rPr>
          <w:rFonts w:asciiTheme="minorBidi" w:hAnsiTheme="minorBidi" w:cstheme="minorBidi"/>
          <w:bCs/>
          <w:lang w:val="fr-FR"/>
        </w:rPr>
        <w:t xml:space="preserve">réponse du Secrétariat à la pandémie de COVID-19 </w:t>
      </w:r>
      <w:r w:rsidRPr="00BB4589">
        <w:rPr>
          <w:rFonts w:asciiTheme="minorBidi" w:hAnsiTheme="minorBidi" w:cstheme="minorBidi"/>
          <w:bCs/>
          <w:lang w:val="fr-FR"/>
        </w:rPr>
        <w:t>a été présenté à l</w:t>
      </w:r>
      <w:r w:rsidR="00BB4589">
        <w:rPr>
          <w:rFonts w:asciiTheme="minorBidi" w:hAnsiTheme="minorBidi" w:cstheme="minorBidi"/>
          <w:bCs/>
          <w:lang w:val="fr-FR"/>
        </w:rPr>
        <w:t>’</w:t>
      </w:r>
      <w:r w:rsidRPr="00BB4589">
        <w:rPr>
          <w:rFonts w:asciiTheme="minorBidi" w:hAnsiTheme="minorBidi" w:cstheme="minorBidi"/>
          <w:bCs/>
          <w:lang w:val="fr-FR"/>
        </w:rPr>
        <w:t xml:space="preserve">Assemblée générale en 2020 (voir le document </w:t>
      </w:r>
      <w:hyperlink r:id="rId10" w:history="1">
        <w:r w:rsidRPr="00BB4589">
          <w:rPr>
            <w:rStyle w:val="Hyperlink"/>
            <w:rFonts w:asciiTheme="minorBidi" w:hAnsiTheme="minorBidi" w:cstheme="minorBidi"/>
            <w:bCs/>
            <w:lang w:val="fr-FR"/>
          </w:rPr>
          <w:t>LHE/20/8.GA/6+Add.</w:t>
        </w:r>
      </w:hyperlink>
      <w:r w:rsidRPr="00BB4589">
        <w:rPr>
          <w:rFonts w:asciiTheme="minorBidi" w:hAnsiTheme="minorBidi" w:cstheme="minorBidi"/>
          <w:bCs/>
          <w:lang w:val="fr-FR"/>
        </w:rPr>
        <w:t xml:space="preserve">). </w:t>
      </w:r>
      <w:r w:rsidR="004C5321" w:rsidRPr="00BB4589">
        <w:rPr>
          <w:rFonts w:asciiTheme="minorBidi" w:hAnsiTheme="minorBidi" w:cstheme="minorBidi"/>
          <w:bCs/>
          <w:lang w:val="fr-FR"/>
        </w:rPr>
        <w:t xml:space="preserve">Le Secrétariat a pris plusieurs </w:t>
      </w:r>
      <w:r w:rsidR="004C5321" w:rsidRPr="00A4415A">
        <w:rPr>
          <w:rFonts w:asciiTheme="minorBidi" w:hAnsiTheme="minorBidi" w:cstheme="minorBidi"/>
          <w:bCs/>
          <w:lang w:val="fr-FR"/>
        </w:rPr>
        <w:t xml:space="preserve">mesures </w:t>
      </w:r>
      <w:r w:rsidR="00F31EA6" w:rsidRPr="00A4415A">
        <w:rPr>
          <w:rFonts w:asciiTheme="minorBidi" w:hAnsiTheme="minorBidi" w:cstheme="minorBidi"/>
          <w:bCs/>
          <w:lang w:val="fr-FR"/>
        </w:rPr>
        <w:t>correctives</w:t>
      </w:r>
      <w:r w:rsidR="00F31EA6" w:rsidRPr="00BB4589">
        <w:rPr>
          <w:rFonts w:asciiTheme="minorBidi" w:hAnsiTheme="minorBidi" w:cstheme="minorBidi"/>
          <w:bCs/>
          <w:lang w:val="fr-FR"/>
        </w:rPr>
        <w:t xml:space="preserve"> </w:t>
      </w:r>
      <w:r w:rsidR="004C5321" w:rsidRPr="00BB4589">
        <w:rPr>
          <w:rFonts w:asciiTheme="minorBidi" w:hAnsiTheme="minorBidi" w:cstheme="minorBidi"/>
          <w:bCs/>
          <w:lang w:val="fr-FR"/>
        </w:rPr>
        <w:t xml:space="preserve">pour assurer la </w:t>
      </w:r>
      <w:r w:rsidR="00F31EA6" w:rsidRPr="00BB4589">
        <w:rPr>
          <w:rFonts w:asciiTheme="minorBidi" w:hAnsiTheme="minorBidi" w:cstheme="minorBidi"/>
          <w:bCs/>
          <w:lang w:val="fr-FR"/>
        </w:rPr>
        <w:t xml:space="preserve">poursuite des </w:t>
      </w:r>
      <w:r w:rsidR="00F31EA6" w:rsidRPr="00BB4589">
        <w:rPr>
          <w:rFonts w:asciiTheme="minorBidi" w:hAnsiTheme="minorBidi" w:cstheme="minorBidi"/>
          <w:lang w:val="fr-FR"/>
        </w:rPr>
        <w:t xml:space="preserve">mécanismes statutaires et </w:t>
      </w:r>
      <w:r w:rsidR="00EB2E6F">
        <w:rPr>
          <w:rFonts w:asciiTheme="minorBidi" w:hAnsiTheme="minorBidi" w:cstheme="minorBidi"/>
          <w:lang w:val="fr-FR"/>
        </w:rPr>
        <w:t>des principales</w:t>
      </w:r>
      <w:r w:rsidR="00EB2E6F" w:rsidRPr="00BB4589">
        <w:rPr>
          <w:rFonts w:asciiTheme="minorBidi" w:hAnsiTheme="minorBidi" w:cstheme="minorBidi"/>
          <w:lang w:val="fr-FR"/>
        </w:rPr>
        <w:t xml:space="preserve"> </w:t>
      </w:r>
      <w:r w:rsidR="00F31EA6" w:rsidRPr="00BB4589">
        <w:rPr>
          <w:rFonts w:asciiTheme="minorBidi" w:hAnsiTheme="minorBidi" w:cstheme="minorBidi"/>
          <w:lang w:val="fr-FR"/>
        </w:rPr>
        <w:t xml:space="preserve">initiatives opérationnelles </w:t>
      </w:r>
      <w:r w:rsidR="00EB2E6F">
        <w:rPr>
          <w:rFonts w:asciiTheme="minorBidi" w:hAnsiTheme="minorBidi" w:cstheme="minorBidi"/>
          <w:lang w:val="fr-FR"/>
        </w:rPr>
        <w:t>de la Convention</w:t>
      </w:r>
      <w:r w:rsidR="003205C0" w:rsidRPr="00BB4589">
        <w:rPr>
          <w:rFonts w:asciiTheme="minorBidi" w:hAnsiTheme="minorBidi" w:cstheme="minorBidi"/>
          <w:lang w:val="fr-FR"/>
        </w:rPr>
        <w:t xml:space="preserve">, </w:t>
      </w:r>
      <w:r w:rsidR="00995AC8" w:rsidRPr="00BB4589">
        <w:rPr>
          <w:rFonts w:asciiTheme="minorBidi" w:hAnsiTheme="minorBidi" w:cstheme="minorBidi"/>
          <w:bCs/>
          <w:lang w:val="fr-FR"/>
        </w:rPr>
        <w:t xml:space="preserve">notamment </w:t>
      </w:r>
      <w:r w:rsidR="000F174B" w:rsidRPr="00BB4589">
        <w:rPr>
          <w:rFonts w:asciiTheme="minorBidi" w:hAnsiTheme="minorBidi" w:cstheme="minorBidi"/>
          <w:bCs/>
          <w:lang w:val="fr-FR"/>
        </w:rPr>
        <w:t xml:space="preserve">par le développement de </w:t>
      </w:r>
      <w:r w:rsidR="004C5321" w:rsidRPr="00BB4589">
        <w:rPr>
          <w:rFonts w:asciiTheme="minorBidi" w:hAnsiTheme="minorBidi" w:cstheme="minorBidi"/>
          <w:bCs/>
          <w:lang w:val="fr-FR"/>
        </w:rPr>
        <w:t>nouveaux outils et l</w:t>
      </w:r>
      <w:r w:rsidR="00BB4589">
        <w:rPr>
          <w:rFonts w:asciiTheme="minorBidi" w:hAnsiTheme="minorBidi" w:cstheme="minorBidi"/>
          <w:bCs/>
          <w:lang w:val="fr-FR"/>
        </w:rPr>
        <w:t>’</w:t>
      </w:r>
      <w:r w:rsidR="00BC3361" w:rsidRPr="00BB4589">
        <w:rPr>
          <w:rFonts w:asciiTheme="minorBidi" w:hAnsiTheme="minorBidi" w:cstheme="minorBidi"/>
          <w:bCs/>
          <w:lang w:val="fr-FR"/>
        </w:rPr>
        <w:t xml:space="preserve">adaptation des </w:t>
      </w:r>
      <w:r w:rsidR="004C5321" w:rsidRPr="00BB4589">
        <w:rPr>
          <w:rFonts w:asciiTheme="minorBidi" w:hAnsiTheme="minorBidi" w:cstheme="minorBidi"/>
          <w:bCs/>
          <w:lang w:val="fr-FR"/>
        </w:rPr>
        <w:t xml:space="preserve">modalités de réunion. </w:t>
      </w:r>
      <w:r w:rsidR="00995AC8" w:rsidRPr="00BB4589">
        <w:rPr>
          <w:rFonts w:asciiTheme="minorBidi" w:hAnsiTheme="minorBidi" w:cstheme="minorBidi"/>
          <w:bCs/>
          <w:lang w:val="fr-FR"/>
        </w:rPr>
        <w:t xml:space="preserve">Cette expérience a </w:t>
      </w:r>
      <w:r w:rsidR="00C35262" w:rsidRPr="00BB4589">
        <w:rPr>
          <w:rFonts w:asciiTheme="minorBidi" w:hAnsiTheme="minorBidi" w:cstheme="minorBidi"/>
          <w:bCs/>
          <w:lang w:val="fr-FR"/>
        </w:rPr>
        <w:t xml:space="preserve">démontré la possibilité </w:t>
      </w:r>
      <w:r w:rsidR="00A4415A" w:rsidRPr="000B1D75">
        <w:rPr>
          <w:rFonts w:asciiTheme="minorBidi" w:hAnsiTheme="minorBidi" w:cstheme="minorBidi"/>
          <w:bCs/>
          <w:lang w:val="fr-FR"/>
        </w:rPr>
        <w:t>de</w:t>
      </w:r>
      <w:r w:rsidR="00A4415A" w:rsidRPr="00A4415A">
        <w:rPr>
          <w:rFonts w:asciiTheme="minorBidi" w:hAnsiTheme="minorBidi" w:cstheme="minorBidi"/>
          <w:bCs/>
          <w:lang w:val="fr-FR"/>
        </w:rPr>
        <w:t xml:space="preserve"> </w:t>
      </w:r>
      <w:r w:rsidR="00C35262" w:rsidRPr="00A4415A">
        <w:rPr>
          <w:rFonts w:asciiTheme="minorBidi" w:hAnsiTheme="minorBidi" w:cstheme="minorBidi"/>
          <w:bCs/>
          <w:lang w:val="fr-FR"/>
        </w:rPr>
        <w:t>la structure statutaire</w:t>
      </w:r>
      <w:r w:rsidR="00C35262" w:rsidRPr="00BB4589">
        <w:rPr>
          <w:rFonts w:asciiTheme="minorBidi" w:hAnsiTheme="minorBidi" w:cstheme="minorBidi"/>
          <w:bCs/>
          <w:lang w:val="fr-FR"/>
        </w:rPr>
        <w:t xml:space="preserve"> </w:t>
      </w:r>
      <w:r w:rsidR="00A4415A">
        <w:rPr>
          <w:rFonts w:asciiTheme="minorBidi" w:hAnsiTheme="minorBidi" w:cstheme="minorBidi"/>
          <w:bCs/>
          <w:lang w:val="fr-FR"/>
        </w:rPr>
        <w:t>à</w:t>
      </w:r>
      <w:r w:rsidR="00A4415A" w:rsidRPr="00BB4589">
        <w:rPr>
          <w:rFonts w:asciiTheme="minorBidi" w:hAnsiTheme="minorBidi" w:cstheme="minorBidi"/>
          <w:bCs/>
          <w:lang w:val="fr-FR"/>
        </w:rPr>
        <w:t xml:space="preserve"> </w:t>
      </w:r>
      <w:r w:rsidR="00C35262" w:rsidRPr="00BB4589">
        <w:rPr>
          <w:rFonts w:asciiTheme="minorBidi" w:hAnsiTheme="minorBidi" w:cstheme="minorBidi"/>
          <w:bCs/>
          <w:lang w:val="fr-FR"/>
        </w:rPr>
        <w:t>s</w:t>
      </w:r>
      <w:r w:rsidR="00BB4589">
        <w:rPr>
          <w:rFonts w:asciiTheme="minorBidi" w:hAnsiTheme="minorBidi" w:cstheme="minorBidi"/>
          <w:bCs/>
          <w:lang w:val="fr-FR"/>
        </w:rPr>
        <w:t>’</w:t>
      </w:r>
      <w:r w:rsidR="00C35262" w:rsidRPr="00BB4589">
        <w:rPr>
          <w:rFonts w:asciiTheme="minorBidi" w:hAnsiTheme="minorBidi" w:cstheme="minorBidi"/>
          <w:bCs/>
          <w:lang w:val="fr-FR"/>
        </w:rPr>
        <w:t xml:space="preserve">adapter à des modalités de travail plus flexibles et les nouvelles possibilités que cela </w:t>
      </w:r>
      <w:r w:rsidR="007D3B45" w:rsidRPr="00BB4589">
        <w:rPr>
          <w:rFonts w:asciiTheme="minorBidi" w:hAnsiTheme="minorBidi" w:cstheme="minorBidi"/>
          <w:bCs/>
          <w:lang w:val="fr-FR"/>
        </w:rPr>
        <w:t xml:space="preserve">pourrait </w:t>
      </w:r>
      <w:r w:rsidR="00C35262" w:rsidRPr="00BB4589">
        <w:rPr>
          <w:rFonts w:asciiTheme="minorBidi" w:hAnsiTheme="minorBidi" w:cstheme="minorBidi"/>
          <w:bCs/>
          <w:lang w:val="fr-FR"/>
        </w:rPr>
        <w:t xml:space="preserve">offrir dans un environnement </w:t>
      </w:r>
      <w:proofErr w:type="spellStart"/>
      <w:r w:rsidR="00C35262" w:rsidRPr="00BB4589">
        <w:rPr>
          <w:rFonts w:asciiTheme="minorBidi" w:hAnsiTheme="minorBidi" w:cstheme="minorBidi"/>
          <w:bCs/>
          <w:lang w:val="fr-FR"/>
        </w:rPr>
        <w:t>post-pandémique</w:t>
      </w:r>
      <w:proofErr w:type="spellEnd"/>
      <w:r w:rsidR="00C35262" w:rsidRPr="00BB4589">
        <w:rPr>
          <w:rFonts w:asciiTheme="minorBidi" w:hAnsiTheme="minorBidi" w:cstheme="minorBidi"/>
          <w:bCs/>
          <w:lang w:val="fr-FR"/>
        </w:rPr>
        <w:t>.</w:t>
      </w:r>
    </w:p>
    <w:p w14:paraId="7F65E718" w14:textId="741F7BD1" w:rsidR="001578FB" w:rsidRPr="00BB4589" w:rsidRDefault="009069B4">
      <w:pPr>
        <w:pStyle w:val="GAPara"/>
        <w:numPr>
          <w:ilvl w:val="0"/>
          <w:numId w:val="19"/>
        </w:numPr>
        <w:ind w:left="567" w:hanging="567"/>
        <w:jc w:val="both"/>
        <w:rPr>
          <w:lang w:val="fr-FR"/>
        </w:rPr>
      </w:pPr>
      <w:r w:rsidRPr="00BB4589">
        <w:rPr>
          <w:lang w:val="fr-FR"/>
        </w:rPr>
        <w:t>En réponse à la pandémie</w:t>
      </w:r>
      <w:r w:rsidR="00361963" w:rsidRPr="00BB4589">
        <w:rPr>
          <w:lang w:val="fr-FR"/>
        </w:rPr>
        <w:t xml:space="preserve">, le Secrétariat a </w:t>
      </w:r>
      <w:r w:rsidR="00F14195" w:rsidRPr="00BB4589">
        <w:rPr>
          <w:lang w:val="fr-FR"/>
        </w:rPr>
        <w:t>contribué aux efforts du Secteur de la culture et de l</w:t>
      </w:r>
      <w:r w:rsidR="00BB4589">
        <w:rPr>
          <w:lang w:val="fr-FR"/>
        </w:rPr>
        <w:t>’</w:t>
      </w:r>
      <w:r w:rsidR="00F14195" w:rsidRPr="00BB4589">
        <w:rPr>
          <w:lang w:val="fr-FR"/>
        </w:rPr>
        <w:t>ensemble de l</w:t>
      </w:r>
      <w:r w:rsidR="00BB4589">
        <w:rPr>
          <w:lang w:val="fr-FR"/>
        </w:rPr>
        <w:t>’</w:t>
      </w:r>
      <w:r w:rsidR="00F14195" w:rsidRPr="00BB4589">
        <w:rPr>
          <w:lang w:val="fr-FR"/>
        </w:rPr>
        <w:t xml:space="preserve">UNESCO pour promouvoir la solidarité mondiale </w:t>
      </w:r>
      <w:r w:rsidR="00A61E0D" w:rsidRPr="00BB4589">
        <w:rPr>
          <w:lang w:val="fr-FR"/>
        </w:rPr>
        <w:t xml:space="preserve">en </w:t>
      </w:r>
      <w:r w:rsidR="000F174B" w:rsidRPr="00BB4589">
        <w:rPr>
          <w:rFonts w:asciiTheme="minorBidi" w:hAnsiTheme="minorBidi" w:cstheme="minorBidi"/>
          <w:lang w:val="fr-FR"/>
        </w:rPr>
        <w:t xml:space="preserve">participant </w:t>
      </w:r>
      <w:r w:rsidR="00374153" w:rsidRPr="00BB4589">
        <w:rPr>
          <w:rFonts w:asciiTheme="minorBidi" w:hAnsiTheme="minorBidi" w:cstheme="minorBidi"/>
          <w:lang w:val="fr-FR"/>
        </w:rPr>
        <w:t xml:space="preserve">activement </w:t>
      </w:r>
      <w:r w:rsidR="00332E93" w:rsidRPr="00BB4589">
        <w:rPr>
          <w:rFonts w:asciiTheme="minorBidi" w:hAnsiTheme="minorBidi" w:cstheme="minorBidi"/>
          <w:lang w:val="fr-FR"/>
        </w:rPr>
        <w:t xml:space="preserve">à la </w:t>
      </w:r>
      <w:r w:rsidR="00374153" w:rsidRPr="00BB4589">
        <w:rPr>
          <w:rFonts w:asciiTheme="minorBidi" w:hAnsiTheme="minorBidi" w:cstheme="minorBidi"/>
          <w:lang w:val="fr-FR"/>
        </w:rPr>
        <w:t xml:space="preserve">campagne de communication et à </w:t>
      </w:r>
      <w:r w:rsidR="00332E93" w:rsidRPr="00BB4589">
        <w:rPr>
          <w:rFonts w:asciiTheme="minorBidi" w:hAnsiTheme="minorBidi" w:cstheme="minorBidi"/>
          <w:lang w:val="fr-FR"/>
        </w:rPr>
        <w:t>l</w:t>
      </w:r>
      <w:r w:rsidR="00BB4589">
        <w:rPr>
          <w:rFonts w:asciiTheme="minorBidi" w:hAnsiTheme="minorBidi" w:cstheme="minorBidi"/>
          <w:lang w:val="fr-FR"/>
        </w:rPr>
        <w:t>’</w:t>
      </w:r>
      <w:r w:rsidR="00374153" w:rsidRPr="00BB4589">
        <w:rPr>
          <w:rFonts w:asciiTheme="minorBidi" w:hAnsiTheme="minorBidi" w:cstheme="minorBidi"/>
          <w:lang w:val="fr-FR"/>
        </w:rPr>
        <w:t xml:space="preserve">initiative </w:t>
      </w:r>
      <w:r w:rsidR="00B62F48">
        <w:rPr>
          <w:rFonts w:asciiTheme="minorBidi" w:hAnsiTheme="minorBidi" w:cstheme="minorBidi"/>
          <w:lang w:val="fr-FR"/>
        </w:rPr>
        <w:t>de libre accès</w:t>
      </w:r>
      <w:r w:rsidR="00374153" w:rsidRPr="00BB4589">
        <w:rPr>
          <w:rFonts w:asciiTheme="minorBidi" w:hAnsiTheme="minorBidi" w:cstheme="minorBidi"/>
          <w:lang w:val="fr-FR"/>
        </w:rPr>
        <w:t xml:space="preserve">, avec la diffusion publique de ses matériels de renforcement des capacités. </w:t>
      </w:r>
      <w:r w:rsidR="00C433D4" w:rsidRPr="00BB4589">
        <w:rPr>
          <w:lang w:val="fr-FR"/>
        </w:rPr>
        <w:t>En avril 2020, le Secrétariat a lancé l</w:t>
      </w:r>
      <w:r w:rsidR="00BB4589">
        <w:rPr>
          <w:lang w:val="fr-FR"/>
        </w:rPr>
        <w:t>’</w:t>
      </w:r>
      <w:r w:rsidR="00C433D4" w:rsidRPr="00BB4589">
        <w:rPr>
          <w:lang w:val="fr-FR"/>
        </w:rPr>
        <w:t xml:space="preserve">enquête en ligne </w:t>
      </w:r>
      <w:r w:rsidR="00B62F48">
        <w:rPr>
          <w:lang w:val="fr-FR"/>
        </w:rPr>
        <w:t>« plateforme d’expérience du patrimoine vivant dans le contexte de la pandémie de</w:t>
      </w:r>
      <w:r w:rsidR="00C433D4" w:rsidRPr="00BB4589">
        <w:rPr>
          <w:lang w:val="fr-FR"/>
        </w:rPr>
        <w:t xml:space="preserve"> COVID-19</w:t>
      </w:r>
      <w:r w:rsidR="00B62F48">
        <w:rPr>
          <w:lang w:val="fr-FR"/>
        </w:rPr>
        <w:t> »</w:t>
      </w:r>
      <w:r w:rsidR="00C433D4" w:rsidRPr="00BB4589">
        <w:rPr>
          <w:lang w:val="fr-FR"/>
        </w:rPr>
        <w:t xml:space="preserve">, dans le </w:t>
      </w:r>
      <w:r w:rsidR="00332E93" w:rsidRPr="00BB4589">
        <w:rPr>
          <w:lang w:val="fr-FR"/>
        </w:rPr>
        <w:t xml:space="preserve">but de recueillir les </w:t>
      </w:r>
      <w:r w:rsidR="00F6160F" w:rsidRPr="00BB4589">
        <w:rPr>
          <w:lang w:val="fr-FR"/>
        </w:rPr>
        <w:t>expériences des communautés sur l</w:t>
      </w:r>
      <w:r w:rsidR="00BB4589">
        <w:rPr>
          <w:lang w:val="fr-FR"/>
        </w:rPr>
        <w:t>’</w:t>
      </w:r>
      <w:r w:rsidR="00332E93" w:rsidRPr="00BB4589">
        <w:rPr>
          <w:lang w:val="fr-FR"/>
        </w:rPr>
        <w:t xml:space="preserve">impact de la </w:t>
      </w:r>
      <w:r w:rsidR="002C00BB" w:rsidRPr="00BB4589">
        <w:rPr>
          <w:lang w:val="fr-FR"/>
        </w:rPr>
        <w:t xml:space="preserve">pandémie </w:t>
      </w:r>
      <w:r w:rsidR="00332E93" w:rsidRPr="00BB4589">
        <w:rPr>
          <w:lang w:val="fr-FR"/>
        </w:rPr>
        <w:t>sur leur patrimoine vivant et le rôle qu</w:t>
      </w:r>
      <w:r w:rsidR="00BB4589">
        <w:rPr>
          <w:lang w:val="fr-FR"/>
        </w:rPr>
        <w:t>’</w:t>
      </w:r>
      <w:r w:rsidR="00332E93" w:rsidRPr="00BB4589">
        <w:rPr>
          <w:lang w:val="fr-FR"/>
        </w:rPr>
        <w:t xml:space="preserve">il pourrait jouer </w:t>
      </w:r>
      <w:r w:rsidR="002C00BB" w:rsidRPr="00BB4589">
        <w:rPr>
          <w:lang w:val="fr-FR"/>
        </w:rPr>
        <w:t xml:space="preserve">pour </w:t>
      </w:r>
      <w:r w:rsidR="00332E93" w:rsidRPr="00BB4589">
        <w:rPr>
          <w:lang w:val="fr-FR"/>
        </w:rPr>
        <w:t xml:space="preserve">aider les communautés à faire face </w:t>
      </w:r>
      <w:r w:rsidR="009D2098" w:rsidRPr="00BB4589">
        <w:rPr>
          <w:lang w:val="fr-FR"/>
        </w:rPr>
        <w:t xml:space="preserve">à </w:t>
      </w:r>
      <w:r w:rsidR="00332E93" w:rsidRPr="00BB4589">
        <w:rPr>
          <w:lang w:val="fr-FR"/>
        </w:rPr>
        <w:t xml:space="preserve">la </w:t>
      </w:r>
      <w:r w:rsidR="002C00BB" w:rsidRPr="00BB4589">
        <w:rPr>
          <w:lang w:val="fr-FR"/>
        </w:rPr>
        <w:t>crise</w:t>
      </w:r>
      <w:r w:rsidR="00332E93" w:rsidRPr="00BB4589">
        <w:rPr>
          <w:lang w:val="fr-FR"/>
        </w:rPr>
        <w:t>.</w:t>
      </w:r>
    </w:p>
    <w:p w14:paraId="035F8A85" w14:textId="19CF22FD" w:rsidR="001578FB" w:rsidRPr="00BB4589" w:rsidRDefault="009069B4">
      <w:pPr>
        <w:pStyle w:val="GAPara"/>
        <w:numPr>
          <w:ilvl w:val="0"/>
          <w:numId w:val="19"/>
        </w:numPr>
        <w:ind w:left="567" w:hanging="567"/>
        <w:jc w:val="both"/>
        <w:rPr>
          <w:lang w:val="fr-FR"/>
        </w:rPr>
      </w:pPr>
      <w:r w:rsidRPr="00BB4589">
        <w:rPr>
          <w:lang w:val="fr-FR"/>
        </w:rPr>
        <w:t>Sur la base des résultats de l</w:t>
      </w:r>
      <w:r w:rsidR="00BB4589">
        <w:rPr>
          <w:lang w:val="fr-FR"/>
        </w:rPr>
        <w:t>’</w:t>
      </w:r>
      <w:r w:rsidRPr="00BB4589">
        <w:rPr>
          <w:lang w:val="fr-FR"/>
        </w:rPr>
        <w:t>enquête</w:t>
      </w:r>
      <w:r w:rsidR="00DB4D51" w:rsidRPr="00BB4589">
        <w:rPr>
          <w:lang w:val="fr-FR"/>
        </w:rPr>
        <w:t>, l</w:t>
      </w:r>
      <w:r w:rsidR="00BB4589">
        <w:rPr>
          <w:lang w:val="fr-FR"/>
        </w:rPr>
        <w:t>’</w:t>
      </w:r>
      <w:r w:rsidR="00DB4D51" w:rsidRPr="00BB4589">
        <w:rPr>
          <w:lang w:val="fr-FR"/>
        </w:rPr>
        <w:t xml:space="preserve">UNESCO a publié </w:t>
      </w:r>
      <w:r w:rsidRPr="00BB4589">
        <w:rPr>
          <w:lang w:val="fr-FR"/>
        </w:rPr>
        <w:t xml:space="preserve">le </w:t>
      </w:r>
      <w:r w:rsidR="00BE41B3" w:rsidRPr="00BB4589">
        <w:rPr>
          <w:lang w:val="fr-FR"/>
        </w:rPr>
        <w:t xml:space="preserve">rapport </w:t>
      </w:r>
      <w:r w:rsidR="004B3463">
        <w:rPr>
          <w:lang w:val="fr-FR"/>
        </w:rPr>
        <w:t>« </w:t>
      </w:r>
      <w:r w:rsidR="004B3463" w:rsidRPr="00BB4589">
        <w:rPr>
          <w:lang w:val="fr-FR"/>
        </w:rPr>
        <w:t xml:space="preserve"> </w:t>
      </w:r>
      <w:hyperlink r:id="rId11" w:history="1">
        <w:r w:rsidR="004B3463">
          <w:rPr>
            <w:rStyle w:val="Hyperlink"/>
            <w:lang w:val="fr-FR"/>
          </w:rPr>
          <w:t>Le patrimoine vivant face à la COVID-19</w:t>
        </w:r>
      </w:hyperlink>
      <w:r w:rsidR="004B3463">
        <w:rPr>
          <w:lang w:val="fr-FR"/>
        </w:rPr>
        <w:t> »</w:t>
      </w:r>
      <w:r w:rsidR="004B3463" w:rsidRPr="00BB4589">
        <w:rPr>
          <w:lang w:val="fr-FR"/>
        </w:rPr>
        <w:t xml:space="preserve"> </w:t>
      </w:r>
      <w:r w:rsidR="00A401E9" w:rsidRPr="00BB4589">
        <w:rPr>
          <w:lang w:val="fr-FR"/>
        </w:rPr>
        <w:t>accompagné d</w:t>
      </w:r>
      <w:r w:rsidR="00BB4589">
        <w:rPr>
          <w:lang w:val="fr-FR"/>
        </w:rPr>
        <w:t>’</w:t>
      </w:r>
      <w:r w:rsidR="00A401E9" w:rsidRPr="00BB4589">
        <w:rPr>
          <w:lang w:val="fr-FR"/>
        </w:rPr>
        <w:t>une série de recommandations</w:t>
      </w:r>
      <w:r w:rsidR="00D55CC8" w:rsidRPr="00BB4589">
        <w:rPr>
          <w:lang w:val="fr-FR"/>
        </w:rPr>
        <w:t xml:space="preserve">, </w:t>
      </w:r>
      <w:r w:rsidR="00C6301A" w:rsidRPr="00BB4589">
        <w:rPr>
          <w:lang w:val="fr-FR"/>
        </w:rPr>
        <w:t xml:space="preserve">mettant en évidence </w:t>
      </w:r>
      <w:r w:rsidR="00B93C4C" w:rsidRPr="00BB4589">
        <w:rPr>
          <w:lang w:val="fr-FR"/>
        </w:rPr>
        <w:t xml:space="preserve">les </w:t>
      </w:r>
      <w:r w:rsidR="005E5B36" w:rsidRPr="00BB4589">
        <w:rPr>
          <w:lang w:val="fr-FR"/>
        </w:rPr>
        <w:t xml:space="preserve">façons </w:t>
      </w:r>
      <w:r w:rsidR="00E0443E" w:rsidRPr="00BB4589">
        <w:rPr>
          <w:lang w:val="fr-FR"/>
        </w:rPr>
        <w:t xml:space="preserve">dont </w:t>
      </w:r>
      <w:r w:rsidR="005E5B36" w:rsidRPr="00BB4589">
        <w:rPr>
          <w:lang w:val="fr-FR"/>
        </w:rPr>
        <w:t xml:space="preserve">la pratique et la transmission du patrimoine vivant ont été perturbées par la pandémie, ainsi que </w:t>
      </w:r>
      <w:r w:rsidR="00B93C4C" w:rsidRPr="00BB4589">
        <w:rPr>
          <w:lang w:val="fr-FR"/>
        </w:rPr>
        <w:t xml:space="preserve">le rôle </w:t>
      </w:r>
      <w:r w:rsidR="005E5B36" w:rsidRPr="00BB4589">
        <w:rPr>
          <w:lang w:val="fr-FR"/>
        </w:rPr>
        <w:t xml:space="preserve">du patrimoine vivant </w:t>
      </w:r>
      <w:r w:rsidR="00B93C4C" w:rsidRPr="00BB4589">
        <w:rPr>
          <w:lang w:val="fr-FR"/>
        </w:rPr>
        <w:t xml:space="preserve">dans le maintien </w:t>
      </w:r>
      <w:r w:rsidR="00FF6064">
        <w:rPr>
          <w:lang w:val="fr-FR"/>
        </w:rPr>
        <w:t>de l’interconnexion</w:t>
      </w:r>
      <w:r w:rsidR="00B93C4C" w:rsidRPr="00BB4589">
        <w:rPr>
          <w:lang w:val="fr-FR"/>
        </w:rPr>
        <w:t xml:space="preserve"> sociale et de la solidarité pendant les mesures </w:t>
      </w:r>
      <w:r w:rsidR="004B3463">
        <w:rPr>
          <w:lang w:val="fr-FR"/>
        </w:rPr>
        <w:t>de distanciation physique et de confinement</w:t>
      </w:r>
      <w:r w:rsidR="00B93C4C" w:rsidRPr="00BB4589">
        <w:rPr>
          <w:lang w:val="fr-FR"/>
        </w:rPr>
        <w:t xml:space="preserve">. Le </w:t>
      </w:r>
      <w:r w:rsidR="005E5B36" w:rsidRPr="00BB4589">
        <w:rPr>
          <w:lang w:val="fr-FR"/>
        </w:rPr>
        <w:t xml:space="preserve">rapport a servi de </w:t>
      </w:r>
      <w:r w:rsidR="00755E17" w:rsidRPr="00BB4589">
        <w:rPr>
          <w:lang w:val="fr-FR"/>
        </w:rPr>
        <w:t xml:space="preserve">base </w:t>
      </w:r>
      <w:r w:rsidR="005E5B36" w:rsidRPr="00BB4589">
        <w:rPr>
          <w:lang w:val="fr-FR"/>
        </w:rPr>
        <w:t>au développement d</w:t>
      </w:r>
      <w:r w:rsidR="00BB4589">
        <w:rPr>
          <w:lang w:val="fr-FR"/>
        </w:rPr>
        <w:t>’</w:t>
      </w:r>
      <w:r w:rsidR="005E5B36" w:rsidRPr="00BB4589">
        <w:rPr>
          <w:lang w:val="fr-FR"/>
        </w:rPr>
        <w:t xml:space="preserve">activités pilotes dans </w:t>
      </w:r>
      <w:r w:rsidR="00E63FC3" w:rsidRPr="00BB4589">
        <w:rPr>
          <w:lang w:val="fr-FR"/>
        </w:rPr>
        <w:t xml:space="preserve">huit </w:t>
      </w:r>
      <w:r w:rsidR="005E5B36" w:rsidRPr="00BB4589">
        <w:rPr>
          <w:lang w:val="fr-FR"/>
        </w:rPr>
        <w:t xml:space="preserve">pays </w:t>
      </w:r>
      <w:r w:rsidR="00520457">
        <w:rPr>
          <w:rStyle w:val="FootnoteReference"/>
        </w:rPr>
        <w:footnoteReference w:id="2"/>
      </w:r>
      <w:r w:rsidR="00E63FC3" w:rsidRPr="00BB4589">
        <w:rPr>
          <w:lang w:val="fr-FR"/>
        </w:rPr>
        <w:t xml:space="preserve">. </w:t>
      </w:r>
      <w:r w:rsidR="00E0443E" w:rsidRPr="00BB4589">
        <w:rPr>
          <w:lang w:val="fr-FR"/>
        </w:rPr>
        <w:t xml:space="preserve">Bon nombre de ces projets sont maintenant terminés et ont donné des </w:t>
      </w:r>
      <w:hyperlink r:id="rId12" w:history="1">
        <w:r w:rsidR="00E0443E" w:rsidRPr="00BB4589">
          <w:rPr>
            <w:rStyle w:val="Hyperlink"/>
            <w:rFonts w:cs="Arial"/>
            <w:lang w:val="fr-FR"/>
          </w:rPr>
          <w:t>résultats</w:t>
        </w:r>
      </w:hyperlink>
      <w:r w:rsidR="00E0443E" w:rsidRPr="00BB4589">
        <w:rPr>
          <w:lang w:val="fr-FR"/>
        </w:rPr>
        <w:t xml:space="preserve"> divers et </w:t>
      </w:r>
      <w:r w:rsidR="00807CB3" w:rsidRPr="00BB4589">
        <w:rPr>
          <w:lang w:val="fr-FR"/>
        </w:rPr>
        <w:t>significatifs</w:t>
      </w:r>
      <w:r w:rsidR="00E0443E" w:rsidRPr="00BB4589">
        <w:rPr>
          <w:lang w:val="fr-FR"/>
        </w:rPr>
        <w:t xml:space="preserve">. </w:t>
      </w:r>
      <w:r w:rsidR="00B5062A" w:rsidRPr="00BB4589">
        <w:rPr>
          <w:lang w:val="fr-FR"/>
        </w:rPr>
        <w:t xml:space="preserve">Les </w:t>
      </w:r>
      <w:r w:rsidR="00EC199B" w:rsidRPr="00BB4589">
        <w:rPr>
          <w:lang w:val="fr-FR"/>
        </w:rPr>
        <w:t xml:space="preserve">activités pilotes </w:t>
      </w:r>
      <w:r w:rsidR="00A30458" w:rsidRPr="00BB4589">
        <w:rPr>
          <w:lang w:val="fr-FR"/>
        </w:rPr>
        <w:t xml:space="preserve">menées dans différentes régions ont montré la pertinence durable du patrimoine vivant pour la vie des gens pendant la pandémie et </w:t>
      </w:r>
      <w:r w:rsidR="00B86DC7" w:rsidRPr="00BB4589">
        <w:rPr>
          <w:lang w:val="fr-FR"/>
        </w:rPr>
        <w:t xml:space="preserve">son </w:t>
      </w:r>
      <w:r w:rsidR="00EF3C1F" w:rsidRPr="00BB4589">
        <w:rPr>
          <w:lang w:val="fr-FR"/>
        </w:rPr>
        <w:t xml:space="preserve">importance pour assurer </w:t>
      </w:r>
      <w:r w:rsidR="004B3463">
        <w:rPr>
          <w:lang w:val="fr-FR"/>
        </w:rPr>
        <w:t>une voie</w:t>
      </w:r>
      <w:r w:rsidR="00DE6A7F" w:rsidRPr="00BB4589">
        <w:rPr>
          <w:lang w:val="fr-FR"/>
        </w:rPr>
        <w:t xml:space="preserve"> plus durable et </w:t>
      </w:r>
      <w:r w:rsidR="004B3463" w:rsidRPr="00BB4589">
        <w:rPr>
          <w:lang w:val="fr-FR"/>
        </w:rPr>
        <w:t>inclusi</w:t>
      </w:r>
      <w:r w:rsidR="004B3463">
        <w:rPr>
          <w:lang w:val="fr-FR"/>
        </w:rPr>
        <w:t>ve</w:t>
      </w:r>
      <w:r w:rsidR="004B3463" w:rsidRPr="00BB4589">
        <w:rPr>
          <w:lang w:val="fr-FR"/>
        </w:rPr>
        <w:t xml:space="preserve"> </w:t>
      </w:r>
      <w:r w:rsidR="00DE6A7F" w:rsidRPr="00BB4589">
        <w:rPr>
          <w:lang w:val="fr-FR"/>
        </w:rPr>
        <w:t xml:space="preserve">vers le </w:t>
      </w:r>
      <w:r w:rsidR="004B3463">
        <w:rPr>
          <w:lang w:val="fr-FR"/>
        </w:rPr>
        <w:t>relèvement</w:t>
      </w:r>
      <w:r w:rsidR="00DE6A7F" w:rsidRPr="00BB4589">
        <w:rPr>
          <w:lang w:val="fr-FR"/>
        </w:rPr>
        <w:t>.</w:t>
      </w:r>
    </w:p>
    <w:p w14:paraId="2D79660C" w14:textId="3A7E1402" w:rsidR="001578FB" w:rsidRPr="00BB4589" w:rsidRDefault="009069B4">
      <w:pPr>
        <w:pStyle w:val="COMPara"/>
        <w:keepNext/>
        <w:numPr>
          <w:ilvl w:val="0"/>
          <w:numId w:val="21"/>
        </w:numPr>
        <w:spacing w:before="240"/>
        <w:ind w:left="576" w:hanging="432"/>
        <w:jc w:val="both"/>
        <w:rPr>
          <w:rFonts w:asciiTheme="minorBidi" w:hAnsiTheme="minorBidi" w:cstheme="minorBidi"/>
          <w:b/>
          <w:bCs/>
          <w:lang w:val="fr-FR"/>
        </w:rPr>
      </w:pPr>
      <w:r w:rsidRPr="00BB4589">
        <w:rPr>
          <w:rFonts w:asciiTheme="minorBidi" w:hAnsiTheme="minorBidi" w:cstheme="minorBidi"/>
          <w:b/>
          <w:bCs/>
          <w:lang w:val="fr-FR"/>
        </w:rPr>
        <w:t xml:space="preserve">Gouvernance de la Convention : </w:t>
      </w:r>
      <w:r w:rsidR="00975E5A">
        <w:rPr>
          <w:rFonts w:asciiTheme="minorBidi" w:hAnsiTheme="minorBidi" w:cstheme="minorBidi"/>
          <w:b/>
          <w:bCs/>
          <w:lang w:val="fr-FR"/>
        </w:rPr>
        <w:t>s</w:t>
      </w:r>
      <w:r w:rsidRPr="00BB4589">
        <w:rPr>
          <w:rFonts w:asciiTheme="minorBidi" w:hAnsiTheme="minorBidi" w:cstheme="minorBidi"/>
          <w:b/>
          <w:bCs/>
          <w:lang w:val="fr-FR"/>
        </w:rPr>
        <w:t>outien statutaire</w:t>
      </w:r>
    </w:p>
    <w:p w14:paraId="254CB5EC" w14:textId="0B037416" w:rsidR="001578FB" w:rsidRPr="00BB4589" w:rsidRDefault="009069B4">
      <w:pPr>
        <w:pStyle w:val="COMPara"/>
        <w:keepNext/>
        <w:numPr>
          <w:ilvl w:val="0"/>
          <w:numId w:val="19"/>
        </w:numPr>
        <w:ind w:left="567" w:hanging="567"/>
        <w:jc w:val="both"/>
        <w:rPr>
          <w:lang w:val="fr-FR"/>
        </w:rPr>
      </w:pPr>
      <w:r w:rsidRPr="00BB4589">
        <w:rPr>
          <w:lang w:val="fr-FR"/>
        </w:rPr>
        <w:t xml:space="preserve">Tout au long de la période considérée, le Secrétariat a assuré un </w:t>
      </w:r>
      <w:r w:rsidRPr="00BB4589">
        <w:rPr>
          <w:u w:val="single"/>
          <w:lang w:val="fr-FR"/>
        </w:rPr>
        <w:t>soutien</w:t>
      </w:r>
      <w:r w:rsidRPr="000B1D75">
        <w:rPr>
          <w:lang w:val="fr-FR"/>
        </w:rPr>
        <w:t xml:space="preserve"> </w:t>
      </w:r>
      <w:r w:rsidRPr="00BB4589">
        <w:rPr>
          <w:lang w:val="fr-FR"/>
        </w:rPr>
        <w:t xml:space="preserve">administratif, logistique et </w:t>
      </w:r>
      <w:r w:rsidR="00FF6064">
        <w:rPr>
          <w:lang w:val="fr-FR"/>
        </w:rPr>
        <w:t>technique</w:t>
      </w:r>
      <w:r w:rsidRPr="00BB4589">
        <w:rPr>
          <w:lang w:val="fr-FR"/>
        </w:rPr>
        <w:t xml:space="preserve"> </w:t>
      </w:r>
      <w:r w:rsidRPr="00BB4589">
        <w:rPr>
          <w:u w:val="single"/>
          <w:lang w:val="fr-FR"/>
        </w:rPr>
        <w:t xml:space="preserve">aux </w:t>
      </w:r>
      <w:r w:rsidR="00C273C2" w:rsidRPr="00BB4589">
        <w:rPr>
          <w:u w:val="single"/>
          <w:lang w:val="fr-FR"/>
        </w:rPr>
        <w:t>organes directeurs de la Convention</w:t>
      </w:r>
      <w:r w:rsidRPr="00BB4589">
        <w:rPr>
          <w:lang w:val="fr-FR"/>
        </w:rPr>
        <w:t xml:space="preserve">. </w:t>
      </w:r>
      <w:r w:rsidR="00E61CAD" w:rsidRPr="00BB4589">
        <w:rPr>
          <w:lang w:val="fr-FR"/>
        </w:rPr>
        <w:t xml:space="preserve">La </w:t>
      </w:r>
      <w:r w:rsidR="009D2098" w:rsidRPr="00BB4589">
        <w:rPr>
          <w:lang w:val="fr-FR"/>
        </w:rPr>
        <w:t>huitième session de l</w:t>
      </w:r>
      <w:r w:rsidR="00BB4589">
        <w:rPr>
          <w:lang w:val="fr-FR"/>
        </w:rPr>
        <w:t>’</w:t>
      </w:r>
      <w:r w:rsidR="00E61CAD" w:rsidRPr="00BB4589">
        <w:rPr>
          <w:lang w:val="fr-FR"/>
        </w:rPr>
        <w:t xml:space="preserve">Assemblée générale a adopté les </w:t>
      </w:r>
      <w:r w:rsidR="00FF6064">
        <w:rPr>
          <w:lang w:val="fr-FR"/>
        </w:rPr>
        <w:t>P</w:t>
      </w:r>
      <w:r w:rsidR="00E61CAD" w:rsidRPr="00BB4589">
        <w:rPr>
          <w:lang w:val="fr-FR"/>
        </w:rPr>
        <w:t xml:space="preserve">rincipes et modalités </w:t>
      </w:r>
      <w:r w:rsidR="00FF6064" w:rsidRPr="00BB4589">
        <w:rPr>
          <w:lang w:val="fr-FR"/>
        </w:rPr>
        <w:t xml:space="preserve">opérationnels </w:t>
      </w:r>
      <w:r w:rsidR="00FF6064">
        <w:rPr>
          <w:lang w:val="fr-FR"/>
        </w:rPr>
        <w:t>pour la</w:t>
      </w:r>
      <w:r w:rsidR="00FF6064" w:rsidRPr="00BB4589">
        <w:rPr>
          <w:lang w:val="fr-FR"/>
        </w:rPr>
        <w:t xml:space="preserve"> </w:t>
      </w:r>
      <w:r w:rsidR="00E61CAD" w:rsidRPr="00BB4589">
        <w:rPr>
          <w:lang w:val="fr-FR"/>
        </w:rPr>
        <w:t xml:space="preserve">sauvegarde du patrimoine culturel immatériel </w:t>
      </w:r>
      <w:r w:rsidR="00FF6064">
        <w:rPr>
          <w:lang w:val="fr-FR"/>
        </w:rPr>
        <w:t>dans les situations d’urgence</w:t>
      </w:r>
      <w:r w:rsidR="00E61CAD" w:rsidRPr="00BB4589">
        <w:rPr>
          <w:lang w:val="fr-FR"/>
        </w:rPr>
        <w:t xml:space="preserve"> et a introduit un processus de dialogue entre l</w:t>
      </w:r>
      <w:r w:rsidR="00BB4589">
        <w:rPr>
          <w:lang w:val="fr-FR"/>
        </w:rPr>
        <w:t>’</w:t>
      </w:r>
      <w:r w:rsidR="00E61CAD" w:rsidRPr="00BB4589">
        <w:rPr>
          <w:lang w:val="fr-FR"/>
        </w:rPr>
        <w:t>Organe d</w:t>
      </w:r>
      <w:r w:rsidR="00BB4589">
        <w:rPr>
          <w:lang w:val="fr-FR"/>
        </w:rPr>
        <w:t>’</w:t>
      </w:r>
      <w:r w:rsidR="00E61CAD" w:rsidRPr="00BB4589">
        <w:rPr>
          <w:lang w:val="fr-FR"/>
        </w:rPr>
        <w:t>évaluation et les États soumissionnaires dans le cadre du processus d</w:t>
      </w:r>
      <w:r w:rsidR="00BB4589">
        <w:rPr>
          <w:lang w:val="fr-FR"/>
        </w:rPr>
        <w:t>’</w:t>
      </w:r>
      <w:r w:rsidR="00E61CAD" w:rsidRPr="00BB4589">
        <w:rPr>
          <w:lang w:val="fr-FR"/>
        </w:rPr>
        <w:t xml:space="preserve">évaluation. </w:t>
      </w:r>
      <w:r w:rsidR="00E613A4" w:rsidRPr="00BB4589">
        <w:rPr>
          <w:lang w:val="fr-FR"/>
        </w:rPr>
        <w:t xml:space="preserve">La quinzième session du Comité en 2020, tout en se réunissant entièrement en ligne en raison de la pandémie de COVID-19, a </w:t>
      </w:r>
      <w:r w:rsidR="00E61CAD" w:rsidRPr="00BB4589">
        <w:rPr>
          <w:lang w:val="fr-FR"/>
        </w:rPr>
        <w:t>inscrit le plus grand nombre d</w:t>
      </w:r>
      <w:r w:rsidR="00BB4589">
        <w:rPr>
          <w:lang w:val="fr-FR"/>
        </w:rPr>
        <w:t>’</w:t>
      </w:r>
      <w:r w:rsidR="00E61CAD" w:rsidRPr="00BB4589">
        <w:rPr>
          <w:lang w:val="fr-FR"/>
        </w:rPr>
        <w:t xml:space="preserve">éléments multinationaux </w:t>
      </w:r>
      <w:r w:rsidR="00D16A03" w:rsidRPr="00BB4589">
        <w:rPr>
          <w:lang w:val="fr-FR"/>
        </w:rPr>
        <w:t>(</w:t>
      </w:r>
      <w:r w:rsidR="00B0493C" w:rsidRPr="00BB4589">
        <w:rPr>
          <w:lang w:val="fr-FR"/>
        </w:rPr>
        <w:t>14</w:t>
      </w:r>
      <w:r w:rsidR="00D16A03" w:rsidRPr="00BB4589">
        <w:rPr>
          <w:lang w:val="fr-FR"/>
        </w:rPr>
        <w:t xml:space="preserve">) </w:t>
      </w:r>
      <w:r w:rsidR="00E61CAD" w:rsidRPr="00BB4589">
        <w:rPr>
          <w:lang w:val="fr-FR"/>
        </w:rPr>
        <w:t xml:space="preserve">témoignant de la capacité du </w:t>
      </w:r>
      <w:r w:rsidR="00B20454" w:rsidRPr="00BB4589">
        <w:rPr>
          <w:lang w:val="fr-FR"/>
        </w:rPr>
        <w:t xml:space="preserve">patrimoine </w:t>
      </w:r>
      <w:r w:rsidR="00A67B1F" w:rsidRPr="00BB4589">
        <w:rPr>
          <w:lang w:val="fr-FR"/>
        </w:rPr>
        <w:t xml:space="preserve">vivant </w:t>
      </w:r>
      <w:r w:rsidR="00E61CAD" w:rsidRPr="00BB4589">
        <w:rPr>
          <w:lang w:val="fr-FR"/>
        </w:rPr>
        <w:t xml:space="preserve">à rassembler les </w:t>
      </w:r>
      <w:r w:rsidR="00FF6064">
        <w:rPr>
          <w:lang w:val="fr-FR"/>
        </w:rPr>
        <w:t xml:space="preserve">peuples </w:t>
      </w:r>
      <w:r w:rsidR="00E61CAD" w:rsidRPr="00BB4589">
        <w:rPr>
          <w:lang w:val="fr-FR"/>
        </w:rPr>
        <w:t xml:space="preserve">et à promouvoir la coopération internationale. À son tour, le </w:t>
      </w:r>
      <w:r w:rsidR="00A67B1F" w:rsidRPr="00BB4589">
        <w:rPr>
          <w:lang w:val="fr-FR"/>
        </w:rPr>
        <w:t xml:space="preserve">Comité, lors de sa seizième session </w:t>
      </w:r>
      <w:r w:rsidR="00E613A4" w:rsidRPr="00BB4589">
        <w:rPr>
          <w:lang w:val="fr-FR"/>
        </w:rPr>
        <w:t>en 2021</w:t>
      </w:r>
      <w:r w:rsidR="00032804" w:rsidRPr="00BB4589">
        <w:rPr>
          <w:lang w:val="fr-FR"/>
        </w:rPr>
        <w:t>, qui s</w:t>
      </w:r>
      <w:r w:rsidR="00BB4589">
        <w:rPr>
          <w:lang w:val="fr-FR"/>
        </w:rPr>
        <w:t>’</w:t>
      </w:r>
      <w:r w:rsidR="00032804" w:rsidRPr="00BB4589">
        <w:rPr>
          <w:lang w:val="fr-FR"/>
        </w:rPr>
        <w:t xml:space="preserve">est également tenue entièrement en ligne, </w:t>
      </w:r>
      <w:r w:rsidR="00E61CAD" w:rsidRPr="00BB4589">
        <w:rPr>
          <w:lang w:val="fr-FR"/>
        </w:rPr>
        <w:t>a décidé d</w:t>
      </w:r>
      <w:r w:rsidR="00BB4589">
        <w:rPr>
          <w:lang w:val="fr-FR"/>
        </w:rPr>
        <w:t>’</w:t>
      </w:r>
      <w:r w:rsidR="00E61CAD" w:rsidRPr="00BB4589">
        <w:rPr>
          <w:lang w:val="fr-FR"/>
        </w:rPr>
        <w:t xml:space="preserve">inscrire un élément </w:t>
      </w:r>
      <w:r w:rsidR="00E300FE" w:rsidRPr="00BB4589">
        <w:rPr>
          <w:lang w:val="fr-FR"/>
        </w:rPr>
        <w:t>d</w:t>
      </w:r>
      <w:r w:rsidR="00BB4589">
        <w:rPr>
          <w:lang w:val="fr-FR"/>
        </w:rPr>
        <w:t>’</w:t>
      </w:r>
      <w:r w:rsidR="00E61CAD" w:rsidRPr="00BB4589">
        <w:rPr>
          <w:lang w:val="fr-FR"/>
        </w:rPr>
        <w:t xml:space="preserve">Haïti </w:t>
      </w:r>
      <w:r w:rsidR="009C4886" w:rsidRPr="00BB4589">
        <w:rPr>
          <w:lang w:val="fr-FR"/>
        </w:rPr>
        <w:t xml:space="preserve">sur une </w:t>
      </w:r>
      <w:r w:rsidR="00E61CAD" w:rsidRPr="00BB4589">
        <w:rPr>
          <w:lang w:val="fr-FR"/>
        </w:rPr>
        <w:t xml:space="preserve">base accélérée </w:t>
      </w:r>
      <w:r w:rsidR="00C53E59">
        <w:rPr>
          <w:lang w:val="fr-FR"/>
        </w:rPr>
        <w:t xml:space="preserve">à titre </w:t>
      </w:r>
      <w:r w:rsidR="00C53E59" w:rsidRPr="00BB4589">
        <w:rPr>
          <w:lang w:val="fr-FR"/>
        </w:rPr>
        <w:t xml:space="preserve">exceptionnelle </w:t>
      </w:r>
      <w:r w:rsidR="00E61CAD" w:rsidRPr="00BB4589">
        <w:rPr>
          <w:lang w:val="fr-FR"/>
        </w:rPr>
        <w:t xml:space="preserve">suite aux catastrophes naturelles consécutives qui ont frappé le pays. </w:t>
      </w:r>
      <w:r w:rsidR="009C4886" w:rsidRPr="00BB4589">
        <w:rPr>
          <w:lang w:val="fr-FR"/>
        </w:rPr>
        <w:t>Cette décision est portée à l</w:t>
      </w:r>
      <w:r w:rsidR="00BB4589">
        <w:rPr>
          <w:lang w:val="fr-FR"/>
        </w:rPr>
        <w:t>’</w:t>
      </w:r>
      <w:r w:rsidR="009C4886" w:rsidRPr="00BB4589">
        <w:rPr>
          <w:lang w:val="fr-FR"/>
        </w:rPr>
        <w:t>attention de l</w:t>
      </w:r>
      <w:r w:rsidR="00BB4589">
        <w:rPr>
          <w:lang w:val="fr-FR"/>
        </w:rPr>
        <w:t>’</w:t>
      </w:r>
      <w:r w:rsidR="009C4886" w:rsidRPr="00BB4589">
        <w:rPr>
          <w:lang w:val="fr-FR"/>
        </w:rPr>
        <w:t>Assemblée générale pour qu</w:t>
      </w:r>
      <w:r w:rsidR="00BB4589">
        <w:rPr>
          <w:lang w:val="fr-FR"/>
        </w:rPr>
        <w:t>’</w:t>
      </w:r>
      <w:r w:rsidR="009C4886" w:rsidRPr="00BB4589">
        <w:rPr>
          <w:lang w:val="fr-FR"/>
        </w:rPr>
        <w:t xml:space="preserve">elle approuve la procédure au </w:t>
      </w:r>
      <w:r w:rsidR="00C53E59">
        <w:rPr>
          <w:lang w:val="fr-FR"/>
        </w:rPr>
        <w:t xml:space="preserve">titre du </w:t>
      </w:r>
      <w:r w:rsidR="009C4886" w:rsidRPr="00BB4589">
        <w:rPr>
          <w:lang w:val="fr-FR"/>
        </w:rPr>
        <w:t xml:space="preserve">point </w:t>
      </w:r>
      <w:r w:rsidR="00BF25F8" w:rsidRPr="00BB4589">
        <w:rPr>
          <w:lang w:val="fr-FR"/>
        </w:rPr>
        <w:t xml:space="preserve">8 </w:t>
      </w:r>
      <w:r w:rsidR="00E300FE" w:rsidRPr="00BB4589">
        <w:rPr>
          <w:lang w:val="fr-FR"/>
        </w:rPr>
        <w:t>(</w:t>
      </w:r>
      <w:r w:rsidR="00E300FE" w:rsidRPr="00773EA1">
        <w:rPr>
          <w:lang w:val="fr-FR"/>
        </w:rPr>
        <w:t xml:space="preserve">document </w:t>
      </w:r>
      <w:hyperlink r:id="rId13" w:history="1">
        <w:r w:rsidR="00BF25F8" w:rsidRPr="00773EA1">
          <w:rPr>
            <w:rStyle w:val="Hyperlink"/>
            <w:rFonts w:eastAsiaTheme="minorHAnsi" w:cs="Arial"/>
            <w:lang w:val="fr-FR"/>
          </w:rPr>
          <w:t>LHE/22/9.GA/8</w:t>
        </w:r>
      </w:hyperlink>
      <w:r w:rsidR="00E300FE" w:rsidRPr="00773EA1">
        <w:rPr>
          <w:lang w:val="fr-FR"/>
        </w:rPr>
        <w:t>)</w:t>
      </w:r>
      <w:r w:rsidR="00E61CAD" w:rsidRPr="00773EA1">
        <w:rPr>
          <w:lang w:val="fr-FR"/>
        </w:rPr>
        <w:t xml:space="preserve">. Un projet de rapport sur les activités du Comité de janvier 2020 à décembre 2021 </w:t>
      </w:r>
      <w:r w:rsidR="007F1D25" w:rsidRPr="00773EA1">
        <w:rPr>
          <w:lang w:val="fr-FR"/>
        </w:rPr>
        <w:t xml:space="preserve">est </w:t>
      </w:r>
      <w:r w:rsidR="00C53E59" w:rsidRPr="00773EA1">
        <w:rPr>
          <w:lang w:val="fr-FR"/>
        </w:rPr>
        <w:t>en outre</w:t>
      </w:r>
      <w:r w:rsidR="007F1D25" w:rsidRPr="00773EA1">
        <w:rPr>
          <w:lang w:val="fr-FR"/>
        </w:rPr>
        <w:t xml:space="preserve"> présenté à la présente session </w:t>
      </w:r>
      <w:r w:rsidR="00C53E59" w:rsidRPr="00773EA1">
        <w:rPr>
          <w:lang w:val="fr-FR"/>
        </w:rPr>
        <w:t>au titre</w:t>
      </w:r>
      <w:r w:rsidR="007F1D25" w:rsidRPr="00773EA1">
        <w:rPr>
          <w:lang w:val="fr-FR"/>
        </w:rPr>
        <w:t xml:space="preserve"> point 5 </w:t>
      </w:r>
      <w:r w:rsidR="00E61CAD" w:rsidRPr="00773EA1">
        <w:rPr>
          <w:lang w:val="fr-FR"/>
        </w:rPr>
        <w:t xml:space="preserve">(document </w:t>
      </w:r>
      <w:hyperlink r:id="rId14" w:history="1">
        <w:r w:rsidR="00E61CAD" w:rsidRPr="00773EA1">
          <w:rPr>
            <w:rStyle w:val="Hyperlink"/>
            <w:rFonts w:eastAsiaTheme="minorHAnsi" w:cs="Arial"/>
            <w:lang w:val="fr-FR"/>
          </w:rPr>
          <w:t>LHE/22/9.GA/5</w:t>
        </w:r>
      </w:hyperlink>
      <w:r w:rsidR="00E61CAD" w:rsidRPr="00773EA1">
        <w:rPr>
          <w:lang w:val="fr-FR"/>
        </w:rPr>
        <w:t>).</w:t>
      </w:r>
    </w:p>
    <w:p w14:paraId="0AEBF73A" w14:textId="0DCF9C43" w:rsidR="001578FB" w:rsidRPr="00BB4589" w:rsidRDefault="009F7C5C">
      <w:pPr>
        <w:pStyle w:val="COMPara"/>
        <w:numPr>
          <w:ilvl w:val="0"/>
          <w:numId w:val="19"/>
        </w:numPr>
        <w:ind w:left="567" w:hanging="567"/>
        <w:jc w:val="both"/>
        <w:rPr>
          <w:rFonts w:eastAsia="SimSun"/>
          <w:color w:val="000000" w:themeColor="text1"/>
          <w:lang w:val="fr-FR" w:bidi="en-US"/>
        </w:rPr>
      </w:pPr>
      <w:r w:rsidRPr="00BB4589">
        <w:rPr>
          <w:rFonts w:asciiTheme="minorBidi" w:hAnsiTheme="minorBidi" w:cstheme="minorBidi"/>
          <w:u w:val="single"/>
          <w:lang w:val="fr-FR"/>
        </w:rPr>
        <w:t xml:space="preserve">La réflexion </w:t>
      </w:r>
      <w:r w:rsidR="00703F04">
        <w:rPr>
          <w:rFonts w:asciiTheme="minorBidi" w:hAnsiTheme="minorBidi" w:cstheme="minorBidi"/>
          <w:u w:val="single"/>
          <w:lang w:val="fr-FR"/>
        </w:rPr>
        <w:t>globale</w:t>
      </w:r>
      <w:r w:rsidR="00703F04" w:rsidRPr="00BB4589">
        <w:rPr>
          <w:rFonts w:asciiTheme="minorBidi" w:hAnsiTheme="minorBidi" w:cstheme="minorBidi"/>
          <w:u w:val="single"/>
          <w:lang w:val="fr-FR"/>
        </w:rPr>
        <w:t xml:space="preserve"> </w:t>
      </w:r>
      <w:r w:rsidRPr="00BB4589">
        <w:rPr>
          <w:rFonts w:asciiTheme="minorBidi" w:hAnsiTheme="minorBidi" w:cstheme="minorBidi"/>
          <w:u w:val="single"/>
          <w:lang w:val="fr-FR"/>
        </w:rPr>
        <w:t>sur les mécanismes d</w:t>
      </w:r>
      <w:r w:rsidR="00BB4589">
        <w:rPr>
          <w:rFonts w:asciiTheme="minorBidi" w:hAnsiTheme="minorBidi" w:cstheme="minorBidi"/>
          <w:u w:val="single"/>
          <w:lang w:val="fr-FR"/>
        </w:rPr>
        <w:t>’</w:t>
      </w:r>
      <w:r w:rsidRPr="00BB4589">
        <w:rPr>
          <w:rFonts w:asciiTheme="minorBidi" w:hAnsiTheme="minorBidi" w:cstheme="minorBidi"/>
          <w:u w:val="single"/>
          <w:lang w:val="fr-FR"/>
        </w:rPr>
        <w:t>inscription</w:t>
      </w:r>
      <w:r w:rsidRPr="000B1D75">
        <w:rPr>
          <w:rFonts w:asciiTheme="minorBidi" w:hAnsiTheme="minorBidi" w:cstheme="minorBidi"/>
          <w:lang w:val="fr-FR"/>
        </w:rPr>
        <w:t xml:space="preserve"> </w:t>
      </w:r>
      <w:r w:rsidR="00703F04" w:rsidRPr="000B1D75">
        <w:rPr>
          <w:rFonts w:asciiTheme="minorBidi" w:hAnsiTheme="minorBidi" w:cstheme="minorBidi"/>
          <w:lang w:val="fr-FR"/>
        </w:rPr>
        <w:t xml:space="preserve">sur les listes </w:t>
      </w:r>
      <w:r w:rsidRPr="000B1D75">
        <w:rPr>
          <w:rFonts w:asciiTheme="minorBidi" w:hAnsiTheme="minorBidi" w:cstheme="minorBidi"/>
          <w:lang w:val="fr-FR"/>
        </w:rPr>
        <w:t xml:space="preserve">de la </w:t>
      </w:r>
      <w:r w:rsidRPr="00703F04">
        <w:rPr>
          <w:rFonts w:asciiTheme="minorBidi" w:hAnsiTheme="minorBidi" w:cstheme="minorBidi"/>
          <w:lang w:val="fr-FR"/>
        </w:rPr>
        <w:t>Convention</w:t>
      </w:r>
      <w:r w:rsidR="00064417" w:rsidRPr="00BB4589">
        <w:rPr>
          <w:rFonts w:asciiTheme="minorBidi" w:hAnsiTheme="minorBidi" w:cstheme="minorBidi"/>
          <w:lang w:val="fr-FR"/>
        </w:rPr>
        <w:t xml:space="preserve">, </w:t>
      </w:r>
      <w:r w:rsidR="00D16A03" w:rsidRPr="00BB4589">
        <w:rPr>
          <w:rFonts w:asciiTheme="minorBidi" w:hAnsiTheme="minorBidi" w:cstheme="minorBidi"/>
          <w:lang w:val="fr-FR"/>
        </w:rPr>
        <w:t xml:space="preserve">initiée par la douzième session du </w:t>
      </w:r>
      <w:r w:rsidR="008D774C" w:rsidRPr="00BB4589">
        <w:rPr>
          <w:rFonts w:asciiTheme="minorBidi" w:hAnsiTheme="minorBidi" w:cstheme="minorBidi"/>
          <w:lang w:val="fr-FR"/>
        </w:rPr>
        <w:t xml:space="preserve">Comité </w:t>
      </w:r>
      <w:r w:rsidR="008C39E7" w:rsidRPr="00BB4589">
        <w:rPr>
          <w:rFonts w:asciiTheme="minorBidi" w:hAnsiTheme="minorBidi" w:cstheme="minorBidi"/>
          <w:lang w:val="fr-FR"/>
        </w:rPr>
        <w:t xml:space="preserve">en 2017, a constitué </w:t>
      </w:r>
      <w:r w:rsidR="00032804" w:rsidRPr="00BB4589">
        <w:rPr>
          <w:rFonts w:asciiTheme="minorBidi" w:hAnsiTheme="minorBidi" w:cstheme="minorBidi"/>
          <w:lang w:val="fr-FR"/>
        </w:rPr>
        <w:t xml:space="preserve">une réalisation importante </w:t>
      </w:r>
      <w:r w:rsidR="009069B4" w:rsidRPr="00BB4589">
        <w:rPr>
          <w:rFonts w:asciiTheme="minorBidi" w:hAnsiTheme="minorBidi" w:cstheme="minorBidi"/>
          <w:lang w:val="fr-FR"/>
        </w:rPr>
        <w:t>de la période considérée</w:t>
      </w:r>
      <w:r w:rsidR="00D16A03" w:rsidRPr="00BB4589">
        <w:rPr>
          <w:rFonts w:asciiTheme="minorBidi" w:hAnsiTheme="minorBidi" w:cstheme="minorBidi"/>
          <w:lang w:val="fr-FR"/>
        </w:rPr>
        <w:t>. À la suite d</w:t>
      </w:r>
      <w:r w:rsidR="00BB4589">
        <w:rPr>
          <w:rFonts w:asciiTheme="minorBidi" w:hAnsiTheme="minorBidi" w:cstheme="minorBidi"/>
          <w:lang w:val="fr-FR"/>
        </w:rPr>
        <w:t>’</w:t>
      </w:r>
      <w:r w:rsidR="00D16A03" w:rsidRPr="00BB4589">
        <w:rPr>
          <w:rFonts w:asciiTheme="minorBidi" w:hAnsiTheme="minorBidi" w:cstheme="minorBidi"/>
          <w:lang w:val="fr-FR"/>
        </w:rPr>
        <w:t xml:space="preserve">une enquête </w:t>
      </w:r>
      <w:r w:rsidR="008D774C" w:rsidRPr="00BB4589">
        <w:rPr>
          <w:rFonts w:asciiTheme="minorBidi" w:hAnsiTheme="minorBidi" w:cstheme="minorBidi"/>
          <w:lang w:val="fr-FR"/>
        </w:rPr>
        <w:t xml:space="preserve">menée </w:t>
      </w:r>
      <w:r w:rsidR="00D16A03" w:rsidRPr="00BB4589">
        <w:rPr>
          <w:rFonts w:asciiTheme="minorBidi" w:hAnsiTheme="minorBidi" w:cstheme="minorBidi"/>
          <w:lang w:val="fr-FR"/>
        </w:rPr>
        <w:t xml:space="preserve">auprès des experts, </w:t>
      </w:r>
      <w:r w:rsidRPr="00BB4589">
        <w:rPr>
          <w:rFonts w:asciiTheme="minorBidi" w:hAnsiTheme="minorBidi" w:cstheme="minorBidi"/>
          <w:lang w:val="fr-FR"/>
        </w:rPr>
        <w:t xml:space="preserve">une réunion </w:t>
      </w:r>
      <w:r w:rsidR="00703F04">
        <w:rPr>
          <w:rFonts w:asciiTheme="minorBidi" w:hAnsiTheme="minorBidi" w:cstheme="minorBidi"/>
          <w:lang w:val="fr-FR"/>
        </w:rPr>
        <w:t xml:space="preserve">d’experts de catégorie VI </w:t>
      </w:r>
      <w:r w:rsidRPr="00BB4589">
        <w:rPr>
          <w:rFonts w:asciiTheme="minorBidi" w:hAnsiTheme="minorBidi" w:cstheme="minorBidi"/>
          <w:lang w:val="fr-FR"/>
        </w:rPr>
        <w:t xml:space="preserve">a été organisée </w:t>
      </w:r>
      <w:r w:rsidR="00336378" w:rsidRPr="00BB4589">
        <w:rPr>
          <w:rFonts w:asciiTheme="minorBidi" w:hAnsiTheme="minorBidi" w:cstheme="minorBidi"/>
          <w:lang w:val="fr-FR"/>
        </w:rPr>
        <w:t xml:space="preserve">en ligne </w:t>
      </w:r>
      <w:r w:rsidRPr="00BB4589">
        <w:rPr>
          <w:rFonts w:asciiTheme="minorBidi" w:hAnsiTheme="minorBidi" w:cstheme="minorBidi"/>
          <w:lang w:val="fr-FR"/>
        </w:rPr>
        <w:t>en mai 2021</w:t>
      </w:r>
      <w:r w:rsidR="00D16A03" w:rsidRPr="00BB4589">
        <w:rPr>
          <w:rFonts w:asciiTheme="minorBidi" w:hAnsiTheme="minorBidi" w:cstheme="minorBidi"/>
          <w:lang w:val="fr-FR"/>
        </w:rPr>
        <w:t xml:space="preserve">. Sur la base des </w:t>
      </w:r>
      <w:r w:rsidR="008D774C" w:rsidRPr="00BB4589">
        <w:rPr>
          <w:rFonts w:asciiTheme="minorBidi" w:hAnsiTheme="minorBidi" w:cstheme="minorBidi"/>
          <w:lang w:val="fr-FR"/>
        </w:rPr>
        <w:t xml:space="preserve">recommandations </w:t>
      </w:r>
      <w:r w:rsidR="00064417" w:rsidRPr="00BB4589">
        <w:rPr>
          <w:rFonts w:asciiTheme="minorBidi" w:hAnsiTheme="minorBidi" w:cstheme="minorBidi"/>
          <w:lang w:val="fr-FR"/>
        </w:rPr>
        <w:t xml:space="preserve">des </w:t>
      </w:r>
      <w:r w:rsidR="008D774C" w:rsidRPr="00BB4589">
        <w:rPr>
          <w:rFonts w:asciiTheme="minorBidi" w:hAnsiTheme="minorBidi" w:cstheme="minorBidi"/>
          <w:lang w:val="fr-FR"/>
        </w:rPr>
        <w:t>experts</w:t>
      </w:r>
      <w:r w:rsidR="00D16A03" w:rsidRPr="00BB4589">
        <w:rPr>
          <w:rFonts w:asciiTheme="minorBidi" w:hAnsiTheme="minorBidi" w:cstheme="minorBidi"/>
          <w:lang w:val="fr-FR"/>
        </w:rPr>
        <w:t xml:space="preserve">, </w:t>
      </w:r>
      <w:r w:rsidRPr="00BB4589">
        <w:rPr>
          <w:rFonts w:asciiTheme="minorBidi" w:hAnsiTheme="minorBidi" w:cstheme="minorBidi"/>
          <w:lang w:val="fr-FR"/>
        </w:rPr>
        <w:t xml:space="preserve">une </w:t>
      </w:r>
      <w:r w:rsidRPr="00BB4589">
        <w:rPr>
          <w:lang w:val="fr-FR"/>
        </w:rPr>
        <w:t xml:space="preserve">réunion </w:t>
      </w:r>
      <w:r w:rsidRPr="00BB4589">
        <w:rPr>
          <w:rFonts w:asciiTheme="minorBidi" w:hAnsiTheme="minorBidi" w:cstheme="minorBidi"/>
          <w:lang w:val="fr-FR"/>
        </w:rPr>
        <w:t xml:space="preserve">en ligne du groupe de travail intergouvernemental à composition non limitée </w:t>
      </w:r>
      <w:r w:rsidR="00336378">
        <w:rPr>
          <w:rFonts w:asciiTheme="minorBidi" w:hAnsiTheme="minorBidi" w:cstheme="minorBidi"/>
          <w:lang w:val="fr-FR"/>
        </w:rPr>
        <w:t>constituée de</w:t>
      </w:r>
      <w:r w:rsidR="00336378" w:rsidRPr="00BB4589">
        <w:rPr>
          <w:rFonts w:asciiTheme="minorBidi" w:hAnsiTheme="minorBidi" w:cstheme="minorBidi"/>
          <w:lang w:val="fr-FR"/>
        </w:rPr>
        <w:t xml:space="preserve"> deux parties </w:t>
      </w:r>
      <w:r w:rsidR="009069B4" w:rsidRPr="00BB4589">
        <w:rPr>
          <w:rFonts w:asciiTheme="minorBidi" w:hAnsiTheme="minorBidi" w:cstheme="minorBidi"/>
          <w:lang w:val="fr-FR"/>
        </w:rPr>
        <w:t>s</w:t>
      </w:r>
      <w:r w:rsidR="00BB4589">
        <w:rPr>
          <w:rFonts w:asciiTheme="minorBidi" w:hAnsiTheme="minorBidi" w:cstheme="minorBidi"/>
          <w:lang w:val="fr-FR"/>
        </w:rPr>
        <w:t>’</w:t>
      </w:r>
      <w:r w:rsidR="009069B4" w:rsidRPr="00BB4589">
        <w:rPr>
          <w:rFonts w:asciiTheme="minorBidi" w:hAnsiTheme="minorBidi" w:cstheme="minorBidi"/>
          <w:lang w:val="fr-FR"/>
        </w:rPr>
        <w:t xml:space="preserve">est tenue </w:t>
      </w:r>
      <w:r w:rsidRPr="00BB4589">
        <w:rPr>
          <w:rFonts w:asciiTheme="minorBidi" w:hAnsiTheme="minorBidi" w:cstheme="minorBidi"/>
          <w:lang w:val="fr-FR"/>
        </w:rPr>
        <w:t xml:space="preserve">en juillet </w:t>
      </w:r>
      <w:r w:rsidR="00D16A03" w:rsidRPr="00BB4589">
        <w:rPr>
          <w:rFonts w:asciiTheme="minorBidi" w:hAnsiTheme="minorBidi" w:cstheme="minorBidi"/>
          <w:lang w:val="fr-FR"/>
        </w:rPr>
        <w:t xml:space="preserve">(partie I) </w:t>
      </w:r>
      <w:r w:rsidRPr="00BB4589">
        <w:rPr>
          <w:lang w:val="fr-FR"/>
        </w:rPr>
        <w:t xml:space="preserve">et </w:t>
      </w:r>
      <w:r w:rsidR="00336378">
        <w:rPr>
          <w:lang w:val="fr-FR"/>
        </w:rPr>
        <w:t xml:space="preserve">en </w:t>
      </w:r>
      <w:r w:rsidRPr="00BB4589">
        <w:rPr>
          <w:rFonts w:asciiTheme="minorBidi" w:hAnsiTheme="minorBidi" w:cstheme="minorBidi"/>
          <w:lang w:val="fr-FR"/>
        </w:rPr>
        <w:t xml:space="preserve">septembre </w:t>
      </w:r>
      <w:r w:rsidR="00D16A03" w:rsidRPr="00BB4589">
        <w:rPr>
          <w:rFonts w:asciiTheme="minorBidi" w:hAnsiTheme="minorBidi" w:cstheme="minorBidi"/>
          <w:lang w:val="fr-FR"/>
        </w:rPr>
        <w:t xml:space="preserve">(partie II) </w:t>
      </w:r>
      <w:r w:rsidRPr="00BB4589">
        <w:rPr>
          <w:rFonts w:asciiTheme="minorBidi" w:hAnsiTheme="minorBidi" w:cstheme="minorBidi"/>
          <w:lang w:val="fr-FR"/>
        </w:rPr>
        <w:t xml:space="preserve">2021 </w:t>
      </w:r>
      <w:r w:rsidR="00D16A03" w:rsidRPr="00BB4589">
        <w:rPr>
          <w:rFonts w:asciiTheme="minorBidi" w:hAnsiTheme="minorBidi" w:cstheme="minorBidi"/>
          <w:lang w:val="fr-FR"/>
        </w:rPr>
        <w:t xml:space="preserve">afin de réfléchir à la </w:t>
      </w:r>
      <w:r w:rsidRPr="00BB4589">
        <w:rPr>
          <w:rFonts w:asciiTheme="minorBidi" w:hAnsiTheme="minorBidi" w:cstheme="minorBidi"/>
          <w:lang w:val="fr-FR"/>
        </w:rPr>
        <w:t>nature et aux objectifs des mécanismes d</w:t>
      </w:r>
      <w:r w:rsidR="00BB4589">
        <w:rPr>
          <w:rFonts w:asciiTheme="minorBidi" w:hAnsiTheme="minorBidi" w:cstheme="minorBidi"/>
          <w:lang w:val="fr-FR"/>
        </w:rPr>
        <w:t>’</w:t>
      </w:r>
      <w:r w:rsidRPr="00BB4589">
        <w:rPr>
          <w:rFonts w:asciiTheme="minorBidi" w:hAnsiTheme="minorBidi" w:cstheme="minorBidi"/>
          <w:lang w:val="fr-FR"/>
        </w:rPr>
        <w:t>inscription, aux critères d</w:t>
      </w:r>
      <w:r w:rsidR="00BB4589">
        <w:rPr>
          <w:rFonts w:asciiTheme="minorBidi" w:hAnsiTheme="minorBidi" w:cstheme="minorBidi"/>
          <w:lang w:val="fr-FR"/>
        </w:rPr>
        <w:t>’</w:t>
      </w:r>
      <w:r w:rsidRPr="00BB4589">
        <w:rPr>
          <w:rFonts w:asciiTheme="minorBidi" w:hAnsiTheme="minorBidi" w:cstheme="minorBidi"/>
          <w:lang w:val="fr-FR"/>
        </w:rPr>
        <w:t>inscription, au suivi des éléments inscrits et à la méthodologie d</w:t>
      </w:r>
      <w:r w:rsidR="00BB4589">
        <w:rPr>
          <w:rFonts w:asciiTheme="minorBidi" w:hAnsiTheme="minorBidi" w:cstheme="minorBidi"/>
          <w:lang w:val="fr-FR"/>
        </w:rPr>
        <w:t>’</w:t>
      </w:r>
      <w:r w:rsidRPr="00BB4589">
        <w:rPr>
          <w:rFonts w:asciiTheme="minorBidi" w:hAnsiTheme="minorBidi" w:cstheme="minorBidi"/>
          <w:lang w:val="fr-FR"/>
        </w:rPr>
        <w:t xml:space="preserve">évaluation. </w:t>
      </w:r>
      <w:r w:rsidRPr="00BB4589">
        <w:rPr>
          <w:rFonts w:eastAsia="SimSun"/>
          <w:snapToGrid/>
          <w:color w:val="000000" w:themeColor="text1"/>
          <w:lang w:val="fr-FR" w:bidi="en-US"/>
        </w:rPr>
        <w:t xml:space="preserve">La seizième session du Comité a approuvé les recommandations du groupe de travail et a décidé de prolonger son mandat pour discuter et conclure sur les questions </w:t>
      </w:r>
      <w:r w:rsidR="008D774C" w:rsidRPr="00BB4589">
        <w:rPr>
          <w:rFonts w:eastAsia="SimSun"/>
          <w:snapToGrid/>
          <w:color w:val="000000" w:themeColor="text1"/>
          <w:lang w:val="fr-FR" w:bidi="en-US"/>
        </w:rPr>
        <w:t xml:space="preserve">supplémentaires </w:t>
      </w:r>
      <w:r w:rsidRPr="00BB4589">
        <w:rPr>
          <w:rFonts w:eastAsia="SimSun"/>
          <w:snapToGrid/>
          <w:color w:val="000000" w:themeColor="text1"/>
          <w:lang w:val="fr-FR" w:bidi="en-US"/>
        </w:rPr>
        <w:t xml:space="preserve">soulevées en convoquant une réunion de la </w:t>
      </w:r>
      <w:r w:rsidR="00336378">
        <w:rPr>
          <w:rFonts w:eastAsia="SimSun"/>
          <w:snapToGrid/>
          <w:color w:val="000000" w:themeColor="text1"/>
          <w:lang w:val="fr-FR" w:bidi="en-US"/>
        </w:rPr>
        <w:t>p</w:t>
      </w:r>
      <w:r w:rsidRPr="00BB4589">
        <w:rPr>
          <w:rFonts w:eastAsia="SimSun"/>
          <w:snapToGrid/>
          <w:color w:val="000000" w:themeColor="text1"/>
          <w:lang w:val="fr-FR" w:bidi="en-US"/>
        </w:rPr>
        <w:t xml:space="preserve">artie III au début de </w:t>
      </w:r>
      <w:r w:rsidR="00336378">
        <w:rPr>
          <w:rFonts w:eastAsia="SimSun"/>
          <w:snapToGrid/>
          <w:color w:val="000000" w:themeColor="text1"/>
          <w:lang w:val="fr-FR" w:bidi="en-US"/>
        </w:rPr>
        <w:t xml:space="preserve">l’année </w:t>
      </w:r>
      <w:r w:rsidRPr="00BB4589">
        <w:rPr>
          <w:rFonts w:eastAsia="SimSun"/>
          <w:snapToGrid/>
          <w:color w:val="000000" w:themeColor="text1"/>
          <w:lang w:val="fr-FR" w:bidi="en-US"/>
        </w:rPr>
        <w:t>2022 (</w:t>
      </w:r>
      <w:hyperlink r:id="rId15" w:history="1">
        <w:r w:rsidRPr="00BB4589">
          <w:rPr>
            <w:rStyle w:val="Hyperlink"/>
            <w:rFonts w:eastAsia="SimSun"/>
            <w:snapToGrid/>
            <w:lang w:val="fr-FR" w:bidi="en-US"/>
          </w:rPr>
          <w:t>Décision 16.COM 14</w:t>
        </w:r>
      </w:hyperlink>
      <w:r w:rsidRPr="00BB4589">
        <w:rPr>
          <w:rFonts w:eastAsia="SimSun"/>
          <w:snapToGrid/>
          <w:color w:val="000000" w:themeColor="text1"/>
          <w:lang w:val="fr-FR" w:bidi="en-US"/>
        </w:rPr>
        <w:t>). D</w:t>
      </w:r>
      <w:r w:rsidR="00BB4589">
        <w:rPr>
          <w:rFonts w:eastAsia="SimSun"/>
          <w:snapToGrid/>
          <w:color w:val="000000" w:themeColor="text1"/>
          <w:lang w:val="fr-FR" w:bidi="en-US"/>
        </w:rPr>
        <w:t>’</w:t>
      </w:r>
      <w:r w:rsidRPr="00BB4589">
        <w:rPr>
          <w:rFonts w:eastAsia="SimSun"/>
          <w:snapToGrid/>
          <w:color w:val="000000" w:themeColor="text1"/>
          <w:lang w:val="fr-FR" w:bidi="en-US"/>
        </w:rPr>
        <w:t xml:space="preserve">autres </w:t>
      </w:r>
      <w:r w:rsidRPr="00773EA1">
        <w:rPr>
          <w:rFonts w:eastAsia="SimSun"/>
          <w:snapToGrid/>
          <w:color w:val="000000" w:themeColor="text1"/>
          <w:lang w:val="fr-FR" w:bidi="en-US"/>
        </w:rPr>
        <w:t>propositions du groupe de travail</w:t>
      </w:r>
      <w:r w:rsidR="00E532FE" w:rsidRPr="00773EA1">
        <w:rPr>
          <w:rFonts w:eastAsia="SimSun"/>
          <w:snapToGrid/>
          <w:color w:val="000000" w:themeColor="text1"/>
          <w:lang w:val="fr-FR" w:bidi="en-US"/>
        </w:rPr>
        <w:t xml:space="preserve">, y compris des révisions des </w:t>
      </w:r>
      <w:r w:rsidR="00703F04" w:rsidRPr="00773EA1">
        <w:rPr>
          <w:rFonts w:eastAsia="SimSun"/>
          <w:snapToGrid/>
          <w:color w:val="000000" w:themeColor="text1"/>
          <w:lang w:val="fr-FR" w:bidi="en-US"/>
        </w:rPr>
        <w:t xml:space="preserve">Directives </w:t>
      </w:r>
      <w:r w:rsidR="00E532FE" w:rsidRPr="00773EA1">
        <w:rPr>
          <w:rFonts w:eastAsia="SimSun"/>
          <w:snapToGrid/>
          <w:color w:val="000000" w:themeColor="text1"/>
          <w:lang w:val="fr-FR" w:bidi="en-US"/>
        </w:rPr>
        <w:t xml:space="preserve">opérationnelles, </w:t>
      </w:r>
      <w:r w:rsidRPr="00773EA1">
        <w:rPr>
          <w:rFonts w:eastAsia="SimSun"/>
          <w:snapToGrid/>
          <w:color w:val="000000" w:themeColor="text1"/>
          <w:lang w:val="fr-FR" w:bidi="en-US"/>
        </w:rPr>
        <w:t xml:space="preserve">sont présentées </w:t>
      </w:r>
      <w:r w:rsidR="00314276" w:rsidRPr="00773EA1">
        <w:rPr>
          <w:rFonts w:eastAsia="SimSun"/>
          <w:snapToGrid/>
          <w:color w:val="000000" w:themeColor="text1"/>
          <w:lang w:val="fr-FR" w:bidi="en-US"/>
        </w:rPr>
        <w:t>pour examen par la présente session de l</w:t>
      </w:r>
      <w:r w:rsidR="00BB4589" w:rsidRPr="00773EA1">
        <w:rPr>
          <w:rFonts w:eastAsia="SimSun"/>
          <w:snapToGrid/>
          <w:color w:val="000000" w:themeColor="text1"/>
          <w:lang w:val="fr-FR" w:bidi="en-US"/>
        </w:rPr>
        <w:t>’</w:t>
      </w:r>
      <w:r w:rsidR="00314276" w:rsidRPr="00773EA1">
        <w:rPr>
          <w:rFonts w:eastAsia="SimSun"/>
          <w:snapToGrid/>
          <w:color w:val="000000" w:themeColor="text1"/>
          <w:lang w:val="fr-FR" w:bidi="en-US"/>
        </w:rPr>
        <w:t xml:space="preserve">Assemblée </w:t>
      </w:r>
      <w:r w:rsidR="009D2098" w:rsidRPr="00773EA1">
        <w:rPr>
          <w:rFonts w:eastAsia="SimSun"/>
          <w:snapToGrid/>
          <w:color w:val="000000" w:themeColor="text1"/>
          <w:lang w:val="fr-FR" w:bidi="en-US"/>
        </w:rPr>
        <w:t>au</w:t>
      </w:r>
      <w:r w:rsidR="00703F04" w:rsidRPr="00773EA1">
        <w:rPr>
          <w:rFonts w:eastAsia="SimSun"/>
          <w:snapToGrid/>
          <w:color w:val="000000" w:themeColor="text1"/>
          <w:lang w:val="fr-FR" w:bidi="en-US"/>
        </w:rPr>
        <w:t xml:space="preserve"> titre du</w:t>
      </w:r>
      <w:r w:rsidR="009D2098" w:rsidRPr="00773EA1">
        <w:rPr>
          <w:rFonts w:eastAsia="SimSun"/>
          <w:snapToGrid/>
          <w:color w:val="000000" w:themeColor="text1"/>
          <w:lang w:val="fr-FR" w:bidi="en-US"/>
        </w:rPr>
        <w:t xml:space="preserve"> point 9 </w:t>
      </w:r>
      <w:r w:rsidRPr="00773EA1">
        <w:rPr>
          <w:rFonts w:eastAsia="SimSun"/>
          <w:snapToGrid/>
          <w:color w:val="000000" w:themeColor="text1"/>
          <w:lang w:val="fr-FR" w:bidi="en-US"/>
        </w:rPr>
        <w:t xml:space="preserve">(document </w:t>
      </w:r>
      <w:hyperlink r:id="rId16" w:history="1">
        <w:r w:rsidR="009069B4" w:rsidRPr="00B61E5F">
          <w:rPr>
            <w:rStyle w:val="Hyperlink"/>
            <w:rFonts w:eastAsiaTheme="minorHAnsi" w:cs="Arial"/>
            <w:lang w:val="fr-FR"/>
          </w:rPr>
          <w:t>LHE/22/9.GA/9</w:t>
        </w:r>
      </w:hyperlink>
      <w:r w:rsidR="009069B4" w:rsidRPr="00773EA1">
        <w:rPr>
          <w:rFonts w:eastAsia="SimSun"/>
          <w:snapToGrid/>
          <w:color w:val="000000" w:themeColor="text1"/>
          <w:lang w:val="fr-FR" w:bidi="en-US"/>
        </w:rPr>
        <w:t>)</w:t>
      </w:r>
      <w:r w:rsidR="009069B4" w:rsidRPr="00BB4589">
        <w:rPr>
          <w:rFonts w:eastAsia="SimSun"/>
          <w:snapToGrid/>
          <w:color w:val="000000" w:themeColor="text1"/>
          <w:lang w:val="fr-FR" w:bidi="en-US"/>
        </w:rPr>
        <w:t xml:space="preserve"> </w:t>
      </w:r>
      <w:r w:rsidR="008C39E7" w:rsidRPr="00BB4589">
        <w:rPr>
          <w:rFonts w:eastAsia="SimSun"/>
          <w:snapToGrid/>
          <w:color w:val="000000" w:themeColor="text1"/>
          <w:lang w:val="fr-FR" w:bidi="en-US"/>
        </w:rPr>
        <w:t xml:space="preserve">et </w:t>
      </w:r>
      <w:r w:rsidR="00D16A03" w:rsidRPr="00BB4589">
        <w:rPr>
          <w:rFonts w:eastAsia="SimSun"/>
          <w:snapToGrid/>
          <w:color w:val="000000" w:themeColor="text1"/>
          <w:lang w:val="fr-FR" w:bidi="en-US"/>
        </w:rPr>
        <w:t xml:space="preserve">concluront </w:t>
      </w:r>
      <w:r w:rsidR="007D3B45" w:rsidRPr="00BB4589">
        <w:rPr>
          <w:rFonts w:eastAsia="SimSun"/>
          <w:snapToGrid/>
          <w:color w:val="000000" w:themeColor="text1"/>
          <w:lang w:val="fr-FR" w:bidi="en-US"/>
        </w:rPr>
        <w:t xml:space="preserve">la </w:t>
      </w:r>
      <w:r w:rsidR="00D16A03" w:rsidRPr="00BB4589">
        <w:rPr>
          <w:rFonts w:eastAsia="SimSun"/>
          <w:snapToGrid/>
          <w:color w:val="000000" w:themeColor="text1"/>
          <w:lang w:val="fr-FR" w:bidi="en-US"/>
        </w:rPr>
        <w:t xml:space="preserve">réflexion </w:t>
      </w:r>
      <w:r w:rsidR="00064417" w:rsidRPr="00BB4589">
        <w:rPr>
          <w:rFonts w:eastAsia="SimSun"/>
          <w:snapToGrid/>
          <w:color w:val="000000" w:themeColor="text1"/>
          <w:lang w:val="fr-FR" w:bidi="en-US"/>
        </w:rPr>
        <w:t xml:space="preserve">globale </w:t>
      </w:r>
      <w:r w:rsidR="00D16A03" w:rsidRPr="00BB4589">
        <w:rPr>
          <w:rFonts w:eastAsia="SimSun"/>
          <w:snapToGrid/>
          <w:color w:val="000000" w:themeColor="text1"/>
          <w:lang w:val="fr-FR" w:bidi="en-US"/>
        </w:rPr>
        <w:t xml:space="preserve">qui </w:t>
      </w:r>
      <w:r w:rsidR="008D774C" w:rsidRPr="00BB4589">
        <w:rPr>
          <w:rFonts w:eastAsia="SimSun"/>
          <w:snapToGrid/>
          <w:color w:val="000000" w:themeColor="text1"/>
          <w:lang w:val="fr-FR" w:bidi="en-US"/>
        </w:rPr>
        <w:t>a été soutenue par le Japon</w:t>
      </w:r>
      <w:r w:rsidRPr="00BB4589">
        <w:rPr>
          <w:rFonts w:eastAsia="SimSun"/>
          <w:snapToGrid/>
          <w:color w:val="000000" w:themeColor="text1"/>
          <w:lang w:val="fr-FR" w:bidi="en-US"/>
        </w:rPr>
        <w:t>.</w:t>
      </w:r>
    </w:p>
    <w:p w14:paraId="19783368" w14:textId="0A5F4FA0" w:rsidR="001578FB" w:rsidRPr="00BB4589" w:rsidRDefault="009069B4">
      <w:pPr>
        <w:pStyle w:val="COM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Suite à la </w:t>
      </w:r>
      <w:r w:rsidRPr="00BB4589">
        <w:rPr>
          <w:rFonts w:asciiTheme="minorBidi" w:hAnsiTheme="minorBidi" w:cstheme="minorBidi"/>
          <w:u w:val="single"/>
          <w:lang w:val="fr-FR"/>
        </w:rPr>
        <w:t>réforme des rapports périodiques,</w:t>
      </w:r>
      <w:r w:rsidRPr="000B1D75">
        <w:rPr>
          <w:rFonts w:asciiTheme="minorBidi" w:hAnsiTheme="minorBidi" w:cstheme="minorBidi"/>
          <w:lang w:val="fr-FR"/>
        </w:rPr>
        <w:t xml:space="preserve"> le </w:t>
      </w:r>
      <w:r w:rsidRPr="00BB4589">
        <w:rPr>
          <w:rFonts w:asciiTheme="minorBidi" w:hAnsiTheme="minorBidi" w:cstheme="minorBidi"/>
          <w:lang w:val="fr-FR"/>
        </w:rPr>
        <w:t xml:space="preserve">nouveau système a déjà démontré une nette amélioration du taux de soumission des rapports à 87,5 % (vingt-huit rapports soumis sur un total de trente-deux attendus) pour la région Amérique latine et Caraïbes en 2021 et 95,4 % (quarante-deux rapports soumis sur un total de quarante-quatre attendus) pour la région Europe. À cette fin, le Secrétariat a mis en </w:t>
      </w:r>
      <w:r w:rsidR="00336378">
        <w:rPr>
          <w:rFonts w:asciiTheme="minorBidi" w:hAnsiTheme="minorBidi" w:cstheme="minorBidi"/>
          <w:lang w:val="fr-FR"/>
        </w:rPr>
        <w:t>place</w:t>
      </w:r>
      <w:r w:rsidR="00336378" w:rsidRPr="00BB4589">
        <w:rPr>
          <w:rFonts w:asciiTheme="minorBidi" w:hAnsiTheme="minorBidi" w:cstheme="minorBidi"/>
          <w:lang w:val="fr-FR"/>
        </w:rPr>
        <w:t xml:space="preserve"> </w:t>
      </w:r>
      <w:r w:rsidRPr="00BB4589">
        <w:rPr>
          <w:rFonts w:asciiTheme="minorBidi" w:hAnsiTheme="minorBidi" w:cstheme="minorBidi"/>
          <w:lang w:val="fr-FR"/>
        </w:rPr>
        <w:t xml:space="preserve">un cours de formation en ligne complet adapté aux besoins de </w:t>
      </w:r>
      <w:r w:rsidR="00AA4842" w:rsidRPr="00BB4589">
        <w:rPr>
          <w:rFonts w:asciiTheme="minorBidi" w:hAnsiTheme="minorBidi" w:cstheme="minorBidi"/>
          <w:lang w:val="fr-FR"/>
        </w:rPr>
        <w:t xml:space="preserve">chaque </w:t>
      </w:r>
      <w:r w:rsidRPr="00BB4589">
        <w:rPr>
          <w:rFonts w:asciiTheme="minorBidi" w:hAnsiTheme="minorBidi" w:cstheme="minorBidi"/>
          <w:lang w:val="fr-FR"/>
        </w:rPr>
        <w:t>région, en coopération avec les centres de catégorie 2 de l</w:t>
      </w:r>
      <w:r w:rsidR="00BB4589">
        <w:rPr>
          <w:rFonts w:asciiTheme="minorBidi" w:hAnsiTheme="minorBidi" w:cstheme="minorBidi"/>
          <w:lang w:val="fr-FR"/>
        </w:rPr>
        <w:t>’</w:t>
      </w:r>
      <w:r w:rsidRPr="00BB4589">
        <w:rPr>
          <w:rFonts w:asciiTheme="minorBidi" w:hAnsiTheme="minorBidi" w:cstheme="minorBidi"/>
          <w:lang w:val="fr-FR"/>
        </w:rPr>
        <w:t xml:space="preserve">UNESCO dans </w:t>
      </w:r>
      <w:r w:rsidRPr="00BB4589">
        <w:rPr>
          <w:rFonts w:eastAsia="SimSun"/>
          <w:snapToGrid/>
          <w:color w:val="000000" w:themeColor="text1"/>
          <w:lang w:val="fr-FR" w:bidi="en-US"/>
        </w:rPr>
        <w:t xml:space="preserve">le </w:t>
      </w:r>
      <w:r w:rsidRPr="00BB4589">
        <w:rPr>
          <w:rFonts w:asciiTheme="minorBidi" w:hAnsiTheme="minorBidi" w:cstheme="minorBidi"/>
          <w:lang w:val="fr-FR"/>
        </w:rPr>
        <w:t>domaine du patrimoine vivant. L</w:t>
      </w:r>
      <w:r w:rsidR="00BB4589">
        <w:rPr>
          <w:rFonts w:asciiTheme="minorBidi" w:hAnsiTheme="minorBidi" w:cstheme="minorBidi"/>
          <w:lang w:val="fr-FR"/>
        </w:rPr>
        <w:t>’</w:t>
      </w:r>
      <w:r w:rsidRPr="00BB4589">
        <w:rPr>
          <w:rFonts w:asciiTheme="minorBidi" w:hAnsiTheme="minorBidi" w:cstheme="minorBidi"/>
          <w:lang w:val="fr-FR"/>
        </w:rPr>
        <w:t xml:space="preserve">amélioration </w:t>
      </w:r>
      <w:r w:rsidR="00AA4842" w:rsidRPr="00BB4589">
        <w:rPr>
          <w:rFonts w:asciiTheme="minorBidi" w:hAnsiTheme="minorBidi" w:cstheme="minorBidi"/>
          <w:lang w:val="fr-FR"/>
        </w:rPr>
        <w:t xml:space="preserve">du taux de soumission </w:t>
      </w:r>
      <w:r w:rsidRPr="00BB4589">
        <w:rPr>
          <w:rFonts w:asciiTheme="minorBidi" w:hAnsiTheme="minorBidi" w:cstheme="minorBidi"/>
          <w:lang w:val="fr-FR"/>
        </w:rPr>
        <w:t>témoigne du succès du processus de réforme et semble être principalement attribuée à l</w:t>
      </w:r>
      <w:r w:rsidR="00BB4589">
        <w:rPr>
          <w:rFonts w:asciiTheme="minorBidi" w:hAnsiTheme="minorBidi" w:cstheme="minorBidi"/>
          <w:lang w:val="fr-FR"/>
        </w:rPr>
        <w:t>’</w:t>
      </w:r>
      <w:r w:rsidRPr="00BB4589">
        <w:rPr>
          <w:rFonts w:asciiTheme="minorBidi" w:hAnsiTheme="minorBidi" w:cstheme="minorBidi"/>
          <w:lang w:val="fr-FR"/>
        </w:rPr>
        <w:t xml:space="preserve">approche régionale de la réforme, qui a </w:t>
      </w:r>
      <w:r w:rsidR="00AA4842" w:rsidRPr="00BB4589">
        <w:rPr>
          <w:rFonts w:asciiTheme="minorBidi" w:hAnsiTheme="minorBidi" w:cstheme="minorBidi"/>
          <w:lang w:val="fr-FR"/>
        </w:rPr>
        <w:t>facilité d</w:t>
      </w:r>
      <w:r w:rsidR="00BB4589">
        <w:rPr>
          <w:rFonts w:asciiTheme="minorBidi" w:hAnsiTheme="minorBidi" w:cstheme="minorBidi"/>
          <w:lang w:val="fr-FR"/>
        </w:rPr>
        <w:t>’</w:t>
      </w:r>
      <w:r w:rsidRPr="00BB4589">
        <w:rPr>
          <w:rFonts w:asciiTheme="minorBidi" w:hAnsiTheme="minorBidi" w:cstheme="minorBidi"/>
          <w:lang w:val="fr-FR"/>
        </w:rPr>
        <w:t xml:space="preserve">importants échanges </w:t>
      </w:r>
      <w:r w:rsidR="004F1E39">
        <w:rPr>
          <w:rFonts w:asciiTheme="minorBidi" w:hAnsiTheme="minorBidi" w:cstheme="minorBidi"/>
          <w:lang w:val="fr-FR"/>
        </w:rPr>
        <w:t>de pair à pair</w:t>
      </w:r>
      <w:r w:rsidRPr="00BB4589">
        <w:rPr>
          <w:rFonts w:asciiTheme="minorBidi" w:hAnsiTheme="minorBidi" w:cstheme="minorBidi"/>
          <w:lang w:val="fr-FR"/>
        </w:rPr>
        <w:t xml:space="preserve"> entre les points focaux nationaux, </w:t>
      </w:r>
      <w:r w:rsidR="004F1E39">
        <w:rPr>
          <w:rFonts w:asciiTheme="minorBidi" w:hAnsiTheme="minorBidi" w:cstheme="minorBidi"/>
          <w:lang w:val="fr-FR"/>
        </w:rPr>
        <w:t xml:space="preserve">mais également </w:t>
      </w:r>
      <w:r w:rsidRPr="00BB4589">
        <w:rPr>
          <w:rFonts w:asciiTheme="minorBidi" w:hAnsiTheme="minorBidi" w:cstheme="minorBidi"/>
          <w:lang w:val="fr-FR"/>
        </w:rPr>
        <w:t xml:space="preserve">au </w:t>
      </w:r>
      <w:r w:rsidR="00254221" w:rsidRPr="00BB4589">
        <w:rPr>
          <w:rFonts w:asciiTheme="minorBidi" w:hAnsiTheme="minorBidi" w:cstheme="minorBidi"/>
          <w:lang w:val="fr-FR"/>
        </w:rPr>
        <w:t xml:space="preserve">soutien au </w:t>
      </w:r>
      <w:r w:rsidRPr="00BB4589">
        <w:rPr>
          <w:rFonts w:asciiTheme="minorBidi" w:hAnsiTheme="minorBidi" w:cstheme="minorBidi"/>
          <w:lang w:val="fr-FR"/>
        </w:rPr>
        <w:t>renforcement des capacités fourni par le Secrétariat pour accompagner les efforts de soumission de</w:t>
      </w:r>
      <w:r w:rsidR="004F1E39">
        <w:rPr>
          <w:rFonts w:asciiTheme="minorBidi" w:hAnsiTheme="minorBidi" w:cstheme="minorBidi"/>
          <w:lang w:val="fr-FR"/>
        </w:rPr>
        <w:t>s</w:t>
      </w:r>
      <w:r w:rsidRPr="00BB4589">
        <w:rPr>
          <w:rFonts w:asciiTheme="minorBidi" w:hAnsiTheme="minorBidi" w:cstheme="minorBidi"/>
          <w:lang w:val="fr-FR"/>
        </w:rPr>
        <w:t xml:space="preserve"> rapports nationaux. </w:t>
      </w:r>
      <w:r w:rsidR="00993DB0" w:rsidRPr="00BB4589">
        <w:rPr>
          <w:rFonts w:asciiTheme="minorBidi" w:hAnsiTheme="minorBidi" w:cstheme="minorBidi"/>
          <w:lang w:val="fr-FR"/>
        </w:rPr>
        <w:t xml:space="preserve">Pour la région des États arabes, qui doivent soumettre leurs rapports </w:t>
      </w:r>
      <w:r w:rsidR="00254221" w:rsidRPr="00BB4589">
        <w:rPr>
          <w:rFonts w:asciiTheme="minorBidi" w:hAnsiTheme="minorBidi" w:cstheme="minorBidi"/>
          <w:lang w:val="fr-FR"/>
        </w:rPr>
        <w:t xml:space="preserve">en </w:t>
      </w:r>
      <w:r w:rsidR="00993DB0" w:rsidRPr="00BB4589">
        <w:rPr>
          <w:rFonts w:asciiTheme="minorBidi" w:hAnsiTheme="minorBidi" w:cstheme="minorBidi"/>
          <w:lang w:val="fr-FR"/>
        </w:rPr>
        <w:t>décembre 2022, le Secrétariat a organisé la première phase de la formation en octobre 2021</w:t>
      </w:r>
      <w:r w:rsidRPr="00BB4589">
        <w:rPr>
          <w:rFonts w:asciiTheme="minorBidi" w:hAnsiTheme="minorBidi" w:cstheme="minorBidi"/>
          <w:lang w:val="fr-FR"/>
        </w:rPr>
        <w:t>.</w:t>
      </w:r>
    </w:p>
    <w:p w14:paraId="3358CD43" w14:textId="45DDDDA8" w:rsidR="001578FB" w:rsidRPr="00BB4589" w:rsidRDefault="00270E9B">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Le Secrétariat a </w:t>
      </w:r>
      <w:r w:rsidR="00254221" w:rsidRPr="00BB4589">
        <w:rPr>
          <w:rFonts w:asciiTheme="minorBidi" w:hAnsiTheme="minorBidi" w:cstheme="minorBidi"/>
          <w:lang w:val="fr-FR"/>
        </w:rPr>
        <w:t xml:space="preserve">apporté son </w:t>
      </w:r>
      <w:r w:rsidR="00314276" w:rsidRPr="00BB4589">
        <w:rPr>
          <w:rFonts w:asciiTheme="minorBidi" w:hAnsiTheme="minorBidi" w:cstheme="minorBidi"/>
          <w:u w:val="single"/>
          <w:lang w:val="fr-FR"/>
        </w:rPr>
        <w:t xml:space="preserve">soutien à </w:t>
      </w:r>
      <w:r w:rsidR="009069B4" w:rsidRPr="00BB4589">
        <w:rPr>
          <w:rFonts w:asciiTheme="minorBidi" w:hAnsiTheme="minorBidi" w:cstheme="minorBidi"/>
          <w:u w:val="single"/>
          <w:lang w:val="fr-FR"/>
        </w:rPr>
        <w:t>l</w:t>
      </w:r>
      <w:r w:rsidR="00BB4589">
        <w:rPr>
          <w:rFonts w:asciiTheme="minorBidi" w:hAnsiTheme="minorBidi" w:cstheme="minorBidi"/>
          <w:u w:val="single"/>
          <w:lang w:val="fr-FR"/>
        </w:rPr>
        <w:t>’</w:t>
      </w:r>
      <w:r w:rsidR="004F1E39">
        <w:rPr>
          <w:rFonts w:asciiTheme="minorBidi" w:hAnsiTheme="minorBidi" w:cstheme="minorBidi"/>
          <w:u w:val="single"/>
          <w:lang w:val="fr-FR"/>
        </w:rPr>
        <w:t>O</w:t>
      </w:r>
      <w:r w:rsidRPr="00BB4589">
        <w:rPr>
          <w:rFonts w:asciiTheme="minorBidi" w:hAnsiTheme="minorBidi" w:cstheme="minorBidi"/>
          <w:u w:val="single"/>
          <w:lang w:val="fr-FR"/>
        </w:rPr>
        <w:t>rgane d</w:t>
      </w:r>
      <w:r w:rsidR="00BB4589">
        <w:rPr>
          <w:rFonts w:asciiTheme="minorBidi" w:hAnsiTheme="minorBidi" w:cstheme="minorBidi"/>
          <w:u w:val="single"/>
          <w:lang w:val="fr-FR"/>
        </w:rPr>
        <w:t>’</w:t>
      </w:r>
      <w:r w:rsidRPr="00BB4589">
        <w:rPr>
          <w:rFonts w:asciiTheme="minorBidi" w:hAnsiTheme="minorBidi" w:cstheme="minorBidi"/>
          <w:u w:val="single"/>
          <w:lang w:val="fr-FR"/>
        </w:rPr>
        <w:t>évaluation</w:t>
      </w:r>
      <w:r w:rsidRPr="000B1D75">
        <w:rPr>
          <w:rFonts w:asciiTheme="minorBidi" w:hAnsiTheme="minorBidi" w:cstheme="minorBidi"/>
          <w:lang w:val="fr-FR"/>
        </w:rPr>
        <w:t xml:space="preserve"> </w:t>
      </w:r>
      <w:r w:rsidRPr="00BB4589">
        <w:rPr>
          <w:rFonts w:asciiTheme="minorBidi" w:hAnsiTheme="minorBidi" w:cstheme="minorBidi"/>
          <w:lang w:val="fr-FR"/>
        </w:rPr>
        <w:t xml:space="preserve">dans son évaluation des dossiers de candidature </w:t>
      </w:r>
      <w:r w:rsidR="004F1E39">
        <w:rPr>
          <w:rFonts w:asciiTheme="minorBidi" w:hAnsiTheme="minorBidi" w:cstheme="minorBidi"/>
          <w:lang w:val="fr-FR"/>
        </w:rPr>
        <w:t>au titre</w:t>
      </w:r>
      <w:r w:rsidRPr="00BB4589">
        <w:rPr>
          <w:rFonts w:asciiTheme="minorBidi" w:hAnsiTheme="minorBidi" w:cstheme="minorBidi"/>
          <w:lang w:val="fr-FR"/>
        </w:rPr>
        <w:t xml:space="preserve"> des cycles 2020 et 2021, tout en vérifiant la complétude technique des candidatures </w:t>
      </w:r>
      <w:r w:rsidR="004F1E39">
        <w:rPr>
          <w:rFonts w:asciiTheme="minorBidi" w:hAnsiTheme="minorBidi" w:cstheme="minorBidi"/>
          <w:lang w:val="fr-FR"/>
        </w:rPr>
        <w:t>au titre</w:t>
      </w:r>
      <w:r w:rsidRPr="00BB4589">
        <w:rPr>
          <w:rFonts w:asciiTheme="minorBidi" w:hAnsiTheme="minorBidi" w:cstheme="minorBidi"/>
          <w:lang w:val="fr-FR"/>
        </w:rPr>
        <w:t xml:space="preserve"> du cycle 2022. La </w:t>
      </w:r>
      <w:r w:rsidR="00274F58" w:rsidRPr="00BB4589">
        <w:rPr>
          <w:rFonts w:asciiTheme="minorBidi" w:hAnsiTheme="minorBidi" w:cstheme="minorBidi"/>
          <w:lang w:val="fr-FR"/>
        </w:rPr>
        <w:t xml:space="preserve">période </w:t>
      </w:r>
      <w:r w:rsidR="004F1E39">
        <w:rPr>
          <w:rFonts w:asciiTheme="minorBidi" w:hAnsiTheme="minorBidi" w:cstheme="minorBidi"/>
          <w:lang w:val="fr-FR"/>
        </w:rPr>
        <w:t>considérée</w:t>
      </w:r>
      <w:r w:rsidR="00274F58" w:rsidRPr="00BB4589">
        <w:rPr>
          <w:rFonts w:asciiTheme="minorBidi" w:hAnsiTheme="minorBidi" w:cstheme="minorBidi"/>
          <w:lang w:val="fr-FR"/>
        </w:rPr>
        <w:t xml:space="preserve"> a vu des améliorations dans le processus d</w:t>
      </w:r>
      <w:r w:rsidR="00BB4589">
        <w:rPr>
          <w:rFonts w:asciiTheme="minorBidi" w:hAnsiTheme="minorBidi" w:cstheme="minorBidi"/>
          <w:lang w:val="fr-FR"/>
        </w:rPr>
        <w:t>’</w:t>
      </w:r>
      <w:r w:rsidR="00274F58" w:rsidRPr="00BB4589">
        <w:rPr>
          <w:rFonts w:asciiTheme="minorBidi" w:hAnsiTheme="minorBidi" w:cstheme="minorBidi"/>
          <w:lang w:val="fr-FR"/>
        </w:rPr>
        <w:t xml:space="preserve">évaluation, avec la </w:t>
      </w:r>
      <w:r w:rsidR="00F6072A" w:rsidRPr="00BB4589">
        <w:rPr>
          <w:rFonts w:asciiTheme="minorBidi" w:hAnsiTheme="minorBidi" w:cstheme="minorBidi"/>
          <w:lang w:val="fr-FR"/>
        </w:rPr>
        <w:t xml:space="preserve">mise en œuvre </w:t>
      </w:r>
      <w:r w:rsidR="005908BD" w:rsidRPr="00BB4589">
        <w:rPr>
          <w:rFonts w:asciiTheme="minorBidi" w:hAnsiTheme="minorBidi" w:cstheme="minorBidi"/>
          <w:lang w:val="fr-FR"/>
        </w:rPr>
        <w:t xml:space="preserve">complète </w:t>
      </w:r>
      <w:r w:rsidR="00274F58" w:rsidRPr="00BB4589">
        <w:rPr>
          <w:rFonts w:asciiTheme="minorBidi" w:hAnsiTheme="minorBidi" w:cstheme="minorBidi"/>
          <w:lang w:val="fr-FR"/>
        </w:rPr>
        <w:t xml:space="preserve">du processus de dialogue </w:t>
      </w:r>
      <w:r w:rsidR="00526B4F">
        <w:rPr>
          <w:rFonts w:asciiTheme="minorBidi" w:hAnsiTheme="minorBidi" w:cstheme="minorBidi"/>
          <w:lang w:val="fr-FR"/>
        </w:rPr>
        <w:t>pour</w:t>
      </w:r>
      <w:r w:rsidR="00526B4F" w:rsidRPr="00BB4589">
        <w:rPr>
          <w:rFonts w:asciiTheme="minorBidi" w:hAnsiTheme="minorBidi" w:cstheme="minorBidi"/>
          <w:lang w:val="fr-FR"/>
        </w:rPr>
        <w:t xml:space="preserve"> </w:t>
      </w:r>
      <w:r w:rsidR="00274F58" w:rsidRPr="00BB4589">
        <w:rPr>
          <w:rFonts w:asciiTheme="minorBidi" w:hAnsiTheme="minorBidi" w:cstheme="minorBidi"/>
          <w:lang w:val="fr-FR"/>
        </w:rPr>
        <w:t xml:space="preserve">les cycles 2020 et 2021. </w:t>
      </w:r>
      <w:r w:rsidR="007B079C" w:rsidRPr="00BB4589">
        <w:rPr>
          <w:rFonts w:asciiTheme="minorBidi" w:hAnsiTheme="minorBidi" w:cstheme="minorBidi"/>
          <w:lang w:val="fr-FR"/>
        </w:rPr>
        <w:t xml:space="preserve">En outre, </w:t>
      </w:r>
      <w:r w:rsidR="00B767CA" w:rsidRPr="00BB4589">
        <w:rPr>
          <w:rFonts w:asciiTheme="minorBidi" w:hAnsiTheme="minorBidi" w:cstheme="minorBidi"/>
          <w:lang w:val="fr-FR"/>
        </w:rPr>
        <w:t xml:space="preserve">le Secrétariat a traité les </w:t>
      </w:r>
      <w:r w:rsidR="007B079C" w:rsidRPr="00BB4589">
        <w:rPr>
          <w:rFonts w:asciiTheme="minorBidi" w:hAnsiTheme="minorBidi" w:cstheme="minorBidi"/>
          <w:lang w:val="fr-FR"/>
        </w:rPr>
        <w:t>rapports périodiques, ainsi que les demandes d</w:t>
      </w:r>
      <w:r w:rsidR="00BB4589">
        <w:rPr>
          <w:rFonts w:asciiTheme="minorBidi" w:hAnsiTheme="minorBidi" w:cstheme="minorBidi"/>
          <w:lang w:val="fr-FR"/>
        </w:rPr>
        <w:t>’</w:t>
      </w:r>
      <w:r w:rsidR="007B079C" w:rsidRPr="00BB4589">
        <w:rPr>
          <w:rFonts w:asciiTheme="minorBidi" w:hAnsiTheme="minorBidi" w:cstheme="minorBidi"/>
          <w:lang w:val="fr-FR"/>
        </w:rPr>
        <w:t>accréditation et de renouvellement d</w:t>
      </w:r>
      <w:r w:rsidR="00BB4589">
        <w:rPr>
          <w:rFonts w:asciiTheme="minorBidi" w:hAnsiTheme="minorBidi" w:cstheme="minorBidi"/>
          <w:lang w:val="fr-FR"/>
        </w:rPr>
        <w:t>’</w:t>
      </w:r>
      <w:r w:rsidR="007B079C" w:rsidRPr="00BB4589">
        <w:rPr>
          <w:rFonts w:asciiTheme="minorBidi" w:hAnsiTheme="minorBidi" w:cstheme="minorBidi"/>
          <w:lang w:val="fr-FR"/>
        </w:rPr>
        <w:t>accréditation des organisations non gouvernementales (ONG</w:t>
      </w:r>
      <w:r w:rsidR="00CB5650" w:rsidRPr="00BB4589">
        <w:rPr>
          <w:rFonts w:asciiTheme="minorBidi" w:hAnsiTheme="minorBidi" w:cstheme="minorBidi"/>
          <w:lang w:val="fr-FR"/>
        </w:rPr>
        <w:t xml:space="preserve">). </w:t>
      </w:r>
      <w:r w:rsidR="002B6F29" w:rsidRPr="00BB4589">
        <w:rPr>
          <w:rFonts w:asciiTheme="minorBidi" w:hAnsiTheme="minorBidi" w:cstheme="minorBidi"/>
          <w:lang w:val="fr-FR"/>
        </w:rPr>
        <w:t xml:space="preserve">Ces </w:t>
      </w:r>
      <w:r w:rsidR="00F6072A" w:rsidRPr="00BB4589">
        <w:rPr>
          <w:rFonts w:asciiTheme="minorBidi" w:hAnsiTheme="minorBidi" w:cstheme="minorBidi"/>
          <w:lang w:val="fr-FR"/>
        </w:rPr>
        <w:t>demandes d</w:t>
      </w:r>
      <w:r w:rsidR="00BB4589">
        <w:rPr>
          <w:rFonts w:asciiTheme="minorBidi" w:hAnsiTheme="minorBidi" w:cstheme="minorBidi"/>
          <w:lang w:val="fr-FR"/>
        </w:rPr>
        <w:t>’</w:t>
      </w:r>
      <w:r w:rsidR="00F6072A" w:rsidRPr="00BB4589">
        <w:rPr>
          <w:rFonts w:asciiTheme="minorBidi" w:hAnsiTheme="minorBidi" w:cstheme="minorBidi"/>
          <w:lang w:val="fr-FR"/>
        </w:rPr>
        <w:t>accréditation</w:t>
      </w:r>
      <w:r w:rsidR="002B6F29" w:rsidRPr="00BB4589">
        <w:rPr>
          <w:rFonts w:asciiTheme="minorBidi" w:hAnsiTheme="minorBidi" w:cstheme="minorBidi"/>
          <w:lang w:val="fr-FR"/>
        </w:rPr>
        <w:t xml:space="preserve">, </w:t>
      </w:r>
      <w:r w:rsidR="004F1E39">
        <w:rPr>
          <w:rFonts w:asciiTheme="minorBidi" w:hAnsiTheme="minorBidi" w:cstheme="minorBidi"/>
          <w:lang w:val="fr-FR"/>
        </w:rPr>
        <w:t>suite aux</w:t>
      </w:r>
      <w:r w:rsidR="002B6F29" w:rsidRPr="00BB4589">
        <w:rPr>
          <w:rFonts w:asciiTheme="minorBidi" w:hAnsiTheme="minorBidi" w:cstheme="minorBidi"/>
          <w:lang w:val="fr-FR"/>
        </w:rPr>
        <w:t xml:space="preserve"> recommandations de la seizième session du Comité, </w:t>
      </w:r>
      <w:r w:rsidR="00F6072A" w:rsidRPr="00BB4589">
        <w:rPr>
          <w:rFonts w:asciiTheme="minorBidi" w:hAnsiTheme="minorBidi" w:cstheme="minorBidi"/>
          <w:lang w:val="fr-FR"/>
        </w:rPr>
        <w:t xml:space="preserve">sont présentées </w:t>
      </w:r>
      <w:r w:rsidR="00505897" w:rsidRPr="00BB4589">
        <w:rPr>
          <w:rFonts w:asciiTheme="minorBidi" w:hAnsiTheme="minorBidi" w:cstheme="minorBidi"/>
          <w:lang w:val="fr-FR"/>
        </w:rPr>
        <w:t>pour examen par la présente session de l</w:t>
      </w:r>
      <w:r w:rsidR="00BB4589">
        <w:rPr>
          <w:rFonts w:asciiTheme="minorBidi" w:hAnsiTheme="minorBidi" w:cstheme="minorBidi"/>
          <w:lang w:val="fr-FR"/>
        </w:rPr>
        <w:t>’</w:t>
      </w:r>
      <w:r w:rsidR="00505897" w:rsidRPr="00BB4589">
        <w:rPr>
          <w:rFonts w:asciiTheme="minorBidi" w:hAnsiTheme="minorBidi" w:cstheme="minorBidi"/>
          <w:lang w:val="fr-FR"/>
        </w:rPr>
        <w:t xml:space="preserve">Assemblée </w:t>
      </w:r>
      <w:r w:rsidR="00CE6727" w:rsidRPr="00BB4589">
        <w:rPr>
          <w:rFonts w:asciiTheme="minorBidi" w:hAnsiTheme="minorBidi" w:cstheme="minorBidi"/>
          <w:lang w:val="fr-FR"/>
        </w:rPr>
        <w:t xml:space="preserve">au </w:t>
      </w:r>
      <w:r w:rsidR="004F1E39">
        <w:rPr>
          <w:rFonts w:asciiTheme="minorBidi" w:hAnsiTheme="minorBidi" w:cstheme="minorBidi"/>
          <w:lang w:val="fr-FR"/>
        </w:rPr>
        <w:t xml:space="preserve">titre du </w:t>
      </w:r>
      <w:r w:rsidR="00CE6727" w:rsidRPr="00BB4589">
        <w:rPr>
          <w:rFonts w:asciiTheme="minorBidi" w:hAnsiTheme="minorBidi" w:cstheme="minorBidi"/>
          <w:lang w:val="fr-FR"/>
        </w:rPr>
        <w:t xml:space="preserve">point </w:t>
      </w:r>
      <w:r w:rsidR="00E270D3" w:rsidRPr="00BB4589">
        <w:rPr>
          <w:rFonts w:asciiTheme="minorBidi" w:hAnsiTheme="minorBidi" w:cstheme="minorBidi"/>
          <w:lang w:val="fr-FR"/>
        </w:rPr>
        <w:t xml:space="preserve">7 </w:t>
      </w:r>
      <w:r w:rsidR="00CE6727" w:rsidRPr="00BB4589">
        <w:rPr>
          <w:lang w:val="fr-FR"/>
        </w:rPr>
        <w:t xml:space="preserve">(document </w:t>
      </w:r>
      <w:hyperlink r:id="rId17" w:history="1">
        <w:r w:rsidR="00E270D3" w:rsidRPr="009861AF">
          <w:rPr>
            <w:rStyle w:val="Hyperlink"/>
            <w:rFonts w:eastAsiaTheme="minorHAnsi" w:cs="Arial"/>
            <w:lang w:val="fr-FR"/>
          </w:rPr>
          <w:t>LHE/22/9.GA/7</w:t>
        </w:r>
      </w:hyperlink>
      <w:r w:rsidR="00CE6727" w:rsidRPr="009861AF">
        <w:rPr>
          <w:lang w:val="fr-FR"/>
        </w:rPr>
        <w:t>)</w:t>
      </w:r>
      <w:r w:rsidR="00CE6727" w:rsidRPr="00BB4589">
        <w:rPr>
          <w:lang w:val="fr-FR"/>
        </w:rPr>
        <w:t>.</w:t>
      </w:r>
    </w:p>
    <w:p w14:paraId="70C74AD2" w14:textId="6E553918" w:rsidR="001578FB" w:rsidRPr="00BB4589" w:rsidRDefault="004F1E39">
      <w:pPr>
        <w:pStyle w:val="GAPara"/>
        <w:numPr>
          <w:ilvl w:val="0"/>
          <w:numId w:val="19"/>
        </w:numPr>
        <w:ind w:left="567" w:hanging="567"/>
        <w:jc w:val="both"/>
        <w:rPr>
          <w:rFonts w:asciiTheme="minorBidi" w:hAnsiTheme="minorBidi" w:cstheme="minorBidi"/>
          <w:lang w:val="fr-FR"/>
        </w:rPr>
      </w:pPr>
      <w:r>
        <w:rPr>
          <w:rFonts w:asciiTheme="minorBidi" w:hAnsiTheme="minorBidi" w:cstheme="minorBidi"/>
          <w:lang w:val="fr-FR"/>
        </w:rPr>
        <w:t>Conformément</w:t>
      </w:r>
      <w:r w:rsidRPr="00BB4589">
        <w:rPr>
          <w:rFonts w:asciiTheme="minorBidi" w:hAnsiTheme="minorBidi" w:cstheme="minorBidi"/>
          <w:lang w:val="fr-FR"/>
        </w:rPr>
        <w:t xml:space="preserve"> </w:t>
      </w:r>
      <w:r w:rsidR="009069B4" w:rsidRPr="00BB4589">
        <w:rPr>
          <w:rFonts w:asciiTheme="minorBidi" w:hAnsiTheme="minorBidi" w:cstheme="minorBidi"/>
          <w:lang w:val="fr-FR"/>
        </w:rPr>
        <w:t xml:space="preserve">à la </w:t>
      </w:r>
      <w:hyperlink r:id="rId18" w:history="1">
        <w:r w:rsidR="009069B4" w:rsidRPr="00BB4589">
          <w:rPr>
            <w:rStyle w:val="Hyperlink"/>
            <w:rFonts w:asciiTheme="minorBidi" w:hAnsiTheme="minorBidi" w:cstheme="minorBidi"/>
            <w:lang w:val="fr-FR"/>
          </w:rPr>
          <w:t>réflexion</w:t>
        </w:r>
      </w:hyperlink>
      <w:r w:rsidR="009069B4" w:rsidRPr="00BB4589">
        <w:rPr>
          <w:rFonts w:asciiTheme="minorBidi" w:hAnsiTheme="minorBidi" w:cstheme="minorBidi"/>
          <w:lang w:val="fr-FR"/>
        </w:rPr>
        <w:t xml:space="preserve"> de deux ans sur le rôle des </w:t>
      </w:r>
      <w:r w:rsidR="00B767CA" w:rsidRPr="00BB4589">
        <w:rPr>
          <w:rFonts w:asciiTheme="minorBidi" w:hAnsiTheme="minorBidi" w:cstheme="minorBidi"/>
          <w:lang w:val="fr-FR"/>
        </w:rPr>
        <w:t xml:space="preserve">ONG </w:t>
      </w:r>
      <w:r w:rsidR="009069B4" w:rsidRPr="00BB4589">
        <w:rPr>
          <w:rFonts w:asciiTheme="minorBidi" w:hAnsiTheme="minorBidi" w:cstheme="minorBidi"/>
          <w:lang w:val="fr-FR"/>
        </w:rPr>
        <w:t>accréditées, qui a été conclue par l</w:t>
      </w:r>
      <w:r w:rsidR="00BB4589">
        <w:rPr>
          <w:rFonts w:asciiTheme="minorBidi" w:hAnsiTheme="minorBidi" w:cstheme="minorBidi"/>
          <w:lang w:val="fr-FR"/>
        </w:rPr>
        <w:t>’</w:t>
      </w:r>
      <w:r w:rsidR="009069B4" w:rsidRPr="00BB4589">
        <w:rPr>
          <w:rFonts w:asciiTheme="minorBidi" w:hAnsiTheme="minorBidi" w:cstheme="minorBidi"/>
          <w:lang w:val="fr-FR"/>
        </w:rPr>
        <w:t xml:space="preserve">Assemblée générale en 2020, le </w:t>
      </w:r>
      <w:r w:rsidR="00AD4E49" w:rsidRPr="00BB4589">
        <w:rPr>
          <w:rFonts w:asciiTheme="minorBidi" w:hAnsiTheme="minorBidi" w:cstheme="minorBidi"/>
          <w:lang w:val="fr-FR"/>
        </w:rPr>
        <w:t xml:space="preserve">Secrétariat a </w:t>
      </w:r>
      <w:r w:rsidR="00CB5650" w:rsidRPr="00BB4589">
        <w:rPr>
          <w:rFonts w:asciiTheme="minorBidi" w:hAnsiTheme="minorBidi" w:cstheme="minorBidi"/>
          <w:lang w:val="fr-FR"/>
        </w:rPr>
        <w:t xml:space="preserve">renforcé la </w:t>
      </w:r>
      <w:r w:rsidR="00AD4E49" w:rsidRPr="00BB4589">
        <w:rPr>
          <w:rFonts w:asciiTheme="minorBidi" w:hAnsiTheme="minorBidi" w:cstheme="minorBidi"/>
          <w:u w:val="single"/>
          <w:lang w:val="fr-FR"/>
        </w:rPr>
        <w:t xml:space="preserve">collaboration avec </w:t>
      </w:r>
      <w:r w:rsidR="00CB5650" w:rsidRPr="00BB4589">
        <w:rPr>
          <w:rFonts w:asciiTheme="minorBidi" w:hAnsiTheme="minorBidi" w:cstheme="minorBidi"/>
          <w:u w:val="single"/>
          <w:lang w:val="fr-FR"/>
        </w:rPr>
        <w:t xml:space="preserve">le </w:t>
      </w:r>
      <w:r w:rsidR="009069B4" w:rsidRPr="00BB4589">
        <w:rPr>
          <w:rFonts w:asciiTheme="minorBidi" w:hAnsiTheme="minorBidi" w:cstheme="minorBidi"/>
          <w:u w:val="single"/>
          <w:lang w:val="fr-FR"/>
        </w:rPr>
        <w:t>Forum des ONG</w:t>
      </w:r>
      <w:r w:rsidR="004E6096">
        <w:rPr>
          <w:rFonts w:asciiTheme="minorBidi" w:hAnsiTheme="minorBidi" w:cstheme="minorBidi"/>
          <w:u w:val="single"/>
          <w:lang w:val="fr-FR"/>
        </w:rPr>
        <w:t>-</w:t>
      </w:r>
      <w:r w:rsidR="009069B4" w:rsidRPr="00BB4589">
        <w:rPr>
          <w:rFonts w:asciiTheme="minorBidi" w:hAnsiTheme="minorBidi" w:cstheme="minorBidi"/>
          <w:u w:val="single"/>
          <w:lang w:val="fr-FR"/>
        </w:rPr>
        <w:t>PCI</w:t>
      </w:r>
      <w:r w:rsidR="009069B4" w:rsidRPr="000B1D75">
        <w:rPr>
          <w:rFonts w:asciiTheme="minorBidi" w:hAnsiTheme="minorBidi" w:cstheme="minorBidi"/>
          <w:lang w:val="fr-FR"/>
        </w:rPr>
        <w:t xml:space="preserve"> </w:t>
      </w:r>
      <w:r w:rsidR="009069B4" w:rsidRPr="00BB4589">
        <w:rPr>
          <w:rFonts w:asciiTheme="minorBidi" w:hAnsiTheme="minorBidi" w:cstheme="minorBidi"/>
          <w:lang w:val="fr-FR"/>
        </w:rPr>
        <w:t xml:space="preserve">en </w:t>
      </w:r>
      <w:r w:rsidR="004E6096">
        <w:rPr>
          <w:rFonts w:asciiTheme="minorBidi" w:hAnsiTheme="minorBidi" w:cstheme="minorBidi"/>
          <w:lang w:val="fr-FR"/>
        </w:rPr>
        <w:t>lui confiant la réalisation</w:t>
      </w:r>
      <w:r w:rsidR="00AD4E49" w:rsidRPr="00BB4589">
        <w:rPr>
          <w:rFonts w:asciiTheme="minorBidi" w:hAnsiTheme="minorBidi" w:cstheme="minorBidi"/>
          <w:lang w:val="fr-FR"/>
        </w:rPr>
        <w:t xml:space="preserve"> </w:t>
      </w:r>
      <w:r w:rsidR="004E6096">
        <w:rPr>
          <w:rFonts w:asciiTheme="minorBidi" w:hAnsiTheme="minorBidi" w:cstheme="minorBidi"/>
          <w:lang w:val="fr-FR"/>
        </w:rPr>
        <w:t>d’</w:t>
      </w:r>
      <w:r w:rsidR="009069B4" w:rsidRPr="00BB4589">
        <w:rPr>
          <w:rFonts w:asciiTheme="minorBidi" w:hAnsiTheme="minorBidi" w:cstheme="minorBidi"/>
          <w:lang w:val="fr-FR"/>
        </w:rPr>
        <w:t xml:space="preserve">une cartographie des domaines de compétences des </w:t>
      </w:r>
      <w:r w:rsidR="00B767CA" w:rsidRPr="00BB4589">
        <w:rPr>
          <w:rFonts w:asciiTheme="minorBidi" w:hAnsiTheme="minorBidi" w:cstheme="minorBidi"/>
          <w:lang w:val="fr-FR"/>
        </w:rPr>
        <w:t xml:space="preserve">ONG </w:t>
      </w:r>
      <w:r w:rsidR="009069B4" w:rsidRPr="00BB4589">
        <w:rPr>
          <w:rFonts w:asciiTheme="minorBidi" w:hAnsiTheme="minorBidi" w:cstheme="minorBidi"/>
          <w:lang w:val="fr-FR"/>
        </w:rPr>
        <w:t>accréditées.</w:t>
      </w:r>
      <w:r w:rsidR="009069B4" w:rsidRPr="006B6390">
        <w:rPr>
          <w:rStyle w:val="FootnoteReference"/>
          <w:rFonts w:asciiTheme="minorBidi" w:hAnsiTheme="minorBidi" w:cstheme="minorBidi"/>
        </w:rPr>
        <w:footnoteReference w:id="3"/>
      </w:r>
      <w:r w:rsidR="00314276" w:rsidRPr="00BB4589">
        <w:rPr>
          <w:rFonts w:asciiTheme="minorBidi" w:hAnsiTheme="minorBidi" w:cstheme="minorBidi"/>
          <w:lang w:val="fr-FR"/>
        </w:rPr>
        <w:t xml:space="preserve"> Avec la production d</w:t>
      </w:r>
      <w:r w:rsidR="00BB4589">
        <w:rPr>
          <w:rFonts w:asciiTheme="minorBidi" w:hAnsiTheme="minorBidi" w:cstheme="minorBidi"/>
          <w:lang w:val="fr-FR"/>
        </w:rPr>
        <w:t>’</w:t>
      </w:r>
      <w:r w:rsidR="00314276" w:rsidRPr="00BB4589">
        <w:rPr>
          <w:rFonts w:asciiTheme="minorBidi" w:hAnsiTheme="minorBidi" w:cstheme="minorBidi"/>
          <w:lang w:val="fr-FR"/>
        </w:rPr>
        <w:t>infographies permettant de visualiser le champ d</w:t>
      </w:r>
      <w:r w:rsidR="00BB4589">
        <w:rPr>
          <w:rFonts w:asciiTheme="minorBidi" w:hAnsiTheme="minorBidi" w:cstheme="minorBidi"/>
          <w:lang w:val="fr-FR"/>
        </w:rPr>
        <w:t>’</w:t>
      </w:r>
      <w:r w:rsidR="00314276" w:rsidRPr="00BB4589">
        <w:rPr>
          <w:rFonts w:asciiTheme="minorBidi" w:hAnsiTheme="minorBidi" w:cstheme="minorBidi"/>
          <w:lang w:val="fr-FR"/>
        </w:rPr>
        <w:t xml:space="preserve">action et les compétences de nombreuses </w:t>
      </w:r>
      <w:r w:rsidR="003C591E" w:rsidRPr="00BB4589">
        <w:rPr>
          <w:rFonts w:asciiTheme="minorBidi" w:hAnsiTheme="minorBidi" w:cstheme="minorBidi"/>
          <w:lang w:val="fr-FR"/>
        </w:rPr>
        <w:t>ONG</w:t>
      </w:r>
      <w:r w:rsidR="00314276" w:rsidRPr="00BB4589">
        <w:rPr>
          <w:rFonts w:asciiTheme="minorBidi" w:hAnsiTheme="minorBidi" w:cstheme="minorBidi"/>
          <w:lang w:val="fr-FR"/>
        </w:rPr>
        <w:t xml:space="preserve"> accréditées, </w:t>
      </w:r>
      <w:r w:rsidR="009069B4" w:rsidRPr="00BB4589">
        <w:rPr>
          <w:rFonts w:asciiTheme="minorBidi" w:hAnsiTheme="minorBidi" w:cstheme="minorBidi"/>
          <w:lang w:val="fr-FR"/>
        </w:rPr>
        <w:t xml:space="preserve">cet exercice contribuera à identifier les moyens par lesquels les ONG accréditées seraient en mesure de fournir des services consultatifs au Comité, tout en facilitant la coopération potentielle entre les ONG accréditées et les États parties au niveau national. </w:t>
      </w:r>
      <w:r w:rsidR="00947E5C" w:rsidRPr="00BB4589">
        <w:rPr>
          <w:rFonts w:asciiTheme="minorBidi" w:hAnsiTheme="minorBidi" w:cstheme="minorBidi"/>
          <w:lang w:val="fr-FR"/>
        </w:rPr>
        <w:t xml:space="preserve">Reconnaissant le rôle important que </w:t>
      </w:r>
      <w:r w:rsidR="008A3BDF" w:rsidRPr="00BB4589">
        <w:rPr>
          <w:rFonts w:asciiTheme="minorBidi" w:hAnsiTheme="minorBidi" w:cstheme="minorBidi"/>
          <w:lang w:val="fr-FR"/>
        </w:rPr>
        <w:t xml:space="preserve">jouent </w:t>
      </w:r>
      <w:r w:rsidR="00947E5C" w:rsidRPr="00BB4589">
        <w:rPr>
          <w:rFonts w:asciiTheme="minorBidi" w:hAnsiTheme="minorBidi" w:cstheme="minorBidi"/>
          <w:lang w:val="fr-FR"/>
        </w:rPr>
        <w:t xml:space="preserve">les </w:t>
      </w:r>
      <w:r w:rsidR="00C147BE" w:rsidRPr="00BB4589">
        <w:rPr>
          <w:rFonts w:asciiTheme="minorBidi" w:hAnsiTheme="minorBidi" w:cstheme="minorBidi"/>
          <w:lang w:val="fr-FR"/>
        </w:rPr>
        <w:t xml:space="preserve">ONG </w:t>
      </w:r>
      <w:r w:rsidR="00947E5C" w:rsidRPr="00BB4589">
        <w:rPr>
          <w:rFonts w:asciiTheme="minorBidi" w:hAnsiTheme="minorBidi" w:cstheme="minorBidi"/>
          <w:lang w:val="fr-FR"/>
        </w:rPr>
        <w:t xml:space="preserve">dans la sauvegarde du patrimoine vivant, </w:t>
      </w:r>
      <w:r w:rsidR="00314276" w:rsidRPr="00BB4589">
        <w:rPr>
          <w:rFonts w:asciiTheme="minorBidi" w:hAnsiTheme="minorBidi" w:cstheme="minorBidi"/>
          <w:lang w:val="fr-FR"/>
        </w:rPr>
        <w:t xml:space="preserve">un rapport du </w:t>
      </w:r>
      <w:r w:rsidR="000E20E6" w:rsidRPr="00BB4589">
        <w:rPr>
          <w:rFonts w:asciiTheme="minorBidi" w:hAnsiTheme="minorBidi" w:cstheme="minorBidi"/>
          <w:lang w:val="fr-FR"/>
        </w:rPr>
        <w:t>Forum des ONG</w:t>
      </w:r>
      <w:r w:rsidR="004E6096">
        <w:rPr>
          <w:rFonts w:asciiTheme="minorBidi" w:hAnsiTheme="minorBidi" w:cstheme="minorBidi"/>
          <w:lang w:val="fr-FR"/>
        </w:rPr>
        <w:t>-</w:t>
      </w:r>
      <w:r w:rsidR="000E20E6" w:rsidRPr="00BB4589">
        <w:rPr>
          <w:rFonts w:asciiTheme="minorBidi" w:hAnsiTheme="minorBidi" w:cstheme="minorBidi"/>
          <w:lang w:val="fr-FR"/>
        </w:rPr>
        <w:t xml:space="preserve">PCI </w:t>
      </w:r>
      <w:r w:rsidR="00314276" w:rsidRPr="00BB4589">
        <w:rPr>
          <w:rFonts w:asciiTheme="minorBidi" w:hAnsiTheme="minorBidi" w:cstheme="minorBidi"/>
          <w:lang w:val="fr-FR"/>
        </w:rPr>
        <w:t xml:space="preserve">figure au calendrier </w:t>
      </w:r>
      <w:r w:rsidR="001314DE" w:rsidRPr="00BB4589">
        <w:rPr>
          <w:rFonts w:asciiTheme="minorBidi" w:hAnsiTheme="minorBidi" w:cstheme="minorBidi"/>
          <w:lang w:val="fr-FR"/>
        </w:rPr>
        <w:t>(</w:t>
      </w:r>
      <w:r w:rsidR="00D445EC" w:rsidRPr="00BB4589">
        <w:rPr>
          <w:rFonts w:asciiTheme="minorBidi" w:hAnsiTheme="minorBidi" w:cstheme="minorBidi"/>
          <w:lang w:val="fr-FR"/>
        </w:rPr>
        <w:t xml:space="preserve">document </w:t>
      </w:r>
      <w:hyperlink r:id="rId19" w:history="1">
        <w:r w:rsidR="001314DE" w:rsidRPr="009861AF">
          <w:rPr>
            <w:rStyle w:val="Hyperlink"/>
            <w:rFonts w:asciiTheme="minorBidi" w:hAnsiTheme="minorBidi" w:cstheme="minorBidi"/>
            <w:lang w:val="fr-FR"/>
          </w:rPr>
          <w:t>LHE/22/9.GA/INF</w:t>
        </w:r>
        <w:r w:rsidR="007549B7" w:rsidRPr="009861AF">
          <w:rPr>
            <w:rStyle w:val="Hyperlink"/>
            <w:rFonts w:asciiTheme="minorBidi" w:hAnsiTheme="minorBidi" w:cstheme="minorBidi"/>
            <w:lang w:val="fr-FR"/>
          </w:rPr>
          <w:t>.3.1</w:t>
        </w:r>
      </w:hyperlink>
      <w:r w:rsidR="001314DE" w:rsidRPr="009861AF">
        <w:rPr>
          <w:rFonts w:asciiTheme="minorBidi" w:hAnsiTheme="minorBidi" w:cstheme="minorBidi"/>
          <w:lang w:val="fr-FR"/>
        </w:rPr>
        <w:t xml:space="preserve">) </w:t>
      </w:r>
      <w:r w:rsidR="00314276" w:rsidRPr="009861AF">
        <w:rPr>
          <w:rFonts w:asciiTheme="minorBidi" w:hAnsiTheme="minorBidi" w:cstheme="minorBidi"/>
          <w:lang w:val="fr-FR"/>
        </w:rPr>
        <w:t>de la</w:t>
      </w:r>
      <w:r w:rsidR="00314276" w:rsidRPr="00BB4589">
        <w:rPr>
          <w:rFonts w:asciiTheme="minorBidi" w:hAnsiTheme="minorBidi" w:cstheme="minorBidi"/>
          <w:lang w:val="fr-FR"/>
        </w:rPr>
        <w:t xml:space="preserve"> présente session de l</w:t>
      </w:r>
      <w:r w:rsidR="00BB4589">
        <w:rPr>
          <w:rFonts w:asciiTheme="minorBidi" w:hAnsiTheme="minorBidi" w:cstheme="minorBidi"/>
          <w:lang w:val="fr-FR"/>
        </w:rPr>
        <w:t>’</w:t>
      </w:r>
      <w:r w:rsidR="00314276" w:rsidRPr="00BB4589">
        <w:rPr>
          <w:rFonts w:asciiTheme="minorBidi" w:hAnsiTheme="minorBidi" w:cstheme="minorBidi"/>
          <w:lang w:val="fr-FR"/>
        </w:rPr>
        <w:t>Assemblée.</w:t>
      </w:r>
    </w:p>
    <w:p w14:paraId="741654DA" w14:textId="7FEDA13A" w:rsidR="001578FB" w:rsidRPr="00BB4589" w:rsidRDefault="009069B4">
      <w:pPr>
        <w:pStyle w:val="GAPara"/>
        <w:numPr>
          <w:ilvl w:val="0"/>
          <w:numId w:val="44"/>
        </w:numPr>
        <w:snapToGrid w:val="0"/>
        <w:ind w:left="540" w:hanging="540"/>
        <w:jc w:val="both"/>
        <w:rPr>
          <w:rFonts w:asciiTheme="minorBidi" w:hAnsiTheme="minorBidi" w:cstheme="minorBidi"/>
          <w:lang w:val="fr-FR"/>
        </w:rPr>
      </w:pPr>
      <w:r w:rsidRPr="00BB4589">
        <w:rPr>
          <w:rFonts w:asciiTheme="minorBidi" w:hAnsiTheme="minorBidi" w:cstheme="minorBidi"/>
          <w:u w:val="single"/>
          <w:lang w:val="fr-FR"/>
        </w:rPr>
        <w:t>Les services de gestion des connaissances</w:t>
      </w:r>
      <w:r w:rsidRPr="000B1D75">
        <w:rPr>
          <w:rFonts w:asciiTheme="minorBidi" w:hAnsiTheme="minorBidi" w:cstheme="minorBidi"/>
          <w:lang w:val="fr-FR"/>
        </w:rPr>
        <w:t xml:space="preserve"> </w:t>
      </w:r>
      <w:r w:rsidR="00214B96" w:rsidRPr="00BB4589">
        <w:rPr>
          <w:rFonts w:asciiTheme="minorBidi" w:hAnsiTheme="minorBidi" w:cstheme="minorBidi"/>
          <w:lang w:val="fr-FR"/>
        </w:rPr>
        <w:t xml:space="preserve">ont joué un rôle essentiel </w:t>
      </w:r>
      <w:r w:rsidRPr="00BB4589">
        <w:rPr>
          <w:rFonts w:asciiTheme="minorBidi" w:hAnsiTheme="minorBidi" w:cstheme="minorBidi"/>
          <w:lang w:val="fr-FR"/>
        </w:rPr>
        <w:t xml:space="preserve">pour assurer la </w:t>
      </w:r>
      <w:r w:rsidR="00060987">
        <w:rPr>
          <w:rFonts w:asciiTheme="minorBidi" w:hAnsiTheme="minorBidi" w:cstheme="minorBidi"/>
          <w:lang w:val="fr-FR"/>
        </w:rPr>
        <w:t>« </w:t>
      </w:r>
      <w:r w:rsidRPr="00BB4589">
        <w:rPr>
          <w:rFonts w:asciiTheme="minorBidi" w:hAnsiTheme="minorBidi" w:cstheme="minorBidi"/>
          <w:lang w:val="fr-FR"/>
        </w:rPr>
        <w:t>continuité des activités</w:t>
      </w:r>
      <w:r w:rsidR="00060987">
        <w:rPr>
          <w:rFonts w:asciiTheme="minorBidi" w:hAnsiTheme="minorBidi" w:cstheme="minorBidi"/>
          <w:lang w:val="fr-FR"/>
        </w:rPr>
        <w:t xml:space="preserve"> » </w:t>
      </w:r>
      <w:r w:rsidRPr="00BB4589">
        <w:rPr>
          <w:rFonts w:asciiTheme="minorBidi" w:hAnsiTheme="minorBidi" w:cstheme="minorBidi"/>
          <w:lang w:val="fr-FR"/>
        </w:rPr>
        <w:t xml:space="preserve">du Secrétariat. </w:t>
      </w:r>
      <w:r w:rsidR="00E02F06" w:rsidRPr="00BB4589">
        <w:rPr>
          <w:rFonts w:asciiTheme="minorBidi" w:hAnsiTheme="minorBidi" w:cstheme="minorBidi"/>
          <w:lang w:val="fr-FR"/>
        </w:rPr>
        <w:t xml:space="preserve">En 2020 et 2021, les </w:t>
      </w:r>
      <w:r w:rsidR="009D23E9" w:rsidRPr="00BB4589">
        <w:rPr>
          <w:rFonts w:asciiTheme="minorBidi" w:hAnsiTheme="minorBidi" w:cstheme="minorBidi"/>
          <w:lang w:val="fr-FR"/>
        </w:rPr>
        <w:t>modalités de travail habituelles de l</w:t>
      </w:r>
      <w:r w:rsidR="00BB4589">
        <w:rPr>
          <w:rFonts w:asciiTheme="minorBidi" w:hAnsiTheme="minorBidi" w:cstheme="minorBidi"/>
          <w:lang w:val="fr-FR"/>
        </w:rPr>
        <w:t>’</w:t>
      </w:r>
      <w:r w:rsidR="009D23E9" w:rsidRPr="00BB4589">
        <w:rPr>
          <w:rFonts w:asciiTheme="minorBidi" w:hAnsiTheme="minorBidi" w:cstheme="minorBidi"/>
          <w:lang w:val="fr-FR"/>
        </w:rPr>
        <w:t>Organe d</w:t>
      </w:r>
      <w:r w:rsidR="00BB4589">
        <w:rPr>
          <w:rFonts w:asciiTheme="minorBidi" w:hAnsiTheme="minorBidi" w:cstheme="minorBidi"/>
          <w:lang w:val="fr-FR"/>
        </w:rPr>
        <w:t>’</w:t>
      </w:r>
      <w:r w:rsidR="009D23E9" w:rsidRPr="00BB4589">
        <w:rPr>
          <w:rFonts w:asciiTheme="minorBidi" w:hAnsiTheme="minorBidi" w:cstheme="minorBidi"/>
          <w:lang w:val="fr-FR"/>
        </w:rPr>
        <w:t xml:space="preserve">évaluation ont été entravées car les membres </w:t>
      </w:r>
      <w:r w:rsidRPr="00BB4589">
        <w:rPr>
          <w:rFonts w:asciiTheme="minorBidi" w:hAnsiTheme="minorBidi" w:cstheme="minorBidi"/>
          <w:lang w:val="fr-FR"/>
        </w:rPr>
        <w:t>n</w:t>
      </w:r>
      <w:r w:rsidR="00BB4589">
        <w:rPr>
          <w:rFonts w:asciiTheme="minorBidi" w:hAnsiTheme="minorBidi" w:cstheme="minorBidi"/>
          <w:lang w:val="fr-FR"/>
        </w:rPr>
        <w:t>’</w:t>
      </w:r>
      <w:r w:rsidRPr="00BB4589">
        <w:rPr>
          <w:rFonts w:asciiTheme="minorBidi" w:hAnsiTheme="minorBidi" w:cstheme="minorBidi"/>
          <w:lang w:val="fr-FR"/>
        </w:rPr>
        <w:t xml:space="preserve">ont pas pu se réunir </w:t>
      </w:r>
      <w:r w:rsidR="00E02F06" w:rsidRPr="00BB4589">
        <w:rPr>
          <w:rFonts w:asciiTheme="minorBidi" w:hAnsiTheme="minorBidi" w:cstheme="minorBidi"/>
          <w:lang w:val="fr-FR"/>
        </w:rPr>
        <w:t xml:space="preserve">en personne pour discuter de leurs évaluations des dossiers de candidature </w:t>
      </w:r>
      <w:r w:rsidRPr="00BB4589">
        <w:rPr>
          <w:rFonts w:asciiTheme="minorBidi" w:hAnsiTheme="minorBidi" w:cstheme="minorBidi"/>
          <w:lang w:val="fr-FR"/>
        </w:rPr>
        <w:t xml:space="preserve">et parvenir à un consensus. </w:t>
      </w:r>
      <w:r w:rsidR="00E02F06" w:rsidRPr="00BB4589">
        <w:rPr>
          <w:rFonts w:asciiTheme="minorBidi" w:hAnsiTheme="minorBidi" w:cstheme="minorBidi"/>
          <w:lang w:val="fr-FR"/>
        </w:rPr>
        <w:t xml:space="preserve">Par conséquent, le Secrétariat a développé une </w:t>
      </w:r>
      <w:r w:rsidRPr="00BB4589">
        <w:rPr>
          <w:rFonts w:asciiTheme="minorBidi" w:hAnsiTheme="minorBidi" w:cstheme="minorBidi"/>
          <w:lang w:val="fr-FR"/>
        </w:rPr>
        <w:t>nouvelle interface de suivi en ligne pour compenser le temps réduit et l</w:t>
      </w:r>
      <w:r w:rsidR="00BB4589">
        <w:rPr>
          <w:rFonts w:asciiTheme="minorBidi" w:hAnsiTheme="minorBidi" w:cstheme="minorBidi"/>
          <w:lang w:val="fr-FR"/>
        </w:rPr>
        <w:t>’</w:t>
      </w:r>
      <w:r w:rsidRPr="00BB4589">
        <w:rPr>
          <w:rFonts w:asciiTheme="minorBidi" w:hAnsiTheme="minorBidi" w:cstheme="minorBidi"/>
          <w:lang w:val="fr-FR"/>
        </w:rPr>
        <w:t xml:space="preserve">interactivité limitée </w:t>
      </w:r>
      <w:r w:rsidR="00004318" w:rsidRPr="00BB4589">
        <w:rPr>
          <w:rFonts w:asciiTheme="minorBidi" w:hAnsiTheme="minorBidi" w:cstheme="minorBidi"/>
          <w:lang w:val="fr-FR"/>
        </w:rPr>
        <w:t xml:space="preserve">caractéristiques des </w:t>
      </w:r>
      <w:r w:rsidRPr="00BB4589">
        <w:rPr>
          <w:rFonts w:asciiTheme="minorBidi" w:hAnsiTheme="minorBidi" w:cstheme="minorBidi"/>
          <w:lang w:val="fr-FR"/>
        </w:rPr>
        <w:t xml:space="preserve">réunions virtuelles. </w:t>
      </w:r>
      <w:r w:rsidR="00B361F6" w:rsidRPr="00BB4589">
        <w:rPr>
          <w:rFonts w:asciiTheme="minorBidi" w:hAnsiTheme="minorBidi" w:cstheme="minorBidi"/>
          <w:lang w:val="fr-FR"/>
        </w:rPr>
        <w:t xml:space="preserve">Cet </w:t>
      </w:r>
      <w:r w:rsidR="00DD471E" w:rsidRPr="00BB4589">
        <w:rPr>
          <w:rFonts w:asciiTheme="minorBidi" w:hAnsiTheme="minorBidi" w:cstheme="minorBidi"/>
          <w:lang w:val="fr-FR"/>
        </w:rPr>
        <w:t>outil s</w:t>
      </w:r>
      <w:r w:rsidR="00BB4589">
        <w:rPr>
          <w:rFonts w:asciiTheme="minorBidi" w:hAnsiTheme="minorBidi" w:cstheme="minorBidi"/>
          <w:lang w:val="fr-FR"/>
        </w:rPr>
        <w:t>’</w:t>
      </w:r>
      <w:r w:rsidR="00DD471E" w:rsidRPr="00BB4589">
        <w:rPr>
          <w:rFonts w:asciiTheme="minorBidi" w:hAnsiTheme="minorBidi" w:cstheme="minorBidi"/>
          <w:lang w:val="fr-FR"/>
        </w:rPr>
        <w:t xml:space="preserve">est avéré </w:t>
      </w:r>
      <w:r w:rsidR="00B361F6" w:rsidRPr="00BB4589">
        <w:rPr>
          <w:rFonts w:asciiTheme="minorBidi" w:hAnsiTheme="minorBidi" w:cstheme="minorBidi"/>
          <w:lang w:val="fr-FR"/>
        </w:rPr>
        <w:t xml:space="preserve">particulièrement </w:t>
      </w:r>
      <w:r w:rsidR="00DD471E" w:rsidRPr="00BB4589">
        <w:rPr>
          <w:rFonts w:asciiTheme="minorBidi" w:hAnsiTheme="minorBidi" w:cstheme="minorBidi"/>
          <w:lang w:val="fr-FR"/>
        </w:rPr>
        <w:t xml:space="preserve">utile et </w:t>
      </w:r>
      <w:r w:rsidR="00114BBF" w:rsidRPr="00BB4589">
        <w:rPr>
          <w:rFonts w:asciiTheme="minorBidi" w:hAnsiTheme="minorBidi" w:cstheme="minorBidi"/>
          <w:lang w:val="fr-FR"/>
        </w:rPr>
        <w:t>continuera à faire partie des méthodes de travail de l</w:t>
      </w:r>
      <w:r w:rsidR="00BB4589">
        <w:rPr>
          <w:rFonts w:asciiTheme="minorBidi" w:hAnsiTheme="minorBidi" w:cstheme="minorBidi"/>
          <w:lang w:val="fr-FR"/>
        </w:rPr>
        <w:t>’</w:t>
      </w:r>
      <w:r w:rsidR="00060987">
        <w:rPr>
          <w:rFonts w:asciiTheme="minorBidi" w:hAnsiTheme="minorBidi" w:cstheme="minorBidi"/>
          <w:lang w:val="fr-FR"/>
        </w:rPr>
        <w:t>O</w:t>
      </w:r>
      <w:r w:rsidR="00114BBF" w:rsidRPr="00BB4589">
        <w:rPr>
          <w:rFonts w:asciiTheme="minorBidi" w:hAnsiTheme="minorBidi" w:cstheme="minorBidi"/>
          <w:lang w:val="fr-FR"/>
        </w:rPr>
        <w:t>rgane d</w:t>
      </w:r>
      <w:r w:rsidR="00BB4589">
        <w:rPr>
          <w:rFonts w:asciiTheme="minorBidi" w:hAnsiTheme="minorBidi" w:cstheme="minorBidi"/>
          <w:lang w:val="fr-FR"/>
        </w:rPr>
        <w:t>’</w:t>
      </w:r>
      <w:r w:rsidR="00114BBF" w:rsidRPr="00BB4589">
        <w:rPr>
          <w:rFonts w:asciiTheme="minorBidi" w:hAnsiTheme="minorBidi" w:cstheme="minorBidi"/>
          <w:lang w:val="fr-FR"/>
        </w:rPr>
        <w:t xml:space="preserve">évaluation. </w:t>
      </w:r>
      <w:r w:rsidRPr="00BB4589">
        <w:rPr>
          <w:rFonts w:asciiTheme="minorBidi" w:hAnsiTheme="minorBidi" w:cstheme="minorBidi"/>
          <w:lang w:val="fr-FR"/>
        </w:rPr>
        <w:t>L</w:t>
      </w:r>
      <w:r w:rsidR="00BB4589">
        <w:rPr>
          <w:rFonts w:asciiTheme="minorBidi" w:hAnsiTheme="minorBidi" w:cstheme="minorBidi"/>
          <w:lang w:val="fr-FR"/>
        </w:rPr>
        <w:t>’</w:t>
      </w:r>
      <w:r w:rsidR="00C9586F" w:rsidRPr="00BB4589">
        <w:rPr>
          <w:rFonts w:asciiTheme="minorBidi" w:hAnsiTheme="minorBidi" w:cstheme="minorBidi"/>
          <w:lang w:val="fr-FR"/>
        </w:rPr>
        <w:t xml:space="preserve">utilisation accrue </w:t>
      </w:r>
      <w:r w:rsidRPr="00BB4589">
        <w:rPr>
          <w:rFonts w:asciiTheme="minorBidi" w:hAnsiTheme="minorBidi" w:cstheme="minorBidi"/>
          <w:lang w:val="fr-FR"/>
        </w:rPr>
        <w:t xml:space="preserve">du système de gestion des connaissances </w:t>
      </w:r>
      <w:r w:rsidR="00C9586F" w:rsidRPr="00BB4589">
        <w:rPr>
          <w:rFonts w:asciiTheme="minorBidi" w:hAnsiTheme="minorBidi" w:cstheme="minorBidi"/>
          <w:lang w:val="fr-FR"/>
        </w:rPr>
        <w:t xml:space="preserve">a en outre exercé une pression supplémentaire sur le serveur, ce qui a entraîné une dégradation des performances du système </w:t>
      </w:r>
      <w:r w:rsidRPr="00BB4589">
        <w:rPr>
          <w:rFonts w:asciiTheme="minorBidi" w:hAnsiTheme="minorBidi" w:cstheme="minorBidi"/>
          <w:lang w:val="fr-FR"/>
        </w:rPr>
        <w:t>fin 2020 et début 2021. L</w:t>
      </w:r>
      <w:r w:rsidR="00BB4589">
        <w:rPr>
          <w:rFonts w:asciiTheme="minorBidi" w:hAnsiTheme="minorBidi" w:cstheme="minorBidi"/>
          <w:lang w:val="fr-FR"/>
        </w:rPr>
        <w:t>’</w:t>
      </w:r>
      <w:r w:rsidRPr="00BB4589">
        <w:rPr>
          <w:rFonts w:asciiTheme="minorBidi" w:hAnsiTheme="minorBidi" w:cstheme="minorBidi"/>
          <w:lang w:val="fr-FR"/>
        </w:rPr>
        <w:t>application a depuis été optimisée et a été migrée vers de nouveaux serveurs en juin 2021</w:t>
      </w:r>
      <w:r w:rsidR="00402135" w:rsidRPr="00BB4589">
        <w:rPr>
          <w:rFonts w:asciiTheme="minorBidi" w:hAnsiTheme="minorBidi" w:cstheme="minorBidi"/>
          <w:lang w:val="fr-FR"/>
        </w:rPr>
        <w:t>, améliorant considérablement la capacité du site web à gérer un grand nombre d</w:t>
      </w:r>
      <w:r w:rsidR="00BB4589">
        <w:rPr>
          <w:rFonts w:asciiTheme="minorBidi" w:hAnsiTheme="minorBidi" w:cstheme="minorBidi"/>
          <w:lang w:val="fr-FR"/>
        </w:rPr>
        <w:t>’</w:t>
      </w:r>
      <w:r w:rsidR="00402135" w:rsidRPr="00BB4589">
        <w:rPr>
          <w:rFonts w:asciiTheme="minorBidi" w:hAnsiTheme="minorBidi" w:cstheme="minorBidi"/>
          <w:lang w:val="fr-FR"/>
        </w:rPr>
        <w:t>utilisateurs, comme lors des sessions du Comité</w:t>
      </w:r>
      <w:r w:rsidR="00E532FE" w:rsidRPr="00BB4589">
        <w:rPr>
          <w:rFonts w:asciiTheme="minorBidi" w:hAnsiTheme="minorBidi" w:cstheme="minorBidi"/>
          <w:lang w:val="fr-FR"/>
        </w:rPr>
        <w:t xml:space="preserve">. Suite </w:t>
      </w:r>
      <w:r w:rsidR="006E247A" w:rsidRPr="00BB4589">
        <w:rPr>
          <w:rFonts w:asciiTheme="minorBidi" w:hAnsiTheme="minorBidi" w:cstheme="minorBidi"/>
          <w:lang w:val="fr-FR"/>
        </w:rPr>
        <w:t xml:space="preserve">au </w:t>
      </w:r>
      <w:r w:rsidR="00E532FE" w:rsidRPr="00BB4589">
        <w:rPr>
          <w:rFonts w:asciiTheme="minorBidi" w:hAnsiTheme="minorBidi" w:cstheme="minorBidi"/>
          <w:lang w:val="fr-FR"/>
        </w:rPr>
        <w:t xml:space="preserve">passage à la </w:t>
      </w:r>
      <w:r w:rsidR="006E247A" w:rsidRPr="00BB4589">
        <w:rPr>
          <w:rFonts w:asciiTheme="minorBidi" w:hAnsiTheme="minorBidi" w:cstheme="minorBidi"/>
          <w:lang w:val="fr-FR"/>
        </w:rPr>
        <w:t xml:space="preserve">nouvelle </w:t>
      </w:r>
      <w:r w:rsidR="00E532FE" w:rsidRPr="00BB4589">
        <w:rPr>
          <w:rFonts w:asciiTheme="minorBidi" w:hAnsiTheme="minorBidi" w:cstheme="minorBidi"/>
          <w:lang w:val="fr-FR"/>
        </w:rPr>
        <w:t xml:space="preserve">charte graphique </w:t>
      </w:r>
      <w:r w:rsidR="006E247A" w:rsidRPr="00BB4589">
        <w:rPr>
          <w:rFonts w:asciiTheme="minorBidi" w:hAnsiTheme="minorBidi" w:cstheme="minorBidi"/>
          <w:lang w:val="fr-FR"/>
        </w:rPr>
        <w:t>de l</w:t>
      </w:r>
      <w:r w:rsidR="00BB4589">
        <w:rPr>
          <w:rFonts w:asciiTheme="minorBidi" w:hAnsiTheme="minorBidi" w:cstheme="minorBidi"/>
          <w:lang w:val="fr-FR"/>
        </w:rPr>
        <w:t>’</w:t>
      </w:r>
      <w:r w:rsidR="006E247A" w:rsidRPr="00BB4589">
        <w:rPr>
          <w:rFonts w:asciiTheme="minorBidi" w:hAnsiTheme="minorBidi" w:cstheme="minorBidi"/>
          <w:lang w:val="fr-FR"/>
        </w:rPr>
        <w:t>UNESCO</w:t>
      </w:r>
      <w:r w:rsidR="00E532FE" w:rsidRPr="00BB4589">
        <w:rPr>
          <w:rFonts w:asciiTheme="minorBidi" w:hAnsiTheme="minorBidi" w:cstheme="minorBidi"/>
          <w:lang w:val="fr-FR"/>
        </w:rPr>
        <w:t xml:space="preserve">, une société externe a été engagée pour </w:t>
      </w:r>
      <w:r w:rsidR="006E247A" w:rsidRPr="00BB4589">
        <w:rPr>
          <w:rFonts w:asciiTheme="minorBidi" w:hAnsiTheme="minorBidi" w:cstheme="minorBidi"/>
          <w:lang w:val="fr-FR"/>
        </w:rPr>
        <w:t xml:space="preserve">revoir </w:t>
      </w:r>
      <w:r w:rsidR="00E532FE" w:rsidRPr="00BB4589">
        <w:rPr>
          <w:rFonts w:asciiTheme="minorBidi" w:hAnsiTheme="minorBidi" w:cstheme="minorBidi"/>
          <w:lang w:val="fr-FR"/>
        </w:rPr>
        <w:t>l</w:t>
      </w:r>
      <w:r w:rsidR="00BB4589">
        <w:rPr>
          <w:rFonts w:asciiTheme="minorBidi" w:hAnsiTheme="minorBidi" w:cstheme="minorBidi"/>
          <w:lang w:val="fr-FR"/>
        </w:rPr>
        <w:t>’</w:t>
      </w:r>
      <w:r w:rsidR="00E532FE" w:rsidRPr="00BB4589">
        <w:rPr>
          <w:rFonts w:asciiTheme="minorBidi" w:hAnsiTheme="minorBidi" w:cstheme="minorBidi"/>
          <w:lang w:val="fr-FR"/>
        </w:rPr>
        <w:t>expérience utilisateur du site web de la Convention</w:t>
      </w:r>
      <w:r w:rsidR="002406BD" w:rsidRPr="00BB4589">
        <w:rPr>
          <w:rFonts w:asciiTheme="minorBidi" w:hAnsiTheme="minorBidi" w:cstheme="minorBidi"/>
          <w:lang w:val="fr-FR"/>
        </w:rPr>
        <w:t xml:space="preserve">, et des </w:t>
      </w:r>
      <w:r w:rsidR="00E532FE" w:rsidRPr="00BB4589">
        <w:rPr>
          <w:rFonts w:asciiTheme="minorBidi" w:hAnsiTheme="minorBidi" w:cstheme="minorBidi"/>
          <w:lang w:val="fr-FR"/>
        </w:rPr>
        <w:t xml:space="preserve">experts supplémentaires ont été engagés pour maintenir la </w:t>
      </w:r>
      <w:r w:rsidR="00060987">
        <w:rPr>
          <w:rFonts w:asciiTheme="minorBidi" w:hAnsiTheme="minorBidi" w:cstheme="minorBidi"/>
          <w:lang w:val="fr-FR"/>
        </w:rPr>
        <w:t>pérennité</w:t>
      </w:r>
      <w:r w:rsidR="00060987" w:rsidRPr="00BB4589">
        <w:rPr>
          <w:rFonts w:asciiTheme="minorBidi" w:hAnsiTheme="minorBidi" w:cstheme="minorBidi"/>
          <w:lang w:val="fr-FR"/>
        </w:rPr>
        <w:t xml:space="preserve"> </w:t>
      </w:r>
      <w:r w:rsidR="00E532FE" w:rsidRPr="00BB4589">
        <w:rPr>
          <w:rFonts w:asciiTheme="minorBidi" w:hAnsiTheme="minorBidi" w:cstheme="minorBidi"/>
          <w:lang w:val="fr-FR"/>
        </w:rPr>
        <w:t>du site web et de ses données.</w:t>
      </w:r>
    </w:p>
    <w:p w14:paraId="17C21BB2" w14:textId="3E2D2CBD" w:rsidR="001578FB" w:rsidRPr="00BB4589" w:rsidRDefault="009069B4">
      <w:pPr>
        <w:pStyle w:val="GAPara"/>
        <w:numPr>
          <w:ilvl w:val="0"/>
          <w:numId w:val="19"/>
        </w:numPr>
        <w:ind w:left="567" w:hanging="567"/>
        <w:jc w:val="both"/>
        <w:rPr>
          <w:rFonts w:asciiTheme="minorBidi" w:hAnsiTheme="minorBidi" w:cstheme="minorBidi"/>
          <w:lang w:val="fr-FR"/>
        </w:rPr>
      </w:pPr>
      <w:bookmarkStart w:id="0" w:name="_Hlk98256554"/>
      <w:r w:rsidRPr="00BB4589">
        <w:rPr>
          <w:rFonts w:asciiTheme="minorBidi" w:hAnsiTheme="minorBidi" w:cstheme="minorBidi"/>
          <w:lang w:val="fr-FR"/>
        </w:rPr>
        <w:t>Le Secrétariat a continué à soutenir les efforts nationaux de sauvegarde par le biais des mécanismes d</w:t>
      </w:r>
      <w:r w:rsidR="00BB4589">
        <w:rPr>
          <w:rFonts w:asciiTheme="minorBidi" w:hAnsiTheme="minorBidi" w:cstheme="minorBidi"/>
          <w:lang w:val="fr-FR"/>
        </w:rPr>
        <w:t>’</w:t>
      </w:r>
      <w:r w:rsidRPr="00BB4589">
        <w:rPr>
          <w:rFonts w:asciiTheme="minorBidi" w:hAnsiTheme="minorBidi" w:cstheme="minorBidi"/>
          <w:u w:val="single"/>
          <w:lang w:val="fr-FR"/>
        </w:rPr>
        <w:t>assistance internationale</w:t>
      </w:r>
      <w:r w:rsidRPr="00BB4589">
        <w:rPr>
          <w:rFonts w:asciiTheme="minorBidi" w:hAnsiTheme="minorBidi" w:cstheme="minorBidi"/>
          <w:lang w:val="fr-FR"/>
        </w:rPr>
        <w:t xml:space="preserve">, en accordant une attention particulière </w:t>
      </w:r>
      <w:r w:rsidR="007D3B45" w:rsidRPr="00BB4589">
        <w:rPr>
          <w:rFonts w:asciiTheme="minorBidi" w:hAnsiTheme="minorBidi" w:cstheme="minorBidi"/>
          <w:lang w:val="fr-FR"/>
        </w:rPr>
        <w:t>à l</w:t>
      </w:r>
      <w:r w:rsidR="00BB4589">
        <w:rPr>
          <w:rFonts w:asciiTheme="minorBidi" w:hAnsiTheme="minorBidi" w:cstheme="minorBidi"/>
          <w:lang w:val="fr-FR"/>
        </w:rPr>
        <w:t>’</w:t>
      </w:r>
      <w:r w:rsidRPr="00BB4589">
        <w:rPr>
          <w:rFonts w:asciiTheme="minorBidi" w:hAnsiTheme="minorBidi" w:cstheme="minorBidi"/>
          <w:lang w:val="fr-FR"/>
        </w:rPr>
        <w:t xml:space="preserve">Afrique et aux petits États insulaires en développement. </w:t>
      </w:r>
      <w:r w:rsidR="001E432A" w:rsidRPr="00BB4589">
        <w:rPr>
          <w:rFonts w:asciiTheme="minorBidi" w:hAnsiTheme="minorBidi" w:cstheme="minorBidi"/>
          <w:lang w:val="fr-FR"/>
        </w:rPr>
        <w:t>Entre janvier 2020 et décembre 2021, les dépenses liées à l</w:t>
      </w:r>
      <w:r w:rsidR="00BB4589">
        <w:rPr>
          <w:rFonts w:asciiTheme="minorBidi" w:hAnsiTheme="minorBidi" w:cstheme="minorBidi"/>
          <w:lang w:val="fr-FR"/>
        </w:rPr>
        <w:t>’</w:t>
      </w:r>
      <w:r w:rsidR="001E432A" w:rsidRPr="00BB4589">
        <w:rPr>
          <w:rFonts w:asciiTheme="minorBidi" w:hAnsiTheme="minorBidi" w:cstheme="minorBidi"/>
          <w:lang w:val="fr-FR"/>
        </w:rPr>
        <w:t xml:space="preserve">assistance internationale ont atteint </w:t>
      </w:r>
      <w:r w:rsidR="001E432A" w:rsidRPr="00BB4589">
        <w:rPr>
          <w:lang w:val="fr-FR"/>
        </w:rPr>
        <w:t xml:space="preserve">2,2 millions dollars </w:t>
      </w:r>
      <w:r w:rsidR="00060987">
        <w:rPr>
          <w:lang w:val="fr-FR"/>
        </w:rPr>
        <w:t>des États-Unis</w:t>
      </w:r>
      <w:r w:rsidR="001E432A" w:rsidRPr="00BB4589">
        <w:rPr>
          <w:lang w:val="fr-FR"/>
        </w:rPr>
        <w:t xml:space="preserve">. </w:t>
      </w:r>
      <w:r w:rsidR="001E432A" w:rsidRPr="00BB4589">
        <w:rPr>
          <w:rFonts w:asciiTheme="minorBidi" w:hAnsiTheme="minorBidi" w:cstheme="minorBidi"/>
          <w:lang w:val="fr-FR"/>
        </w:rPr>
        <w:t>Seize nouveaux projets ont été approuvés par le Comité et son Bureau</w:t>
      </w:r>
      <w:r w:rsidR="00510407" w:rsidRPr="00BB4589">
        <w:rPr>
          <w:rFonts w:asciiTheme="minorBidi" w:hAnsiTheme="minorBidi" w:cstheme="minorBidi"/>
          <w:lang w:val="fr-FR"/>
        </w:rPr>
        <w:t xml:space="preserve">. Cependant, le nombre de demandes soumises par les États parties a </w:t>
      </w:r>
      <w:r w:rsidR="007D3B45" w:rsidRPr="00BB4589">
        <w:rPr>
          <w:rFonts w:asciiTheme="minorBidi" w:hAnsiTheme="minorBidi" w:cstheme="minorBidi"/>
          <w:lang w:val="fr-FR"/>
        </w:rPr>
        <w:t xml:space="preserve">connu une baisse notable </w:t>
      </w:r>
      <w:r w:rsidR="00510407" w:rsidRPr="00BB4589">
        <w:rPr>
          <w:rFonts w:asciiTheme="minorBidi" w:hAnsiTheme="minorBidi" w:cstheme="minorBidi"/>
          <w:lang w:val="fr-FR"/>
        </w:rPr>
        <w:t xml:space="preserve">au cours de la période </w:t>
      </w:r>
      <w:r w:rsidR="00060987">
        <w:rPr>
          <w:rFonts w:asciiTheme="minorBidi" w:hAnsiTheme="minorBidi" w:cstheme="minorBidi"/>
          <w:lang w:val="fr-FR"/>
        </w:rPr>
        <w:t>considérée</w:t>
      </w:r>
      <w:r w:rsidR="00510407" w:rsidRPr="00BB4589">
        <w:rPr>
          <w:rFonts w:asciiTheme="minorBidi" w:hAnsiTheme="minorBidi" w:cstheme="minorBidi"/>
          <w:lang w:val="fr-FR"/>
        </w:rPr>
        <w:t xml:space="preserve"> par rapport à la période 2018-2019 </w:t>
      </w:r>
      <w:r w:rsidR="008863D2" w:rsidRPr="00BB4589">
        <w:rPr>
          <w:rFonts w:asciiTheme="minorBidi" w:hAnsiTheme="minorBidi" w:cstheme="minorBidi"/>
          <w:lang w:val="fr-FR"/>
        </w:rPr>
        <w:t>(pour plus d</w:t>
      </w:r>
      <w:r w:rsidR="00BB4589">
        <w:rPr>
          <w:rFonts w:asciiTheme="minorBidi" w:hAnsiTheme="minorBidi" w:cstheme="minorBidi"/>
          <w:lang w:val="fr-FR"/>
        </w:rPr>
        <w:t>’</w:t>
      </w:r>
      <w:r w:rsidR="008863D2" w:rsidRPr="00BB4589">
        <w:rPr>
          <w:rFonts w:asciiTheme="minorBidi" w:hAnsiTheme="minorBidi" w:cstheme="minorBidi"/>
          <w:lang w:val="fr-FR"/>
        </w:rPr>
        <w:t xml:space="preserve">informations, voir les </w:t>
      </w:r>
      <w:r w:rsidR="008863D2" w:rsidRPr="009861AF">
        <w:rPr>
          <w:rFonts w:asciiTheme="minorBidi" w:hAnsiTheme="minorBidi" w:cstheme="minorBidi"/>
          <w:lang w:val="fr-FR"/>
        </w:rPr>
        <w:t xml:space="preserve">documents </w:t>
      </w:r>
      <w:hyperlink r:id="rId20" w:history="1">
        <w:r w:rsidR="008863D2" w:rsidRPr="009861AF">
          <w:rPr>
            <w:rStyle w:val="Hyperlink"/>
            <w:rFonts w:asciiTheme="minorBidi" w:hAnsiTheme="minorBidi" w:cstheme="minorBidi"/>
            <w:lang w:val="fr-FR"/>
          </w:rPr>
          <w:t>LHE/22/9.GA/10</w:t>
        </w:r>
      </w:hyperlink>
      <w:r w:rsidR="008863D2" w:rsidRPr="009861AF">
        <w:rPr>
          <w:rFonts w:asciiTheme="minorBidi" w:hAnsiTheme="minorBidi" w:cstheme="minorBidi"/>
          <w:lang w:val="fr-FR"/>
        </w:rPr>
        <w:t xml:space="preserve"> et </w:t>
      </w:r>
      <w:hyperlink r:id="rId21" w:history="1">
        <w:r w:rsidR="008863D2" w:rsidRPr="009861AF">
          <w:rPr>
            <w:rStyle w:val="Hyperlink"/>
            <w:rFonts w:asciiTheme="minorBidi" w:hAnsiTheme="minorBidi" w:cstheme="minorBidi"/>
            <w:lang w:val="fr-FR"/>
          </w:rPr>
          <w:t>LHE/22/9.GA/INF.10</w:t>
        </w:r>
      </w:hyperlink>
      <w:r w:rsidR="008863D2" w:rsidRPr="009861AF">
        <w:rPr>
          <w:rFonts w:asciiTheme="minorBidi" w:hAnsiTheme="minorBidi" w:cstheme="minorBidi"/>
          <w:lang w:val="fr-FR"/>
        </w:rPr>
        <w:t>)</w:t>
      </w:r>
      <w:r w:rsidR="001E432A" w:rsidRPr="009861AF">
        <w:rPr>
          <w:rFonts w:asciiTheme="minorBidi" w:hAnsiTheme="minorBidi" w:cstheme="minorBidi"/>
          <w:lang w:val="fr-FR"/>
        </w:rPr>
        <w:t xml:space="preserve">. </w:t>
      </w:r>
      <w:r w:rsidR="009D47C4" w:rsidRPr="009861AF">
        <w:rPr>
          <w:rFonts w:asciiTheme="minorBidi" w:hAnsiTheme="minorBidi" w:cstheme="minorBidi"/>
          <w:lang w:val="fr-FR"/>
        </w:rPr>
        <w:t xml:space="preserve">Compte tenu de </w:t>
      </w:r>
      <w:r w:rsidRPr="009861AF">
        <w:rPr>
          <w:rFonts w:asciiTheme="minorBidi" w:hAnsiTheme="minorBidi" w:cstheme="minorBidi"/>
          <w:lang w:val="fr-FR"/>
        </w:rPr>
        <w:t>cette tendance</w:t>
      </w:r>
      <w:r w:rsidR="009D47C4" w:rsidRPr="009861AF">
        <w:rPr>
          <w:rFonts w:asciiTheme="minorBidi" w:hAnsiTheme="minorBidi" w:cstheme="minorBidi"/>
          <w:lang w:val="fr-FR"/>
        </w:rPr>
        <w:t xml:space="preserve">, </w:t>
      </w:r>
      <w:r w:rsidR="001E432A" w:rsidRPr="009861AF">
        <w:rPr>
          <w:rFonts w:asciiTheme="minorBidi" w:hAnsiTheme="minorBidi" w:cstheme="minorBidi"/>
          <w:lang w:val="fr-FR"/>
        </w:rPr>
        <w:t xml:space="preserve">qui </w:t>
      </w:r>
      <w:r w:rsidR="007D3B45" w:rsidRPr="009861AF">
        <w:rPr>
          <w:rFonts w:asciiTheme="minorBidi" w:hAnsiTheme="minorBidi" w:cstheme="minorBidi"/>
          <w:lang w:val="fr-FR"/>
        </w:rPr>
        <w:t xml:space="preserve">est probablement </w:t>
      </w:r>
      <w:r w:rsidR="009D47C4" w:rsidRPr="009861AF">
        <w:rPr>
          <w:rFonts w:asciiTheme="minorBidi" w:hAnsiTheme="minorBidi" w:cstheme="minorBidi"/>
          <w:lang w:val="fr-FR"/>
        </w:rPr>
        <w:t xml:space="preserve">liée à la </w:t>
      </w:r>
      <w:r w:rsidR="001E432A" w:rsidRPr="009861AF">
        <w:rPr>
          <w:rFonts w:asciiTheme="minorBidi" w:hAnsiTheme="minorBidi" w:cstheme="minorBidi"/>
          <w:lang w:val="fr-FR"/>
        </w:rPr>
        <w:t>pandémie, le Secrétariat s</w:t>
      </w:r>
      <w:r w:rsidR="00BB4589" w:rsidRPr="009861AF">
        <w:rPr>
          <w:rFonts w:asciiTheme="minorBidi" w:hAnsiTheme="minorBidi" w:cstheme="minorBidi"/>
          <w:lang w:val="fr-FR"/>
        </w:rPr>
        <w:t>’</w:t>
      </w:r>
      <w:r w:rsidR="001E432A" w:rsidRPr="009861AF">
        <w:rPr>
          <w:rFonts w:asciiTheme="minorBidi" w:hAnsiTheme="minorBidi" w:cstheme="minorBidi"/>
          <w:lang w:val="fr-FR"/>
        </w:rPr>
        <w:t>est attaché</w:t>
      </w:r>
      <w:r w:rsidR="001E432A" w:rsidRPr="00BB4589">
        <w:rPr>
          <w:rFonts w:asciiTheme="minorBidi" w:hAnsiTheme="minorBidi" w:cstheme="minorBidi"/>
          <w:lang w:val="fr-FR"/>
        </w:rPr>
        <w:t xml:space="preserve"> à identifier les défis rencontrés par les États et les communautés dans la préparation de </w:t>
      </w:r>
      <w:r w:rsidR="006E247A" w:rsidRPr="00BB4589">
        <w:rPr>
          <w:rFonts w:asciiTheme="minorBidi" w:hAnsiTheme="minorBidi" w:cstheme="minorBidi"/>
          <w:lang w:val="fr-FR"/>
        </w:rPr>
        <w:t xml:space="preserve">leurs </w:t>
      </w:r>
      <w:r w:rsidR="001E432A" w:rsidRPr="00BB4589">
        <w:rPr>
          <w:rFonts w:asciiTheme="minorBidi" w:hAnsiTheme="minorBidi" w:cstheme="minorBidi"/>
          <w:lang w:val="fr-FR"/>
        </w:rPr>
        <w:t xml:space="preserve">demandes et le </w:t>
      </w:r>
      <w:r w:rsidR="00D67266" w:rsidRPr="00BB4589">
        <w:rPr>
          <w:rFonts w:asciiTheme="minorBidi" w:hAnsiTheme="minorBidi" w:cstheme="minorBidi"/>
          <w:lang w:val="fr-FR"/>
        </w:rPr>
        <w:t xml:space="preserve">suivi </w:t>
      </w:r>
      <w:r w:rsidR="001E432A" w:rsidRPr="00BB4589">
        <w:rPr>
          <w:rFonts w:asciiTheme="minorBidi" w:hAnsiTheme="minorBidi" w:cstheme="minorBidi"/>
          <w:lang w:val="fr-FR"/>
        </w:rPr>
        <w:t xml:space="preserve">de </w:t>
      </w:r>
      <w:r w:rsidR="00D67266" w:rsidRPr="00BB4589">
        <w:rPr>
          <w:rFonts w:asciiTheme="minorBidi" w:hAnsiTheme="minorBidi" w:cstheme="minorBidi"/>
          <w:lang w:val="fr-FR"/>
        </w:rPr>
        <w:t xml:space="preserve">leurs </w:t>
      </w:r>
      <w:r w:rsidR="001E432A" w:rsidRPr="00BB4589">
        <w:rPr>
          <w:rFonts w:asciiTheme="minorBidi" w:hAnsiTheme="minorBidi" w:cstheme="minorBidi"/>
          <w:lang w:val="fr-FR"/>
        </w:rPr>
        <w:t xml:space="preserve">projets. </w:t>
      </w:r>
      <w:r w:rsidR="00B939C0" w:rsidRPr="00BB4589">
        <w:rPr>
          <w:lang w:val="fr-FR"/>
        </w:rPr>
        <w:t>Comme l</w:t>
      </w:r>
      <w:r w:rsidR="00BB4589">
        <w:rPr>
          <w:lang w:val="fr-FR"/>
        </w:rPr>
        <w:t>’</w:t>
      </w:r>
      <w:r w:rsidR="00B939C0" w:rsidRPr="00BB4589">
        <w:rPr>
          <w:lang w:val="fr-FR"/>
        </w:rPr>
        <w:t xml:space="preserve">une des premières mesures pour redresser la situation, le Secrétariat a préparé </w:t>
      </w:r>
      <w:r w:rsidR="00510407" w:rsidRPr="00BB4589">
        <w:rPr>
          <w:lang w:val="fr-FR"/>
        </w:rPr>
        <w:t xml:space="preserve">une </w:t>
      </w:r>
      <w:hyperlink r:id="rId22" w:history="1">
        <w:r w:rsidR="00B939C0" w:rsidRPr="00BB4589">
          <w:rPr>
            <w:rStyle w:val="Hyperlink"/>
            <w:rFonts w:cs="Arial"/>
            <w:lang w:val="fr-FR"/>
          </w:rPr>
          <w:t>boîte à outils</w:t>
        </w:r>
      </w:hyperlink>
      <w:r w:rsidR="00B939C0" w:rsidRPr="00BB4589">
        <w:rPr>
          <w:lang w:val="fr-FR"/>
        </w:rPr>
        <w:t xml:space="preserve"> sur </w:t>
      </w:r>
      <w:r w:rsidR="00CB5650" w:rsidRPr="00BB4589">
        <w:rPr>
          <w:lang w:val="fr-FR"/>
        </w:rPr>
        <w:t xml:space="preserve">le </w:t>
      </w:r>
      <w:r w:rsidR="00510407" w:rsidRPr="00BB4589">
        <w:rPr>
          <w:lang w:val="fr-FR"/>
        </w:rPr>
        <w:t>mécanisme d</w:t>
      </w:r>
      <w:r w:rsidR="00BB4589">
        <w:rPr>
          <w:lang w:val="fr-FR"/>
        </w:rPr>
        <w:t>’</w:t>
      </w:r>
      <w:r w:rsidR="00B939C0" w:rsidRPr="00BB4589">
        <w:rPr>
          <w:lang w:val="fr-FR"/>
        </w:rPr>
        <w:t>assistance internationale.</w:t>
      </w:r>
    </w:p>
    <w:p w14:paraId="0CAD2FBE" w14:textId="77777777" w:rsidR="001578FB" w:rsidRDefault="009069B4">
      <w:pPr>
        <w:pStyle w:val="COMPara"/>
        <w:keepNext/>
        <w:numPr>
          <w:ilvl w:val="0"/>
          <w:numId w:val="21"/>
        </w:numPr>
        <w:spacing w:before="240"/>
        <w:ind w:left="576" w:hanging="432"/>
        <w:jc w:val="both"/>
        <w:rPr>
          <w:rFonts w:asciiTheme="minorBidi" w:hAnsiTheme="minorBidi" w:cstheme="minorBidi"/>
          <w:b/>
          <w:bCs/>
        </w:rPr>
      </w:pPr>
      <w:proofErr w:type="spellStart"/>
      <w:r w:rsidRPr="002E1C7F">
        <w:rPr>
          <w:rFonts w:asciiTheme="minorBidi" w:hAnsiTheme="minorBidi" w:cstheme="minorBidi"/>
          <w:b/>
          <w:bCs/>
        </w:rPr>
        <w:t>Activités</w:t>
      </w:r>
      <w:proofErr w:type="spellEnd"/>
      <w:r w:rsidRPr="002E1C7F">
        <w:rPr>
          <w:rFonts w:asciiTheme="minorBidi" w:hAnsiTheme="minorBidi" w:cstheme="minorBidi"/>
          <w:b/>
          <w:bCs/>
        </w:rPr>
        <w:t xml:space="preserve"> </w:t>
      </w:r>
      <w:proofErr w:type="spellStart"/>
      <w:r w:rsidRPr="002E1C7F">
        <w:rPr>
          <w:rFonts w:asciiTheme="minorBidi" w:hAnsiTheme="minorBidi" w:cstheme="minorBidi"/>
          <w:b/>
          <w:bCs/>
        </w:rPr>
        <w:t>opérationnelles</w:t>
      </w:r>
      <w:proofErr w:type="spellEnd"/>
    </w:p>
    <w:p w14:paraId="6B0D48B7" w14:textId="575D23DA"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Tout en continuant à fournir un </w:t>
      </w:r>
      <w:r w:rsidRPr="00BB4589">
        <w:rPr>
          <w:rFonts w:asciiTheme="minorBidi" w:hAnsiTheme="minorBidi" w:cstheme="minorBidi"/>
          <w:u w:val="single"/>
          <w:lang w:val="fr-FR"/>
        </w:rPr>
        <w:t>soutien</w:t>
      </w:r>
      <w:r w:rsidRPr="000B1D75">
        <w:rPr>
          <w:rFonts w:asciiTheme="minorBidi" w:hAnsiTheme="minorBidi" w:cstheme="minorBidi"/>
          <w:lang w:val="fr-FR"/>
        </w:rPr>
        <w:t xml:space="preserve"> </w:t>
      </w:r>
      <w:r w:rsidRPr="00BB4589">
        <w:rPr>
          <w:rFonts w:asciiTheme="minorBidi" w:hAnsiTheme="minorBidi" w:cstheme="minorBidi"/>
          <w:lang w:val="fr-FR"/>
        </w:rPr>
        <w:t xml:space="preserve">solide </w:t>
      </w:r>
      <w:r w:rsidRPr="00BB4589">
        <w:rPr>
          <w:rFonts w:asciiTheme="minorBidi" w:hAnsiTheme="minorBidi" w:cstheme="minorBidi"/>
          <w:u w:val="single"/>
          <w:lang w:val="fr-FR"/>
        </w:rPr>
        <w:t xml:space="preserve">au </w:t>
      </w:r>
      <w:r w:rsidR="00CB5650" w:rsidRPr="00BB4589">
        <w:rPr>
          <w:rFonts w:asciiTheme="minorBidi" w:hAnsiTheme="minorBidi" w:cstheme="minorBidi"/>
          <w:u w:val="single"/>
          <w:lang w:val="fr-FR"/>
        </w:rPr>
        <w:t>renforcement des capacités</w:t>
      </w:r>
      <w:r w:rsidR="00CB5650" w:rsidRPr="000B1D75">
        <w:rPr>
          <w:rFonts w:asciiTheme="minorBidi" w:hAnsiTheme="minorBidi" w:cstheme="minorBidi"/>
          <w:lang w:val="fr-FR"/>
        </w:rPr>
        <w:t xml:space="preserve"> </w:t>
      </w:r>
      <w:r w:rsidRPr="00BB4589">
        <w:rPr>
          <w:rFonts w:asciiTheme="minorBidi" w:hAnsiTheme="minorBidi" w:cstheme="minorBidi"/>
          <w:lang w:val="fr-FR"/>
        </w:rPr>
        <w:t xml:space="preserve">dans le monde entier, le Secrétariat a </w:t>
      </w:r>
      <w:r w:rsidR="00F62FE1" w:rsidRPr="00BB4589">
        <w:rPr>
          <w:rFonts w:asciiTheme="minorBidi" w:hAnsiTheme="minorBidi" w:cstheme="minorBidi"/>
          <w:lang w:val="fr-FR"/>
        </w:rPr>
        <w:t xml:space="preserve">initié une réorientation stratégique pour inclure des approches de </w:t>
      </w:r>
      <w:r w:rsidR="005650FD">
        <w:rPr>
          <w:rFonts w:asciiTheme="minorBidi" w:hAnsiTheme="minorBidi" w:cstheme="minorBidi"/>
          <w:lang w:val="fr-FR"/>
        </w:rPr>
        <w:t>prestations</w:t>
      </w:r>
      <w:r w:rsidR="005650FD" w:rsidRPr="00BB4589">
        <w:rPr>
          <w:rFonts w:asciiTheme="minorBidi" w:hAnsiTheme="minorBidi" w:cstheme="minorBidi"/>
          <w:lang w:val="fr-FR"/>
        </w:rPr>
        <w:t xml:space="preserve"> </w:t>
      </w:r>
      <w:r w:rsidR="00F62FE1" w:rsidRPr="00BB4589">
        <w:rPr>
          <w:rFonts w:asciiTheme="minorBidi" w:hAnsiTheme="minorBidi" w:cstheme="minorBidi"/>
          <w:lang w:val="fr-FR"/>
        </w:rPr>
        <w:t>multimodales afin d</w:t>
      </w:r>
      <w:r w:rsidR="00BB4589">
        <w:rPr>
          <w:rFonts w:asciiTheme="minorBidi" w:hAnsiTheme="minorBidi" w:cstheme="minorBidi"/>
          <w:lang w:val="fr-FR"/>
        </w:rPr>
        <w:t>’</w:t>
      </w:r>
      <w:r w:rsidR="00F62FE1" w:rsidRPr="00BB4589">
        <w:rPr>
          <w:rFonts w:asciiTheme="minorBidi" w:hAnsiTheme="minorBidi" w:cstheme="minorBidi"/>
          <w:lang w:val="fr-FR"/>
        </w:rPr>
        <w:t>élargir l</w:t>
      </w:r>
      <w:r w:rsidR="00BB4589">
        <w:rPr>
          <w:rFonts w:asciiTheme="minorBidi" w:hAnsiTheme="minorBidi" w:cstheme="minorBidi"/>
          <w:lang w:val="fr-FR"/>
        </w:rPr>
        <w:t>’</w:t>
      </w:r>
      <w:r w:rsidR="00F62FE1" w:rsidRPr="00BB4589">
        <w:rPr>
          <w:rFonts w:asciiTheme="minorBidi" w:hAnsiTheme="minorBidi" w:cstheme="minorBidi"/>
          <w:lang w:val="fr-FR"/>
        </w:rPr>
        <w:t xml:space="preserve">accès et la </w:t>
      </w:r>
      <w:r w:rsidR="005650FD">
        <w:rPr>
          <w:rFonts w:asciiTheme="minorBidi" w:hAnsiTheme="minorBidi" w:cstheme="minorBidi"/>
          <w:lang w:val="fr-FR"/>
        </w:rPr>
        <w:t>prestation</w:t>
      </w:r>
      <w:r w:rsidR="00F62FE1" w:rsidRPr="00BB4589">
        <w:rPr>
          <w:rFonts w:asciiTheme="minorBidi" w:hAnsiTheme="minorBidi" w:cstheme="minorBidi"/>
          <w:lang w:val="fr-FR"/>
        </w:rPr>
        <w:t>, en s</w:t>
      </w:r>
      <w:r w:rsidR="00BB4589">
        <w:rPr>
          <w:rFonts w:asciiTheme="minorBidi" w:hAnsiTheme="minorBidi" w:cstheme="minorBidi"/>
          <w:lang w:val="fr-FR"/>
        </w:rPr>
        <w:t>’</w:t>
      </w:r>
      <w:r w:rsidR="00F62FE1" w:rsidRPr="00BB4589">
        <w:rPr>
          <w:rFonts w:asciiTheme="minorBidi" w:hAnsiTheme="minorBidi" w:cstheme="minorBidi"/>
          <w:lang w:val="fr-FR"/>
        </w:rPr>
        <w:t>appuyant sur les leçons tirées de l</w:t>
      </w:r>
      <w:r w:rsidR="00BB4589">
        <w:rPr>
          <w:rFonts w:asciiTheme="minorBidi" w:hAnsiTheme="minorBidi" w:cstheme="minorBidi"/>
          <w:lang w:val="fr-FR"/>
        </w:rPr>
        <w:t>’</w:t>
      </w:r>
      <w:r w:rsidR="00F62FE1" w:rsidRPr="00BB4589">
        <w:rPr>
          <w:rFonts w:asciiTheme="minorBidi" w:hAnsiTheme="minorBidi" w:cstheme="minorBidi"/>
          <w:lang w:val="fr-FR"/>
        </w:rPr>
        <w:t xml:space="preserve">apprentissage en ligne pendant la pandémie de COVID-19. </w:t>
      </w:r>
      <w:r w:rsidR="005650FD">
        <w:rPr>
          <w:rFonts w:asciiTheme="minorBidi" w:hAnsiTheme="minorBidi" w:cstheme="minorBidi"/>
          <w:lang w:val="fr-FR"/>
        </w:rPr>
        <w:t>Un moment fort a été l</w:t>
      </w:r>
      <w:r w:rsidR="003A2CEE" w:rsidRPr="00BB4589">
        <w:rPr>
          <w:rFonts w:asciiTheme="minorBidi" w:hAnsiTheme="minorBidi" w:cstheme="minorBidi"/>
          <w:lang w:val="fr-FR"/>
        </w:rPr>
        <w:t xml:space="preserve">e premier cours </w:t>
      </w:r>
      <w:r w:rsidR="005650FD" w:rsidRPr="00BB4589">
        <w:rPr>
          <w:rFonts w:asciiTheme="minorBidi" w:hAnsiTheme="minorBidi" w:cstheme="minorBidi"/>
          <w:lang w:val="fr-FR"/>
        </w:rPr>
        <w:t>massif</w:t>
      </w:r>
      <w:r w:rsidR="005650FD" w:rsidRPr="00BB4589" w:rsidDel="005650FD">
        <w:rPr>
          <w:rFonts w:asciiTheme="minorBidi" w:hAnsiTheme="minorBidi" w:cstheme="minorBidi"/>
          <w:lang w:val="fr-FR"/>
        </w:rPr>
        <w:t xml:space="preserve"> </w:t>
      </w:r>
      <w:r w:rsidR="003A2CEE" w:rsidRPr="00BB4589">
        <w:rPr>
          <w:rFonts w:asciiTheme="minorBidi" w:hAnsiTheme="minorBidi" w:cstheme="minorBidi"/>
          <w:lang w:val="fr-FR"/>
        </w:rPr>
        <w:t xml:space="preserve">ouvert </w:t>
      </w:r>
      <w:r w:rsidR="005650FD" w:rsidRPr="00BB4589">
        <w:rPr>
          <w:rFonts w:asciiTheme="minorBidi" w:hAnsiTheme="minorBidi" w:cstheme="minorBidi"/>
          <w:lang w:val="fr-FR"/>
        </w:rPr>
        <w:t xml:space="preserve">en ligne </w:t>
      </w:r>
      <w:r w:rsidR="003A2CEE" w:rsidRPr="00BB4589">
        <w:rPr>
          <w:rFonts w:asciiTheme="minorBidi" w:hAnsiTheme="minorBidi" w:cstheme="minorBidi"/>
          <w:lang w:val="fr-FR"/>
        </w:rPr>
        <w:t xml:space="preserve">(MOOC) </w:t>
      </w:r>
      <w:r w:rsidR="005650FD">
        <w:rPr>
          <w:rFonts w:asciiTheme="minorBidi" w:hAnsiTheme="minorBidi" w:cstheme="minorBidi"/>
          <w:lang w:val="fr-FR"/>
        </w:rPr>
        <w:t xml:space="preserve">qui a été développé </w:t>
      </w:r>
      <w:r w:rsidR="003A2CEE" w:rsidRPr="00BB4589">
        <w:rPr>
          <w:rFonts w:asciiTheme="minorBidi" w:hAnsiTheme="minorBidi" w:cstheme="minorBidi"/>
          <w:lang w:val="fr-FR"/>
        </w:rPr>
        <w:t>sur le patrimoine culturel immatériel et le développement durable. Ce cours en six modules vise à renforcer la compréhension des liens entre le patrimoine vivant et le développement durable dans des domaines tels que l</w:t>
      </w:r>
      <w:r w:rsidR="00BB4589">
        <w:rPr>
          <w:rFonts w:asciiTheme="minorBidi" w:hAnsiTheme="minorBidi" w:cstheme="minorBidi"/>
          <w:lang w:val="fr-FR"/>
        </w:rPr>
        <w:t>’</w:t>
      </w:r>
      <w:r w:rsidR="003A2CEE" w:rsidRPr="00BB4589">
        <w:rPr>
          <w:rFonts w:asciiTheme="minorBidi" w:hAnsiTheme="minorBidi" w:cstheme="minorBidi"/>
          <w:lang w:val="fr-FR"/>
        </w:rPr>
        <w:t xml:space="preserve">égalité des </w:t>
      </w:r>
      <w:r w:rsidR="005650FD">
        <w:rPr>
          <w:rFonts w:asciiTheme="minorBidi" w:hAnsiTheme="minorBidi" w:cstheme="minorBidi"/>
          <w:lang w:val="fr-FR"/>
        </w:rPr>
        <w:t>genres</w:t>
      </w:r>
      <w:r w:rsidR="003A2CEE" w:rsidRPr="00BB4589">
        <w:rPr>
          <w:rFonts w:asciiTheme="minorBidi" w:hAnsiTheme="minorBidi" w:cstheme="minorBidi"/>
          <w:lang w:val="fr-FR"/>
        </w:rPr>
        <w:t>, l</w:t>
      </w:r>
      <w:r w:rsidR="00BB4589">
        <w:rPr>
          <w:rFonts w:asciiTheme="minorBidi" w:hAnsiTheme="minorBidi" w:cstheme="minorBidi"/>
          <w:lang w:val="fr-FR"/>
        </w:rPr>
        <w:t>’</w:t>
      </w:r>
      <w:r w:rsidR="003A2CEE" w:rsidRPr="00BB4589">
        <w:rPr>
          <w:rFonts w:asciiTheme="minorBidi" w:hAnsiTheme="minorBidi" w:cstheme="minorBidi"/>
          <w:lang w:val="fr-FR"/>
        </w:rPr>
        <w:t xml:space="preserve">éducation, la santé, la génération de revenus, les catastrophes et la consolidation de la paix. Cette </w:t>
      </w:r>
      <w:r w:rsidR="00F62FE1" w:rsidRPr="00BB4589">
        <w:rPr>
          <w:rFonts w:asciiTheme="minorBidi" w:hAnsiTheme="minorBidi" w:cstheme="minorBidi"/>
          <w:lang w:val="fr-FR"/>
        </w:rPr>
        <w:t>réorientation est conforme à l</w:t>
      </w:r>
      <w:r w:rsidR="00BB4589">
        <w:rPr>
          <w:rFonts w:asciiTheme="minorBidi" w:hAnsiTheme="minorBidi" w:cstheme="minorBidi"/>
          <w:lang w:val="fr-FR"/>
        </w:rPr>
        <w:t>’</w:t>
      </w:r>
      <w:r w:rsidR="00F62FE1" w:rsidRPr="00BB4589">
        <w:rPr>
          <w:rFonts w:asciiTheme="minorBidi" w:hAnsiTheme="minorBidi" w:cstheme="minorBidi"/>
          <w:lang w:val="fr-FR"/>
        </w:rPr>
        <w:t>évaluation d</w:t>
      </w:r>
      <w:r w:rsidR="00BB4589">
        <w:rPr>
          <w:rFonts w:asciiTheme="minorBidi" w:hAnsiTheme="minorBidi" w:cstheme="minorBidi"/>
          <w:lang w:val="fr-FR"/>
        </w:rPr>
        <w:t>’</w:t>
      </w:r>
      <w:r w:rsidR="00F62FE1" w:rsidRPr="00BB4589">
        <w:rPr>
          <w:rFonts w:asciiTheme="minorBidi" w:hAnsiTheme="minorBidi" w:cstheme="minorBidi"/>
          <w:lang w:val="fr-FR"/>
        </w:rPr>
        <w:t>IOS, qui a confirmé le caractère central du programme et souligné la nécessité de s</w:t>
      </w:r>
      <w:r w:rsidR="00BB4589">
        <w:rPr>
          <w:rFonts w:asciiTheme="minorBidi" w:hAnsiTheme="minorBidi" w:cstheme="minorBidi"/>
          <w:lang w:val="fr-FR"/>
        </w:rPr>
        <w:t>’</w:t>
      </w:r>
      <w:r w:rsidR="00F62FE1" w:rsidRPr="00BB4589">
        <w:rPr>
          <w:rFonts w:asciiTheme="minorBidi" w:hAnsiTheme="minorBidi" w:cstheme="minorBidi"/>
          <w:lang w:val="fr-FR"/>
        </w:rPr>
        <w:t>adapter à l</w:t>
      </w:r>
      <w:r w:rsidR="00BB4589">
        <w:rPr>
          <w:rFonts w:asciiTheme="minorBidi" w:hAnsiTheme="minorBidi" w:cstheme="minorBidi"/>
          <w:lang w:val="fr-FR"/>
        </w:rPr>
        <w:t>’</w:t>
      </w:r>
      <w:r w:rsidR="00F62FE1" w:rsidRPr="00BB4589">
        <w:rPr>
          <w:rFonts w:asciiTheme="minorBidi" w:hAnsiTheme="minorBidi" w:cstheme="minorBidi"/>
          <w:lang w:val="fr-FR"/>
        </w:rPr>
        <w:t>évolution des demandes. Le Secrétariat a en outre renforcé son réseau mondial de facilitateurs</w:t>
      </w:r>
      <w:r w:rsidR="003A2CEE" w:rsidRPr="00BB4589">
        <w:rPr>
          <w:rFonts w:asciiTheme="minorBidi" w:hAnsiTheme="minorBidi" w:cstheme="minorBidi"/>
          <w:lang w:val="fr-FR"/>
        </w:rPr>
        <w:t xml:space="preserve">, créé </w:t>
      </w:r>
      <w:r w:rsidR="00F62FE1" w:rsidRPr="00BB4589">
        <w:rPr>
          <w:rFonts w:asciiTheme="minorBidi" w:hAnsiTheme="minorBidi" w:cstheme="minorBidi"/>
          <w:lang w:val="fr-FR"/>
        </w:rPr>
        <w:t>un groupe de travail interrégional</w:t>
      </w:r>
      <w:r w:rsidR="003A2CEE" w:rsidRPr="00BB4589">
        <w:rPr>
          <w:rFonts w:asciiTheme="minorBidi" w:hAnsiTheme="minorBidi" w:cstheme="minorBidi"/>
          <w:lang w:val="fr-FR"/>
        </w:rPr>
        <w:t xml:space="preserve">, lancé </w:t>
      </w:r>
      <w:r w:rsidR="00F62FE1" w:rsidRPr="00BB4589">
        <w:rPr>
          <w:rFonts w:asciiTheme="minorBidi" w:hAnsiTheme="minorBidi" w:cstheme="minorBidi"/>
          <w:lang w:val="fr-FR"/>
        </w:rPr>
        <w:t xml:space="preserve">une série de webinaires et </w:t>
      </w:r>
      <w:hyperlink r:id="rId23" w:history="1">
        <w:r w:rsidR="00F62FE1" w:rsidRPr="00BB4589">
          <w:rPr>
            <w:rFonts w:asciiTheme="minorBidi" w:hAnsiTheme="minorBidi" w:cstheme="minorBidi"/>
            <w:lang w:val="fr-FR"/>
          </w:rPr>
          <w:t>amélioré la page web du réseau</w:t>
        </w:r>
      </w:hyperlink>
      <w:r w:rsidR="00F62FE1" w:rsidRPr="00BB4589">
        <w:rPr>
          <w:rFonts w:asciiTheme="minorBidi" w:hAnsiTheme="minorBidi" w:cstheme="minorBidi"/>
          <w:lang w:val="fr-FR"/>
        </w:rPr>
        <w:t xml:space="preserve">. </w:t>
      </w:r>
      <w:r w:rsidR="00510597" w:rsidRPr="00BB4589">
        <w:rPr>
          <w:rFonts w:asciiTheme="minorBidi" w:hAnsiTheme="minorBidi" w:cstheme="minorBidi"/>
          <w:lang w:val="fr-FR"/>
        </w:rPr>
        <w:t xml:space="preserve">Le programme a </w:t>
      </w:r>
      <w:r w:rsidR="00CB5650" w:rsidRPr="00BB4589">
        <w:rPr>
          <w:rFonts w:asciiTheme="minorBidi" w:hAnsiTheme="minorBidi" w:cstheme="minorBidi"/>
          <w:lang w:val="fr-FR"/>
        </w:rPr>
        <w:t xml:space="preserve">également </w:t>
      </w:r>
      <w:r w:rsidR="00510597" w:rsidRPr="00BB4589">
        <w:rPr>
          <w:rFonts w:asciiTheme="minorBidi" w:hAnsiTheme="minorBidi" w:cstheme="minorBidi"/>
          <w:lang w:val="fr-FR"/>
        </w:rPr>
        <w:t>élargi son expertise thématique en élaborant des supports de formation dans de nouveaux domaines, tels que le patrimoine culturel immatériel et la réduction des risques de catastrophe</w:t>
      </w:r>
      <w:r w:rsidR="00CB5650" w:rsidRPr="00BB4589">
        <w:rPr>
          <w:rFonts w:asciiTheme="minorBidi" w:hAnsiTheme="minorBidi" w:cstheme="minorBidi"/>
          <w:lang w:val="fr-FR"/>
        </w:rPr>
        <w:t xml:space="preserve">, qui </w:t>
      </w:r>
      <w:r w:rsidR="00510597" w:rsidRPr="00BB4589">
        <w:rPr>
          <w:rFonts w:asciiTheme="minorBidi" w:hAnsiTheme="minorBidi" w:cstheme="minorBidi"/>
          <w:lang w:val="fr-FR"/>
        </w:rPr>
        <w:t>ont été testés dans le cadre d</w:t>
      </w:r>
      <w:r w:rsidR="00BB4589">
        <w:rPr>
          <w:rFonts w:asciiTheme="minorBidi" w:hAnsiTheme="minorBidi" w:cstheme="minorBidi"/>
          <w:lang w:val="fr-FR"/>
        </w:rPr>
        <w:t>’</w:t>
      </w:r>
      <w:r w:rsidR="00510597" w:rsidRPr="00BB4589">
        <w:rPr>
          <w:rFonts w:asciiTheme="minorBidi" w:hAnsiTheme="minorBidi" w:cstheme="minorBidi"/>
          <w:lang w:val="fr-FR"/>
        </w:rPr>
        <w:t>ateliers en ligne et d</w:t>
      </w:r>
      <w:r w:rsidR="00BB4589">
        <w:rPr>
          <w:rFonts w:asciiTheme="minorBidi" w:hAnsiTheme="minorBidi" w:cstheme="minorBidi"/>
          <w:lang w:val="fr-FR"/>
        </w:rPr>
        <w:t>’</w:t>
      </w:r>
      <w:r w:rsidR="00510597" w:rsidRPr="00BB4589">
        <w:rPr>
          <w:rFonts w:asciiTheme="minorBidi" w:hAnsiTheme="minorBidi" w:cstheme="minorBidi"/>
          <w:lang w:val="fr-FR"/>
        </w:rPr>
        <w:t>activités pilotes.</w:t>
      </w:r>
    </w:p>
    <w:p w14:paraId="77AB7343" w14:textId="4FB68682"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En ce qui concerne le programme </w:t>
      </w:r>
      <w:r w:rsidR="005650FD">
        <w:rPr>
          <w:rFonts w:asciiTheme="minorBidi" w:hAnsiTheme="minorBidi" w:cstheme="minorBidi"/>
          <w:lang w:val="fr-FR"/>
        </w:rPr>
        <w:t>de</w:t>
      </w:r>
      <w:r w:rsidR="00CB5650" w:rsidRPr="00BB4589">
        <w:rPr>
          <w:rFonts w:asciiTheme="minorBidi" w:hAnsiTheme="minorBidi" w:cstheme="minorBidi"/>
          <w:lang w:val="fr-FR"/>
        </w:rPr>
        <w:t xml:space="preserve"> </w:t>
      </w:r>
      <w:r w:rsidR="00F62FE1" w:rsidRPr="00BB4589">
        <w:rPr>
          <w:rFonts w:asciiTheme="minorBidi" w:hAnsiTheme="minorBidi" w:cstheme="minorBidi"/>
          <w:u w:val="single"/>
          <w:lang w:val="fr-FR"/>
        </w:rPr>
        <w:t>sauvegarde du patrimoine culturel immatériel dans l</w:t>
      </w:r>
      <w:r w:rsidR="00BB4589">
        <w:rPr>
          <w:rFonts w:asciiTheme="minorBidi" w:hAnsiTheme="minorBidi" w:cstheme="minorBidi"/>
          <w:u w:val="single"/>
          <w:lang w:val="fr-FR"/>
        </w:rPr>
        <w:t>’</w:t>
      </w:r>
      <w:r w:rsidR="00F62FE1" w:rsidRPr="00BB4589">
        <w:rPr>
          <w:rFonts w:asciiTheme="minorBidi" w:hAnsiTheme="minorBidi" w:cstheme="minorBidi"/>
          <w:u w:val="single"/>
          <w:lang w:val="fr-FR"/>
        </w:rPr>
        <w:t>éducation formelle et non formelle</w:t>
      </w:r>
      <w:r w:rsidR="00CB5650" w:rsidRPr="00BB4589">
        <w:rPr>
          <w:rFonts w:asciiTheme="minorBidi" w:hAnsiTheme="minorBidi" w:cstheme="minorBidi"/>
          <w:lang w:val="fr-FR"/>
        </w:rPr>
        <w:t xml:space="preserve">, qui est </w:t>
      </w:r>
      <w:r w:rsidRPr="00BB4589">
        <w:rPr>
          <w:rFonts w:asciiTheme="minorBidi" w:hAnsiTheme="minorBidi" w:cstheme="minorBidi"/>
          <w:lang w:val="fr-FR"/>
        </w:rPr>
        <w:t xml:space="preserve">la </w:t>
      </w:r>
      <w:r w:rsidR="00F62FE1" w:rsidRPr="00BB4589">
        <w:rPr>
          <w:rFonts w:asciiTheme="minorBidi" w:hAnsiTheme="minorBidi" w:cstheme="minorBidi"/>
          <w:lang w:val="fr-FR"/>
        </w:rPr>
        <w:t xml:space="preserve">deuxième priorité de financement </w:t>
      </w:r>
      <w:r w:rsidRPr="00BB4589">
        <w:rPr>
          <w:rFonts w:asciiTheme="minorBidi" w:hAnsiTheme="minorBidi" w:cstheme="minorBidi"/>
          <w:lang w:val="fr-FR"/>
        </w:rPr>
        <w:t xml:space="preserve">de la Convention de 2003 </w:t>
      </w:r>
      <w:r w:rsidR="00F62FE1" w:rsidRPr="00BB4589">
        <w:rPr>
          <w:rFonts w:asciiTheme="minorBidi" w:hAnsiTheme="minorBidi" w:cstheme="minorBidi"/>
          <w:lang w:val="fr-FR"/>
        </w:rPr>
        <w:t>pour 2018-2021</w:t>
      </w:r>
      <w:r w:rsidR="00CB6516" w:rsidRPr="00BB4589">
        <w:rPr>
          <w:rFonts w:asciiTheme="minorBidi" w:hAnsiTheme="minorBidi" w:cstheme="minorBidi"/>
          <w:lang w:val="fr-FR"/>
        </w:rPr>
        <w:t>,</w:t>
      </w:r>
      <w:r w:rsidR="00527E2A">
        <w:rPr>
          <w:rStyle w:val="FootnoteReference"/>
          <w:rFonts w:asciiTheme="minorBidi" w:hAnsiTheme="minorBidi" w:cstheme="minorBidi"/>
        </w:rPr>
        <w:footnoteReference w:id="4"/>
      </w:r>
      <w:r w:rsidR="00F62FE1" w:rsidRPr="00BB4589">
        <w:rPr>
          <w:rFonts w:asciiTheme="minorBidi" w:hAnsiTheme="minorBidi" w:cstheme="minorBidi"/>
          <w:lang w:val="fr-FR"/>
        </w:rPr>
        <w:t xml:space="preserve"> seize bureaux </w:t>
      </w:r>
      <w:r w:rsidR="005650FD">
        <w:rPr>
          <w:rFonts w:asciiTheme="minorBidi" w:hAnsiTheme="minorBidi" w:cstheme="minorBidi"/>
          <w:lang w:val="fr-FR"/>
        </w:rPr>
        <w:t>hors siège</w:t>
      </w:r>
      <w:r w:rsidR="005650FD" w:rsidRPr="00BB4589">
        <w:rPr>
          <w:rFonts w:asciiTheme="minorBidi" w:hAnsiTheme="minorBidi" w:cstheme="minorBidi"/>
          <w:lang w:val="fr-FR"/>
        </w:rPr>
        <w:t xml:space="preserve"> </w:t>
      </w:r>
      <w:r w:rsidR="00F62FE1" w:rsidRPr="00BB4589">
        <w:rPr>
          <w:rFonts w:asciiTheme="minorBidi" w:hAnsiTheme="minorBidi" w:cstheme="minorBidi"/>
          <w:lang w:val="fr-FR"/>
        </w:rPr>
        <w:t>ont mené des projets et des activités dans plus de cinquante pays, intégrant le patrimoine vivant dans l</w:t>
      </w:r>
      <w:r w:rsidR="00BB4589">
        <w:rPr>
          <w:rFonts w:asciiTheme="minorBidi" w:hAnsiTheme="minorBidi" w:cstheme="minorBidi"/>
          <w:lang w:val="fr-FR"/>
        </w:rPr>
        <w:t>’</w:t>
      </w:r>
      <w:r w:rsidR="00F62FE1" w:rsidRPr="00BB4589">
        <w:rPr>
          <w:rFonts w:asciiTheme="minorBidi" w:hAnsiTheme="minorBidi" w:cstheme="minorBidi"/>
          <w:lang w:val="fr-FR"/>
        </w:rPr>
        <w:t>éducation scolaire et non formelle</w:t>
      </w:r>
      <w:r w:rsidR="00CB5650" w:rsidRPr="00BB4589">
        <w:rPr>
          <w:rFonts w:asciiTheme="minorBidi" w:hAnsiTheme="minorBidi" w:cstheme="minorBidi"/>
          <w:lang w:val="fr-FR"/>
        </w:rPr>
        <w:t xml:space="preserve">, </w:t>
      </w:r>
      <w:r w:rsidR="00F62FE1" w:rsidRPr="00BB4589">
        <w:rPr>
          <w:rFonts w:asciiTheme="minorBidi" w:hAnsiTheme="minorBidi" w:cstheme="minorBidi"/>
          <w:lang w:val="fr-FR"/>
        </w:rPr>
        <w:t xml:space="preserve">et renforçant </w:t>
      </w:r>
      <w:r w:rsidR="00CB5650" w:rsidRPr="00BB4589">
        <w:rPr>
          <w:rFonts w:asciiTheme="minorBidi" w:hAnsiTheme="minorBidi" w:cstheme="minorBidi"/>
          <w:lang w:val="fr-FR"/>
        </w:rPr>
        <w:t xml:space="preserve">les </w:t>
      </w:r>
      <w:r w:rsidR="00F62FE1" w:rsidRPr="00BB4589">
        <w:rPr>
          <w:rFonts w:asciiTheme="minorBidi" w:hAnsiTheme="minorBidi" w:cstheme="minorBidi"/>
          <w:lang w:val="fr-FR"/>
        </w:rPr>
        <w:t>capacités des enseignants et des formateurs d</w:t>
      </w:r>
      <w:r w:rsidR="00BB4589">
        <w:rPr>
          <w:rFonts w:asciiTheme="minorBidi" w:hAnsiTheme="minorBidi" w:cstheme="minorBidi"/>
          <w:lang w:val="fr-FR"/>
        </w:rPr>
        <w:t>’</w:t>
      </w:r>
      <w:r w:rsidR="00F62FE1" w:rsidRPr="00BB4589">
        <w:rPr>
          <w:rFonts w:asciiTheme="minorBidi" w:hAnsiTheme="minorBidi" w:cstheme="minorBidi"/>
          <w:lang w:val="fr-FR"/>
        </w:rPr>
        <w:t xml:space="preserve">enseignants. Trois régions (Europe, Asie et Pacifique, Amérique latine et Caraïbes) ont </w:t>
      </w:r>
      <w:r w:rsidR="00AF6997">
        <w:rPr>
          <w:rFonts w:asciiTheme="minorBidi" w:hAnsiTheme="minorBidi" w:cstheme="minorBidi"/>
          <w:lang w:val="fr-FR"/>
        </w:rPr>
        <w:t>permis d’acquérir</w:t>
      </w:r>
      <w:r w:rsidR="00AF6997" w:rsidRPr="00BB4589">
        <w:rPr>
          <w:rFonts w:asciiTheme="minorBidi" w:hAnsiTheme="minorBidi" w:cstheme="minorBidi"/>
          <w:lang w:val="fr-FR"/>
        </w:rPr>
        <w:t xml:space="preserve"> </w:t>
      </w:r>
      <w:r w:rsidR="00F62FE1" w:rsidRPr="00BB4589">
        <w:rPr>
          <w:rFonts w:asciiTheme="minorBidi" w:hAnsiTheme="minorBidi" w:cstheme="minorBidi"/>
          <w:lang w:val="fr-FR"/>
        </w:rPr>
        <w:t>des connaissances sur les expériences existantes par le biais d</w:t>
      </w:r>
      <w:r w:rsidR="00BB4589">
        <w:rPr>
          <w:rFonts w:asciiTheme="minorBidi" w:hAnsiTheme="minorBidi" w:cstheme="minorBidi"/>
          <w:lang w:val="fr-FR"/>
        </w:rPr>
        <w:t>’</w:t>
      </w:r>
      <w:r w:rsidR="00F62FE1" w:rsidRPr="00BB4589">
        <w:rPr>
          <w:rFonts w:asciiTheme="minorBidi" w:hAnsiTheme="minorBidi" w:cstheme="minorBidi"/>
          <w:lang w:val="fr-FR"/>
        </w:rPr>
        <w:t>enquêtes. L</w:t>
      </w:r>
      <w:r w:rsidR="00BB4589">
        <w:rPr>
          <w:rFonts w:asciiTheme="minorBidi" w:hAnsiTheme="minorBidi" w:cstheme="minorBidi"/>
          <w:lang w:val="fr-FR"/>
        </w:rPr>
        <w:t>’</w:t>
      </w:r>
      <w:r w:rsidR="00D003FC" w:rsidRPr="00BB4589">
        <w:rPr>
          <w:rFonts w:asciiTheme="minorBidi" w:hAnsiTheme="minorBidi" w:cstheme="minorBidi"/>
          <w:lang w:val="fr-FR"/>
        </w:rPr>
        <w:t>évaluation d</w:t>
      </w:r>
      <w:r w:rsidR="00BB4589">
        <w:rPr>
          <w:rFonts w:asciiTheme="minorBidi" w:hAnsiTheme="minorBidi" w:cstheme="minorBidi"/>
          <w:lang w:val="fr-FR"/>
        </w:rPr>
        <w:t>’</w:t>
      </w:r>
      <w:r w:rsidR="00D003FC" w:rsidRPr="00BB4589">
        <w:rPr>
          <w:rFonts w:asciiTheme="minorBidi" w:hAnsiTheme="minorBidi" w:cstheme="minorBidi"/>
          <w:lang w:val="fr-FR"/>
        </w:rPr>
        <w:t xml:space="preserve">IOS a porté sur </w:t>
      </w:r>
      <w:r w:rsidR="00F62FE1" w:rsidRPr="00BB4589">
        <w:rPr>
          <w:rFonts w:asciiTheme="minorBidi" w:hAnsiTheme="minorBidi" w:cstheme="minorBidi"/>
          <w:lang w:val="fr-FR"/>
        </w:rPr>
        <w:t xml:space="preserve">quinze projets </w:t>
      </w:r>
      <w:r w:rsidR="00D003FC" w:rsidRPr="00BB4589">
        <w:rPr>
          <w:rFonts w:asciiTheme="minorBidi" w:hAnsiTheme="minorBidi" w:cstheme="minorBidi"/>
          <w:lang w:val="fr-FR"/>
        </w:rPr>
        <w:t xml:space="preserve">montrant une </w:t>
      </w:r>
      <w:r w:rsidR="00F62FE1" w:rsidRPr="00BB4589">
        <w:rPr>
          <w:rFonts w:asciiTheme="minorBidi" w:hAnsiTheme="minorBidi" w:cstheme="minorBidi"/>
          <w:lang w:val="fr-FR"/>
        </w:rPr>
        <w:t>sensibilisation et un respect accrus du patrimoine vivant chez les jeunes et la communauté au sens large, ainsi qu</w:t>
      </w:r>
      <w:r w:rsidR="00BB4589">
        <w:rPr>
          <w:rFonts w:asciiTheme="minorBidi" w:hAnsiTheme="minorBidi" w:cstheme="minorBidi"/>
          <w:lang w:val="fr-FR"/>
        </w:rPr>
        <w:t>’</w:t>
      </w:r>
      <w:r w:rsidR="00F62FE1" w:rsidRPr="00BB4589">
        <w:rPr>
          <w:rFonts w:asciiTheme="minorBidi" w:hAnsiTheme="minorBidi" w:cstheme="minorBidi"/>
          <w:lang w:val="fr-FR"/>
        </w:rPr>
        <w:t>un renforcement de l</w:t>
      </w:r>
      <w:r w:rsidR="00BB4589">
        <w:rPr>
          <w:rFonts w:asciiTheme="minorBidi" w:hAnsiTheme="minorBidi" w:cstheme="minorBidi"/>
          <w:lang w:val="fr-FR"/>
        </w:rPr>
        <w:t>’</w:t>
      </w:r>
      <w:r w:rsidR="00F62FE1" w:rsidRPr="00BB4589">
        <w:rPr>
          <w:rFonts w:asciiTheme="minorBidi" w:hAnsiTheme="minorBidi" w:cstheme="minorBidi"/>
          <w:lang w:val="fr-FR"/>
        </w:rPr>
        <w:t>identité, de la fierté et de l</w:t>
      </w:r>
      <w:r w:rsidR="00BB4589">
        <w:rPr>
          <w:rFonts w:asciiTheme="minorBidi" w:hAnsiTheme="minorBidi" w:cstheme="minorBidi"/>
          <w:lang w:val="fr-FR"/>
        </w:rPr>
        <w:t>’</w:t>
      </w:r>
      <w:r w:rsidR="00F62FE1" w:rsidRPr="00BB4589">
        <w:rPr>
          <w:rFonts w:asciiTheme="minorBidi" w:hAnsiTheme="minorBidi" w:cstheme="minorBidi"/>
          <w:lang w:val="fr-FR"/>
        </w:rPr>
        <w:t>appréciation de la diversité culturelle. Les enseignants participants ont développé leurs capacités et leur confiance pour intégrer le patrimoine culturel immatériel dans leur enseignement, toutes matières confondues, et les partenariats développés entre les communautés, les détenteurs et les écoles ont été considérés comme l</w:t>
      </w:r>
      <w:r w:rsidR="00BB4589">
        <w:rPr>
          <w:rFonts w:asciiTheme="minorBidi" w:hAnsiTheme="minorBidi" w:cstheme="minorBidi"/>
          <w:lang w:val="fr-FR"/>
        </w:rPr>
        <w:t>’</w:t>
      </w:r>
      <w:r w:rsidR="00F62FE1" w:rsidRPr="00BB4589">
        <w:rPr>
          <w:rFonts w:asciiTheme="minorBidi" w:hAnsiTheme="minorBidi" w:cstheme="minorBidi"/>
          <w:lang w:val="fr-FR"/>
        </w:rPr>
        <w:t>une des caractéristiques les plus gratifiantes des projets.</w:t>
      </w:r>
    </w:p>
    <w:p w14:paraId="3338E1FD" w14:textId="3D66FFF9"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Au niveau mondial, le Secrétariat a acquis de nouvelles connaissances, en collaboration avec le </w:t>
      </w:r>
      <w:r w:rsidR="00AF6997">
        <w:rPr>
          <w:rFonts w:asciiTheme="minorBidi" w:hAnsiTheme="minorBidi" w:cstheme="minorBidi"/>
          <w:lang w:val="fr-FR"/>
        </w:rPr>
        <w:t>S</w:t>
      </w:r>
      <w:r w:rsidRPr="00BB4589">
        <w:rPr>
          <w:rFonts w:asciiTheme="minorBidi" w:hAnsiTheme="minorBidi" w:cstheme="minorBidi"/>
          <w:lang w:val="fr-FR"/>
        </w:rPr>
        <w:t>ecteur de l</w:t>
      </w:r>
      <w:r w:rsidR="00BB4589">
        <w:rPr>
          <w:rFonts w:asciiTheme="minorBidi" w:hAnsiTheme="minorBidi" w:cstheme="minorBidi"/>
          <w:lang w:val="fr-FR"/>
        </w:rPr>
        <w:t>’</w:t>
      </w:r>
      <w:r w:rsidRPr="00BB4589">
        <w:rPr>
          <w:rFonts w:asciiTheme="minorBidi" w:hAnsiTheme="minorBidi" w:cstheme="minorBidi"/>
          <w:lang w:val="fr-FR"/>
        </w:rPr>
        <w:t>éducation, sur les indicateurs liés à l</w:t>
      </w:r>
      <w:r w:rsidR="00BB4589">
        <w:rPr>
          <w:rFonts w:asciiTheme="minorBidi" w:hAnsiTheme="minorBidi" w:cstheme="minorBidi"/>
          <w:lang w:val="fr-FR"/>
        </w:rPr>
        <w:t>’</w:t>
      </w:r>
      <w:r w:rsidRPr="00BB4589">
        <w:rPr>
          <w:rFonts w:asciiTheme="minorBidi" w:hAnsiTheme="minorBidi" w:cstheme="minorBidi"/>
          <w:lang w:val="fr-FR"/>
        </w:rPr>
        <w:t xml:space="preserve">éducation du </w:t>
      </w:r>
      <w:r w:rsidR="00990474" w:rsidRPr="00BB4589">
        <w:rPr>
          <w:rFonts w:asciiTheme="minorBidi" w:hAnsiTheme="minorBidi" w:cstheme="minorBidi"/>
          <w:lang w:val="fr-FR"/>
        </w:rPr>
        <w:t xml:space="preserve">cadre global </w:t>
      </w:r>
      <w:r w:rsidR="00AF6997" w:rsidRPr="00BB4589">
        <w:rPr>
          <w:rFonts w:asciiTheme="minorBidi" w:hAnsiTheme="minorBidi" w:cstheme="minorBidi"/>
          <w:lang w:val="fr-FR"/>
        </w:rPr>
        <w:t xml:space="preserve">de résultats </w:t>
      </w:r>
      <w:r w:rsidR="00990474" w:rsidRPr="00BB4589">
        <w:rPr>
          <w:rFonts w:asciiTheme="minorBidi" w:hAnsiTheme="minorBidi" w:cstheme="minorBidi"/>
          <w:lang w:val="fr-FR"/>
        </w:rPr>
        <w:t xml:space="preserve">de </w:t>
      </w:r>
      <w:r w:rsidRPr="00BB4589">
        <w:rPr>
          <w:rFonts w:asciiTheme="minorBidi" w:hAnsiTheme="minorBidi" w:cstheme="minorBidi"/>
          <w:lang w:val="fr-FR"/>
        </w:rPr>
        <w:t>la Convention et leur relation avec l</w:t>
      </w:r>
      <w:r w:rsidR="00BB4589">
        <w:rPr>
          <w:rFonts w:asciiTheme="minorBidi" w:hAnsiTheme="minorBidi" w:cstheme="minorBidi"/>
          <w:lang w:val="fr-FR"/>
        </w:rPr>
        <w:t>’</w:t>
      </w:r>
      <w:r w:rsidRPr="00BB4589">
        <w:rPr>
          <w:rFonts w:asciiTheme="minorBidi" w:hAnsiTheme="minorBidi" w:cstheme="minorBidi"/>
          <w:lang w:val="fr-FR"/>
        </w:rPr>
        <w:t>ODD 4 (2020) par le biais d</w:t>
      </w:r>
      <w:r w:rsidR="00BB4589">
        <w:rPr>
          <w:rFonts w:asciiTheme="minorBidi" w:hAnsiTheme="minorBidi" w:cstheme="minorBidi"/>
          <w:lang w:val="fr-FR"/>
        </w:rPr>
        <w:t>’</w:t>
      </w:r>
      <w:r w:rsidRPr="00BB4589">
        <w:rPr>
          <w:rFonts w:asciiTheme="minorBidi" w:hAnsiTheme="minorBidi" w:cstheme="minorBidi"/>
          <w:lang w:val="fr-FR"/>
        </w:rPr>
        <w:t>une réunion d</w:t>
      </w:r>
      <w:r w:rsidR="00BB4589">
        <w:rPr>
          <w:rFonts w:asciiTheme="minorBidi" w:hAnsiTheme="minorBidi" w:cstheme="minorBidi"/>
          <w:lang w:val="fr-FR"/>
        </w:rPr>
        <w:t>’</w:t>
      </w:r>
      <w:r w:rsidRPr="00BB4589">
        <w:rPr>
          <w:rFonts w:asciiTheme="minorBidi" w:hAnsiTheme="minorBidi" w:cstheme="minorBidi"/>
          <w:lang w:val="fr-FR"/>
        </w:rPr>
        <w:t>experts et d</w:t>
      </w:r>
      <w:r w:rsidR="00BB4589">
        <w:rPr>
          <w:rFonts w:asciiTheme="minorBidi" w:hAnsiTheme="minorBidi" w:cstheme="minorBidi"/>
          <w:lang w:val="fr-FR"/>
        </w:rPr>
        <w:t>’</w:t>
      </w:r>
      <w:r w:rsidRPr="00BB4589">
        <w:rPr>
          <w:rFonts w:asciiTheme="minorBidi" w:hAnsiTheme="minorBidi" w:cstheme="minorBidi"/>
          <w:lang w:val="fr-FR"/>
        </w:rPr>
        <w:t xml:space="preserve">un </w:t>
      </w:r>
      <w:hyperlink r:id="rId24" w:history="1">
        <w:r w:rsidRPr="00BB4589">
          <w:rPr>
            <w:rFonts w:asciiTheme="minorBidi" w:hAnsiTheme="minorBidi" w:cstheme="minorBidi"/>
            <w:lang w:val="fr-FR"/>
          </w:rPr>
          <w:t>webinaire</w:t>
        </w:r>
      </w:hyperlink>
      <w:r w:rsidRPr="00BB4589">
        <w:rPr>
          <w:rFonts w:asciiTheme="minorBidi" w:hAnsiTheme="minorBidi" w:cstheme="minorBidi"/>
          <w:lang w:val="fr-FR"/>
        </w:rPr>
        <w:t xml:space="preserve"> public (2021). En outre, un programme en ligne adapté, une méthodologie et des supports pour un cours de formation de formateurs sur le patrimoine vivant et l</w:t>
      </w:r>
      <w:r w:rsidR="00BB4589">
        <w:rPr>
          <w:rFonts w:asciiTheme="minorBidi" w:hAnsiTheme="minorBidi" w:cstheme="minorBidi"/>
          <w:lang w:val="fr-FR"/>
        </w:rPr>
        <w:t>’</w:t>
      </w:r>
      <w:r w:rsidRPr="00BB4589">
        <w:rPr>
          <w:rFonts w:asciiTheme="minorBidi" w:hAnsiTheme="minorBidi" w:cstheme="minorBidi"/>
          <w:lang w:val="fr-FR"/>
        </w:rPr>
        <w:t>éducation ont été élaborés et mis en œuvre. Enfin, pour faciliter le partage des connaissances, la coopération et l</w:t>
      </w:r>
      <w:r w:rsidR="00BB4589">
        <w:rPr>
          <w:rFonts w:asciiTheme="minorBidi" w:hAnsiTheme="minorBidi" w:cstheme="minorBidi"/>
          <w:lang w:val="fr-FR"/>
        </w:rPr>
        <w:t>’</w:t>
      </w:r>
      <w:r w:rsidRPr="00BB4589">
        <w:rPr>
          <w:rFonts w:asciiTheme="minorBidi" w:hAnsiTheme="minorBidi" w:cstheme="minorBidi"/>
          <w:lang w:val="fr-FR"/>
        </w:rPr>
        <w:t xml:space="preserve">innovation, le Secrétariat a développé </w:t>
      </w:r>
      <w:r w:rsidRPr="00BB4589">
        <w:rPr>
          <w:rFonts w:asciiTheme="minorBidi" w:hAnsiTheme="minorBidi" w:cstheme="minorBidi"/>
          <w:u w:val="single"/>
          <w:lang w:val="fr-FR"/>
        </w:rPr>
        <w:t xml:space="preserve">un </w:t>
      </w:r>
      <w:hyperlink r:id="rId25" w:history="1">
        <w:r w:rsidRPr="00BB4589">
          <w:rPr>
            <w:rFonts w:asciiTheme="minorBidi" w:hAnsiTheme="minorBidi" w:cstheme="minorBidi"/>
            <w:u w:val="single"/>
            <w:lang w:val="fr-FR"/>
          </w:rPr>
          <w:t>centre d</w:t>
        </w:r>
        <w:r w:rsidR="00BB4589">
          <w:rPr>
            <w:rFonts w:asciiTheme="minorBidi" w:hAnsiTheme="minorBidi" w:cstheme="minorBidi"/>
            <w:u w:val="single"/>
            <w:lang w:val="fr-FR"/>
          </w:rPr>
          <w:t>’</w:t>
        </w:r>
        <w:r w:rsidRPr="00BB4589">
          <w:rPr>
            <w:rFonts w:asciiTheme="minorBidi" w:hAnsiTheme="minorBidi" w:cstheme="minorBidi"/>
            <w:u w:val="single"/>
            <w:lang w:val="fr-FR"/>
          </w:rPr>
          <w:t>échange d</w:t>
        </w:r>
        <w:r w:rsidR="00BB4589">
          <w:rPr>
            <w:rFonts w:asciiTheme="minorBidi" w:hAnsiTheme="minorBidi" w:cstheme="minorBidi"/>
            <w:u w:val="single"/>
            <w:lang w:val="fr-FR"/>
          </w:rPr>
          <w:t>’</w:t>
        </w:r>
        <w:r w:rsidRPr="00BB4589">
          <w:rPr>
            <w:rFonts w:asciiTheme="minorBidi" w:hAnsiTheme="minorBidi" w:cstheme="minorBidi"/>
            <w:u w:val="single"/>
            <w:lang w:val="fr-FR"/>
          </w:rPr>
          <w:t>informations</w:t>
        </w:r>
      </w:hyperlink>
      <w:r w:rsidRPr="00BB4589">
        <w:rPr>
          <w:rFonts w:asciiTheme="minorBidi" w:hAnsiTheme="minorBidi" w:cstheme="minorBidi"/>
          <w:u w:val="single"/>
          <w:lang w:val="fr-FR"/>
        </w:rPr>
        <w:t xml:space="preserve"> sur le patrimoine vivant et l</w:t>
      </w:r>
      <w:r w:rsidR="00BB4589">
        <w:rPr>
          <w:rFonts w:asciiTheme="minorBidi" w:hAnsiTheme="minorBidi" w:cstheme="minorBidi"/>
          <w:u w:val="single"/>
          <w:lang w:val="fr-FR"/>
        </w:rPr>
        <w:t>’</w:t>
      </w:r>
      <w:r w:rsidRPr="00BB4589">
        <w:rPr>
          <w:rFonts w:asciiTheme="minorBidi" w:hAnsiTheme="minorBidi" w:cstheme="minorBidi"/>
          <w:u w:val="single"/>
          <w:lang w:val="fr-FR"/>
        </w:rPr>
        <w:t>éducation</w:t>
      </w:r>
      <w:r w:rsidRPr="00BB4589">
        <w:rPr>
          <w:rFonts w:asciiTheme="minorBidi" w:hAnsiTheme="minorBidi" w:cstheme="minorBidi"/>
          <w:lang w:val="fr-FR"/>
        </w:rPr>
        <w:t xml:space="preserve">, qui contient des </w:t>
      </w:r>
      <w:r w:rsidR="006105BD" w:rsidRPr="00BB4589">
        <w:rPr>
          <w:rFonts w:asciiTheme="minorBidi" w:hAnsiTheme="minorBidi" w:cstheme="minorBidi"/>
          <w:lang w:val="fr-FR"/>
        </w:rPr>
        <w:t xml:space="preserve">informations </w:t>
      </w:r>
      <w:r w:rsidRPr="00BB4589">
        <w:rPr>
          <w:rFonts w:asciiTheme="minorBidi" w:hAnsiTheme="minorBidi" w:cstheme="minorBidi"/>
          <w:lang w:val="fr-FR"/>
        </w:rPr>
        <w:t>sur des projets innovants, des ressources</w:t>
      </w:r>
      <w:r w:rsidR="006105BD" w:rsidRPr="00BB4589">
        <w:rPr>
          <w:rFonts w:asciiTheme="minorBidi" w:hAnsiTheme="minorBidi" w:cstheme="minorBidi"/>
          <w:lang w:val="fr-FR"/>
        </w:rPr>
        <w:t xml:space="preserve">, </w:t>
      </w:r>
      <w:r w:rsidR="0018082A">
        <w:rPr>
          <w:rFonts w:asciiTheme="minorBidi" w:hAnsiTheme="minorBidi" w:cstheme="minorBidi"/>
          <w:lang w:val="fr-FR"/>
        </w:rPr>
        <w:t>l’</w:t>
      </w:r>
      <w:r w:rsidR="00A4415A">
        <w:rPr>
          <w:rFonts w:asciiTheme="minorBidi" w:hAnsiTheme="minorBidi" w:cstheme="minorBidi"/>
          <w:lang w:val="fr-FR"/>
        </w:rPr>
        <w:t>actualité</w:t>
      </w:r>
      <w:r w:rsidR="002B5F3F" w:rsidRPr="00BB4589">
        <w:rPr>
          <w:rFonts w:asciiTheme="minorBidi" w:hAnsiTheme="minorBidi" w:cstheme="minorBidi"/>
          <w:lang w:val="fr-FR"/>
        </w:rPr>
        <w:t xml:space="preserve"> </w:t>
      </w:r>
      <w:r w:rsidRPr="00BB4589">
        <w:rPr>
          <w:rFonts w:asciiTheme="minorBidi" w:hAnsiTheme="minorBidi" w:cstheme="minorBidi"/>
          <w:lang w:val="fr-FR"/>
        </w:rPr>
        <w:t xml:space="preserve">et des événements liés au Programme. Trois études de cas pertinentes </w:t>
      </w:r>
      <w:r w:rsidR="006105BD" w:rsidRPr="00BB4589">
        <w:rPr>
          <w:rFonts w:asciiTheme="minorBidi" w:hAnsiTheme="minorBidi" w:cstheme="minorBidi"/>
          <w:lang w:val="fr-FR"/>
        </w:rPr>
        <w:t xml:space="preserve">concernant les </w:t>
      </w:r>
      <w:r w:rsidRPr="00BB4589">
        <w:rPr>
          <w:rFonts w:asciiTheme="minorBidi" w:hAnsiTheme="minorBidi" w:cstheme="minorBidi"/>
          <w:lang w:val="fr-FR"/>
        </w:rPr>
        <w:t xml:space="preserve">expériences des </w:t>
      </w:r>
      <w:r w:rsidR="006105BD" w:rsidRPr="00BB4589">
        <w:rPr>
          <w:rFonts w:asciiTheme="minorBidi" w:hAnsiTheme="minorBidi" w:cstheme="minorBidi"/>
          <w:lang w:val="fr-FR"/>
        </w:rPr>
        <w:t>peuples</w:t>
      </w:r>
      <w:r w:rsidRPr="00BB4589">
        <w:rPr>
          <w:rFonts w:asciiTheme="minorBidi" w:hAnsiTheme="minorBidi" w:cstheme="minorBidi"/>
          <w:lang w:val="fr-FR"/>
        </w:rPr>
        <w:t xml:space="preserve"> autochtones </w:t>
      </w:r>
      <w:r w:rsidR="006105BD" w:rsidRPr="00BB4589">
        <w:rPr>
          <w:rFonts w:asciiTheme="minorBidi" w:hAnsiTheme="minorBidi" w:cstheme="minorBidi"/>
          <w:lang w:val="fr-FR"/>
        </w:rPr>
        <w:t xml:space="preserve">en matière de </w:t>
      </w:r>
      <w:r w:rsidRPr="00BB4589">
        <w:rPr>
          <w:rFonts w:asciiTheme="minorBidi" w:hAnsiTheme="minorBidi" w:cstheme="minorBidi"/>
          <w:lang w:val="fr-FR"/>
        </w:rPr>
        <w:t>sauvegarde du patrimoine vivant par le biais de l</w:t>
      </w:r>
      <w:r w:rsidR="00BB4589">
        <w:rPr>
          <w:rFonts w:asciiTheme="minorBidi" w:hAnsiTheme="minorBidi" w:cstheme="minorBidi"/>
          <w:lang w:val="fr-FR"/>
        </w:rPr>
        <w:t>’</w:t>
      </w:r>
      <w:r w:rsidRPr="00BB4589">
        <w:rPr>
          <w:rFonts w:asciiTheme="minorBidi" w:hAnsiTheme="minorBidi" w:cstheme="minorBidi"/>
          <w:lang w:val="fr-FR"/>
        </w:rPr>
        <w:t>éducation formelle et non formelle ont été identifiées, développées et intégrées dans le centre d</w:t>
      </w:r>
      <w:r w:rsidR="00BB4589">
        <w:rPr>
          <w:rFonts w:asciiTheme="minorBidi" w:hAnsiTheme="minorBidi" w:cstheme="minorBidi"/>
          <w:lang w:val="fr-FR"/>
        </w:rPr>
        <w:t>’</w:t>
      </w:r>
      <w:r w:rsidRPr="00BB4589">
        <w:rPr>
          <w:rFonts w:asciiTheme="minorBidi" w:hAnsiTheme="minorBidi" w:cstheme="minorBidi"/>
          <w:lang w:val="fr-FR"/>
        </w:rPr>
        <w:t>échange. Des contributions ont également été préparées pour le plan d</w:t>
      </w:r>
      <w:r w:rsidR="00BB4589">
        <w:rPr>
          <w:rFonts w:asciiTheme="minorBidi" w:hAnsiTheme="minorBidi" w:cstheme="minorBidi"/>
          <w:lang w:val="fr-FR"/>
        </w:rPr>
        <w:t>’</w:t>
      </w:r>
      <w:r w:rsidRPr="00BB4589">
        <w:rPr>
          <w:rFonts w:asciiTheme="minorBidi" w:hAnsiTheme="minorBidi" w:cstheme="minorBidi"/>
          <w:lang w:val="fr-FR"/>
        </w:rPr>
        <w:t>action de la Décennie internationale des langues autochtones. Ce cadre stratégique garantira une coopération internationale et une action conjointe et coordonnée entre les parties prenantes pour la revitalisation des langues des peuples autochtones, qui est vitale pour la transmission du patrimoine vivant des communautés autochtones d</w:t>
      </w:r>
      <w:r w:rsidR="00BB4589">
        <w:rPr>
          <w:rFonts w:asciiTheme="minorBidi" w:hAnsiTheme="minorBidi" w:cstheme="minorBidi"/>
          <w:lang w:val="fr-FR"/>
        </w:rPr>
        <w:t>’</w:t>
      </w:r>
      <w:r w:rsidRPr="00BB4589">
        <w:rPr>
          <w:rFonts w:asciiTheme="minorBidi" w:hAnsiTheme="minorBidi" w:cstheme="minorBidi"/>
          <w:lang w:val="fr-FR"/>
        </w:rPr>
        <w:t>une génération à l</w:t>
      </w:r>
      <w:r w:rsidR="00BB4589">
        <w:rPr>
          <w:rFonts w:asciiTheme="minorBidi" w:hAnsiTheme="minorBidi" w:cstheme="minorBidi"/>
          <w:lang w:val="fr-FR"/>
        </w:rPr>
        <w:t>’</w:t>
      </w:r>
      <w:r w:rsidRPr="00BB4589">
        <w:rPr>
          <w:rFonts w:asciiTheme="minorBidi" w:hAnsiTheme="minorBidi" w:cstheme="minorBidi"/>
          <w:lang w:val="fr-FR"/>
        </w:rPr>
        <w:t>autre.</w:t>
      </w:r>
    </w:p>
    <w:bookmarkEnd w:id="0"/>
    <w:p w14:paraId="28426A59" w14:textId="77777777" w:rsidR="001578FB" w:rsidRDefault="009069B4">
      <w:pPr>
        <w:pStyle w:val="COMPara"/>
        <w:keepNext/>
        <w:numPr>
          <w:ilvl w:val="0"/>
          <w:numId w:val="21"/>
        </w:numPr>
        <w:spacing w:before="240"/>
        <w:ind w:left="576" w:hanging="432"/>
        <w:jc w:val="both"/>
        <w:rPr>
          <w:rFonts w:asciiTheme="minorBidi" w:hAnsiTheme="minorBidi" w:cstheme="minorBidi"/>
          <w:b/>
          <w:bCs/>
        </w:rPr>
      </w:pPr>
      <w:r w:rsidRPr="006B6390">
        <w:rPr>
          <w:rFonts w:asciiTheme="minorBidi" w:hAnsiTheme="minorBidi" w:cstheme="minorBidi"/>
          <w:b/>
          <w:bCs/>
        </w:rPr>
        <w:t xml:space="preserve">Initiatives </w:t>
      </w:r>
      <w:proofErr w:type="spellStart"/>
      <w:r w:rsidRPr="006B6390">
        <w:rPr>
          <w:rFonts w:asciiTheme="minorBidi" w:hAnsiTheme="minorBidi" w:cstheme="minorBidi"/>
          <w:b/>
          <w:bCs/>
        </w:rPr>
        <w:t>thématiques</w:t>
      </w:r>
      <w:proofErr w:type="spellEnd"/>
    </w:p>
    <w:p w14:paraId="16F69E18" w14:textId="64792B61"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Conformément au projet de Stratégie à moyen terme de l</w:t>
      </w:r>
      <w:r w:rsidR="00BB4589">
        <w:rPr>
          <w:rFonts w:asciiTheme="minorBidi" w:hAnsiTheme="minorBidi" w:cstheme="minorBidi"/>
          <w:lang w:val="fr-FR"/>
        </w:rPr>
        <w:t>’</w:t>
      </w:r>
      <w:r w:rsidRPr="00BB4589">
        <w:rPr>
          <w:rFonts w:asciiTheme="minorBidi" w:hAnsiTheme="minorBidi" w:cstheme="minorBidi"/>
          <w:lang w:val="fr-FR"/>
        </w:rPr>
        <w:t>UNESCO pour 2022-2029 (41C/4), aux Directives opérationnelles de la Convention (chapitre VI) et à la décision du Comité soulignant l</w:t>
      </w:r>
      <w:r w:rsidR="00BB4589">
        <w:rPr>
          <w:rFonts w:asciiTheme="minorBidi" w:hAnsiTheme="minorBidi" w:cstheme="minorBidi"/>
          <w:lang w:val="fr-FR"/>
        </w:rPr>
        <w:t>’</w:t>
      </w:r>
      <w:r w:rsidRPr="00BB4589">
        <w:rPr>
          <w:rFonts w:asciiTheme="minorBidi" w:hAnsiTheme="minorBidi" w:cstheme="minorBidi"/>
          <w:lang w:val="fr-FR"/>
        </w:rPr>
        <w:t xml:space="preserve">importance de mettre en évidence </w:t>
      </w:r>
      <w:r w:rsidRPr="00BB4589">
        <w:rPr>
          <w:rFonts w:asciiTheme="minorBidi" w:hAnsiTheme="minorBidi" w:cstheme="minorBidi"/>
          <w:u w:val="single"/>
          <w:lang w:val="fr-FR"/>
        </w:rPr>
        <w:t>les contributions du patrimoine vivant au développement durable</w:t>
      </w:r>
      <w:r w:rsidRPr="00BB4589">
        <w:rPr>
          <w:rFonts w:asciiTheme="minorBidi" w:hAnsiTheme="minorBidi" w:cstheme="minorBidi"/>
          <w:lang w:val="fr-FR"/>
        </w:rPr>
        <w:t>,</w:t>
      </w:r>
      <w:bookmarkStart w:id="1" w:name="_Ref88177584"/>
      <w:r w:rsidRPr="00335173">
        <w:rPr>
          <w:vertAlign w:val="superscript"/>
        </w:rPr>
        <w:footnoteReference w:id="5"/>
      </w:r>
      <w:bookmarkEnd w:id="1"/>
      <w:r w:rsidRPr="00BB4589">
        <w:rPr>
          <w:rFonts w:asciiTheme="minorBidi" w:hAnsiTheme="minorBidi" w:cstheme="minorBidi"/>
          <w:vertAlign w:val="superscript"/>
          <w:lang w:val="fr-FR"/>
        </w:rPr>
        <w:t xml:space="preserve"> </w:t>
      </w:r>
      <w:r w:rsidRPr="00BB4589">
        <w:rPr>
          <w:rFonts w:asciiTheme="minorBidi" w:hAnsiTheme="minorBidi" w:cstheme="minorBidi"/>
          <w:lang w:val="fr-FR"/>
        </w:rPr>
        <w:t xml:space="preserve"> le Secrétariat a engagé des efforts dans des domaines thématiques spécifiques pour contribuer à une approche holistique de la sauvegarde du patrimoine et du développement durable. </w:t>
      </w:r>
      <w:r w:rsidR="002B5F3F">
        <w:rPr>
          <w:rFonts w:asciiTheme="minorBidi" w:hAnsiTheme="minorBidi" w:cstheme="minorBidi"/>
          <w:lang w:val="fr-FR"/>
        </w:rPr>
        <w:t xml:space="preserve">Celles-ci comprennent </w:t>
      </w:r>
      <w:r w:rsidR="00562BD3" w:rsidRPr="00BB4589">
        <w:rPr>
          <w:rFonts w:asciiTheme="minorBidi" w:hAnsiTheme="minorBidi" w:cstheme="minorBidi"/>
          <w:lang w:val="fr-FR"/>
        </w:rPr>
        <w:t>notamment</w:t>
      </w:r>
      <w:r w:rsidR="002B5F3F">
        <w:rPr>
          <w:rFonts w:asciiTheme="minorBidi" w:hAnsiTheme="minorBidi" w:cstheme="minorBidi"/>
          <w:lang w:val="fr-FR"/>
        </w:rPr>
        <w:t> :</w:t>
      </w:r>
      <w:r w:rsidR="00562BD3" w:rsidRPr="00BB4589">
        <w:rPr>
          <w:rFonts w:asciiTheme="minorBidi" w:hAnsiTheme="minorBidi" w:cstheme="minorBidi"/>
          <w:lang w:val="fr-FR"/>
        </w:rPr>
        <w:t xml:space="preserve"> i) la sauvegarde du patrimoine culturel immatériel et le </w:t>
      </w:r>
      <w:r w:rsidR="003706DC" w:rsidRPr="00BB4589">
        <w:rPr>
          <w:rFonts w:asciiTheme="minorBidi" w:hAnsiTheme="minorBidi" w:cstheme="minorBidi"/>
          <w:lang w:val="fr-FR"/>
        </w:rPr>
        <w:t xml:space="preserve">changement </w:t>
      </w:r>
      <w:r w:rsidR="00562BD3" w:rsidRPr="00BB4589">
        <w:rPr>
          <w:rFonts w:asciiTheme="minorBidi" w:hAnsiTheme="minorBidi" w:cstheme="minorBidi"/>
          <w:lang w:val="fr-FR"/>
        </w:rPr>
        <w:t xml:space="preserve">climatique, ii) la </w:t>
      </w:r>
      <w:r w:rsidR="00032804" w:rsidRPr="00BB4589">
        <w:rPr>
          <w:rFonts w:asciiTheme="minorBidi" w:hAnsiTheme="minorBidi" w:cstheme="minorBidi"/>
          <w:lang w:val="fr-FR"/>
        </w:rPr>
        <w:t xml:space="preserve">dimension </w:t>
      </w:r>
      <w:r w:rsidR="00562BD3" w:rsidRPr="00BB4589">
        <w:rPr>
          <w:rFonts w:asciiTheme="minorBidi" w:hAnsiTheme="minorBidi" w:cstheme="minorBidi"/>
          <w:lang w:val="fr-FR"/>
        </w:rPr>
        <w:t xml:space="preserve">économique </w:t>
      </w:r>
      <w:r w:rsidR="00032804" w:rsidRPr="00BB4589">
        <w:rPr>
          <w:rFonts w:asciiTheme="minorBidi" w:hAnsiTheme="minorBidi" w:cstheme="minorBidi"/>
          <w:lang w:val="fr-FR"/>
        </w:rPr>
        <w:t xml:space="preserve">de la </w:t>
      </w:r>
      <w:r w:rsidR="00562BD3" w:rsidRPr="00BB4589">
        <w:rPr>
          <w:rFonts w:asciiTheme="minorBidi" w:hAnsiTheme="minorBidi" w:cstheme="minorBidi"/>
          <w:lang w:val="fr-FR"/>
        </w:rPr>
        <w:t>sauvegarde du patrimoine culturel immatériel</w:t>
      </w:r>
      <w:r w:rsidR="00DE3C7B" w:rsidRPr="00BB4589">
        <w:rPr>
          <w:rFonts w:asciiTheme="minorBidi" w:hAnsiTheme="minorBidi" w:cstheme="minorBidi"/>
          <w:lang w:val="fr-FR"/>
        </w:rPr>
        <w:t xml:space="preserve">, </w:t>
      </w:r>
      <w:r w:rsidR="00562BD3" w:rsidRPr="00BB4589">
        <w:rPr>
          <w:rFonts w:asciiTheme="minorBidi" w:hAnsiTheme="minorBidi" w:cstheme="minorBidi"/>
          <w:lang w:val="fr-FR"/>
        </w:rPr>
        <w:t>et iii) la sauvegarde du patrimoine culturel immatériel dans les contextes urbains.</w:t>
      </w:r>
    </w:p>
    <w:p w14:paraId="582E12B9" w14:textId="42F5933C"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Pour chaque domaine thématique, une </w:t>
      </w:r>
      <w:r w:rsidR="008B4CC6" w:rsidRPr="00BB4589">
        <w:rPr>
          <w:rFonts w:asciiTheme="minorBidi" w:hAnsiTheme="minorBidi" w:cstheme="minorBidi"/>
          <w:lang w:val="fr-FR"/>
        </w:rPr>
        <w:t xml:space="preserve">note conceptuelle </w:t>
      </w:r>
      <w:r w:rsidRPr="00BB4589">
        <w:rPr>
          <w:rFonts w:asciiTheme="minorBidi" w:hAnsiTheme="minorBidi" w:cstheme="minorBidi"/>
          <w:lang w:val="fr-FR"/>
        </w:rPr>
        <w:t>est en cours d</w:t>
      </w:r>
      <w:r w:rsidR="00BB4589">
        <w:rPr>
          <w:rFonts w:asciiTheme="minorBidi" w:hAnsiTheme="minorBidi" w:cstheme="minorBidi"/>
          <w:lang w:val="fr-FR"/>
        </w:rPr>
        <w:t>’</w:t>
      </w:r>
      <w:r w:rsidRPr="00BB4589">
        <w:rPr>
          <w:rFonts w:asciiTheme="minorBidi" w:hAnsiTheme="minorBidi" w:cstheme="minorBidi"/>
          <w:lang w:val="fr-FR"/>
        </w:rPr>
        <w:t>élaboration dans le but d</w:t>
      </w:r>
      <w:r w:rsidR="00BB4589">
        <w:rPr>
          <w:rFonts w:asciiTheme="minorBidi" w:hAnsiTheme="minorBidi" w:cstheme="minorBidi"/>
          <w:lang w:val="fr-FR"/>
        </w:rPr>
        <w:t>’</w:t>
      </w:r>
      <w:r w:rsidRPr="00BB4589">
        <w:rPr>
          <w:rFonts w:asciiTheme="minorBidi" w:hAnsiTheme="minorBidi" w:cstheme="minorBidi"/>
          <w:lang w:val="fr-FR"/>
        </w:rPr>
        <w:t>améliorer la compréhension et d</w:t>
      </w:r>
      <w:r w:rsidR="00BB4589">
        <w:rPr>
          <w:rFonts w:asciiTheme="minorBidi" w:hAnsiTheme="minorBidi" w:cstheme="minorBidi"/>
          <w:lang w:val="fr-FR"/>
        </w:rPr>
        <w:t>’</w:t>
      </w:r>
      <w:r w:rsidRPr="00BB4589">
        <w:rPr>
          <w:rFonts w:asciiTheme="minorBidi" w:hAnsiTheme="minorBidi" w:cstheme="minorBidi"/>
          <w:lang w:val="fr-FR"/>
        </w:rPr>
        <w:t>identifier les domaines d</w:t>
      </w:r>
      <w:r w:rsidR="00BB4589">
        <w:rPr>
          <w:rFonts w:asciiTheme="minorBidi" w:hAnsiTheme="minorBidi" w:cstheme="minorBidi"/>
          <w:lang w:val="fr-FR"/>
        </w:rPr>
        <w:t>’</w:t>
      </w:r>
      <w:r w:rsidRPr="00BB4589">
        <w:rPr>
          <w:rFonts w:asciiTheme="minorBidi" w:hAnsiTheme="minorBidi" w:cstheme="minorBidi"/>
          <w:lang w:val="fr-FR"/>
        </w:rPr>
        <w:t>action future dans le cadre de la Convention. Ce travail impliquera un examen de la littérature existante, l</w:t>
      </w:r>
      <w:r w:rsidR="00BB4589">
        <w:rPr>
          <w:rFonts w:asciiTheme="minorBidi" w:hAnsiTheme="minorBidi" w:cstheme="minorBidi"/>
          <w:lang w:val="fr-FR"/>
        </w:rPr>
        <w:t>’</w:t>
      </w:r>
      <w:r w:rsidRPr="00BB4589">
        <w:rPr>
          <w:rFonts w:asciiTheme="minorBidi" w:hAnsiTheme="minorBidi" w:cstheme="minorBidi"/>
          <w:lang w:val="fr-FR"/>
        </w:rPr>
        <w:t>identification d</w:t>
      </w:r>
      <w:r w:rsidR="00BB4589">
        <w:rPr>
          <w:rFonts w:asciiTheme="minorBidi" w:hAnsiTheme="minorBidi" w:cstheme="minorBidi"/>
          <w:lang w:val="fr-FR"/>
        </w:rPr>
        <w:t>’</w:t>
      </w:r>
      <w:r w:rsidRPr="00BB4589">
        <w:rPr>
          <w:rFonts w:asciiTheme="minorBidi" w:hAnsiTheme="minorBidi" w:cstheme="minorBidi"/>
          <w:lang w:val="fr-FR"/>
        </w:rPr>
        <w:t>experts</w:t>
      </w:r>
      <w:r w:rsidR="00FA7342" w:rsidRPr="00BB4589">
        <w:rPr>
          <w:rFonts w:asciiTheme="minorBidi" w:hAnsiTheme="minorBidi" w:cstheme="minorBidi"/>
          <w:lang w:val="fr-FR"/>
        </w:rPr>
        <w:t>, la mise en place d</w:t>
      </w:r>
      <w:r w:rsidR="00BB4589">
        <w:rPr>
          <w:rFonts w:asciiTheme="minorBidi" w:hAnsiTheme="minorBidi" w:cstheme="minorBidi"/>
          <w:lang w:val="fr-FR"/>
        </w:rPr>
        <w:t>’</w:t>
      </w:r>
      <w:r w:rsidR="00FA7342" w:rsidRPr="00BB4589">
        <w:rPr>
          <w:rFonts w:asciiTheme="minorBidi" w:hAnsiTheme="minorBidi" w:cstheme="minorBidi"/>
          <w:lang w:val="fr-FR"/>
        </w:rPr>
        <w:t>un comité d</w:t>
      </w:r>
      <w:r w:rsidR="00BB4589">
        <w:rPr>
          <w:rFonts w:asciiTheme="minorBidi" w:hAnsiTheme="minorBidi" w:cstheme="minorBidi"/>
          <w:lang w:val="fr-FR"/>
        </w:rPr>
        <w:t>’</w:t>
      </w:r>
      <w:r w:rsidR="00FA7342" w:rsidRPr="00BB4589">
        <w:rPr>
          <w:rFonts w:asciiTheme="minorBidi" w:hAnsiTheme="minorBidi" w:cstheme="minorBidi"/>
          <w:lang w:val="fr-FR"/>
        </w:rPr>
        <w:t xml:space="preserve">examen par les pairs </w:t>
      </w:r>
      <w:r w:rsidRPr="00BB4589">
        <w:rPr>
          <w:rFonts w:asciiTheme="minorBidi" w:hAnsiTheme="minorBidi" w:cstheme="minorBidi"/>
          <w:lang w:val="fr-FR"/>
        </w:rPr>
        <w:t>et le développement d</w:t>
      </w:r>
      <w:r w:rsidR="00BB4589">
        <w:rPr>
          <w:rFonts w:asciiTheme="minorBidi" w:hAnsiTheme="minorBidi" w:cstheme="minorBidi"/>
          <w:lang w:val="fr-FR"/>
        </w:rPr>
        <w:t>’</w:t>
      </w:r>
      <w:r w:rsidRPr="00BB4589">
        <w:rPr>
          <w:rFonts w:asciiTheme="minorBidi" w:hAnsiTheme="minorBidi" w:cstheme="minorBidi"/>
          <w:lang w:val="fr-FR"/>
        </w:rPr>
        <w:t>études de cas, provenant de différentes régions du monde. En outre, il comprendra le lancement d</w:t>
      </w:r>
      <w:r w:rsidR="00BB4589">
        <w:rPr>
          <w:rFonts w:asciiTheme="minorBidi" w:hAnsiTheme="minorBidi" w:cstheme="minorBidi"/>
          <w:lang w:val="fr-FR"/>
        </w:rPr>
        <w:t>’</w:t>
      </w:r>
      <w:r w:rsidRPr="00BB4589">
        <w:rPr>
          <w:rFonts w:asciiTheme="minorBidi" w:hAnsiTheme="minorBidi" w:cstheme="minorBidi"/>
          <w:lang w:val="fr-FR"/>
        </w:rPr>
        <w:t xml:space="preserve">une enquête </w:t>
      </w:r>
      <w:r w:rsidR="00B53C0F" w:rsidRPr="00BB4589">
        <w:rPr>
          <w:rFonts w:asciiTheme="minorBidi" w:hAnsiTheme="minorBidi" w:cstheme="minorBidi"/>
          <w:lang w:val="fr-FR"/>
        </w:rPr>
        <w:t xml:space="preserve">mondiale </w:t>
      </w:r>
      <w:r w:rsidRPr="00BB4589">
        <w:rPr>
          <w:lang w:val="fr-FR"/>
        </w:rPr>
        <w:t xml:space="preserve">adressée aux principales parties prenantes, y compris les </w:t>
      </w:r>
      <w:r w:rsidR="002B5F3F">
        <w:rPr>
          <w:lang w:val="fr-FR"/>
        </w:rPr>
        <w:t>« </w:t>
      </w:r>
      <w:r w:rsidRPr="00BB4589">
        <w:rPr>
          <w:lang w:val="fr-FR"/>
        </w:rPr>
        <w:t>points focaux</w:t>
      </w:r>
      <w:r w:rsidR="002B5F3F">
        <w:rPr>
          <w:lang w:val="fr-FR"/>
        </w:rPr>
        <w:t> »</w:t>
      </w:r>
      <w:r w:rsidRPr="00BB4589">
        <w:rPr>
          <w:lang w:val="fr-FR"/>
        </w:rPr>
        <w:t xml:space="preserve"> de la Convention au niveau national et les personnes de contact pour les éléments inscrits</w:t>
      </w:r>
      <w:r w:rsidR="006105BD" w:rsidRPr="00BB4589">
        <w:rPr>
          <w:lang w:val="fr-FR"/>
        </w:rPr>
        <w:t xml:space="preserve">, </w:t>
      </w:r>
      <w:r w:rsidRPr="00BB4589">
        <w:rPr>
          <w:lang w:val="fr-FR"/>
        </w:rPr>
        <w:t>afin de recueillir un large éventail d</w:t>
      </w:r>
      <w:r w:rsidR="00BB4589">
        <w:rPr>
          <w:lang w:val="fr-FR"/>
        </w:rPr>
        <w:t>’</w:t>
      </w:r>
      <w:r w:rsidRPr="00BB4589">
        <w:rPr>
          <w:lang w:val="fr-FR"/>
        </w:rPr>
        <w:t>idées sur les implications pour le patrimoine culturel immatériel dans ces domaines thématiques.</w:t>
      </w:r>
    </w:p>
    <w:p w14:paraId="7A91201D" w14:textId="66AAA43E"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u w:val="single"/>
          <w:lang w:val="fr-FR"/>
        </w:rPr>
        <w:t>Le changement climatique</w:t>
      </w:r>
      <w:r w:rsidRPr="000B1D75">
        <w:rPr>
          <w:rFonts w:asciiTheme="minorBidi" w:hAnsiTheme="minorBidi" w:cstheme="minorBidi"/>
          <w:lang w:val="fr-FR"/>
        </w:rPr>
        <w:t xml:space="preserve"> est </w:t>
      </w:r>
      <w:r w:rsidRPr="00BB4589">
        <w:rPr>
          <w:rFonts w:asciiTheme="minorBidi" w:hAnsiTheme="minorBidi" w:cstheme="minorBidi"/>
          <w:lang w:val="fr-FR"/>
        </w:rPr>
        <w:t xml:space="preserve">devenu un sujet de préoccupation </w:t>
      </w:r>
      <w:r w:rsidR="00D12573" w:rsidRPr="00BB4589">
        <w:rPr>
          <w:rFonts w:asciiTheme="minorBidi" w:hAnsiTheme="minorBidi" w:cstheme="minorBidi"/>
          <w:lang w:val="fr-FR"/>
        </w:rPr>
        <w:t xml:space="preserve">mondial </w:t>
      </w:r>
      <w:r w:rsidRPr="00BB4589">
        <w:rPr>
          <w:rFonts w:asciiTheme="minorBidi" w:hAnsiTheme="minorBidi" w:cstheme="minorBidi"/>
          <w:lang w:val="fr-FR"/>
        </w:rPr>
        <w:t>urgent</w:t>
      </w:r>
      <w:r w:rsidR="003260FA" w:rsidRPr="00BB4589">
        <w:rPr>
          <w:rFonts w:asciiTheme="minorBidi" w:hAnsiTheme="minorBidi" w:cstheme="minorBidi"/>
          <w:lang w:val="fr-FR"/>
        </w:rPr>
        <w:t xml:space="preserve">, y compris pour la </w:t>
      </w:r>
      <w:r w:rsidR="008B4CC6" w:rsidRPr="00BB4589">
        <w:rPr>
          <w:rFonts w:asciiTheme="minorBidi" w:hAnsiTheme="minorBidi" w:cstheme="minorBidi"/>
          <w:lang w:val="fr-FR"/>
        </w:rPr>
        <w:t xml:space="preserve">sauvegarde du </w:t>
      </w:r>
      <w:r w:rsidR="003260FA" w:rsidRPr="00BB4589">
        <w:rPr>
          <w:rFonts w:asciiTheme="minorBidi" w:hAnsiTheme="minorBidi" w:cstheme="minorBidi"/>
          <w:lang w:val="fr-FR"/>
        </w:rPr>
        <w:t>patrimoine vivant</w:t>
      </w:r>
      <w:r w:rsidRPr="00BB4589">
        <w:rPr>
          <w:rFonts w:asciiTheme="minorBidi" w:hAnsiTheme="minorBidi" w:cstheme="minorBidi"/>
          <w:lang w:val="fr-FR"/>
        </w:rPr>
        <w:t xml:space="preserve">. </w:t>
      </w:r>
      <w:r w:rsidR="008B4CC6" w:rsidRPr="00BB4589">
        <w:rPr>
          <w:rFonts w:asciiTheme="minorBidi" w:hAnsiTheme="minorBidi" w:cstheme="minorBidi"/>
          <w:lang w:val="fr-FR"/>
        </w:rPr>
        <w:t xml:space="preserve">En outre, les </w:t>
      </w:r>
      <w:r w:rsidR="001472F9" w:rsidRPr="00BB4589">
        <w:rPr>
          <w:rFonts w:asciiTheme="minorBidi" w:hAnsiTheme="minorBidi" w:cstheme="minorBidi"/>
          <w:lang w:val="fr-FR"/>
        </w:rPr>
        <w:t xml:space="preserve">travaux </w:t>
      </w:r>
      <w:r w:rsidR="008B4CC6" w:rsidRPr="00BB4589">
        <w:rPr>
          <w:rFonts w:asciiTheme="minorBidi" w:hAnsiTheme="minorBidi" w:cstheme="minorBidi"/>
          <w:lang w:val="fr-FR"/>
        </w:rPr>
        <w:t>thématiques antérieurs sur le patrimoine culturel immatériel et les situations d</w:t>
      </w:r>
      <w:r w:rsidR="00BB4589">
        <w:rPr>
          <w:rFonts w:asciiTheme="minorBidi" w:hAnsiTheme="minorBidi" w:cstheme="minorBidi"/>
          <w:lang w:val="fr-FR"/>
        </w:rPr>
        <w:t>’</w:t>
      </w:r>
      <w:r w:rsidR="008B4CC6" w:rsidRPr="00BB4589">
        <w:rPr>
          <w:rFonts w:asciiTheme="minorBidi" w:hAnsiTheme="minorBidi" w:cstheme="minorBidi"/>
          <w:lang w:val="fr-FR"/>
        </w:rPr>
        <w:t>urgence ont mis en évidence la vulnérabilité du patrimoine culturel immatériel aux catastrophes, y compris les dangers induits par le climat. Le</w:t>
      </w:r>
      <w:r w:rsidR="002B5F3F">
        <w:rPr>
          <w:rFonts w:asciiTheme="minorBidi" w:hAnsiTheme="minorBidi" w:cstheme="minorBidi"/>
          <w:lang w:val="fr-FR"/>
        </w:rPr>
        <w:t>s</w:t>
      </w:r>
      <w:r w:rsidR="008B4CC6" w:rsidRPr="00BB4589">
        <w:rPr>
          <w:rFonts w:asciiTheme="minorBidi" w:hAnsiTheme="minorBidi" w:cstheme="minorBidi"/>
          <w:lang w:val="fr-FR"/>
        </w:rPr>
        <w:t xml:space="preserve"> </w:t>
      </w:r>
      <w:r w:rsidR="00D12573" w:rsidRPr="00BB4589">
        <w:rPr>
          <w:rFonts w:asciiTheme="minorBidi" w:hAnsiTheme="minorBidi" w:cstheme="minorBidi"/>
          <w:lang w:val="fr-FR"/>
        </w:rPr>
        <w:t>trava</w:t>
      </w:r>
      <w:r w:rsidR="002B5F3F">
        <w:rPr>
          <w:rFonts w:asciiTheme="minorBidi" w:hAnsiTheme="minorBidi" w:cstheme="minorBidi"/>
          <w:lang w:val="fr-FR"/>
        </w:rPr>
        <w:t>ux</w:t>
      </w:r>
      <w:r w:rsidR="00D12573" w:rsidRPr="00BB4589">
        <w:rPr>
          <w:rFonts w:asciiTheme="minorBidi" w:hAnsiTheme="minorBidi" w:cstheme="minorBidi"/>
          <w:lang w:val="fr-FR"/>
        </w:rPr>
        <w:t xml:space="preserve"> sur </w:t>
      </w:r>
      <w:r w:rsidR="009604EE" w:rsidRPr="00BB4589">
        <w:rPr>
          <w:rFonts w:asciiTheme="minorBidi" w:hAnsiTheme="minorBidi" w:cstheme="minorBidi"/>
          <w:lang w:val="fr-FR"/>
        </w:rPr>
        <w:t xml:space="preserve">une </w:t>
      </w:r>
      <w:r w:rsidR="008B4CC6" w:rsidRPr="00BB4589">
        <w:rPr>
          <w:rFonts w:asciiTheme="minorBidi" w:hAnsiTheme="minorBidi" w:cstheme="minorBidi"/>
          <w:lang w:val="fr-FR"/>
        </w:rPr>
        <w:t xml:space="preserve">note conceptuelle </w:t>
      </w:r>
      <w:r w:rsidR="009604EE" w:rsidRPr="00BB4589">
        <w:rPr>
          <w:rFonts w:asciiTheme="minorBidi" w:hAnsiTheme="minorBidi" w:cstheme="minorBidi"/>
          <w:lang w:val="fr-FR"/>
        </w:rPr>
        <w:t xml:space="preserve">visant à mieux comprendre la relation entre le patrimoine culturel immatériel et le changement climatique </w:t>
      </w:r>
      <w:r w:rsidR="00932744">
        <w:rPr>
          <w:rFonts w:asciiTheme="minorBidi" w:hAnsiTheme="minorBidi" w:cstheme="minorBidi"/>
          <w:lang w:val="fr-FR"/>
        </w:rPr>
        <w:t>ont</w:t>
      </w:r>
      <w:r w:rsidR="00932744" w:rsidRPr="00BB4589">
        <w:rPr>
          <w:rFonts w:asciiTheme="minorBidi" w:hAnsiTheme="minorBidi" w:cstheme="minorBidi"/>
          <w:lang w:val="fr-FR"/>
        </w:rPr>
        <w:t xml:space="preserve"> </w:t>
      </w:r>
      <w:r w:rsidR="00D12573" w:rsidRPr="00BB4589">
        <w:rPr>
          <w:rFonts w:asciiTheme="minorBidi" w:hAnsiTheme="minorBidi" w:cstheme="minorBidi"/>
          <w:lang w:val="fr-FR"/>
        </w:rPr>
        <w:t>été initié</w:t>
      </w:r>
      <w:r w:rsidR="00932744">
        <w:rPr>
          <w:rFonts w:asciiTheme="minorBidi" w:hAnsiTheme="minorBidi" w:cstheme="minorBidi"/>
          <w:lang w:val="fr-FR"/>
        </w:rPr>
        <w:t>s</w:t>
      </w:r>
      <w:r w:rsidR="00D12573" w:rsidRPr="00BB4589">
        <w:rPr>
          <w:rFonts w:asciiTheme="minorBidi" w:hAnsiTheme="minorBidi" w:cstheme="minorBidi"/>
          <w:lang w:val="fr-FR"/>
        </w:rPr>
        <w:t xml:space="preserve"> </w:t>
      </w:r>
      <w:r w:rsidR="00742A91" w:rsidRPr="00BB4589">
        <w:rPr>
          <w:rFonts w:asciiTheme="minorBidi" w:hAnsiTheme="minorBidi" w:cstheme="minorBidi"/>
          <w:lang w:val="fr-FR"/>
        </w:rPr>
        <w:t xml:space="preserve">fin 2021. </w:t>
      </w:r>
      <w:r w:rsidR="009604EE" w:rsidRPr="00BB4589">
        <w:rPr>
          <w:rFonts w:asciiTheme="minorBidi" w:hAnsiTheme="minorBidi" w:cstheme="minorBidi"/>
          <w:lang w:val="fr-FR"/>
        </w:rPr>
        <w:t xml:space="preserve">La note conceptuelle </w:t>
      </w:r>
      <w:r w:rsidR="00742A91" w:rsidRPr="00BB4589">
        <w:rPr>
          <w:rFonts w:asciiTheme="minorBidi" w:hAnsiTheme="minorBidi" w:cstheme="minorBidi"/>
          <w:lang w:val="fr-FR"/>
        </w:rPr>
        <w:t xml:space="preserve">comprendra des </w:t>
      </w:r>
      <w:r w:rsidR="009604EE" w:rsidRPr="00BB4589">
        <w:rPr>
          <w:rFonts w:asciiTheme="minorBidi" w:hAnsiTheme="minorBidi" w:cstheme="minorBidi"/>
          <w:lang w:val="fr-FR"/>
        </w:rPr>
        <w:t xml:space="preserve">considérations </w:t>
      </w:r>
      <w:r w:rsidR="00742A91" w:rsidRPr="00BB4589">
        <w:rPr>
          <w:rFonts w:asciiTheme="minorBidi" w:hAnsiTheme="minorBidi" w:cstheme="minorBidi"/>
          <w:lang w:val="fr-FR"/>
        </w:rPr>
        <w:t>sur les rôles du patrimoine culturel immatériel dans l</w:t>
      </w:r>
      <w:r w:rsidR="00BB4589">
        <w:rPr>
          <w:rFonts w:asciiTheme="minorBidi" w:hAnsiTheme="minorBidi" w:cstheme="minorBidi"/>
          <w:lang w:val="fr-FR"/>
        </w:rPr>
        <w:t>’</w:t>
      </w:r>
      <w:r w:rsidR="00742A91" w:rsidRPr="00BB4589">
        <w:rPr>
          <w:rFonts w:asciiTheme="minorBidi" w:hAnsiTheme="minorBidi" w:cstheme="minorBidi"/>
          <w:lang w:val="fr-FR"/>
        </w:rPr>
        <w:t>adaptation au climat et l</w:t>
      </w:r>
      <w:r w:rsidR="00BB4589">
        <w:rPr>
          <w:rFonts w:asciiTheme="minorBidi" w:hAnsiTheme="minorBidi" w:cstheme="minorBidi"/>
          <w:lang w:val="fr-FR"/>
        </w:rPr>
        <w:t>’</w:t>
      </w:r>
      <w:r w:rsidR="00742A91" w:rsidRPr="00BB4589">
        <w:rPr>
          <w:rFonts w:asciiTheme="minorBidi" w:hAnsiTheme="minorBidi" w:cstheme="minorBidi"/>
          <w:lang w:val="fr-FR"/>
        </w:rPr>
        <w:t>atténuation de ses effets, ainsi que sur les risques pour le patrimoine culturel immatériel dans le contexte du changement climatique.</w:t>
      </w:r>
    </w:p>
    <w:p w14:paraId="45712CE3" w14:textId="3E08B293" w:rsidR="001578FB" w:rsidRPr="00BB4589" w:rsidRDefault="009069B4">
      <w:pPr>
        <w:pStyle w:val="GAPara"/>
        <w:numPr>
          <w:ilvl w:val="0"/>
          <w:numId w:val="19"/>
        </w:numPr>
        <w:snapToGrid w:val="0"/>
        <w:ind w:left="540" w:hanging="540"/>
        <w:jc w:val="both"/>
        <w:rPr>
          <w:lang w:val="fr-FR"/>
        </w:rPr>
      </w:pPr>
      <w:r w:rsidRPr="00BB4589">
        <w:rPr>
          <w:rFonts w:asciiTheme="minorBidi" w:hAnsiTheme="minorBidi" w:cstheme="minorBidi"/>
          <w:lang w:val="fr-FR"/>
        </w:rPr>
        <w:t xml:space="preserve">Les sessions précédentes du Comité ont réfléchi aux </w:t>
      </w:r>
      <w:r w:rsidR="007B3904" w:rsidRPr="00BB4589">
        <w:rPr>
          <w:rFonts w:asciiTheme="minorBidi" w:hAnsiTheme="minorBidi" w:cstheme="minorBidi"/>
          <w:u w:val="single"/>
          <w:lang w:val="fr-FR"/>
        </w:rPr>
        <w:t xml:space="preserve">dimensions </w:t>
      </w:r>
      <w:r w:rsidRPr="00BB4589">
        <w:rPr>
          <w:rFonts w:asciiTheme="minorBidi" w:hAnsiTheme="minorBidi" w:cstheme="minorBidi"/>
          <w:u w:val="single"/>
          <w:lang w:val="fr-FR"/>
        </w:rPr>
        <w:t xml:space="preserve">économiques </w:t>
      </w:r>
      <w:r w:rsidR="007B3904" w:rsidRPr="00BB4589">
        <w:rPr>
          <w:rFonts w:asciiTheme="minorBidi" w:hAnsiTheme="minorBidi" w:cstheme="minorBidi"/>
          <w:u w:val="single"/>
          <w:lang w:val="fr-FR"/>
        </w:rPr>
        <w:t>de la sauvegarde du patrimoine culturel immatériel</w:t>
      </w:r>
      <w:r w:rsidR="00CB2078" w:rsidRPr="00BB4589">
        <w:rPr>
          <w:rFonts w:asciiTheme="minorBidi" w:hAnsiTheme="minorBidi" w:cstheme="minorBidi"/>
          <w:lang w:val="fr-FR"/>
        </w:rPr>
        <w:t xml:space="preserve">, y compris ses aspects positifs et négatifs. </w:t>
      </w:r>
      <w:r w:rsidR="003505FB" w:rsidRPr="00BB4589">
        <w:rPr>
          <w:rFonts w:asciiTheme="minorBidi" w:hAnsiTheme="minorBidi" w:cstheme="minorBidi"/>
          <w:lang w:val="fr-FR"/>
        </w:rPr>
        <w:t xml:space="preserve">Par exemple, les aspects positifs peuvent </w:t>
      </w:r>
      <w:r w:rsidR="005D5701" w:rsidRPr="00BB4589">
        <w:rPr>
          <w:rFonts w:asciiTheme="minorBidi" w:hAnsiTheme="minorBidi" w:cstheme="minorBidi"/>
          <w:lang w:val="fr-FR"/>
        </w:rPr>
        <w:t xml:space="preserve">inclure des cas </w:t>
      </w:r>
      <w:r w:rsidR="00CB2078" w:rsidRPr="00BB4589">
        <w:rPr>
          <w:rFonts w:asciiTheme="minorBidi" w:hAnsiTheme="minorBidi" w:cstheme="minorBidi"/>
          <w:lang w:val="fr-FR"/>
        </w:rPr>
        <w:t xml:space="preserve">où la commercialisation peut directement soutenir la </w:t>
      </w:r>
      <w:r w:rsidR="0006129E" w:rsidRPr="00BB4589">
        <w:rPr>
          <w:rFonts w:asciiTheme="minorBidi" w:hAnsiTheme="minorBidi" w:cstheme="minorBidi"/>
          <w:lang w:val="fr-FR"/>
        </w:rPr>
        <w:t>viabilité du patrimoine culturel immatériel en danger (c</w:t>
      </w:r>
      <w:r w:rsidR="00BB4589">
        <w:rPr>
          <w:rFonts w:asciiTheme="minorBidi" w:hAnsiTheme="minorBidi" w:cstheme="minorBidi"/>
          <w:lang w:val="fr-FR"/>
        </w:rPr>
        <w:t>’</w:t>
      </w:r>
      <w:r w:rsidR="0006129E" w:rsidRPr="00BB4589">
        <w:rPr>
          <w:rFonts w:asciiTheme="minorBidi" w:hAnsiTheme="minorBidi" w:cstheme="minorBidi"/>
          <w:lang w:val="fr-FR"/>
        </w:rPr>
        <w:t>est-à-dire certains types d</w:t>
      </w:r>
      <w:r w:rsidR="00BB4589">
        <w:rPr>
          <w:rFonts w:asciiTheme="minorBidi" w:hAnsiTheme="minorBidi" w:cstheme="minorBidi"/>
          <w:lang w:val="fr-FR"/>
        </w:rPr>
        <w:t>’</w:t>
      </w:r>
      <w:r w:rsidR="0006129E" w:rsidRPr="00BB4589">
        <w:rPr>
          <w:rFonts w:asciiTheme="minorBidi" w:hAnsiTheme="minorBidi" w:cstheme="minorBidi"/>
          <w:lang w:val="fr-FR"/>
        </w:rPr>
        <w:t xml:space="preserve">artisanat) ou les </w:t>
      </w:r>
      <w:r w:rsidR="003505FB" w:rsidRPr="00BB4589">
        <w:rPr>
          <w:rFonts w:asciiTheme="minorBidi" w:hAnsiTheme="minorBidi" w:cstheme="minorBidi"/>
          <w:lang w:val="fr-FR"/>
        </w:rPr>
        <w:t xml:space="preserve">aspects </w:t>
      </w:r>
      <w:r w:rsidR="0006129E" w:rsidRPr="00BB4589">
        <w:rPr>
          <w:rFonts w:asciiTheme="minorBidi" w:hAnsiTheme="minorBidi" w:cstheme="minorBidi"/>
          <w:lang w:val="fr-FR"/>
        </w:rPr>
        <w:t xml:space="preserve">négatifs </w:t>
      </w:r>
      <w:r w:rsidR="003505FB" w:rsidRPr="00BB4589">
        <w:rPr>
          <w:rFonts w:asciiTheme="minorBidi" w:hAnsiTheme="minorBidi" w:cstheme="minorBidi"/>
          <w:lang w:val="fr-FR"/>
        </w:rPr>
        <w:t xml:space="preserve">peuvent </w:t>
      </w:r>
      <w:r w:rsidR="005D5701" w:rsidRPr="00BB4589">
        <w:rPr>
          <w:rFonts w:asciiTheme="minorBidi" w:hAnsiTheme="minorBidi" w:cstheme="minorBidi"/>
          <w:lang w:val="fr-FR"/>
        </w:rPr>
        <w:t xml:space="preserve">impliquer la </w:t>
      </w:r>
      <w:r w:rsidRPr="00BB4589">
        <w:rPr>
          <w:rFonts w:asciiTheme="minorBidi" w:hAnsiTheme="minorBidi" w:cstheme="minorBidi"/>
          <w:lang w:val="fr-FR"/>
        </w:rPr>
        <w:t xml:space="preserve">décontextualisation </w:t>
      </w:r>
      <w:r w:rsidR="003505FB" w:rsidRPr="00BB4589">
        <w:rPr>
          <w:rFonts w:asciiTheme="minorBidi" w:hAnsiTheme="minorBidi" w:cstheme="minorBidi"/>
          <w:lang w:val="fr-FR"/>
        </w:rPr>
        <w:t xml:space="preserve">et la </w:t>
      </w:r>
      <w:r w:rsidR="0006129E" w:rsidRPr="00BB4589">
        <w:rPr>
          <w:rFonts w:asciiTheme="minorBidi" w:hAnsiTheme="minorBidi" w:cstheme="minorBidi"/>
          <w:lang w:val="fr-FR"/>
        </w:rPr>
        <w:t xml:space="preserve">standardisation </w:t>
      </w:r>
      <w:r w:rsidR="003505FB" w:rsidRPr="00BB4589">
        <w:rPr>
          <w:rFonts w:asciiTheme="minorBidi" w:hAnsiTheme="minorBidi" w:cstheme="minorBidi"/>
          <w:lang w:val="fr-FR"/>
        </w:rPr>
        <w:t xml:space="preserve">par </w:t>
      </w:r>
      <w:r w:rsidR="00773CE5">
        <w:rPr>
          <w:rFonts w:asciiTheme="minorBidi" w:hAnsiTheme="minorBidi" w:cstheme="minorBidi"/>
          <w:lang w:val="fr-FR"/>
        </w:rPr>
        <w:t xml:space="preserve">une </w:t>
      </w:r>
      <w:r w:rsidRPr="00BB4589">
        <w:rPr>
          <w:rFonts w:asciiTheme="minorBidi" w:hAnsiTheme="minorBidi" w:cstheme="minorBidi"/>
          <w:lang w:val="fr-FR"/>
        </w:rPr>
        <w:t>commercialisation</w:t>
      </w:r>
      <w:r w:rsidR="00773CE5">
        <w:rPr>
          <w:rFonts w:asciiTheme="minorBidi" w:hAnsiTheme="minorBidi" w:cstheme="minorBidi"/>
          <w:lang w:val="fr-FR"/>
        </w:rPr>
        <w:t xml:space="preserve"> excessive</w:t>
      </w:r>
      <w:r w:rsidRPr="00BB4589">
        <w:rPr>
          <w:rFonts w:asciiTheme="minorBidi" w:hAnsiTheme="minorBidi" w:cstheme="minorBidi"/>
          <w:lang w:val="fr-FR"/>
        </w:rPr>
        <w:t>. À cet égard, et en réponse aux demandes du Comité, des travaux sont en cours pour élaborer une note d</w:t>
      </w:r>
      <w:r w:rsidR="00BB4589">
        <w:rPr>
          <w:rFonts w:asciiTheme="minorBidi" w:hAnsiTheme="minorBidi" w:cstheme="minorBidi"/>
          <w:lang w:val="fr-FR"/>
        </w:rPr>
        <w:t>’</w:t>
      </w:r>
      <w:r w:rsidR="007B3904" w:rsidRPr="00BB4589">
        <w:rPr>
          <w:rFonts w:asciiTheme="minorBidi" w:hAnsiTheme="minorBidi" w:cstheme="minorBidi"/>
          <w:lang w:val="fr-FR"/>
        </w:rPr>
        <w:t xml:space="preserve">orientation </w:t>
      </w:r>
      <w:r w:rsidRPr="00BB4589">
        <w:rPr>
          <w:rFonts w:asciiTheme="minorBidi" w:hAnsiTheme="minorBidi" w:cstheme="minorBidi"/>
          <w:lang w:val="fr-FR"/>
        </w:rPr>
        <w:t xml:space="preserve">sur les </w:t>
      </w:r>
      <w:r w:rsidR="00895560" w:rsidRPr="00BB4589">
        <w:rPr>
          <w:lang w:val="fr-FR"/>
        </w:rPr>
        <w:t xml:space="preserve">mesures de </w:t>
      </w:r>
      <w:r w:rsidR="001E432A" w:rsidRPr="00BB4589">
        <w:rPr>
          <w:lang w:val="fr-FR"/>
        </w:rPr>
        <w:t xml:space="preserve">sauvegarde </w:t>
      </w:r>
      <w:r w:rsidR="00773CE5">
        <w:rPr>
          <w:lang w:val="fr-FR"/>
        </w:rPr>
        <w:t>pour faire face à ces problèmes</w:t>
      </w:r>
      <w:r w:rsidRPr="00BB4589">
        <w:rPr>
          <w:lang w:val="fr-FR"/>
        </w:rPr>
        <w:t>.</w:t>
      </w:r>
      <w:r w:rsidR="00FD11C1" w:rsidRPr="006B6390">
        <w:rPr>
          <w:rStyle w:val="FootnoteReference"/>
          <w:rFonts w:asciiTheme="minorBidi" w:hAnsiTheme="minorBidi" w:cstheme="minorBidi"/>
        </w:rPr>
        <w:footnoteReference w:id="6"/>
      </w:r>
      <w:r w:rsidR="00DE3C7B" w:rsidRPr="00BB4589">
        <w:rPr>
          <w:lang w:val="fr-FR"/>
        </w:rPr>
        <w:t xml:space="preserve"> La </w:t>
      </w:r>
      <w:r w:rsidR="00815F92" w:rsidRPr="00BB4589">
        <w:rPr>
          <w:lang w:val="fr-FR"/>
        </w:rPr>
        <w:t>note d</w:t>
      </w:r>
      <w:r w:rsidR="00BB4589">
        <w:rPr>
          <w:lang w:val="fr-FR"/>
        </w:rPr>
        <w:t>’</w:t>
      </w:r>
      <w:r w:rsidR="00815F92" w:rsidRPr="00BB4589">
        <w:rPr>
          <w:lang w:val="fr-FR"/>
        </w:rPr>
        <w:t xml:space="preserve">orientation </w:t>
      </w:r>
      <w:r w:rsidR="00542D13" w:rsidRPr="00BB4589">
        <w:rPr>
          <w:lang w:val="fr-FR"/>
        </w:rPr>
        <w:t xml:space="preserve">intégrera les questions abordées par les organes directeurs des Conventions </w:t>
      </w:r>
      <w:r w:rsidRPr="00BB4589">
        <w:rPr>
          <w:lang w:val="fr-FR"/>
        </w:rPr>
        <w:t xml:space="preserve">et </w:t>
      </w:r>
      <w:r w:rsidR="001E432A" w:rsidRPr="00BB4589">
        <w:rPr>
          <w:lang w:val="fr-FR"/>
        </w:rPr>
        <w:t>l</w:t>
      </w:r>
      <w:r w:rsidR="00BB4589">
        <w:rPr>
          <w:lang w:val="fr-FR"/>
        </w:rPr>
        <w:t>’</w:t>
      </w:r>
      <w:r w:rsidR="001E432A" w:rsidRPr="00BB4589">
        <w:rPr>
          <w:lang w:val="fr-FR"/>
        </w:rPr>
        <w:t>Organe d</w:t>
      </w:r>
      <w:r w:rsidR="00BB4589">
        <w:rPr>
          <w:lang w:val="fr-FR"/>
        </w:rPr>
        <w:t>’</w:t>
      </w:r>
      <w:r w:rsidR="001E432A" w:rsidRPr="00BB4589">
        <w:rPr>
          <w:lang w:val="fr-FR"/>
        </w:rPr>
        <w:t>évaluation</w:t>
      </w:r>
      <w:r w:rsidR="006B01F3">
        <w:rPr>
          <w:lang w:val="fr-FR"/>
        </w:rPr>
        <w:t>,</w:t>
      </w:r>
      <w:r w:rsidR="001E432A" w:rsidRPr="00BB4589">
        <w:rPr>
          <w:lang w:val="fr-FR"/>
        </w:rPr>
        <w:t xml:space="preserve"> </w:t>
      </w:r>
      <w:r w:rsidR="00722AD5" w:rsidRPr="00BB4589">
        <w:rPr>
          <w:lang w:val="fr-FR"/>
        </w:rPr>
        <w:t>depuis le début de la Convention</w:t>
      </w:r>
      <w:r w:rsidR="001E432A" w:rsidRPr="00BB4589">
        <w:rPr>
          <w:lang w:val="fr-FR"/>
        </w:rPr>
        <w:t>.</w:t>
      </w:r>
    </w:p>
    <w:p w14:paraId="5905C183" w14:textId="6DAFB63B"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Un troisième domaine d</w:t>
      </w:r>
      <w:r w:rsidR="00BB4589">
        <w:rPr>
          <w:rFonts w:asciiTheme="minorBidi" w:hAnsiTheme="minorBidi" w:cstheme="minorBidi"/>
          <w:lang w:val="fr-FR"/>
        </w:rPr>
        <w:t>’</w:t>
      </w:r>
      <w:r w:rsidRPr="00BB4589">
        <w:rPr>
          <w:rFonts w:asciiTheme="minorBidi" w:hAnsiTheme="minorBidi" w:cstheme="minorBidi"/>
          <w:lang w:val="fr-FR"/>
        </w:rPr>
        <w:t xml:space="preserve">intérêt concerne la </w:t>
      </w:r>
      <w:r w:rsidRPr="00BB4589">
        <w:rPr>
          <w:rFonts w:asciiTheme="minorBidi" w:hAnsiTheme="minorBidi" w:cstheme="minorBidi"/>
          <w:u w:val="single"/>
          <w:lang w:val="fr-FR"/>
        </w:rPr>
        <w:t xml:space="preserve">sauvegarde du patrimoine vivant dans les </w:t>
      </w:r>
      <w:r w:rsidR="00233063" w:rsidRPr="00BB4589">
        <w:rPr>
          <w:rFonts w:asciiTheme="minorBidi" w:hAnsiTheme="minorBidi" w:cstheme="minorBidi"/>
          <w:u w:val="single"/>
          <w:lang w:val="fr-FR"/>
        </w:rPr>
        <w:t xml:space="preserve">contextes </w:t>
      </w:r>
      <w:r w:rsidRPr="00BB4589">
        <w:rPr>
          <w:rFonts w:asciiTheme="minorBidi" w:hAnsiTheme="minorBidi" w:cstheme="minorBidi"/>
          <w:u w:val="single"/>
          <w:lang w:val="fr-FR"/>
        </w:rPr>
        <w:t>urbains</w:t>
      </w:r>
      <w:r w:rsidRPr="000B1D75">
        <w:rPr>
          <w:rFonts w:asciiTheme="minorBidi" w:hAnsiTheme="minorBidi" w:cstheme="minorBidi"/>
          <w:lang w:val="fr-FR"/>
        </w:rPr>
        <w:t xml:space="preserve"> </w:t>
      </w:r>
      <w:r w:rsidR="00FA7A54" w:rsidRPr="00BB4589">
        <w:rPr>
          <w:rFonts w:asciiTheme="minorBidi" w:hAnsiTheme="minorBidi" w:cstheme="minorBidi"/>
          <w:lang w:val="fr-FR"/>
        </w:rPr>
        <w:t xml:space="preserve">et sa contribution aux villes durables. </w:t>
      </w:r>
      <w:r w:rsidR="00FA7A54" w:rsidRPr="00BB4589">
        <w:rPr>
          <w:lang w:val="fr-FR"/>
        </w:rPr>
        <w:t xml:space="preserve">Le document de </w:t>
      </w:r>
      <w:r w:rsidR="00382C90">
        <w:rPr>
          <w:lang w:val="fr-FR"/>
        </w:rPr>
        <w:t>synthèse</w:t>
      </w:r>
      <w:r w:rsidR="00382C90" w:rsidRPr="00BB4589">
        <w:rPr>
          <w:lang w:val="fr-FR"/>
        </w:rPr>
        <w:t xml:space="preserve"> </w:t>
      </w:r>
      <w:r w:rsidR="00FA7A54" w:rsidRPr="00BB4589">
        <w:rPr>
          <w:lang w:val="fr-FR"/>
        </w:rPr>
        <w:t>en cours d</w:t>
      </w:r>
      <w:r w:rsidR="00BB4589">
        <w:rPr>
          <w:lang w:val="fr-FR"/>
        </w:rPr>
        <w:t>’</w:t>
      </w:r>
      <w:r w:rsidR="00FA7A54" w:rsidRPr="00BB4589">
        <w:rPr>
          <w:lang w:val="fr-FR"/>
        </w:rPr>
        <w:t xml:space="preserve">élaboration cherchera à </w:t>
      </w:r>
      <w:r w:rsidR="002722C8">
        <w:rPr>
          <w:lang w:val="fr-FR"/>
        </w:rPr>
        <w:t>proposer</w:t>
      </w:r>
      <w:r w:rsidR="00B954D0" w:rsidRPr="00BB4589">
        <w:rPr>
          <w:lang w:val="fr-FR"/>
        </w:rPr>
        <w:t xml:space="preserve"> </w:t>
      </w:r>
      <w:r w:rsidR="00FA7A54" w:rsidRPr="00BB4589">
        <w:rPr>
          <w:lang w:val="fr-FR"/>
        </w:rPr>
        <w:t>des lignes directrices pour la mise en œuvre effective de la Convention dans les contextes urbains et à formuler des recommandations à l</w:t>
      </w:r>
      <w:r w:rsidR="00BB4589">
        <w:rPr>
          <w:lang w:val="fr-FR"/>
        </w:rPr>
        <w:t>’</w:t>
      </w:r>
      <w:r w:rsidR="00FA7A54" w:rsidRPr="00BB4589">
        <w:rPr>
          <w:lang w:val="fr-FR"/>
        </w:rPr>
        <w:t>intention des décideurs politiques et des praticiens</w:t>
      </w:r>
      <w:r w:rsidR="0086024E">
        <w:rPr>
          <w:lang w:val="fr-FR"/>
        </w:rPr>
        <w:t>,</w:t>
      </w:r>
      <w:r w:rsidR="00FA7A54" w:rsidRPr="00BB4589">
        <w:rPr>
          <w:lang w:val="fr-FR"/>
        </w:rPr>
        <w:t xml:space="preserve"> </w:t>
      </w:r>
      <w:r w:rsidR="00F65666" w:rsidRPr="00BB4589">
        <w:rPr>
          <w:lang w:val="fr-FR"/>
        </w:rPr>
        <w:t xml:space="preserve">en </w:t>
      </w:r>
      <w:r w:rsidR="00FA7A54" w:rsidRPr="00BB4589">
        <w:rPr>
          <w:lang w:val="fr-FR"/>
        </w:rPr>
        <w:t>soulignant le rôle du patrimoine vivant dans le développement urbain durable. Il soulignera notamment comment le patrimoine urbain ne s</w:t>
      </w:r>
      <w:r w:rsidR="00BB4589">
        <w:rPr>
          <w:lang w:val="fr-FR"/>
        </w:rPr>
        <w:t>’</w:t>
      </w:r>
      <w:r w:rsidR="00FA7A54" w:rsidRPr="00BB4589">
        <w:rPr>
          <w:lang w:val="fr-FR"/>
        </w:rPr>
        <w:t xml:space="preserve">exprime pas seulement dans ses formes bâties ou matérielles, mais à travers les usages et les pratiques vivantes dans les villes et </w:t>
      </w:r>
      <w:r w:rsidR="00382C90">
        <w:rPr>
          <w:lang w:val="fr-FR"/>
        </w:rPr>
        <w:t>leur localisation</w:t>
      </w:r>
      <w:r w:rsidR="00FA7A54" w:rsidRPr="00BB4589">
        <w:rPr>
          <w:lang w:val="fr-FR"/>
        </w:rPr>
        <w:t xml:space="preserve"> dans les espaces urbains. La première phase de ce document</w:t>
      </w:r>
      <w:r w:rsidR="00AE1DDC" w:rsidRPr="00BB4589">
        <w:rPr>
          <w:lang w:val="fr-FR"/>
        </w:rPr>
        <w:t xml:space="preserve"> </w:t>
      </w:r>
      <w:r w:rsidR="00382C90">
        <w:rPr>
          <w:lang w:val="fr-FR"/>
        </w:rPr>
        <w:t>portant</w:t>
      </w:r>
      <w:r w:rsidR="00382C90" w:rsidRPr="00BB4589">
        <w:rPr>
          <w:lang w:val="fr-FR"/>
        </w:rPr>
        <w:t xml:space="preserve"> </w:t>
      </w:r>
      <w:r w:rsidR="00AE1DDC" w:rsidRPr="00BB4589">
        <w:rPr>
          <w:lang w:val="fr-FR"/>
        </w:rPr>
        <w:t xml:space="preserve">sur le </w:t>
      </w:r>
      <w:r w:rsidR="00FA7A54" w:rsidRPr="00BB4589">
        <w:rPr>
          <w:lang w:val="fr-FR"/>
        </w:rPr>
        <w:t xml:space="preserve">patrimoine culturel immatériel et la planification urbaine, est actuellement </w:t>
      </w:r>
      <w:r w:rsidR="003B54B9" w:rsidRPr="00BB4589">
        <w:rPr>
          <w:lang w:val="fr-FR"/>
        </w:rPr>
        <w:t>en cours d</w:t>
      </w:r>
      <w:r w:rsidR="00BB4589">
        <w:rPr>
          <w:lang w:val="fr-FR"/>
        </w:rPr>
        <w:t>’</w:t>
      </w:r>
      <w:r w:rsidR="00FA7A54" w:rsidRPr="00BB4589">
        <w:rPr>
          <w:lang w:val="fr-FR"/>
        </w:rPr>
        <w:t xml:space="preserve">élaboration. </w:t>
      </w:r>
      <w:r w:rsidR="003B54B9" w:rsidRPr="00BB4589">
        <w:rPr>
          <w:rFonts w:asciiTheme="minorBidi" w:hAnsiTheme="minorBidi" w:cstheme="minorBidi"/>
          <w:lang w:val="fr-FR"/>
        </w:rPr>
        <w:t xml:space="preserve">Le travail dans les contextes urbains </w:t>
      </w:r>
      <w:r w:rsidR="00473DBE" w:rsidRPr="00BB4589">
        <w:rPr>
          <w:rFonts w:asciiTheme="minorBidi" w:hAnsiTheme="minorBidi" w:cstheme="minorBidi"/>
          <w:lang w:val="fr-FR"/>
        </w:rPr>
        <w:t>int</w:t>
      </w:r>
      <w:r w:rsidR="00382C90">
        <w:rPr>
          <w:rFonts w:asciiTheme="minorBidi" w:hAnsiTheme="minorBidi" w:cstheme="minorBidi"/>
          <w:lang w:val="fr-FR"/>
        </w:rPr>
        <w:t>é</w:t>
      </w:r>
      <w:r w:rsidR="00473DBE" w:rsidRPr="00BB4589">
        <w:rPr>
          <w:rFonts w:asciiTheme="minorBidi" w:hAnsiTheme="minorBidi" w:cstheme="minorBidi"/>
          <w:lang w:val="fr-FR"/>
        </w:rPr>
        <w:t>gr</w:t>
      </w:r>
      <w:r w:rsidR="00382C90">
        <w:rPr>
          <w:rFonts w:asciiTheme="minorBidi" w:hAnsiTheme="minorBidi" w:cstheme="minorBidi"/>
          <w:lang w:val="fr-FR"/>
        </w:rPr>
        <w:t>ant</w:t>
      </w:r>
      <w:r w:rsidR="00473DBE" w:rsidRPr="00BB4589">
        <w:rPr>
          <w:rFonts w:asciiTheme="minorBidi" w:hAnsiTheme="minorBidi" w:cstheme="minorBidi"/>
          <w:lang w:val="fr-FR"/>
        </w:rPr>
        <w:t xml:space="preserve"> les questions </w:t>
      </w:r>
      <w:r w:rsidR="00382C90">
        <w:rPr>
          <w:rFonts w:asciiTheme="minorBidi" w:hAnsiTheme="minorBidi" w:cstheme="minorBidi"/>
          <w:lang w:val="fr-FR"/>
        </w:rPr>
        <w:t>abordées</w:t>
      </w:r>
      <w:r w:rsidR="00382C90" w:rsidRPr="00BB4589">
        <w:rPr>
          <w:rFonts w:asciiTheme="minorBidi" w:hAnsiTheme="minorBidi" w:cstheme="minorBidi"/>
          <w:lang w:val="fr-FR"/>
        </w:rPr>
        <w:t xml:space="preserve"> </w:t>
      </w:r>
      <w:r w:rsidR="00473DBE" w:rsidRPr="00BB4589">
        <w:rPr>
          <w:rFonts w:asciiTheme="minorBidi" w:hAnsiTheme="minorBidi" w:cstheme="minorBidi"/>
          <w:lang w:val="fr-FR"/>
        </w:rPr>
        <w:t xml:space="preserve">par les organes directeurs des conventions </w:t>
      </w:r>
      <w:r w:rsidR="00045C27" w:rsidRPr="00BB4589">
        <w:rPr>
          <w:rFonts w:asciiTheme="minorBidi" w:hAnsiTheme="minorBidi" w:cstheme="minorBidi"/>
          <w:lang w:val="fr-FR"/>
        </w:rPr>
        <w:t xml:space="preserve">est </w:t>
      </w:r>
      <w:r w:rsidR="003B54B9" w:rsidRPr="00BB4589">
        <w:rPr>
          <w:rFonts w:asciiTheme="minorBidi" w:hAnsiTheme="minorBidi" w:cstheme="minorBidi"/>
          <w:lang w:val="fr-FR"/>
        </w:rPr>
        <w:t xml:space="preserve">éclairé par les résultats des inventaires </w:t>
      </w:r>
      <w:r w:rsidR="00AE1DDC" w:rsidRPr="00BB4589">
        <w:rPr>
          <w:rFonts w:asciiTheme="minorBidi" w:hAnsiTheme="minorBidi" w:cstheme="minorBidi"/>
          <w:lang w:val="fr-FR"/>
        </w:rPr>
        <w:t xml:space="preserve">réalisés dans le cadre </w:t>
      </w:r>
      <w:r w:rsidR="003B54B9" w:rsidRPr="00BB4589">
        <w:rPr>
          <w:rFonts w:asciiTheme="minorBidi" w:hAnsiTheme="minorBidi" w:cstheme="minorBidi"/>
          <w:lang w:val="fr-FR"/>
        </w:rPr>
        <w:t xml:space="preserve">du projet extrabudgétaire en cours </w:t>
      </w:r>
      <w:r w:rsidR="00382C90">
        <w:rPr>
          <w:rFonts w:asciiTheme="minorBidi" w:hAnsiTheme="minorBidi" w:cstheme="minorBidi"/>
          <w:lang w:val="fr-FR"/>
        </w:rPr>
        <w:t>« </w:t>
      </w:r>
      <w:r w:rsidR="003B54B9" w:rsidRPr="00BB4589">
        <w:rPr>
          <w:rFonts w:asciiTheme="minorBidi" w:hAnsiTheme="minorBidi" w:cstheme="minorBidi"/>
          <w:lang w:val="fr-FR"/>
        </w:rPr>
        <w:t>Patrimoine immatériel et créativité pour des villes durables</w:t>
      </w:r>
      <w:r w:rsidR="00382C90">
        <w:rPr>
          <w:rFonts w:asciiTheme="minorBidi" w:hAnsiTheme="minorBidi" w:cstheme="minorBidi"/>
          <w:lang w:val="fr-FR"/>
        </w:rPr>
        <w:t> »</w:t>
      </w:r>
      <w:r w:rsidR="00AE1DDC" w:rsidRPr="00BB4589">
        <w:rPr>
          <w:rFonts w:asciiTheme="minorBidi" w:hAnsiTheme="minorBidi" w:cstheme="minorBidi"/>
          <w:lang w:val="fr-FR"/>
        </w:rPr>
        <w:t xml:space="preserve">, </w:t>
      </w:r>
      <w:r w:rsidR="003B54B9" w:rsidRPr="00BB4589">
        <w:rPr>
          <w:rFonts w:asciiTheme="minorBidi" w:hAnsiTheme="minorBidi" w:cstheme="minorBidi"/>
          <w:lang w:val="fr-FR"/>
        </w:rPr>
        <w:t>financé par le secteur privé en Chine depuis 2018</w:t>
      </w:r>
      <w:r w:rsidR="00AE1DDC" w:rsidRPr="00BB4589">
        <w:rPr>
          <w:rFonts w:asciiTheme="minorBidi" w:hAnsiTheme="minorBidi" w:cstheme="minorBidi"/>
          <w:lang w:val="fr-FR"/>
        </w:rPr>
        <w:t xml:space="preserve">. </w:t>
      </w:r>
      <w:r w:rsidR="00A9491E" w:rsidRPr="00BB4589">
        <w:rPr>
          <w:rFonts w:asciiTheme="minorBidi" w:hAnsiTheme="minorBidi" w:cstheme="minorBidi"/>
          <w:lang w:val="fr-FR"/>
        </w:rPr>
        <w:t xml:space="preserve">Voir la </w:t>
      </w:r>
      <w:hyperlink r:id="rId26" w:history="1">
        <w:r w:rsidR="00A9491E" w:rsidRPr="00BB4589">
          <w:rPr>
            <w:rStyle w:val="Hyperlink"/>
            <w:rFonts w:asciiTheme="minorBidi" w:hAnsiTheme="minorBidi" w:cstheme="minorBidi"/>
            <w:lang w:val="fr-FR"/>
          </w:rPr>
          <w:t>page web dédiée</w:t>
        </w:r>
      </w:hyperlink>
      <w:r w:rsidR="00A9491E" w:rsidRPr="00BB4589">
        <w:rPr>
          <w:rFonts w:asciiTheme="minorBidi" w:hAnsiTheme="minorBidi" w:cstheme="minorBidi"/>
          <w:lang w:val="fr-FR"/>
        </w:rPr>
        <w:t xml:space="preserve"> pour les mises à jour de ce projet.</w:t>
      </w:r>
    </w:p>
    <w:p w14:paraId="4CDDB07B" w14:textId="280B5026" w:rsidR="001578FB" w:rsidRPr="000B1D75" w:rsidRDefault="009069B4">
      <w:pPr>
        <w:pStyle w:val="COMPara"/>
        <w:keepNext/>
        <w:numPr>
          <w:ilvl w:val="0"/>
          <w:numId w:val="21"/>
        </w:numPr>
        <w:spacing w:before="240"/>
        <w:ind w:left="576" w:hanging="432"/>
        <w:jc w:val="both"/>
        <w:rPr>
          <w:rFonts w:asciiTheme="minorBidi" w:hAnsiTheme="minorBidi" w:cstheme="minorBidi"/>
          <w:b/>
          <w:bCs/>
          <w:lang w:val="fr-FR"/>
        </w:rPr>
      </w:pPr>
      <w:r w:rsidRPr="000B1D75">
        <w:rPr>
          <w:rFonts w:asciiTheme="minorBidi" w:hAnsiTheme="minorBidi" w:cstheme="minorBidi"/>
          <w:b/>
          <w:bCs/>
          <w:lang w:val="fr-FR"/>
        </w:rPr>
        <w:t>Synergies avec d</w:t>
      </w:r>
      <w:r w:rsidR="00BB4589" w:rsidRPr="000B1D75">
        <w:rPr>
          <w:rFonts w:asciiTheme="minorBidi" w:hAnsiTheme="minorBidi" w:cstheme="minorBidi"/>
          <w:b/>
          <w:bCs/>
          <w:lang w:val="fr-FR"/>
        </w:rPr>
        <w:t>’</w:t>
      </w:r>
      <w:r w:rsidRPr="000B1D75">
        <w:rPr>
          <w:rFonts w:asciiTheme="minorBidi" w:hAnsiTheme="minorBidi" w:cstheme="minorBidi"/>
          <w:b/>
          <w:bCs/>
          <w:lang w:val="fr-FR"/>
        </w:rPr>
        <w:t>autres conventions culturelles</w:t>
      </w:r>
    </w:p>
    <w:p w14:paraId="6FC83C1E" w14:textId="11DE3B03"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Le Secrétariat a collaboré avec le Secrétariat de la Convention de La Haye de 1954 et ses deux Protocoles pour préparer un document de réflexion sur les synergies en matière de sauvegarde du patrimoine culturel immatériel dans les situations d</w:t>
      </w:r>
      <w:r w:rsidR="00BB4589">
        <w:rPr>
          <w:rFonts w:asciiTheme="minorBidi" w:hAnsiTheme="minorBidi" w:cstheme="minorBidi"/>
          <w:lang w:val="fr-FR"/>
        </w:rPr>
        <w:t>’</w:t>
      </w:r>
      <w:r w:rsidRPr="00BB4589">
        <w:rPr>
          <w:rFonts w:asciiTheme="minorBidi" w:hAnsiTheme="minorBidi" w:cstheme="minorBidi"/>
          <w:lang w:val="fr-FR"/>
        </w:rPr>
        <w:t xml:space="preserve">urgence. </w:t>
      </w:r>
      <w:r w:rsidRPr="004313DE">
        <w:rPr>
          <w:vertAlign w:val="superscript"/>
        </w:rPr>
        <w:footnoteReference w:id="7"/>
      </w:r>
      <w:r w:rsidRPr="00BB4589">
        <w:rPr>
          <w:rFonts w:asciiTheme="minorBidi" w:hAnsiTheme="minorBidi" w:cstheme="minorBidi"/>
          <w:vertAlign w:val="superscript"/>
          <w:lang w:val="fr-FR"/>
        </w:rPr>
        <w:t xml:space="preserve"> </w:t>
      </w:r>
      <w:r w:rsidR="00207F3D" w:rsidRPr="00BB4589">
        <w:rPr>
          <w:rFonts w:asciiTheme="minorBidi" w:hAnsiTheme="minorBidi" w:cstheme="minorBidi"/>
          <w:lang w:val="fr-FR"/>
        </w:rPr>
        <w:t>Le document d</w:t>
      </w:r>
      <w:r w:rsidR="00BB4589">
        <w:rPr>
          <w:rFonts w:asciiTheme="minorBidi" w:hAnsiTheme="minorBidi" w:cstheme="minorBidi"/>
          <w:lang w:val="fr-FR"/>
        </w:rPr>
        <w:t>’</w:t>
      </w:r>
      <w:r w:rsidR="00207F3D" w:rsidRPr="00BB4589">
        <w:rPr>
          <w:rFonts w:asciiTheme="minorBidi" w:hAnsiTheme="minorBidi" w:cstheme="minorBidi"/>
          <w:lang w:val="fr-FR"/>
        </w:rPr>
        <w:t>information a été porté à l</w:t>
      </w:r>
      <w:r w:rsidR="00BB4589">
        <w:rPr>
          <w:rFonts w:asciiTheme="minorBidi" w:hAnsiTheme="minorBidi" w:cstheme="minorBidi"/>
          <w:lang w:val="fr-FR"/>
        </w:rPr>
        <w:t>’</w:t>
      </w:r>
      <w:r w:rsidR="00207F3D" w:rsidRPr="00BB4589">
        <w:rPr>
          <w:rFonts w:asciiTheme="minorBidi" w:hAnsiTheme="minorBidi" w:cstheme="minorBidi"/>
          <w:lang w:val="fr-FR"/>
        </w:rPr>
        <w:t xml:space="preserve">attention du Comité pour la protection des biens culturels en cas de conflit armé lors de sa seizième réunion en décembre 2021. </w:t>
      </w:r>
      <w:r w:rsidRPr="00BB4589">
        <w:rPr>
          <w:rFonts w:asciiTheme="minorBidi" w:hAnsiTheme="minorBidi" w:cstheme="minorBidi"/>
          <w:lang w:val="fr-FR"/>
        </w:rPr>
        <w:t>Dans l</w:t>
      </w:r>
      <w:r w:rsidR="00BB4589">
        <w:rPr>
          <w:rFonts w:asciiTheme="minorBidi" w:hAnsiTheme="minorBidi" w:cstheme="minorBidi"/>
          <w:lang w:val="fr-FR"/>
        </w:rPr>
        <w:t>’</w:t>
      </w:r>
      <w:r w:rsidRPr="00BB4589">
        <w:rPr>
          <w:rFonts w:asciiTheme="minorBidi" w:hAnsiTheme="minorBidi" w:cstheme="minorBidi"/>
          <w:lang w:val="fr-FR"/>
        </w:rPr>
        <w:t>immédiat, il est proposé de renforcer les capacités de ces acteurs à rendre opérationnels les Principes opérationnels et modalités de sauvegarde du patrimoine culturel immatériel dans les situations d</w:t>
      </w:r>
      <w:r w:rsidR="00BB4589">
        <w:rPr>
          <w:rFonts w:asciiTheme="minorBidi" w:hAnsiTheme="minorBidi" w:cstheme="minorBidi"/>
          <w:lang w:val="fr-FR"/>
        </w:rPr>
        <w:t>’</w:t>
      </w:r>
      <w:r w:rsidRPr="00BB4589">
        <w:rPr>
          <w:rFonts w:asciiTheme="minorBidi" w:hAnsiTheme="minorBidi" w:cstheme="minorBidi"/>
          <w:lang w:val="fr-FR"/>
        </w:rPr>
        <w:t xml:space="preserve">urgence et de sensibiliser les parties prenantes concernées à leur importance. </w:t>
      </w:r>
      <w:r w:rsidR="00001965" w:rsidRPr="00BB4589">
        <w:rPr>
          <w:rFonts w:asciiTheme="minorBidi" w:hAnsiTheme="minorBidi" w:cstheme="minorBidi"/>
          <w:lang w:val="fr-FR"/>
        </w:rPr>
        <w:t>Grâce au Fonds d</w:t>
      </w:r>
      <w:r w:rsidR="00BB4589">
        <w:rPr>
          <w:rFonts w:asciiTheme="minorBidi" w:hAnsiTheme="minorBidi" w:cstheme="minorBidi"/>
          <w:lang w:val="fr-FR"/>
        </w:rPr>
        <w:t>’</w:t>
      </w:r>
      <w:r w:rsidR="00001965" w:rsidRPr="00BB4589">
        <w:rPr>
          <w:rFonts w:asciiTheme="minorBidi" w:hAnsiTheme="minorBidi" w:cstheme="minorBidi"/>
          <w:lang w:val="fr-FR"/>
        </w:rPr>
        <w:t xml:space="preserve">urgence pour le patrimoine de </w:t>
      </w:r>
      <w:r w:rsidR="000A57E9" w:rsidRPr="00BB4589">
        <w:rPr>
          <w:rFonts w:asciiTheme="minorBidi" w:hAnsiTheme="minorBidi" w:cstheme="minorBidi"/>
          <w:lang w:val="fr-FR"/>
        </w:rPr>
        <w:t>l</w:t>
      </w:r>
      <w:r w:rsidR="00BB4589">
        <w:rPr>
          <w:rFonts w:asciiTheme="minorBidi" w:hAnsiTheme="minorBidi" w:cstheme="minorBidi"/>
          <w:lang w:val="fr-FR"/>
        </w:rPr>
        <w:t>’</w:t>
      </w:r>
      <w:r w:rsidR="000A57E9" w:rsidRPr="00BB4589">
        <w:rPr>
          <w:rFonts w:asciiTheme="minorBidi" w:hAnsiTheme="minorBidi" w:cstheme="minorBidi"/>
          <w:lang w:val="fr-FR"/>
        </w:rPr>
        <w:t>UNESCO</w:t>
      </w:r>
      <w:r w:rsidR="00001965" w:rsidRPr="00BB4589">
        <w:rPr>
          <w:rFonts w:asciiTheme="minorBidi" w:hAnsiTheme="minorBidi" w:cstheme="minorBidi"/>
          <w:lang w:val="fr-FR"/>
        </w:rPr>
        <w:t xml:space="preserve">, le Secrétariat </w:t>
      </w:r>
      <w:r w:rsidR="00CA64CA" w:rsidRPr="00BB4589">
        <w:rPr>
          <w:rFonts w:asciiTheme="minorBidi" w:hAnsiTheme="minorBidi" w:cstheme="minorBidi"/>
          <w:lang w:val="fr-FR"/>
        </w:rPr>
        <w:t xml:space="preserve">continue de </w:t>
      </w:r>
      <w:r w:rsidR="00001965" w:rsidRPr="00BB4589">
        <w:rPr>
          <w:rFonts w:asciiTheme="minorBidi" w:hAnsiTheme="minorBidi" w:cstheme="minorBidi"/>
          <w:lang w:val="fr-FR"/>
        </w:rPr>
        <w:t xml:space="preserve">soutenir </w:t>
      </w:r>
      <w:r w:rsidR="00386F82" w:rsidRPr="00BB4589">
        <w:rPr>
          <w:rFonts w:asciiTheme="minorBidi" w:hAnsiTheme="minorBidi" w:cstheme="minorBidi"/>
          <w:lang w:val="fr-FR"/>
        </w:rPr>
        <w:t xml:space="preserve">la protection de la culture dans les </w:t>
      </w:r>
      <w:r w:rsidR="003E1FF4" w:rsidRPr="00BB4589">
        <w:rPr>
          <w:rFonts w:asciiTheme="minorBidi" w:hAnsiTheme="minorBidi" w:cstheme="minorBidi"/>
          <w:lang w:val="fr-FR"/>
        </w:rPr>
        <w:t>situations d</w:t>
      </w:r>
      <w:r w:rsidR="00BB4589">
        <w:rPr>
          <w:rFonts w:asciiTheme="minorBidi" w:hAnsiTheme="minorBidi" w:cstheme="minorBidi"/>
          <w:lang w:val="fr-FR"/>
        </w:rPr>
        <w:t>’</w:t>
      </w:r>
      <w:r w:rsidR="003E1FF4" w:rsidRPr="00BB4589">
        <w:rPr>
          <w:rFonts w:asciiTheme="minorBidi" w:hAnsiTheme="minorBidi" w:cstheme="minorBidi"/>
          <w:lang w:val="fr-FR"/>
        </w:rPr>
        <w:t xml:space="preserve">urgence, à travers les </w:t>
      </w:r>
      <w:r w:rsidR="00001965" w:rsidRPr="00BB4589">
        <w:rPr>
          <w:rFonts w:asciiTheme="minorBidi" w:hAnsiTheme="minorBidi" w:cstheme="minorBidi"/>
          <w:lang w:val="fr-FR"/>
        </w:rPr>
        <w:t>conventions culturelles de l</w:t>
      </w:r>
      <w:r w:rsidR="00BB4589">
        <w:rPr>
          <w:rFonts w:asciiTheme="minorBidi" w:hAnsiTheme="minorBidi" w:cstheme="minorBidi"/>
          <w:lang w:val="fr-FR"/>
        </w:rPr>
        <w:t>’</w:t>
      </w:r>
      <w:r w:rsidR="00001965" w:rsidRPr="00BB4589">
        <w:rPr>
          <w:rFonts w:asciiTheme="minorBidi" w:hAnsiTheme="minorBidi" w:cstheme="minorBidi"/>
          <w:lang w:val="fr-FR"/>
        </w:rPr>
        <w:t>UNESCO</w:t>
      </w:r>
      <w:r w:rsidR="00386F82" w:rsidRPr="00BB4589">
        <w:rPr>
          <w:rFonts w:asciiTheme="minorBidi" w:hAnsiTheme="minorBidi" w:cstheme="minorBidi"/>
          <w:lang w:val="fr-FR"/>
        </w:rPr>
        <w:t>.</w:t>
      </w:r>
    </w:p>
    <w:p w14:paraId="62F1B6FC" w14:textId="200BBD40"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Les liens avec la Convention du patrimoine mondial de 1972 sont mis en évidence dans les projets opérationnels mis en œuvre sur le terrain. Bien qu</w:t>
      </w:r>
      <w:r w:rsidR="00BB4589">
        <w:rPr>
          <w:rFonts w:asciiTheme="minorBidi" w:hAnsiTheme="minorBidi" w:cstheme="minorBidi"/>
          <w:lang w:val="fr-FR"/>
        </w:rPr>
        <w:t>’</w:t>
      </w:r>
      <w:r w:rsidRPr="00BB4589">
        <w:rPr>
          <w:rFonts w:asciiTheme="minorBidi" w:hAnsiTheme="minorBidi" w:cstheme="minorBidi"/>
          <w:lang w:val="fr-FR"/>
        </w:rPr>
        <w:t>il ne soit possible d</w:t>
      </w:r>
      <w:r w:rsidR="00BB4589">
        <w:rPr>
          <w:rFonts w:asciiTheme="minorBidi" w:hAnsiTheme="minorBidi" w:cstheme="minorBidi"/>
          <w:lang w:val="fr-FR"/>
        </w:rPr>
        <w:t>’</w:t>
      </w:r>
      <w:r w:rsidRPr="00BB4589">
        <w:rPr>
          <w:rFonts w:asciiTheme="minorBidi" w:hAnsiTheme="minorBidi" w:cstheme="minorBidi"/>
          <w:lang w:val="fr-FR"/>
        </w:rPr>
        <w:t>en donner qu</w:t>
      </w:r>
      <w:r w:rsidR="00BB4589">
        <w:rPr>
          <w:rFonts w:asciiTheme="minorBidi" w:hAnsiTheme="minorBidi" w:cstheme="minorBidi"/>
          <w:lang w:val="fr-FR"/>
        </w:rPr>
        <w:t>’</w:t>
      </w:r>
      <w:r w:rsidRPr="00BB4589">
        <w:rPr>
          <w:rFonts w:asciiTheme="minorBidi" w:hAnsiTheme="minorBidi" w:cstheme="minorBidi"/>
          <w:lang w:val="fr-FR"/>
        </w:rPr>
        <w:t>un aperçu partiel étant donné l</w:t>
      </w:r>
      <w:r w:rsidR="00BB4589">
        <w:rPr>
          <w:rFonts w:asciiTheme="minorBidi" w:hAnsiTheme="minorBidi" w:cstheme="minorBidi"/>
          <w:lang w:val="fr-FR"/>
        </w:rPr>
        <w:t>’</w:t>
      </w:r>
      <w:r w:rsidRPr="00BB4589">
        <w:rPr>
          <w:rFonts w:asciiTheme="minorBidi" w:hAnsiTheme="minorBidi" w:cstheme="minorBidi"/>
          <w:lang w:val="fr-FR"/>
        </w:rPr>
        <w:t>ampleur des projets, les initiatives de l</w:t>
      </w:r>
      <w:r w:rsidR="00BB4589">
        <w:rPr>
          <w:rFonts w:asciiTheme="minorBidi" w:hAnsiTheme="minorBidi" w:cstheme="minorBidi"/>
          <w:lang w:val="fr-FR"/>
        </w:rPr>
        <w:t>’</w:t>
      </w:r>
      <w:r w:rsidRPr="00BB4589">
        <w:rPr>
          <w:rFonts w:asciiTheme="minorBidi" w:hAnsiTheme="minorBidi" w:cstheme="minorBidi"/>
          <w:lang w:val="fr-FR"/>
        </w:rPr>
        <w:t xml:space="preserve">UNESCO </w:t>
      </w:r>
      <w:r w:rsidR="003E1FF4" w:rsidRPr="00BB4589">
        <w:rPr>
          <w:rFonts w:asciiTheme="minorBidi" w:hAnsiTheme="minorBidi" w:cstheme="minorBidi"/>
          <w:lang w:val="fr-FR"/>
        </w:rPr>
        <w:t>ont porté</w:t>
      </w:r>
      <w:r w:rsidRPr="00BB4589">
        <w:rPr>
          <w:rFonts w:asciiTheme="minorBidi" w:hAnsiTheme="minorBidi" w:cstheme="minorBidi"/>
          <w:lang w:val="fr-FR"/>
        </w:rPr>
        <w:t xml:space="preserve">, par exemple, </w:t>
      </w:r>
      <w:r w:rsidR="003E1FF4" w:rsidRPr="00BB4589">
        <w:rPr>
          <w:rFonts w:asciiTheme="minorBidi" w:hAnsiTheme="minorBidi" w:cstheme="minorBidi"/>
          <w:lang w:val="fr-FR"/>
        </w:rPr>
        <w:t xml:space="preserve">sur la </w:t>
      </w:r>
      <w:r w:rsidR="000F50E8" w:rsidRPr="00BB4589">
        <w:rPr>
          <w:rFonts w:asciiTheme="minorBidi" w:hAnsiTheme="minorBidi" w:cstheme="minorBidi"/>
          <w:lang w:val="fr-FR"/>
        </w:rPr>
        <w:t xml:space="preserve">promotion du </w:t>
      </w:r>
      <w:r w:rsidRPr="00BB4589">
        <w:rPr>
          <w:rFonts w:asciiTheme="minorBidi" w:hAnsiTheme="minorBidi" w:cstheme="minorBidi"/>
          <w:lang w:val="fr-FR"/>
        </w:rPr>
        <w:t>patrimoine vivant et du tourisme culturel sur les sites du patrimoine mondial</w:t>
      </w:r>
      <w:r w:rsidR="00CB0DAB">
        <w:rPr>
          <w:rStyle w:val="FootnoteReference"/>
          <w:rFonts w:asciiTheme="minorBidi" w:hAnsiTheme="minorBidi" w:cstheme="minorBidi"/>
        </w:rPr>
        <w:footnoteReference w:id="8"/>
      </w:r>
      <w:r w:rsidRPr="00BB4589">
        <w:rPr>
          <w:rFonts w:asciiTheme="minorBidi" w:hAnsiTheme="minorBidi" w:cstheme="minorBidi"/>
          <w:lang w:val="fr-FR"/>
        </w:rPr>
        <w:t xml:space="preserve"> ou l</w:t>
      </w:r>
      <w:r w:rsidR="00BB4589">
        <w:rPr>
          <w:rFonts w:asciiTheme="minorBidi" w:hAnsiTheme="minorBidi" w:cstheme="minorBidi"/>
          <w:lang w:val="fr-FR"/>
        </w:rPr>
        <w:t>’</w:t>
      </w:r>
      <w:r w:rsidRPr="00BB4589">
        <w:rPr>
          <w:rFonts w:asciiTheme="minorBidi" w:hAnsiTheme="minorBidi" w:cstheme="minorBidi"/>
          <w:lang w:val="fr-FR"/>
        </w:rPr>
        <w:t>inventaire du patrimoine culturel immatériel dans les contextes urbains</w:t>
      </w:r>
      <w:r w:rsidR="00CB0DAB">
        <w:rPr>
          <w:rStyle w:val="FootnoteReference"/>
          <w:rFonts w:asciiTheme="minorBidi" w:hAnsiTheme="minorBidi" w:cstheme="minorBidi"/>
        </w:rPr>
        <w:footnoteReference w:id="9"/>
      </w:r>
      <w:r w:rsidRPr="00BB4589">
        <w:rPr>
          <w:rFonts w:asciiTheme="minorBidi" w:hAnsiTheme="minorBidi" w:cstheme="minorBidi"/>
          <w:lang w:val="fr-FR"/>
        </w:rPr>
        <w:t xml:space="preserve"> . </w:t>
      </w:r>
      <w:r w:rsidR="003E1FF4" w:rsidRPr="00BB4589">
        <w:rPr>
          <w:rFonts w:asciiTheme="minorBidi" w:hAnsiTheme="minorBidi" w:cstheme="minorBidi"/>
          <w:lang w:val="fr-FR"/>
        </w:rPr>
        <w:t>Grâce à sa participation au programme du Réseau Terre de l</w:t>
      </w:r>
      <w:r w:rsidR="00BB4589">
        <w:rPr>
          <w:rFonts w:asciiTheme="minorBidi" w:hAnsiTheme="minorBidi" w:cstheme="minorBidi"/>
          <w:lang w:val="fr-FR"/>
        </w:rPr>
        <w:t>’</w:t>
      </w:r>
      <w:r w:rsidR="003E1FF4" w:rsidRPr="00BB4589">
        <w:rPr>
          <w:rFonts w:asciiTheme="minorBidi" w:hAnsiTheme="minorBidi" w:cstheme="minorBidi"/>
          <w:lang w:val="fr-FR"/>
        </w:rPr>
        <w:t xml:space="preserve">UNESCO </w:t>
      </w:r>
      <w:r w:rsidR="00FE1176" w:rsidRPr="00BB4589">
        <w:rPr>
          <w:rFonts w:asciiTheme="minorBidi" w:hAnsiTheme="minorBidi" w:cstheme="minorBidi"/>
          <w:lang w:val="fr-FR"/>
        </w:rPr>
        <w:t xml:space="preserve">dirigé par le Secteur des sciences, le </w:t>
      </w:r>
      <w:r w:rsidR="00125598" w:rsidRPr="00BB4589">
        <w:rPr>
          <w:rFonts w:asciiTheme="minorBidi" w:hAnsiTheme="minorBidi" w:cstheme="minorBidi"/>
          <w:lang w:val="fr-FR"/>
        </w:rPr>
        <w:t xml:space="preserve">Secrétariat a </w:t>
      </w:r>
      <w:r w:rsidR="00FE1176" w:rsidRPr="00BB4589">
        <w:rPr>
          <w:rFonts w:asciiTheme="minorBidi" w:hAnsiTheme="minorBidi" w:cstheme="minorBidi"/>
          <w:lang w:val="fr-FR"/>
        </w:rPr>
        <w:t>également cherché à renforcer les liens avec la Convention de 1972 et les sites désignés par l</w:t>
      </w:r>
      <w:r w:rsidR="00BB4589">
        <w:rPr>
          <w:rFonts w:asciiTheme="minorBidi" w:hAnsiTheme="minorBidi" w:cstheme="minorBidi"/>
          <w:lang w:val="fr-FR"/>
        </w:rPr>
        <w:t>’</w:t>
      </w:r>
      <w:r w:rsidR="00FE1176" w:rsidRPr="00BB4589">
        <w:rPr>
          <w:rFonts w:asciiTheme="minorBidi" w:hAnsiTheme="minorBidi" w:cstheme="minorBidi"/>
          <w:lang w:val="fr-FR"/>
        </w:rPr>
        <w:t>UNESCO pour soutenir la gestion, la restauration et la résilience des écosystèmes par le biais de la formation et de l</w:t>
      </w:r>
      <w:r w:rsidR="00BB4589">
        <w:rPr>
          <w:rFonts w:asciiTheme="minorBidi" w:hAnsiTheme="minorBidi" w:cstheme="minorBidi"/>
          <w:lang w:val="fr-FR"/>
        </w:rPr>
        <w:t>’</w:t>
      </w:r>
      <w:r w:rsidR="00FE1176" w:rsidRPr="00BB4589">
        <w:rPr>
          <w:rFonts w:asciiTheme="minorBidi" w:hAnsiTheme="minorBidi" w:cstheme="minorBidi"/>
          <w:lang w:val="fr-FR"/>
        </w:rPr>
        <w:t>échange d</w:t>
      </w:r>
      <w:r w:rsidR="00BB4589">
        <w:rPr>
          <w:rFonts w:asciiTheme="minorBidi" w:hAnsiTheme="minorBidi" w:cstheme="minorBidi"/>
          <w:lang w:val="fr-FR"/>
        </w:rPr>
        <w:t>’</w:t>
      </w:r>
      <w:r w:rsidR="00FE1176" w:rsidRPr="00BB4589">
        <w:rPr>
          <w:rFonts w:asciiTheme="minorBidi" w:hAnsiTheme="minorBidi" w:cstheme="minorBidi"/>
          <w:lang w:val="fr-FR"/>
        </w:rPr>
        <w:t>expériences et de bonnes pratiques.</w:t>
      </w:r>
    </w:p>
    <w:p w14:paraId="5C5A4703" w14:textId="23B73522"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Les synergies avec la Convention de 2005 sur la protection et la promotion de la diversité des expressions culturelles sont également renforcées sur le terrain, à travers des projets </w:t>
      </w:r>
      <w:r w:rsidR="00042A0C">
        <w:rPr>
          <w:rFonts w:asciiTheme="minorBidi" w:hAnsiTheme="minorBidi" w:cstheme="minorBidi"/>
          <w:lang w:val="fr-FR"/>
        </w:rPr>
        <w:t>portant</w:t>
      </w:r>
      <w:r w:rsidR="00042A0C" w:rsidRPr="00BB4589">
        <w:rPr>
          <w:rFonts w:asciiTheme="minorBidi" w:hAnsiTheme="minorBidi" w:cstheme="minorBidi"/>
          <w:lang w:val="fr-FR"/>
        </w:rPr>
        <w:t xml:space="preserve"> </w:t>
      </w:r>
      <w:r w:rsidRPr="00BB4589">
        <w:rPr>
          <w:rFonts w:asciiTheme="minorBidi" w:hAnsiTheme="minorBidi" w:cstheme="minorBidi"/>
          <w:lang w:val="fr-FR"/>
        </w:rPr>
        <w:t>sur la sauvegarde de l</w:t>
      </w:r>
      <w:r w:rsidR="00BB4589">
        <w:rPr>
          <w:rFonts w:asciiTheme="minorBidi" w:hAnsiTheme="minorBidi" w:cstheme="minorBidi"/>
          <w:lang w:val="fr-FR"/>
        </w:rPr>
        <w:t>’</w:t>
      </w:r>
      <w:r w:rsidRPr="00BB4589">
        <w:rPr>
          <w:rFonts w:asciiTheme="minorBidi" w:hAnsiTheme="minorBidi" w:cstheme="minorBidi"/>
          <w:lang w:val="fr-FR"/>
        </w:rPr>
        <w:t>artisanat dans le contexte du changement climatique</w:t>
      </w:r>
      <w:r w:rsidR="00CB0DAB">
        <w:rPr>
          <w:rStyle w:val="FootnoteReference"/>
          <w:rFonts w:asciiTheme="minorBidi" w:hAnsiTheme="minorBidi" w:cstheme="minorBidi"/>
        </w:rPr>
        <w:footnoteReference w:id="10"/>
      </w:r>
      <w:r w:rsidRPr="00BB4589">
        <w:rPr>
          <w:rFonts w:asciiTheme="minorBidi" w:hAnsiTheme="minorBidi" w:cstheme="minorBidi"/>
          <w:lang w:val="fr-FR"/>
        </w:rPr>
        <w:t xml:space="preserve"> , le développement </w:t>
      </w:r>
      <w:r w:rsidR="00042A0C">
        <w:rPr>
          <w:rFonts w:asciiTheme="minorBidi" w:hAnsiTheme="minorBidi" w:cstheme="minorBidi"/>
          <w:lang w:val="fr-FR"/>
        </w:rPr>
        <w:t>de l’artisanat rural et des pôles cultures</w:t>
      </w:r>
      <w:r w:rsidR="00CC467D">
        <w:rPr>
          <w:rStyle w:val="FootnoteReference"/>
          <w:rFonts w:asciiTheme="minorBidi" w:hAnsiTheme="minorBidi" w:cstheme="minorBidi"/>
        </w:rPr>
        <w:footnoteReference w:id="11"/>
      </w:r>
      <w:r w:rsidRPr="00BB4589">
        <w:rPr>
          <w:rFonts w:asciiTheme="minorBidi" w:hAnsiTheme="minorBidi" w:cstheme="minorBidi"/>
          <w:lang w:val="fr-FR"/>
        </w:rPr>
        <w:t xml:space="preserve"> ou le soutien à la transmission du savoir-faire musical chez les jeunes</w:t>
      </w:r>
      <w:r w:rsidR="00504163">
        <w:rPr>
          <w:rStyle w:val="FootnoteReference"/>
          <w:rFonts w:asciiTheme="minorBidi" w:hAnsiTheme="minorBidi" w:cstheme="minorBidi"/>
        </w:rPr>
        <w:footnoteReference w:id="12"/>
      </w:r>
      <w:r w:rsidRPr="00BB4589">
        <w:rPr>
          <w:rFonts w:asciiTheme="minorBidi" w:hAnsiTheme="minorBidi" w:cstheme="minorBidi"/>
          <w:lang w:val="fr-FR"/>
        </w:rPr>
        <w:t xml:space="preserve"> . En </w:t>
      </w:r>
      <w:r w:rsidR="00A97B84" w:rsidRPr="00BB4589">
        <w:rPr>
          <w:rFonts w:asciiTheme="minorBidi" w:hAnsiTheme="minorBidi" w:cstheme="minorBidi"/>
          <w:lang w:val="fr-FR"/>
        </w:rPr>
        <w:t>réponse à la pandémie, un dialogue ResiliArt en ligne sur la pandémie a été organisé lors de la huitième session de l</w:t>
      </w:r>
      <w:r w:rsidR="00BB4589">
        <w:rPr>
          <w:rFonts w:asciiTheme="minorBidi" w:hAnsiTheme="minorBidi" w:cstheme="minorBidi"/>
          <w:lang w:val="fr-FR"/>
        </w:rPr>
        <w:t>’</w:t>
      </w:r>
      <w:r w:rsidR="00A97B84" w:rsidRPr="00BB4589">
        <w:rPr>
          <w:rFonts w:asciiTheme="minorBidi" w:hAnsiTheme="minorBidi" w:cstheme="minorBidi"/>
          <w:lang w:val="fr-FR"/>
        </w:rPr>
        <w:t>Assemblée générale en septembre 2020.</w:t>
      </w:r>
    </w:p>
    <w:p w14:paraId="27ABEDDE" w14:textId="3A6BEC9F" w:rsidR="001578FB" w:rsidRPr="009861AF"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En 2021, le Secrétariat a participé au groupe de travail sectoriel sur l</w:t>
      </w:r>
      <w:r w:rsidR="00BB4589">
        <w:rPr>
          <w:rFonts w:asciiTheme="minorBidi" w:hAnsiTheme="minorBidi" w:cstheme="minorBidi"/>
          <w:lang w:val="fr-FR"/>
        </w:rPr>
        <w:t>’</w:t>
      </w:r>
      <w:r w:rsidRPr="00BB4589">
        <w:rPr>
          <w:rFonts w:asciiTheme="minorBidi" w:hAnsiTheme="minorBidi" w:cstheme="minorBidi"/>
          <w:lang w:val="fr-FR"/>
        </w:rPr>
        <w:t>établissement d</w:t>
      </w:r>
      <w:r w:rsidR="00BB4589">
        <w:rPr>
          <w:rFonts w:asciiTheme="minorBidi" w:hAnsiTheme="minorBidi" w:cstheme="minorBidi"/>
          <w:lang w:val="fr-FR"/>
        </w:rPr>
        <w:t>’</w:t>
      </w:r>
      <w:r w:rsidRPr="00BB4589">
        <w:rPr>
          <w:rFonts w:asciiTheme="minorBidi" w:hAnsiTheme="minorBidi" w:cstheme="minorBidi"/>
          <w:lang w:val="fr-FR"/>
        </w:rPr>
        <w:t>un</w:t>
      </w:r>
      <w:r w:rsidR="00042A0C">
        <w:rPr>
          <w:rFonts w:asciiTheme="minorBidi" w:hAnsiTheme="minorBidi" w:cstheme="minorBidi"/>
          <w:lang w:val="fr-FR"/>
        </w:rPr>
        <w:t xml:space="preserve"> modèle de</w:t>
      </w:r>
      <w:r w:rsidRPr="00BB4589">
        <w:rPr>
          <w:rFonts w:asciiTheme="minorBidi" w:hAnsiTheme="minorBidi" w:cstheme="minorBidi"/>
          <w:lang w:val="fr-FR"/>
        </w:rPr>
        <w:t xml:space="preserve"> règlement intérieur pour les assemblées/conférences des parties aux conventions culturelles de l</w:t>
      </w:r>
      <w:r w:rsidR="00BB4589">
        <w:rPr>
          <w:rFonts w:asciiTheme="minorBidi" w:hAnsiTheme="minorBidi" w:cstheme="minorBidi"/>
          <w:lang w:val="fr-FR"/>
        </w:rPr>
        <w:t>’</w:t>
      </w:r>
      <w:r w:rsidRPr="00BB4589">
        <w:rPr>
          <w:rFonts w:asciiTheme="minorBidi" w:hAnsiTheme="minorBidi" w:cstheme="minorBidi"/>
          <w:lang w:val="fr-FR"/>
        </w:rPr>
        <w:t xml:space="preserve">UNESCO. </w:t>
      </w:r>
      <w:r w:rsidR="002D24BD" w:rsidRPr="00BB4589">
        <w:rPr>
          <w:rFonts w:asciiTheme="minorBidi" w:hAnsiTheme="minorBidi" w:cstheme="minorBidi"/>
          <w:lang w:val="fr-FR"/>
        </w:rPr>
        <w:t>Suite à l</w:t>
      </w:r>
      <w:r w:rsidR="00BB4589">
        <w:rPr>
          <w:rFonts w:asciiTheme="minorBidi" w:hAnsiTheme="minorBidi" w:cstheme="minorBidi"/>
          <w:lang w:val="fr-FR"/>
        </w:rPr>
        <w:t>’</w:t>
      </w:r>
      <w:r w:rsidR="002D24BD" w:rsidRPr="00BB4589">
        <w:rPr>
          <w:rFonts w:asciiTheme="minorBidi" w:hAnsiTheme="minorBidi" w:cstheme="minorBidi"/>
          <w:lang w:val="fr-FR"/>
        </w:rPr>
        <w:t>examen par la quarante et unième session de la Conférence générale de l</w:t>
      </w:r>
      <w:r w:rsidR="00BB4589">
        <w:rPr>
          <w:rFonts w:asciiTheme="minorBidi" w:hAnsiTheme="minorBidi" w:cstheme="minorBidi"/>
          <w:lang w:val="fr-FR"/>
        </w:rPr>
        <w:t>’</w:t>
      </w:r>
      <w:r w:rsidR="002D24BD" w:rsidRPr="00BB4589">
        <w:rPr>
          <w:rFonts w:asciiTheme="minorBidi" w:hAnsiTheme="minorBidi" w:cstheme="minorBidi"/>
          <w:lang w:val="fr-FR"/>
        </w:rPr>
        <w:t xml:space="preserve">UNESCO, le </w:t>
      </w:r>
      <w:r w:rsidR="00042A0C">
        <w:rPr>
          <w:rFonts w:asciiTheme="minorBidi" w:hAnsiTheme="minorBidi" w:cstheme="minorBidi"/>
          <w:lang w:val="fr-FR"/>
        </w:rPr>
        <w:t xml:space="preserve">modèle de </w:t>
      </w:r>
      <w:r w:rsidR="002D24BD" w:rsidRPr="00BB4589">
        <w:rPr>
          <w:rFonts w:asciiTheme="minorBidi" w:hAnsiTheme="minorBidi" w:cstheme="minorBidi"/>
          <w:lang w:val="fr-FR"/>
        </w:rPr>
        <w:t>règlement intérieur a servi de base à la préparation des révisions proposées au règlement intérieur de l</w:t>
      </w:r>
      <w:r w:rsidR="00BB4589">
        <w:rPr>
          <w:rFonts w:asciiTheme="minorBidi" w:hAnsiTheme="minorBidi" w:cstheme="minorBidi"/>
          <w:lang w:val="fr-FR"/>
        </w:rPr>
        <w:t>’</w:t>
      </w:r>
      <w:r w:rsidR="002D24BD" w:rsidRPr="00BB4589">
        <w:rPr>
          <w:rFonts w:asciiTheme="minorBidi" w:hAnsiTheme="minorBidi" w:cstheme="minorBidi"/>
          <w:lang w:val="fr-FR"/>
        </w:rPr>
        <w:t>Assemblée générale de la Convention de 2003 qui sont présentées pour examen par la présente session de l</w:t>
      </w:r>
      <w:r w:rsidR="00BB4589">
        <w:rPr>
          <w:rFonts w:asciiTheme="minorBidi" w:hAnsiTheme="minorBidi" w:cstheme="minorBidi"/>
          <w:lang w:val="fr-FR"/>
        </w:rPr>
        <w:t>’</w:t>
      </w:r>
      <w:r w:rsidR="002D24BD" w:rsidRPr="00BB4589">
        <w:rPr>
          <w:rFonts w:asciiTheme="minorBidi" w:hAnsiTheme="minorBidi" w:cstheme="minorBidi"/>
          <w:lang w:val="fr-FR"/>
        </w:rPr>
        <w:t xml:space="preserve">Assemblée </w:t>
      </w:r>
      <w:r w:rsidR="0002074F" w:rsidRPr="00BB4589">
        <w:rPr>
          <w:rFonts w:asciiTheme="minorBidi" w:hAnsiTheme="minorBidi" w:cstheme="minorBidi"/>
          <w:lang w:val="fr-FR"/>
        </w:rPr>
        <w:t xml:space="preserve">au </w:t>
      </w:r>
      <w:r w:rsidR="00042A0C">
        <w:rPr>
          <w:rFonts w:asciiTheme="minorBidi" w:hAnsiTheme="minorBidi" w:cstheme="minorBidi"/>
          <w:lang w:val="fr-FR"/>
        </w:rPr>
        <w:t xml:space="preserve">titre du </w:t>
      </w:r>
      <w:r w:rsidR="0002074F" w:rsidRPr="00BB4589">
        <w:rPr>
          <w:rFonts w:asciiTheme="minorBidi" w:hAnsiTheme="minorBidi" w:cstheme="minorBidi"/>
          <w:lang w:val="fr-FR"/>
        </w:rPr>
        <w:t xml:space="preserve">point 12 (document </w:t>
      </w:r>
      <w:hyperlink r:id="rId27" w:history="1">
        <w:r w:rsidR="0002074F" w:rsidRPr="009861AF">
          <w:rPr>
            <w:rStyle w:val="Hyperlink"/>
            <w:rFonts w:eastAsiaTheme="minorHAnsi" w:cs="Arial"/>
            <w:lang w:val="fr-FR"/>
          </w:rPr>
          <w:t>LHE/22/9.GA/12</w:t>
        </w:r>
      </w:hyperlink>
      <w:r w:rsidR="0002074F" w:rsidRPr="009861AF">
        <w:rPr>
          <w:rStyle w:val="Hyperlink"/>
          <w:rFonts w:eastAsiaTheme="minorHAnsi" w:cs="Arial"/>
          <w:lang w:val="fr-FR"/>
        </w:rPr>
        <w:t>)</w:t>
      </w:r>
      <w:r w:rsidRPr="009861AF">
        <w:rPr>
          <w:rFonts w:asciiTheme="minorBidi" w:hAnsiTheme="minorBidi" w:cstheme="minorBidi"/>
          <w:lang w:val="fr-FR"/>
        </w:rPr>
        <w:t>.</w:t>
      </w:r>
    </w:p>
    <w:p w14:paraId="09D131CC" w14:textId="77777777" w:rsidR="001578FB" w:rsidRDefault="009069B4">
      <w:pPr>
        <w:pStyle w:val="COMPara"/>
        <w:keepNext/>
        <w:numPr>
          <w:ilvl w:val="0"/>
          <w:numId w:val="21"/>
        </w:numPr>
        <w:spacing w:before="240"/>
        <w:ind w:left="576" w:hanging="432"/>
        <w:jc w:val="both"/>
        <w:rPr>
          <w:rFonts w:asciiTheme="minorBidi" w:hAnsiTheme="minorBidi" w:cstheme="minorBidi"/>
          <w:b/>
          <w:bCs/>
        </w:rPr>
      </w:pPr>
      <w:r w:rsidRPr="002E1C7F">
        <w:rPr>
          <w:rFonts w:asciiTheme="minorBidi" w:hAnsiTheme="minorBidi" w:cstheme="minorBidi"/>
          <w:b/>
          <w:bCs/>
        </w:rPr>
        <w:t>Communication et sensibilisation</w:t>
      </w:r>
    </w:p>
    <w:p w14:paraId="397011E9" w14:textId="55E5F30D"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lang w:val="fr-FR"/>
        </w:rPr>
        <w:t xml:space="preserve">La communication stratégique a le potentiel </w:t>
      </w:r>
      <w:r w:rsidR="00016F20">
        <w:rPr>
          <w:lang w:val="fr-FR"/>
        </w:rPr>
        <w:t>de renforcer</w:t>
      </w:r>
      <w:r w:rsidRPr="00BB4589">
        <w:rPr>
          <w:lang w:val="fr-FR"/>
        </w:rPr>
        <w:t xml:space="preserve"> la sensibilisation à la </w:t>
      </w:r>
      <w:r w:rsidR="000F50E8" w:rsidRPr="00BB4589">
        <w:rPr>
          <w:lang w:val="fr-FR"/>
        </w:rPr>
        <w:t xml:space="preserve">sauvegarde du </w:t>
      </w:r>
      <w:r w:rsidRPr="00BB4589">
        <w:rPr>
          <w:lang w:val="fr-FR"/>
        </w:rPr>
        <w:t>patrimoine culturel immatériel, d</w:t>
      </w:r>
      <w:r w:rsidR="00BB4589">
        <w:rPr>
          <w:lang w:val="fr-FR"/>
        </w:rPr>
        <w:t>’</w:t>
      </w:r>
      <w:r w:rsidRPr="00BB4589">
        <w:rPr>
          <w:lang w:val="fr-FR"/>
        </w:rPr>
        <w:t>accroître la visibilité de la Convention et d</w:t>
      </w:r>
      <w:r w:rsidR="00BB4589">
        <w:rPr>
          <w:lang w:val="fr-FR"/>
        </w:rPr>
        <w:t>’</w:t>
      </w:r>
      <w:r w:rsidRPr="00BB4589">
        <w:rPr>
          <w:lang w:val="fr-FR"/>
        </w:rPr>
        <w:t xml:space="preserve">atteindre diverses parties prenantes. </w:t>
      </w:r>
      <w:r w:rsidR="00442B7E" w:rsidRPr="00BB4589">
        <w:rPr>
          <w:rFonts w:asciiTheme="minorBidi" w:hAnsiTheme="minorBidi" w:cstheme="minorBidi"/>
          <w:lang w:val="fr-FR"/>
        </w:rPr>
        <w:t>S</w:t>
      </w:r>
      <w:r w:rsidR="00BB4589">
        <w:rPr>
          <w:rFonts w:asciiTheme="minorBidi" w:hAnsiTheme="minorBidi" w:cstheme="minorBidi"/>
          <w:lang w:val="fr-FR"/>
        </w:rPr>
        <w:t>’</w:t>
      </w:r>
      <w:r w:rsidR="00442B7E" w:rsidRPr="00BB4589">
        <w:rPr>
          <w:rFonts w:asciiTheme="minorBidi" w:hAnsiTheme="minorBidi" w:cstheme="minorBidi"/>
          <w:lang w:val="fr-FR"/>
        </w:rPr>
        <w:t xml:space="preserve">appuyant sur les réactions positives au projet </w:t>
      </w:r>
      <w:r w:rsidR="00016F20">
        <w:rPr>
          <w:rFonts w:asciiTheme="minorBidi" w:hAnsiTheme="minorBidi" w:cstheme="minorBidi"/>
          <w:lang w:val="fr-FR"/>
        </w:rPr>
        <w:t>« </w:t>
      </w:r>
      <w:hyperlink r:id="rId28" w:history="1">
        <w:r w:rsidR="00442B7E" w:rsidRPr="00BB4589">
          <w:rPr>
            <w:rFonts w:asciiTheme="minorBidi" w:hAnsiTheme="minorBidi" w:cstheme="minorBidi"/>
            <w:lang w:val="fr-FR"/>
          </w:rPr>
          <w:t>Plonge</w:t>
        </w:r>
        <w:r w:rsidR="00016F20">
          <w:rPr>
            <w:rFonts w:asciiTheme="minorBidi" w:hAnsiTheme="minorBidi" w:cstheme="minorBidi"/>
            <w:lang w:val="fr-FR"/>
          </w:rPr>
          <w:t>z</w:t>
        </w:r>
        <w:r w:rsidR="00442B7E" w:rsidRPr="00BB4589">
          <w:rPr>
            <w:rFonts w:asciiTheme="minorBidi" w:hAnsiTheme="minorBidi" w:cstheme="minorBidi"/>
            <w:lang w:val="fr-FR"/>
          </w:rPr>
          <w:t xml:space="preserve"> dans le patrimoine culturel immatériel</w:t>
        </w:r>
      </w:hyperlink>
      <w:r w:rsidR="00016F20">
        <w:rPr>
          <w:rFonts w:asciiTheme="minorBidi" w:hAnsiTheme="minorBidi" w:cstheme="minorBidi"/>
          <w:lang w:val="fr-FR"/>
        </w:rPr>
        <w:t> »</w:t>
      </w:r>
      <w:r w:rsidR="00442B7E" w:rsidRPr="00BB4589">
        <w:rPr>
          <w:rFonts w:asciiTheme="minorBidi" w:hAnsiTheme="minorBidi" w:cstheme="minorBidi"/>
          <w:lang w:val="fr-FR"/>
        </w:rPr>
        <w:t xml:space="preserve"> lancé fin 2019, le Secrétariat a encore amélioré l</w:t>
      </w:r>
      <w:r w:rsidR="00BB4589">
        <w:rPr>
          <w:rFonts w:asciiTheme="minorBidi" w:hAnsiTheme="minorBidi" w:cstheme="minorBidi"/>
          <w:lang w:val="fr-FR"/>
        </w:rPr>
        <w:t>’</w:t>
      </w:r>
      <w:r w:rsidR="00442B7E" w:rsidRPr="00BB4589">
        <w:rPr>
          <w:rFonts w:asciiTheme="minorBidi" w:hAnsiTheme="minorBidi" w:cstheme="minorBidi"/>
          <w:lang w:val="fr-FR"/>
        </w:rPr>
        <w:t xml:space="preserve">interface démontrant les multiples façons dont le patrimoine vivant </w:t>
      </w:r>
      <w:r w:rsidR="00204DA8" w:rsidRPr="00BB4589">
        <w:rPr>
          <w:rFonts w:asciiTheme="minorBidi" w:hAnsiTheme="minorBidi" w:cstheme="minorBidi"/>
          <w:lang w:val="fr-FR"/>
        </w:rPr>
        <w:t xml:space="preserve">et le </w:t>
      </w:r>
      <w:r w:rsidR="00442B7E" w:rsidRPr="00BB4589">
        <w:rPr>
          <w:rFonts w:asciiTheme="minorBidi" w:hAnsiTheme="minorBidi" w:cstheme="minorBidi"/>
          <w:lang w:val="fr-FR"/>
        </w:rPr>
        <w:t xml:space="preserve">développement durable </w:t>
      </w:r>
      <w:r w:rsidR="00204DA8" w:rsidRPr="00BB4589">
        <w:rPr>
          <w:rFonts w:asciiTheme="minorBidi" w:hAnsiTheme="minorBidi" w:cstheme="minorBidi"/>
          <w:lang w:val="fr-FR"/>
        </w:rPr>
        <w:t>sont liés</w:t>
      </w:r>
      <w:r w:rsidR="00442B7E" w:rsidRPr="00BB4589">
        <w:rPr>
          <w:rFonts w:asciiTheme="minorBidi" w:hAnsiTheme="minorBidi" w:cstheme="minorBidi"/>
          <w:lang w:val="fr-FR"/>
        </w:rPr>
        <w:t xml:space="preserve">, et comment les éléments inscrits </w:t>
      </w:r>
      <w:r w:rsidR="00016F20">
        <w:rPr>
          <w:rFonts w:asciiTheme="minorBidi" w:hAnsiTheme="minorBidi" w:cstheme="minorBidi"/>
          <w:lang w:val="fr-FR"/>
        </w:rPr>
        <w:t>sont liés</w:t>
      </w:r>
      <w:r w:rsidR="00442B7E" w:rsidRPr="00BB4589">
        <w:rPr>
          <w:rFonts w:asciiTheme="minorBidi" w:hAnsiTheme="minorBidi" w:cstheme="minorBidi"/>
          <w:lang w:val="fr-FR"/>
        </w:rPr>
        <w:t xml:space="preserve"> </w:t>
      </w:r>
      <w:r w:rsidR="009B08D2" w:rsidRPr="00BB4589">
        <w:rPr>
          <w:rFonts w:asciiTheme="minorBidi" w:hAnsiTheme="minorBidi" w:cstheme="minorBidi"/>
          <w:lang w:val="fr-FR"/>
        </w:rPr>
        <w:t xml:space="preserve">aux </w:t>
      </w:r>
      <w:r w:rsidR="00880CD9" w:rsidRPr="00BB4589">
        <w:rPr>
          <w:rFonts w:asciiTheme="minorBidi" w:hAnsiTheme="minorBidi" w:cstheme="minorBidi"/>
          <w:lang w:val="fr-FR"/>
        </w:rPr>
        <w:t>ODD</w:t>
      </w:r>
      <w:r w:rsidR="00442B7E" w:rsidRPr="00BB4589">
        <w:rPr>
          <w:rFonts w:asciiTheme="minorBidi" w:hAnsiTheme="minorBidi" w:cstheme="minorBidi"/>
          <w:lang w:val="fr-FR"/>
        </w:rPr>
        <w:t>. Diffusée lors de la quinzième session du Comité, cette interface a été présentée le 21 mai 2021 lors de l</w:t>
      </w:r>
      <w:r w:rsidR="00BB4589">
        <w:rPr>
          <w:rFonts w:asciiTheme="minorBidi" w:hAnsiTheme="minorBidi" w:cstheme="minorBidi"/>
          <w:lang w:val="fr-FR"/>
        </w:rPr>
        <w:t>’</w:t>
      </w:r>
      <w:r w:rsidR="00442B7E" w:rsidRPr="00BB4589">
        <w:rPr>
          <w:rFonts w:asciiTheme="minorBidi" w:hAnsiTheme="minorBidi" w:cstheme="minorBidi"/>
          <w:lang w:val="fr-FR"/>
        </w:rPr>
        <w:t xml:space="preserve">événement de haut niveau sur la culture et le développement durable organisé à New York par le </w:t>
      </w:r>
      <w:r w:rsidR="00016F20">
        <w:rPr>
          <w:rFonts w:asciiTheme="minorBidi" w:hAnsiTheme="minorBidi" w:cstheme="minorBidi"/>
          <w:lang w:val="fr-FR"/>
        </w:rPr>
        <w:t>P</w:t>
      </w:r>
      <w:r w:rsidR="00442B7E" w:rsidRPr="00BB4589">
        <w:rPr>
          <w:rFonts w:asciiTheme="minorBidi" w:hAnsiTheme="minorBidi" w:cstheme="minorBidi"/>
          <w:lang w:val="fr-FR"/>
        </w:rPr>
        <w:t>résident de l</w:t>
      </w:r>
      <w:r w:rsidR="00BB4589">
        <w:rPr>
          <w:rFonts w:asciiTheme="minorBidi" w:hAnsiTheme="minorBidi" w:cstheme="minorBidi"/>
          <w:lang w:val="fr-FR"/>
        </w:rPr>
        <w:t>’</w:t>
      </w:r>
      <w:r w:rsidR="00442B7E" w:rsidRPr="00BB4589">
        <w:rPr>
          <w:rFonts w:asciiTheme="minorBidi" w:hAnsiTheme="minorBidi" w:cstheme="minorBidi"/>
          <w:lang w:val="fr-FR"/>
        </w:rPr>
        <w:t>Assemblée générale des Nations unies.</w:t>
      </w:r>
    </w:p>
    <w:p w14:paraId="1B6BF755" w14:textId="050721BE"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Un effort a été engagé en 2021 pour proposer des contenus plus fréquents, diversifiés et engageants sur le portail de la Convention. Des initiatives ont été prises pour mieux mettre en valeur les contenus thématiques, avec la création en 2020 de pages thématiques consacrées au </w:t>
      </w:r>
      <w:hyperlink r:id="rId29" w:history="1">
        <w:r w:rsidR="0007499B" w:rsidRPr="00BB4589">
          <w:rPr>
            <w:rStyle w:val="Hyperlink"/>
            <w:rFonts w:asciiTheme="minorBidi" w:hAnsiTheme="minorBidi" w:cstheme="minorBidi"/>
            <w:lang w:val="fr-FR"/>
          </w:rPr>
          <w:t>patrimoine vivant dans les situations d</w:t>
        </w:r>
        <w:r w:rsidR="00BB4589">
          <w:rPr>
            <w:rStyle w:val="Hyperlink"/>
            <w:rFonts w:asciiTheme="minorBidi" w:hAnsiTheme="minorBidi" w:cstheme="minorBidi"/>
            <w:lang w:val="fr-FR"/>
          </w:rPr>
          <w:t>’</w:t>
        </w:r>
        <w:r w:rsidR="0007499B" w:rsidRPr="00BB4589">
          <w:rPr>
            <w:rStyle w:val="Hyperlink"/>
            <w:rFonts w:asciiTheme="minorBidi" w:hAnsiTheme="minorBidi" w:cstheme="minorBidi"/>
            <w:lang w:val="fr-FR"/>
          </w:rPr>
          <w:t>urgence</w:t>
        </w:r>
      </w:hyperlink>
      <w:r w:rsidR="0007499B" w:rsidRPr="00BB4589">
        <w:rPr>
          <w:rFonts w:asciiTheme="minorBidi" w:hAnsiTheme="minorBidi" w:cstheme="minorBidi"/>
          <w:lang w:val="fr-FR"/>
        </w:rPr>
        <w:t xml:space="preserve"> et au </w:t>
      </w:r>
      <w:hyperlink r:id="rId30" w:history="1">
        <w:r w:rsidR="0007499B" w:rsidRPr="00BB4589">
          <w:rPr>
            <w:rStyle w:val="Hyperlink"/>
            <w:rFonts w:asciiTheme="minorBidi" w:hAnsiTheme="minorBidi" w:cstheme="minorBidi"/>
            <w:lang w:val="fr-FR"/>
          </w:rPr>
          <w:t>patrimoine vivant et à l</w:t>
        </w:r>
        <w:r w:rsidR="00BB4589">
          <w:rPr>
            <w:rStyle w:val="Hyperlink"/>
            <w:rFonts w:asciiTheme="minorBidi" w:hAnsiTheme="minorBidi" w:cstheme="minorBidi"/>
            <w:lang w:val="fr-FR"/>
          </w:rPr>
          <w:t>’</w:t>
        </w:r>
        <w:r w:rsidR="0007499B" w:rsidRPr="00BB4589">
          <w:rPr>
            <w:rStyle w:val="Hyperlink"/>
            <w:rFonts w:asciiTheme="minorBidi" w:hAnsiTheme="minorBidi" w:cstheme="minorBidi"/>
            <w:lang w:val="fr-FR"/>
          </w:rPr>
          <w:t>éducation</w:t>
        </w:r>
      </w:hyperlink>
      <w:r w:rsidRPr="00BB4589">
        <w:rPr>
          <w:rFonts w:asciiTheme="minorBidi" w:hAnsiTheme="minorBidi" w:cstheme="minorBidi"/>
          <w:lang w:val="fr-FR"/>
        </w:rPr>
        <w:t>. Une série d</w:t>
      </w:r>
      <w:r w:rsidR="00BB4589">
        <w:rPr>
          <w:rFonts w:asciiTheme="minorBidi" w:hAnsiTheme="minorBidi" w:cstheme="minorBidi"/>
          <w:lang w:val="fr-FR"/>
        </w:rPr>
        <w:t>’</w:t>
      </w:r>
      <w:r w:rsidRPr="00BB4589">
        <w:rPr>
          <w:rFonts w:asciiTheme="minorBidi" w:hAnsiTheme="minorBidi" w:cstheme="minorBidi"/>
          <w:lang w:val="fr-FR"/>
        </w:rPr>
        <w:t>articles d</w:t>
      </w:r>
      <w:r w:rsidR="00BB4589">
        <w:rPr>
          <w:rFonts w:asciiTheme="minorBidi" w:hAnsiTheme="minorBidi" w:cstheme="minorBidi"/>
          <w:lang w:val="fr-FR"/>
        </w:rPr>
        <w:t>’</w:t>
      </w:r>
      <w:r w:rsidRPr="00BB4589">
        <w:rPr>
          <w:rFonts w:asciiTheme="minorBidi" w:hAnsiTheme="minorBidi" w:cstheme="minorBidi"/>
          <w:lang w:val="fr-FR"/>
        </w:rPr>
        <w:t>actualité liés aux Journées internationales a été publiée afin de mieux relier les initiatives en matière de patrimoine vivant aux efforts de communication à l</w:t>
      </w:r>
      <w:r w:rsidR="00BB4589">
        <w:rPr>
          <w:rFonts w:asciiTheme="minorBidi" w:hAnsiTheme="minorBidi" w:cstheme="minorBidi"/>
          <w:lang w:val="fr-FR"/>
        </w:rPr>
        <w:t>’</w:t>
      </w:r>
      <w:r w:rsidRPr="00BB4589">
        <w:rPr>
          <w:rFonts w:asciiTheme="minorBidi" w:hAnsiTheme="minorBidi" w:cstheme="minorBidi"/>
          <w:lang w:val="fr-FR"/>
        </w:rPr>
        <w:t>échelle des Nations unies. L</w:t>
      </w:r>
      <w:r w:rsidR="00BB4589">
        <w:rPr>
          <w:rFonts w:asciiTheme="minorBidi" w:hAnsiTheme="minorBidi" w:cstheme="minorBidi"/>
          <w:lang w:val="fr-FR"/>
        </w:rPr>
        <w:t>’</w:t>
      </w:r>
      <w:r w:rsidRPr="00BB4589">
        <w:rPr>
          <w:rFonts w:asciiTheme="minorBidi" w:hAnsiTheme="minorBidi" w:cstheme="minorBidi"/>
          <w:lang w:val="fr-FR"/>
        </w:rPr>
        <w:t xml:space="preserve">exposition </w:t>
      </w:r>
      <w:r w:rsidR="00016F20">
        <w:rPr>
          <w:rFonts w:asciiTheme="minorBidi" w:hAnsiTheme="minorBidi" w:cstheme="minorBidi"/>
          <w:lang w:val="fr-FR"/>
        </w:rPr>
        <w:t>« </w:t>
      </w:r>
      <w:r w:rsidRPr="00BB4589">
        <w:rPr>
          <w:rFonts w:asciiTheme="minorBidi" w:hAnsiTheme="minorBidi" w:cstheme="minorBidi"/>
          <w:lang w:val="fr-FR"/>
        </w:rPr>
        <w:t>Sons du patrimoine vivant, un voyage à travers les langues autochtones</w:t>
      </w:r>
      <w:r w:rsidR="00016F20">
        <w:rPr>
          <w:rFonts w:asciiTheme="minorBidi" w:hAnsiTheme="minorBidi" w:cstheme="minorBidi"/>
          <w:lang w:val="fr-FR"/>
        </w:rPr>
        <w:t> »</w:t>
      </w:r>
      <w:r w:rsidRPr="00BB4589">
        <w:rPr>
          <w:rFonts w:asciiTheme="minorBidi" w:hAnsiTheme="minorBidi" w:cstheme="minorBidi"/>
          <w:lang w:val="fr-FR"/>
        </w:rPr>
        <w:t xml:space="preserve">, initialement lancée en 2019, est présentée dans les halls du </w:t>
      </w:r>
      <w:r w:rsidR="00016F20">
        <w:rPr>
          <w:rFonts w:asciiTheme="minorBidi" w:hAnsiTheme="minorBidi" w:cstheme="minorBidi"/>
          <w:lang w:val="fr-FR"/>
        </w:rPr>
        <w:t>S</w:t>
      </w:r>
      <w:r w:rsidRPr="00BB4589">
        <w:rPr>
          <w:rFonts w:asciiTheme="minorBidi" w:hAnsiTheme="minorBidi" w:cstheme="minorBidi"/>
          <w:lang w:val="fr-FR"/>
        </w:rPr>
        <w:t>iège de l</w:t>
      </w:r>
      <w:r w:rsidR="00BB4589">
        <w:rPr>
          <w:rFonts w:asciiTheme="minorBidi" w:hAnsiTheme="minorBidi" w:cstheme="minorBidi"/>
          <w:lang w:val="fr-FR"/>
        </w:rPr>
        <w:t>’</w:t>
      </w:r>
      <w:r w:rsidRPr="00BB4589">
        <w:rPr>
          <w:rFonts w:asciiTheme="minorBidi" w:hAnsiTheme="minorBidi" w:cstheme="minorBidi"/>
          <w:lang w:val="fr-FR"/>
        </w:rPr>
        <w:t xml:space="preserve">UNESCO, en amont de la Décennie internationale des langues autochtones 2022-2032. </w:t>
      </w:r>
      <w:r w:rsidR="00BE022A" w:rsidRPr="00BB4589">
        <w:rPr>
          <w:rFonts w:asciiTheme="minorBidi" w:hAnsiTheme="minorBidi" w:cstheme="minorBidi"/>
          <w:lang w:val="fr-FR"/>
        </w:rPr>
        <w:t xml:space="preserve">Pour marquer le </w:t>
      </w:r>
      <w:hyperlink r:id="rId31" w:history="1">
        <w:r w:rsidR="00BE022A" w:rsidRPr="00BB4589">
          <w:rPr>
            <w:lang w:val="fr-FR"/>
          </w:rPr>
          <w:t>75e anniversaire de l</w:t>
        </w:r>
        <w:r w:rsidR="00BB4589">
          <w:rPr>
            <w:lang w:val="fr-FR"/>
          </w:rPr>
          <w:t>’</w:t>
        </w:r>
        <w:r w:rsidR="00BE022A" w:rsidRPr="00BB4589">
          <w:rPr>
            <w:lang w:val="fr-FR"/>
          </w:rPr>
          <w:t>UNESCO</w:t>
        </w:r>
      </w:hyperlink>
      <w:r w:rsidR="00BE022A" w:rsidRPr="00BB4589">
        <w:rPr>
          <w:rFonts w:asciiTheme="minorBidi" w:hAnsiTheme="minorBidi" w:cstheme="minorBidi"/>
          <w:lang w:val="fr-FR"/>
        </w:rPr>
        <w:t>, un panneau consacré au patrimoine vivant a été présenté au siège de l</w:t>
      </w:r>
      <w:r w:rsidR="00BB4589">
        <w:rPr>
          <w:rFonts w:asciiTheme="minorBidi" w:hAnsiTheme="minorBidi" w:cstheme="minorBidi"/>
          <w:lang w:val="fr-FR"/>
        </w:rPr>
        <w:t>’</w:t>
      </w:r>
      <w:r w:rsidR="00BE022A" w:rsidRPr="00BB4589">
        <w:rPr>
          <w:rFonts w:asciiTheme="minorBidi" w:hAnsiTheme="minorBidi" w:cstheme="minorBidi"/>
          <w:lang w:val="fr-FR"/>
        </w:rPr>
        <w:t>UNESCO, et des images envoyées par les États parties d</w:t>
      </w:r>
      <w:r w:rsidR="00BB4589">
        <w:rPr>
          <w:rFonts w:asciiTheme="minorBidi" w:hAnsiTheme="minorBidi" w:cstheme="minorBidi"/>
          <w:lang w:val="fr-FR"/>
        </w:rPr>
        <w:t>’</w:t>
      </w:r>
      <w:r w:rsidR="00BE022A" w:rsidRPr="00BB4589">
        <w:rPr>
          <w:rFonts w:asciiTheme="minorBidi" w:hAnsiTheme="minorBidi" w:cstheme="minorBidi"/>
          <w:lang w:val="fr-FR"/>
        </w:rPr>
        <w:t>éléments du patrimoine vivant ont été affichées à l</w:t>
      </w:r>
      <w:r w:rsidR="00BB4589">
        <w:rPr>
          <w:rFonts w:asciiTheme="minorBidi" w:hAnsiTheme="minorBidi" w:cstheme="minorBidi"/>
          <w:lang w:val="fr-FR"/>
        </w:rPr>
        <w:t>’</w:t>
      </w:r>
      <w:r w:rsidR="00BE022A" w:rsidRPr="00BB4589">
        <w:rPr>
          <w:rFonts w:asciiTheme="minorBidi" w:hAnsiTheme="minorBidi" w:cstheme="minorBidi"/>
          <w:lang w:val="fr-FR"/>
        </w:rPr>
        <w:t xml:space="preserve">extérieur du bâtiment </w:t>
      </w:r>
      <w:r w:rsidR="00EA245B" w:rsidRPr="00BB4589">
        <w:rPr>
          <w:rFonts w:asciiTheme="minorBidi" w:hAnsiTheme="minorBidi" w:cstheme="minorBidi"/>
          <w:lang w:val="fr-FR"/>
        </w:rPr>
        <w:t>Fontenoy</w:t>
      </w:r>
      <w:r w:rsidR="00BE022A" w:rsidRPr="00BB4589">
        <w:rPr>
          <w:rFonts w:asciiTheme="minorBidi" w:hAnsiTheme="minorBidi" w:cstheme="minorBidi"/>
          <w:lang w:val="fr-FR"/>
        </w:rPr>
        <w:t>.</w:t>
      </w:r>
    </w:p>
    <w:p w14:paraId="17FC29A2" w14:textId="1A0FE933" w:rsidR="001578FB" w:rsidRPr="00BB4589" w:rsidRDefault="005C6D24">
      <w:pPr>
        <w:pStyle w:val="GAPara"/>
        <w:numPr>
          <w:ilvl w:val="0"/>
          <w:numId w:val="19"/>
        </w:numPr>
        <w:ind w:left="567" w:hanging="567"/>
        <w:jc w:val="both"/>
        <w:rPr>
          <w:rFonts w:asciiTheme="minorBidi" w:hAnsiTheme="minorBidi" w:cstheme="minorBidi"/>
          <w:lang w:val="fr-FR"/>
        </w:rPr>
      </w:pPr>
      <w:r>
        <w:rPr>
          <w:rFonts w:asciiTheme="minorBidi" w:hAnsiTheme="minorBidi" w:cstheme="minorBidi"/>
          <w:lang w:val="fr-FR"/>
        </w:rPr>
        <w:t>Alors que</w:t>
      </w:r>
      <w:r w:rsidRPr="00BB4589">
        <w:rPr>
          <w:rFonts w:asciiTheme="minorBidi" w:hAnsiTheme="minorBidi" w:cstheme="minorBidi"/>
          <w:lang w:val="fr-FR"/>
        </w:rPr>
        <w:t xml:space="preserve"> </w:t>
      </w:r>
      <w:r w:rsidR="009069B4" w:rsidRPr="00BB4589">
        <w:rPr>
          <w:rFonts w:asciiTheme="minorBidi" w:hAnsiTheme="minorBidi" w:cstheme="minorBidi"/>
          <w:lang w:val="fr-FR"/>
        </w:rPr>
        <w:t xml:space="preserve">la </w:t>
      </w:r>
      <w:r w:rsidR="0002074F" w:rsidRPr="00BB4589">
        <w:rPr>
          <w:rFonts w:asciiTheme="minorBidi" w:hAnsiTheme="minorBidi" w:cstheme="minorBidi"/>
          <w:lang w:val="fr-FR"/>
        </w:rPr>
        <w:t>seizième session du Comité n</w:t>
      </w:r>
      <w:r w:rsidR="00BB4589">
        <w:rPr>
          <w:rFonts w:asciiTheme="minorBidi" w:hAnsiTheme="minorBidi" w:cstheme="minorBidi"/>
          <w:lang w:val="fr-FR"/>
        </w:rPr>
        <w:t>’</w:t>
      </w:r>
      <w:r w:rsidR="0002074F" w:rsidRPr="00BB4589">
        <w:rPr>
          <w:rFonts w:asciiTheme="minorBidi" w:hAnsiTheme="minorBidi" w:cstheme="minorBidi"/>
          <w:lang w:val="fr-FR"/>
        </w:rPr>
        <w:t>a pas pu se dérouler en présentiel, des événements parallèles ont été organisés en ligne</w:t>
      </w:r>
      <w:r w:rsidR="009069B4" w:rsidRPr="00BB4589">
        <w:rPr>
          <w:rFonts w:asciiTheme="minorBidi" w:hAnsiTheme="minorBidi" w:cstheme="minorBidi"/>
          <w:lang w:val="fr-FR"/>
        </w:rPr>
        <w:t>, attirant une large participation</w:t>
      </w:r>
      <w:r w:rsidR="003A4F0D" w:rsidRPr="00BB4589">
        <w:rPr>
          <w:rFonts w:asciiTheme="minorBidi" w:hAnsiTheme="minorBidi" w:cstheme="minorBidi"/>
          <w:lang w:val="fr-FR"/>
        </w:rPr>
        <w:t xml:space="preserve">. Des </w:t>
      </w:r>
      <w:r w:rsidR="009069B4" w:rsidRPr="00BB4589">
        <w:rPr>
          <w:lang w:val="fr-FR"/>
        </w:rPr>
        <w:t>conférences de presse lors des principales réunions statutaires et un dossier de presse produit chaque année pour le Comité visaient à s</w:t>
      </w:r>
      <w:r w:rsidR="00BB4589">
        <w:rPr>
          <w:lang w:val="fr-FR"/>
        </w:rPr>
        <w:t>’</w:t>
      </w:r>
      <w:r w:rsidR="009069B4" w:rsidRPr="00BB4589">
        <w:rPr>
          <w:lang w:val="fr-FR"/>
        </w:rPr>
        <w:t xml:space="preserve">adresser aux </w:t>
      </w:r>
      <w:r w:rsidR="00471D40">
        <w:rPr>
          <w:lang w:val="fr-FR"/>
        </w:rPr>
        <w:t>représentants</w:t>
      </w:r>
      <w:r w:rsidR="00471D40" w:rsidRPr="00BB4589">
        <w:rPr>
          <w:lang w:val="fr-FR"/>
        </w:rPr>
        <w:t xml:space="preserve"> </w:t>
      </w:r>
      <w:r w:rsidR="009069B4" w:rsidRPr="00BB4589">
        <w:rPr>
          <w:lang w:val="fr-FR"/>
        </w:rPr>
        <w:t>des médias</w:t>
      </w:r>
      <w:r w:rsidR="00CA719A" w:rsidRPr="00BB4589">
        <w:rPr>
          <w:lang w:val="fr-FR"/>
        </w:rPr>
        <w:t xml:space="preserve">, </w:t>
      </w:r>
      <w:r w:rsidR="009069B4" w:rsidRPr="00BB4589">
        <w:rPr>
          <w:lang w:val="fr-FR"/>
        </w:rPr>
        <w:t xml:space="preserve">tandis que des initiatives sur le web et les médias sociaux ont permis de toucher le grand public, notamment par le biais de Twitter et de Facebook Live. </w:t>
      </w:r>
      <w:r w:rsidR="003A4F0D" w:rsidRPr="00BB4589">
        <w:rPr>
          <w:rFonts w:asciiTheme="minorBidi" w:hAnsiTheme="minorBidi" w:cstheme="minorBidi"/>
          <w:lang w:val="fr-FR"/>
        </w:rPr>
        <w:t>Le nouveau logo de l</w:t>
      </w:r>
      <w:r w:rsidR="00BB4589">
        <w:rPr>
          <w:rFonts w:asciiTheme="minorBidi" w:hAnsiTheme="minorBidi" w:cstheme="minorBidi"/>
          <w:lang w:val="fr-FR"/>
        </w:rPr>
        <w:t>’</w:t>
      </w:r>
      <w:r w:rsidR="003A4F0D" w:rsidRPr="00BB4589">
        <w:rPr>
          <w:rFonts w:asciiTheme="minorBidi" w:hAnsiTheme="minorBidi" w:cstheme="minorBidi"/>
          <w:lang w:val="fr-FR"/>
        </w:rPr>
        <w:t xml:space="preserve">UNESCO a été largement intégré dans la correspondance et le matériel de communication du Secrétariat. </w:t>
      </w:r>
      <w:r w:rsidR="00BE022A" w:rsidRPr="00BB4589">
        <w:rPr>
          <w:rFonts w:asciiTheme="minorBidi" w:hAnsiTheme="minorBidi" w:cstheme="minorBidi"/>
          <w:lang w:val="fr-FR"/>
        </w:rPr>
        <w:t>La visibilité de la Convention a également été améliorée dans les communications de l</w:t>
      </w:r>
      <w:r w:rsidR="00BB4589">
        <w:rPr>
          <w:rFonts w:asciiTheme="minorBidi" w:hAnsiTheme="minorBidi" w:cstheme="minorBidi"/>
          <w:lang w:val="fr-FR"/>
        </w:rPr>
        <w:t>’</w:t>
      </w:r>
      <w:r w:rsidR="00BE022A" w:rsidRPr="00BB4589">
        <w:rPr>
          <w:rFonts w:asciiTheme="minorBidi" w:hAnsiTheme="minorBidi" w:cstheme="minorBidi"/>
          <w:lang w:val="fr-FR"/>
        </w:rPr>
        <w:t xml:space="preserve">UNESCO, grâce à </w:t>
      </w:r>
      <w:r w:rsidR="00016F20">
        <w:rPr>
          <w:rFonts w:asciiTheme="minorBidi" w:hAnsiTheme="minorBidi" w:cstheme="minorBidi"/>
          <w:lang w:val="fr-FR"/>
        </w:rPr>
        <w:t>davantage de publications</w:t>
      </w:r>
      <w:r w:rsidR="00BE022A" w:rsidRPr="00BB4589">
        <w:rPr>
          <w:rFonts w:asciiTheme="minorBidi" w:hAnsiTheme="minorBidi" w:cstheme="minorBidi"/>
          <w:lang w:val="fr-FR"/>
        </w:rPr>
        <w:t xml:space="preserve"> sur les </w:t>
      </w:r>
      <w:r w:rsidR="00016F20">
        <w:rPr>
          <w:rFonts w:asciiTheme="minorBidi" w:hAnsiTheme="minorBidi" w:cstheme="minorBidi"/>
          <w:lang w:val="fr-FR"/>
        </w:rPr>
        <w:t xml:space="preserve">réseaux </w:t>
      </w:r>
      <w:r w:rsidR="00BE022A" w:rsidRPr="00BB4589">
        <w:rPr>
          <w:rFonts w:asciiTheme="minorBidi" w:hAnsiTheme="minorBidi" w:cstheme="minorBidi"/>
          <w:lang w:val="fr-FR"/>
        </w:rPr>
        <w:t>sociaux mettant en scène le patrimoine vivant.</w:t>
      </w:r>
    </w:p>
    <w:p w14:paraId="3FD5F6B5" w14:textId="6F720EFC" w:rsidR="001578FB" w:rsidRPr="000B1D75" w:rsidRDefault="009069B4">
      <w:pPr>
        <w:pStyle w:val="COMPara"/>
        <w:keepNext/>
        <w:numPr>
          <w:ilvl w:val="0"/>
          <w:numId w:val="21"/>
        </w:numPr>
        <w:spacing w:before="240"/>
        <w:ind w:left="576" w:hanging="432"/>
        <w:jc w:val="both"/>
        <w:rPr>
          <w:rFonts w:asciiTheme="minorBidi" w:hAnsiTheme="minorBidi" w:cstheme="minorBidi"/>
          <w:b/>
          <w:bCs/>
          <w:lang w:val="fr-FR"/>
        </w:rPr>
      </w:pPr>
      <w:r w:rsidRPr="000B1D75">
        <w:rPr>
          <w:rFonts w:asciiTheme="minorBidi" w:hAnsiTheme="minorBidi" w:cstheme="minorBidi"/>
          <w:b/>
          <w:bCs/>
          <w:lang w:val="fr-FR"/>
        </w:rPr>
        <w:t>Principaux défis et pistes d</w:t>
      </w:r>
      <w:r w:rsidR="00BB4589" w:rsidRPr="000B1D75">
        <w:rPr>
          <w:rFonts w:asciiTheme="minorBidi" w:hAnsiTheme="minorBidi" w:cstheme="minorBidi"/>
          <w:b/>
          <w:bCs/>
          <w:lang w:val="fr-FR"/>
        </w:rPr>
        <w:t>’</w:t>
      </w:r>
      <w:r w:rsidRPr="000B1D75">
        <w:rPr>
          <w:rFonts w:asciiTheme="minorBidi" w:hAnsiTheme="minorBidi" w:cstheme="minorBidi"/>
          <w:b/>
          <w:bCs/>
          <w:lang w:val="fr-FR"/>
        </w:rPr>
        <w:t>action</w:t>
      </w:r>
    </w:p>
    <w:p w14:paraId="0E6642D7" w14:textId="59C06126"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Les activités du Secrétariat au cours des deux dernières années ont été particulièrement marquées par la pandémie d</w:t>
      </w:r>
      <w:r w:rsidR="00471D40">
        <w:rPr>
          <w:rFonts w:asciiTheme="minorBidi" w:hAnsiTheme="minorBidi" w:cstheme="minorBidi"/>
          <w:lang w:val="fr-FR"/>
        </w:rPr>
        <w:t>e</w:t>
      </w:r>
      <w:r w:rsidRPr="00BB4589">
        <w:rPr>
          <w:rFonts w:asciiTheme="minorBidi" w:hAnsiTheme="minorBidi" w:cstheme="minorBidi"/>
          <w:lang w:val="fr-FR"/>
        </w:rPr>
        <w:t xml:space="preserve"> COVID-19 </w:t>
      </w:r>
      <w:r w:rsidR="002636F7" w:rsidRPr="00BB4589">
        <w:rPr>
          <w:rFonts w:asciiTheme="minorBidi" w:hAnsiTheme="minorBidi" w:cstheme="minorBidi"/>
          <w:lang w:val="fr-FR"/>
        </w:rPr>
        <w:t>qui a mis en évidence plus que jamais la valeur du patrimoine culturel immatériel et l</w:t>
      </w:r>
      <w:r w:rsidR="00BB4589">
        <w:rPr>
          <w:rFonts w:asciiTheme="minorBidi" w:hAnsiTheme="minorBidi" w:cstheme="minorBidi"/>
          <w:lang w:val="fr-FR"/>
        </w:rPr>
        <w:t>’</w:t>
      </w:r>
      <w:r w:rsidR="002636F7" w:rsidRPr="00BB4589">
        <w:rPr>
          <w:rFonts w:asciiTheme="minorBidi" w:hAnsiTheme="minorBidi" w:cstheme="minorBidi"/>
          <w:lang w:val="fr-FR"/>
        </w:rPr>
        <w:t>importance que les communautés attachent à sa pratique et à son expression continues</w:t>
      </w:r>
      <w:r w:rsidRPr="00BB4589">
        <w:rPr>
          <w:rFonts w:asciiTheme="minorBidi" w:hAnsiTheme="minorBidi" w:cstheme="minorBidi"/>
          <w:lang w:val="fr-FR"/>
        </w:rPr>
        <w:t xml:space="preserve">. </w:t>
      </w:r>
      <w:r w:rsidR="00F9588E">
        <w:rPr>
          <w:rFonts w:asciiTheme="minorBidi" w:hAnsiTheme="minorBidi" w:cstheme="minorBidi"/>
          <w:lang w:val="fr-FR"/>
        </w:rPr>
        <w:t>Alors que</w:t>
      </w:r>
      <w:r w:rsidR="00F9588E" w:rsidRPr="00BB4589">
        <w:rPr>
          <w:rFonts w:asciiTheme="minorBidi" w:hAnsiTheme="minorBidi" w:cstheme="minorBidi"/>
          <w:lang w:val="fr-FR"/>
        </w:rPr>
        <w:t xml:space="preserve"> </w:t>
      </w:r>
      <w:r w:rsidRPr="00BB4589">
        <w:rPr>
          <w:rFonts w:asciiTheme="minorBidi" w:hAnsiTheme="minorBidi" w:cstheme="minorBidi"/>
          <w:lang w:val="fr-FR"/>
        </w:rPr>
        <w:t xml:space="preserve">la </w:t>
      </w:r>
      <w:r w:rsidR="00F74156" w:rsidRPr="00BB4589">
        <w:rPr>
          <w:rFonts w:asciiTheme="minorBidi" w:hAnsiTheme="minorBidi" w:cstheme="minorBidi"/>
          <w:lang w:val="fr-FR"/>
        </w:rPr>
        <w:t xml:space="preserve">crise </w:t>
      </w:r>
      <w:r w:rsidRPr="00BB4589">
        <w:rPr>
          <w:rFonts w:asciiTheme="minorBidi" w:hAnsiTheme="minorBidi" w:cstheme="minorBidi"/>
          <w:lang w:val="fr-FR"/>
        </w:rPr>
        <w:t xml:space="preserve">a posé des défis </w:t>
      </w:r>
      <w:r w:rsidR="00F74156" w:rsidRPr="00BB4589">
        <w:rPr>
          <w:rFonts w:asciiTheme="minorBidi" w:hAnsiTheme="minorBidi" w:cstheme="minorBidi"/>
          <w:lang w:val="fr-FR"/>
        </w:rPr>
        <w:t>importants</w:t>
      </w:r>
      <w:r w:rsidR="002636F7" w:rsidRPr="00BB4589">
        <w:rPr>
          <w:rFonts w:asciiTheme="minorBidi" w:hAnsiTheme="minorBidi" w:cstheme="minorBidi"/>
          <w:lang w:val="fr-FR"/>
        </w:rPr>
        <w:t>, il convient de noter que les organes directeurs de la Convention, les mécanismes statutaires et les initiatives opérationnelles clés de la Convention, soutenus par le Secrétariat, se sont poursuivis sans interruption, en préservant l</w:t>
      </w:r>
      <w:r w:rsidR="00BB4589">
        <w:rPr>
          <w:rFonts w:asciiTheme="minorBidi" w:hAnsiTheme="minorBidi" w:cstheme="minorBidi"/>
          <w:lang w:val="fr-FR"/>
        </w:rPr>
        <w:t>’</w:t>
      </w:r>
      <w:r w:rsidR="002636F7" w:rsidRPr="00BB4589">
        <w:rPr>
          <w:rFonts w:asciiTheme="minorBidi" w:hAnsiTheme="minorBidi" w:cstheme="minorBidi"/>
          <w:lang w:val="fr-FR"/>
        </w:rPr>
        <w:t>équité entre les décideurs et la répartition régionale des acteurs impliqués, conformément aux dispositions des Directives opérationnelles. Cela a prouvé que la structure statutaire mise en place était à la fois suffisamment solide pour résister à l</w:t>
      </w:r>
      <w:r w:rsidR="00BB4589">
        <w:rPr>
          <w:rFonts w:asciiTheme="minorBidi" w:hAnsiTheme="minorBidi" w:cstheme="minorBidi"/>
          <w:lang w:val="fr-FR"/>
        </w:rPr>
        <w:t>’</w:t>
      </w:r>
      <w:r w:rsidR="002636F7" w:rsidRPr="00BB4589">
        <w:rPr>
          <w:rFonts w:asciiTheme="minorBidi" w:hAnsiTheme="minorBidi" w:cstheme="minorBidi"/>
          <w:lang w:val="fr-FR"/>
        </w:rPr>
        <w:t>impact de la crise et suffisamment souple pour s</w:t>
      </w:r>
      <w:r w:rsidR="00BB4589">
        <w:rPr>
          <w:rFonts w:asciiTheme="minorBidi" w:hAnsiTheme="minorBidi" w:cstheme="minorBidi"/>
          <w:lang w:val="fr-FR"/>
        </w:rPr>
        <w:t>’</w:t>
      </w:r>
      <w:r w:rsidR="002636F7" w:rsidRPr="00BB4589">
        <w:rPr>
          <w:rFonts w:asciiTheme="minorBidi" w:hAnsiTheme="minorBidi" w:cstheme="minorBidi"/>
          <w:lang w:val="fr-FR"/>
        </w:rPr>
        <w:t xml:space="preserve">adapter aux circonstances défavorables. Des moyens novateurs ont été introduits pour maintenir la possibilité de travailler en collaboration et des outils numériques ont été développés, dont certains offraient de nouvelles possibilités qui pourraient rester en place dans un environnement </w:t>
      </w:r>
      <w:proofErr w:type="spellStart"/>
      <w:r w:rsidR="002636F7" w:rsidRPr="00BB4589">
        <w:rPr>
          <w:rFonts w:asciiTheme="minorBidi" w:hAnsiTheme="minorBidi" w:cstheme="minorBidi"/>
          <w:lang w:val="fr-FR"/>
        </w:rPr>
        <w:t>post-pandémique</w:t>
      </w:r>
      <w:proofErr w:type="spellEnd"/>
      <w:r w:rsidR="002636F7" w:rsidRPr="00BB4589">
        <w:rPr>
          <w:rFonts w:asciiTheme="minorBidi" w:hAnsiTheme="minorBidi" w:cstheme="minorBidi"/>
          <w:lang w:val="fr-FR"/>
        </w:rPr>
        <w:t>.</w:t>
      </w:r>
    </w:p>
    <w:p w14:paraId="041EF7B8" w14:textId="7EC4EC62"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Les premiers résultats obtenus dans le cadre de la mise en œuvre du mécanisme réformé de présentation des rapports périodiques </w:t>
      </w:r>
      <w:r w:rsidR="00A14DBC" w:rsidRPr="00BB4589">
        <w:rPr>
          <w:rFonts w:asciiTheme="minorBidi" w:hAnsiTheme="minorBidi" w:cstheme="minorBidi"/>
          <w:lang w:val="fr-FR"/>
        </w:rPr>
        <w:t xml:space="preserve">sont </w:t>
      </w:r>
      <w:r w:rsidRPr="00BB4589">
        <w:rPr>
          <w:rFonts w:asciiTheme="minorBidi" w:hAnsiTheme="minorBidi" w:cstheme="minorBidi"/>
          <w:lang w:val="fr-FR"/>
        </w:rPr>
        <w:t>particulièrement encourageants</w:t>
      </w:r>
      <w:r w:rsidR="00A14DBC" w:rsidRPr="00BB4589">
        <w:rPr>
          <w:rFonts w:asciiTheme="minorBidi" w:hAnsiTheme="minorBidi" w:cstheme="minorBidi"/>
          <w:lang w:val="fr-FR"/>
        </w:rPr>
        <w:t xml:space="preserve">. Une nette amélioration des </w:t>
      </w:r>
      <w:r w:rsidR="00817639" w:rsidRPr="00BB4589">
        <w:rPr>
          <w:rFonts w:asciiTheme="minorBidi" w:hAnsiTheme="minorBidi" w:cstheme="minorBidi"/>
          <w:lang w:val="fr-FR"/>
        </w:rPr>
        <w:t>taux de</w:t>
      </w:r>
      <w:r w:rsidR="00A14DBC" w:rsidRPr="00BB4589">
        <w:rPr>
          <w:rFonts w:asciiTheme="minorBidi" w:hAnsiTheme="minorBidi" w:cstheme="minorBidi"/>
          <w:lang w:val="fr-FR"/>
        </w:rPr>
        <w:t xml:space="preserve"> soumission </w:t>
      </w:r>
      <w:r w:rsidR="007A11D1" w:rsidRPr="00BB4589">
        <w:rPr>
          <w:rFonts w:asciiTheme="minorBidi" w:hAnsiTheme="minorBidi" w:cstheme="minorBidi"/>
          <w:lang w:val="fr-FR"/>
        </w:rPr>
        <w:t xml:space="preserve">reflète la </w:t>
      </w:r>
      <w:r w:rsidR="00817639" w:rsidRPr="00BB4589">
        <w:rPr>
          <w:rFonts w:asciiTheme="minorBidi" w:hAnsiTheme="minorBidi" w:cstheme="minorBidi"/>
          <w:lang w:val="fr-FR"/>
        </w:rPr>
        <w:t xml:space="preserve">large </w:t>
      </w:r>
      <w:r w:rsidR="00817639" w:rsidRPr="009B7E90">
        <w:rPr>
          <w:rFonts w:asciiTheme="minorBidi" w:hAnsiTheme="minorBidi" w:cstheme="minorBidi"/>
          <w:lang w:val="fr-FR"/>
        </w:rPr>
        <w:t xml:space="preserve">participation des </w:t>
      </w:r>
      <w:r w:rsidR="00B8100E" w:rsidRPr="009B7E90">
        <w:rPr>
          <w:rFonts w:asciiTheme="minorBidi" w:hAnsiTheme="minorBidi" w:cstheme="minorBidi"/>
          <w:lang w:val="fr-FR"/>
        </w:rPr>
        <w:t>É</w:t>
      </w:r>
      <w:r w:rsidR="00817639" w:rsidRPr="009B7E90">
        <w:rPr>
          <w:rFonts w:asciiTheme="minorBidi" w:hAnsiTheme="minorBidi" w:cstheme="minorBidi"/>
          <w:lang w:val="fr-FR"/>
        </w:rPr>
        <w:t xml:space="preserve">tats parties </w:t>
      </w:r>
      <w:r w:rsidR="00952105" w:rsidRPr="009B7E90">
        <w:rPr>
          <w:rFonts w:asciiTheme="minorBidi" w:hAnsiTheme="minorBidi" w:cstheme="minorBidi"/>
          <w:lang w:val="fr-FR"/>
        </w:rPr>
        <w:t xml:space="preserve">des deux premières régions </w:t>
      </w:r>
      <w:r w:rsidR="009B7E90" w:rsidRPr="000B1D75">
        <w:rPr>
          <w:rFonts w:asciiTheme="minorBidi" w:hAnsiTheme="minorBidi" w:cstheme="minorBidi"/>
          <w:lang w:val="fr-FR"/>
        </w:rPr>
        <w:t xml:space="preserve">ayant soumis leurs </w:t>
      </w:r>
      <w:r w:rsidR="00952105" w:rsidRPr="009B7E90">
        <w:rPr>
          <w:rFonts w:asciiTheme="minorBidi" w:hAnsiTheme="minorBidi" w:cstheme="minorBidi"/>
          <w:lang w:val="fr-FR"/>
        </w:rPr>
        <w:t>rapport</w:t>
      </w:r>
      <w:r w:rsidR="009B7E90" w:rsidRPr="000B1D75">
        <w:rPr>
          <w:rFonts w:asciiTheme="minorBidi" w:hAnsiTheme="minorBidi" w:cstheme="minorBidi"/>
          <w:lang w:val="fr-FR"/>
        </w:rPr>
        <w:t>s</w:t>
      </w:r>
      <w:r w:rsidR="00952105" w:rsidRPr="009B7E90">
        <w:rPr>
          <w:rFonts w:asciiTheme="minorBidi" w:hAnsiTheme="minorBidi" w:cstheme="minorBidi"/>
          <w:lang w:val="fr-FR"/>
        </w:rPr>
        <w:t xml:space="preserve"> </w:t>
      </w:r>
      <w:r w:rsidR="009B7E90" w:rsidRPr="000B1D75">
        <w:rPr>
          <w:rFonts w:asciiTheme="minorBidi" w:hAnsiTheme="minorBidi" w:cstheme="minorBidi"/>
          <w:lang w:val="fr-FR"/>
        </w:rPr>
        <w:t>sur</w:t>
      </w:r>
      <w:r w:rsidR="009B7E90" w:rsidRPr="009B7E90">
        <w:rPr>
          <w:rFonts w:asciiTheme="minorBidi" w:hAnsiTheme="minorBidi" w:cstheme="minorBidi"/>
          <w:lang w:val="fr-FR"/>
        </w:rPr>
        <w:t xml:space="preserve"> </w:t>
      </w:r>
      <w:r w:rsidR="00952105" w:rsidRPr="009B7E90">
        <w:rPr>
          <w:rFonts w:asciiTheme="minorBidi" w:hAnsiTheme="minorBidi" w:cstheme="minorBidi"/>
          <w:lang w:val="fr-FR"/>
        </w:rPr>
        <w:t xml:space="preserve">la </w:t>
      </w:r>
      <w:r w:rsidR="00817639" w:rsidRPr="009B7E90">
        <w:rPr>
          <w:rFonts w:asciiTheme="minorBidi" w:hAnsiTheme="minorBidi" w:cstheme="minorBidi"/>
          <w:lang w:val="fr-FR"/>
        </w:rPr>
        <w:t>mise en œuvre de la Convention. L</w:t>
      </w:r>
      <w:r w:rsidR="00BB4589" w:rsidRPr="009B7E90">
        <w:rPr>
          <w:rFonts w:asciiTheme="minorBidi" w:hAnsiTheme="minorBidi" w:cstheme="minorBidi"/>
          <w:lang w:val="fr-FR"/>
        </w:rPr>
        <w:t>’</w:t>
      </w:r>
      <w:r w:rsidR="00817639" w:rsidRPr="009B7E90">
        <w:rPr>
          <w:rFonts w:asciiTheme="minorBidi" w:hAnsiTheme="minorBidi" w:cstheme="minorBidi"/>
          <w:lang w:val="fr-FR"/>
        </w:rPr>
        <w:t xml:space="preserve">analyse des rapports </w:t>
      </w:r>
      <w:r w:rsidR="00952105" w:rsidRPr="009B7E90">
        <w:rPr>
          <w:rFonts w:asciiTheme="minorBidi" w:hAnsiTheme="minorBidi" w:cstheme="minorBidi"/>
          <w:lang w:val="fr-FR"/>
        </w:rPr>
        <w:t>démontre en outre qu</w:t>
      </w:r>
      <w:r w:rsidR="00BB4589" w:rsidRPr="009B7E90">
        <w:rPr>
          <w:rFonts w:asciiTheme="minorBidi" w:hAnsiTheme="minorBidi" w:cstheme="minorBidi"/>
          <w:lang w:val="fr-FR"/>
        </w:rPr>
        <w:t>’</w:t>
      </w:r>
      <w:r w:rsidR="007A11D1" w:rsidRPr="009B7E90">
        <w:rPr>
          <w:rFonts w:asciiTheme="minorBidi" w:hAnsiTheme="minorBidi" w:cstheme="minorBidi"/>
          <w:lang w:val="fr-FR"/>
        </w:rPr>
        <w:t xml:space="preserve">un </w:t>
      </w:r>
      <w:r w:rsidR="00952105" w:rsidRPr="009B7E90">
        <w:rPr>
          <w:rFonts w:asciiTheme="minorBidi" w:hAnsiTheme="minorBidi" w:cstheme="minorBidi"/>
          <w:lang w:val="fr-FR"/>
        </w:rPr>
        <w:t>nombre significatif d</w:t>
      </w:r>
      <w:r w:rsidR="00BB4589" w:rsidRPr="009B7E90">
        <w:rPr>
          <w:rFonts w:asciiTheme="minorBidi" w:hAnsiTheme="minorBidi" w:cstheme="minorBidi"/>
          <w:lang w:val="fr-FR"/>
        </w:rPr>
        <w:t>’</w:t>
      </w:r>
      <w:r w:rsidR="00952105" w:rsidRPr="009B7E90">
        <w:rPr>
          <w:rFonts w:asciiTheme="minorBidi" w:hAnsiTheme="minorBidi" w:cstheme="minorBidi"/>
          <w:lang w:val="fr-FR"/>
        </w:rPr>
        <w:t>Etats parties de ces</w:t>
      </w:r>
      <w:r w:rsidR="00952105" w:rsidRPr="00BB4589">
        <w:rPr>
          <w:rFonts w:asciiTheme="minorBidi" w:hAnsiTheme="minorBidi" w:cstheme="minorBidi"/>
          <w:lang w:val="fr-FR"/>
        </w:rPr>
        <w:t xml:space="preserve"> régions ont établi et mis en œuvre des projets, programmes et politiques, ainsi que des cadres institutionnels pour les soutenir, visant à sauvegarder le patrimoine culturel immatériel présent sur leurs territoires. </w:t>
      </w:r>
      <w:r w:rsidR="00817639" w:rsidRPr="00BB4589">
        <w:rPr>
          <w:rFonts w:asciiTheme="minorBidi" w:hAnsiTheme="minorBidi" w:cstheme="minorBidi"/>
          <w:lang w:val="fr-FR"/>
        </w:rPr>
        <w:t xml:space="preserve">Sous réserve que la tendance </w:t>
      </w:r>
      <w:r w:rsidR="00663171" w:rsidRPr="00BB4589">
        <w:rPr>
          <w:rFonts w:asciiTheme="minorBidi" w:hAnsiTheme="minorBidi" w:cstheme="minorBidi"/>
          <w:lang w:val="fr-FR"/>
        </w:rPr>
        <w:t xml:space="preserve">positive </w:t>
      </w:r>
      <w:r w:rsidR="00817639" w:rsidRPr="00BB4589">
        <w:rPr>
          <w:rFonts w:asciiTheme="minorBidi" w:hAnsiTheme="minorBidi" w:cstheme="minorBidi"/>
          <w:lang w:val="fr-FR"/>
        </w:rPr>
        <w:t xml:space="preserve">se poursuive dans les autres régions et que les ajustements nécessaires soient </w:t>
      </w:r>
      <w:r w:rsidR="00B8100E">
        <w:rPr>
          <w:rFonts w:asciiTheme="minorBidi" w:hAnsiTheme="minorBidi" w:cstheme="minorBidi"/>
          <w:lang w:val="fr-FR"/>
        </w:rPr>
        <w:t>apportés</w:t>
      </w:r>
      <w:r w:rsidR="00B8100E" w:rsidRPr="00BB4589">
        <w:rPr>
          <w:rFonts w:asciiTheme="minorBidi" w:hAnsiTheme="minorBidi" w:cstheme="minorBidi"/>
          <w:lang w:val="fr-FR"/>
        </w:rPr>
        <w:t xml:space="preserve"> </w:t>
      </w:r>
      <w:r w:rsidR="00817639" w:rsidRPr="00BB4589">
        <w:rPr>
          <w:rFonts w:asciiTheme="minorBidi" w:hAnsiTheme="minorBidi" w:cstheme="minorBidi"/>
          <w:lang w:val="fr-FR"/>
        </w:rPr>
        <w:t xml:space="preserve">en cours de route, le mécanisme réformé de rapports périodiques, axé sur les résultats et aligné sur le cadre </w:t>
      </w:r>
      <w:r w:rsidR="00B8100E">
        <w:rPr>
          <w:rFonts w:asciiTheme="minorBidi" w:hAnsiTheme="minorBidi" w:cstheme="minorBidi"/>
          <w:lang w:val="fr-FR"/>
        </w:rPr>
        <w:t>global</w:t>
      </w:r>
      <w:r w:rsidR="00B8100E" w:rsidRPr="00BB4589">
        <w:rPr>
          <w:rFonts w:asciiTheme="minorBidi" w:hAnsiTheme="minorBidi" w:cstheme="minorBidi"/>
          <w:lang w:val="fr-FR"/>
        </w:rPr>
        <w:t xml:space="preserve"> </w:t>
      </w:r>
      <w:r w:rsidR="00817639" w:rsidRPr="00BB4589">
        <w:rPr>
          <w:rFonts w:asciiTheme="minorBidi" w:hAnsiTheme="minorBidi" w:cstheme="minorBidi"/>
          <w:lang w:val="fr-FR"/>
        </w:rPr>
        <w:t xml:space="preserve">de résultats </w:t>
      </w:r>
      <w:r w:rsidR="00B8100E">
        <w:rPr>
          <w:rFonts w:asciiTheme="minorBidi" w:hAnsiTheme="minorBidi" w:cstheme="minorBidi"/>
          <w:lang w:val="fr-FR"/>
        </w:rPr>
        <w:t>pour</w:t>
      </w:r>
      <w:r w:rsidR="00817639" w:rsidRPr="00BB4589">
        <w:rPr>
          <w:rFonts w:asciiTheme="minorBidi" w:hAnsiTheme="minorBidi" w:cstheme="minorBidi"/>
          <w:lang w:val="fr-FR"/>
        </w:rPr>
        <w:t xml:space="preserve"> la Convention de 2003, pourrait devenir un outil fonctionnel pour suivre l</w:t>
      </w:r>
      <w:r w:rsidR="00BB4589">
        <w:rPr>
          <w:rFonts w:asciiTheme="minorBidi" w:hAnsiTheme="minorBidi" w:cstheme="minorBidi"/>
          <w:lang w:val="fr-FR"/>
        </w:rPr>
        <w:t>’</w:t>
      </w:r>
      <w:r w:rsidR="00817639" w:rsidRPr="00BB4589">
        <w:rPr>
          <w:rFonts w:asciiTheme="minorBidi" w:hAnsiTheme="minorBidi" w:cstheme="minorBidi"/>
          <w:lang w:val="fr-FR"/>
        </w:rPr>
        <w:t>impact de la Convention à différents niveaux.</w:t>
      </w:r>
    </w:p>
    <w:p w14:paraId="3311F781" w14:textId="7428CD52"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En outre, </w:t>
      </w:r>
      <w:r w:rsidR="00D95A17" w:rsidRPr="00BB4589">
        <w:rPr>
          <w:rFonts w:asciiTheme="minorBidi" w:hAnsiTheme="minorBidi" w:cstheme="minorBidi"/>
          <w:lang w:val="fr-FR"/>
        </w:rPr>
        <w:t xml:space="preserve">la réflexion </w:t>
      </w:r>
      <w:r w:rsidR="00F730BE" w:rsidRPr="00BB4589">
        <w:rPr>
          <w:rFonts w:asciiTheme="minorBidi" w:hAnsiTheme="minorBidi" w:cstheme="minorBidi"/>
          <w:lang w:val="fr-FR"/>
        </w:rPr>
        <w:t xml:space="preserve">globale </w:t>
      </w:r>
      <w:r w:rsidR="00D95A17" w:rsidRPr="00BB4589">
        <w:rPr>
          <w:rFonts w:asciiTheme="minorBidi" w:hAnsiTheme="minorBidi" w:cstheme="minorBidi"/>
          <w:lang w:val="fr-FR"/>
        </w:rPr>
        <w:t>sur les mécanismes d</w:t>
      </w:r>
      <w:r w:rsidR="00BB4589">
        <w:rPr>
          <w:rFonts w:asciiTheme="minorBidi" w:hAnsiTheme="minorBidi" w:cstheme="minorBidi"/>
          <w:lang w:val="fr-FR"/>
        </w:rPr>
        <w:t>’</w:t>
      </w:r>
      <w:r w:rsidR="00D95A17" w:rsidRPr="00BB4589">
        <w:rPr>
          <w:rFonts w:asciiTheme="minorBidi" w:hAnsiTheme="minorBidi" w:cstheme="minorBidi"/>
          <w:lang w:val="fr-FR"/>
        </w:rPr>
        <w:t xml:space="preserve">inscription </w:t>
      </w:r>
      <w:r w:rsidR="00F730BE" w:rsidRPr="00BB4589">
        <w:rPr>
          <w:rFonts w:asciiTheme="minorBidi" w:hAnsiTheme="minorBidi" w:cstheme="minorBidi"/>
          <w:lang w:val="fr-FR"/>
        </w:rPr>
        <w:t xml:space="preserve">a été une étape importante </w:t>
      </w:r>
      <w:r w:rsidR="00DB3CC3" w:rsidRPr="00BB4589">
        <w:rPr>
          <w:rFonts w:asciiTheme="minorBidi" w:hAnsiTheme="minorBidi" w:cstheme="minorBidi"/>
          <w:lang w:val="fr-FR"/>
        </w:rPr>
        <w:t xml:space="preserve">pour le </w:t>
      </w:r>
      <w:r w:rsidR="00F730BE" w:rsidRPr="00BB4589">
        <w:rPr>
          <w:rFonts w:asciiTheme="minorBidi" w:hAnsiTheme="minorBidi" w:cstheme="minorBidi"/>
          <w:lang w:val="fr-FR"/>
        </w:rPr>
        <w:t>développement futur de la Convention</w:t>
      </w:r>
      <w:r w:rsidR="00D95A17" w:rsidRPr="00BB4589">
        <w:rPr>
          <w:rFonts w:asciiTheme="minorBidi" w:hAnsiTheme="minorBidi" w:cstheme="minorBidi"/>
          <w:lang w:val="fr-FR"/>
        </w:rPr>
        <w:t xml:space="preserve">. À la suite du vaste processus de consultation mené </w:t>
      </w:r>
      <w:r w:rsidR="00F730BE" w:rsidRPr="00BB4589">
        <w:rPr>
          <w:rFonts w:asciiTheme="minorBidi" w:hAnsiTheme="minorBidi" w:cstheme="minorBidi"/>
          <w:lang w:val="fr-FR"/>
        </w:rPr>
        <w:t>au cours des deux dernières années</w:t>
      </w:r>
      <w:r w:rsidR="00D95A17" w:rsidRPr="00BB4589">
        <w:rPr>
          <w:rFonts w:asciiTheme="minorBidi" w:hAnsiTheme="minorBidi" w:cstheme="minorBidi"/>
          <w:lang w:val="fr-FR"/>
        </w:rPr>
        <w:t>, l</w:t>
      </w:r>
      <w:r w:rsidR="00BB4589">
        <w:rPr>
          <w:rFonts w:asciiTheme="minorBidi" w:hAnsiTheme="minorBidi" w:cstheme="minorBidi"/>
          <w:lang w:val="fr-FR"/>
        </w:rPr>
        <w:t>’</w:t>
      </w:r>
      <w:r w:rsidR="00D95A17" w:rsidRPr="00BB4589">
        <w:rPr>
          <w:rFonts w:asciiTheme="minorBidi" w:hAnsiTheme="minorBidi" w:cstheme="minorBidi"/>
          <w:lang w:val="fr-FR"/>
        </w:rPr>
        <w:t xml:space="preserve">Assemblée générale </w:t>
      </w:r>
      <w:r w:rsidR="00B8100E">
        <w:rPr>
          <w:rFonts w:asciiTheme="minorBidi" w:hAnsiTheme="minorBidi" w:cstheme="minorBidi"/>
          <w:lang w:val="fr-FR"/>
        </w:rPr>
        <w:t xml:space="preserve">est invitée à </w:t>
      </w:r>
      <w:r w:rsidR="00DB3CC3" w:rsidRPr="00BB4589">
        <w:rPr>
          <w:rFonts w:asciiTheme="minorBidi" w:hAnsiTheme="minorBidi" w:cstheme="minorBidi"/>
          <w:lang w:val="fr-FR"/>
        </w:rPr>
        <w:t xml:space="preserve">approuver les révisions des </w:t>
      </w:r>
      <w:r w:rsidR="00B8100E">
        <w:rPr>
          <w:rFonts w:asciiTheme="minorBidi" w:hAnsiTheme="minorBidi" w:cstheme="minorBidi"/>
          <w:lang w:val="fr-FR"/>
        </w:rPr>
        <w:t>D</w:t>
      </w:r>
      <w:r w:rsidR="00DB3CC3" w:rsidRPr="00BB4589">
        <w:rPr>
          <w:rFonts w:asciiTheme="minorBidi" w:hAnsiTheme="minorBidi" w:cstheme="minorBidi"/>
          <w:lang w:val="fr-FR"/>
        </w:rPr>
        <w:t xml:space="preserve">irectives opérationnelles qui devraient renforcer la crédibilité des mécanismes </w:t>
      </w:r>
      <w:r w:rsidR="00B8100E">
        <w:rPr>
          <w:rFonts w:asciiTheme="minorBidi" w:hAnsiTheme="minorBidi" w:cstheme="minorBidi"/>
          <w:lang w:val="fr-FR"/>
        </w:rPr>
        <w:t>d’inscription sur</w:t>
      </w:r>
      <w:r w:rsidR="00DB3CC3" w:rsidRPr="00BB4589">
        <w:rPr>
          <w:rFonts w:asciiTheme="minorBidi" w:hAnsiTheme="minorBidi" w:cstheme="minorBidi"/>
          <w:lang w:val="fr-FR"/>
        </w:rPr>
        <w:t xml:space="preserve"> listes </w:t>
      </w:r>
      <w:r w:rsidRPr="00BB4589">
        <w:rPr>
          <w:rFonts w:asciiTheme="minorBidi" w:hAnsiTheme="minorBidi" w:cstheme="minorBidi"/>
          <w:lang w:val="fr-FR"/>
        </w:rPr>
        <w:t xml:space="preserve">et, à ce titre, cette session clôturerait </w:t>
      </w:r>
      <w:r w:rsidR="00663171" w:rsidRPr="00BB4589">
        <w:rPr>
          <w:rFonts w:asciiTheme="minorBidi" w:hAnsiTheme="minorBidi" w:cstheme="minorBidi"/>
          <w:lang w:val="fr-FR"/>
        </w:rPr>
        <w:t>le processus de réflexion qui a traité un grand nombre de questions complexes et interdépendantes</w:t>
      </w:r>
      <w:r w:rsidR="00D95A17" w:rsidRPr="00BB4589">
        <w:rPr>
          <w:rFonts w:asciiTheme="minorBidi" w:hAnsiTheme="minorBidi" w:cstheme="minorBidi"/>
          <w:lang w:val="fr-FR"/>
        </w:rPr>
        <w:t xml:space="preserve">. La </w:t>
      </w:r>
      <w:r w:rsidR="00663171" w:rsidRPr="00BB4589">
        <w:rPr>
          <w:rFonts w:asciiTheme="minorBidi" w:hAnsiTheme="minorBidi" w:cstheme="minorBidi"/>
          <w:lang w:val="fr-FR"/>
        </w:rPr>
        <w:t xml:space="preserve">Convention passerait alors à la phase </w:t>
      </w:r>
      <w:r w:rsidR="0075577D" w:rsidRPr="00BB4589">
        <w:rPr>
          <w:rFonts w:asciiTheme="minorBidi" w:hAnsiTheme="minorBidi" w:cstheme="minorBidi"/>
          <w:lang w:val="fr-FR"/>
        </w:rPr>
        <w:t xml:space="preserve">suivante </w:t>
      </w:r>
      <w:r w:rsidR="00663171" w:rsidRPr="00BB4589">
        <w:rPr>
          <w:rFonts w:asciiTheme="minorBidi" w:hAnsiTheme="minorBidi" w:cstheme="minorBidi"/>
          <w:lang w:val="fr-FR"/>
        </w:rPr>
        <w:t>de mise en œuvre des changements</w:t>
      </w:r>
      <w:r w:rsidR="0075577D" w:rsidRPr="00BB4589">
        <w:rPr>
          <w:rFonts w:asciiTheme="minorBidi" w:hAnsiTheme="minorBidi" w:cstheme="minorBidi"/>
          <w:lang w:val="fr-FR"/>
        </w:rPr>
        <w:t xml:space="preserve">, ce qui impliquerait un </w:t>
      </w:r>
      <w:r w:rsidR="00C27C58" w:rsidRPr="00BB4589">
        <w:rPr>
          <w:rFonts w:asciiTheme="minorBidi" w:hAnsiTheme="minorBidi" w:cstheme="minorBidi"/>
          <w:lang w:val="fr-FR"/>
        </w:rPr>
        <w:t xml:space="preserve">autre type de travail </w:t>
      </w:r>
      <w:r w:rsidR="0075577D" w:rsidRPr="00BB4589">
        <w:rPr>
          <w:rFonts w:asciiTheme="minorBidi" w:hAnsiTheme="minorBidi" w:cstheme="minorBidi"/>
          <w:lang w:val="fr-FR"/>
        </w:rPr>
        <w:t xml:space="preserve">pour surveiller attentivement les </w:t>
      </w:r>
      <w:r w:rsidR="00C27C58" w:rsidRPr="00BB4589">
        <w:rPr>
          <w:rFonts w:asciiTheme="minorBidi" w:hAnsiTheme="minorBidi" w:cstheme="minorBidi"/>
          <w:lang w:val="fr-FR"/>
        </w:rPr>
        <w:t>effets des changements et apporter des ajustements techniques si nécessaire</w:t>
      </w:r>
      <w:r w:rsidR="00663171" w:rsidRPr="00BB4589">
        <w:rPr>
          <w:rFonts w:asciiTheme="minorBidi" w:hAnsiTheme="minorBidi" w:cstheme="minorBidi"/>
          <w:lang w:val="fr-FR"/>
        </w:rPr>
        <w:t xml:space="preserve">. En même temps, </w:t>
      </w:r>
      <w:r w:rsidR="00C27C58" w:rsidRPr="00BB4589">
        <w:rPr>
          <w:rFonts w:asciiTheme="minorBidi" w:hAnsiTheme="minorBidi" w:cstheme="minorBidi"/>
          <w:lang w:val="fr-FR"/>
        </w:rPr>
        <w:t xml:space="preserve">la réflexion globale a ouvert une nouvelle </w:t>
      </w:r>
      <w:r w:rsidR="00B8100E">
        <w:rPr>
          <w:rFonts w:asciiTheme="minorBidi" w:hAnsiTheme="minorBidi" w:cstheme="minorBidi"/>
          <w:lang w:val="fr-FR"/>
        </w:rPr>
        <w:t>piste</w:t>
      </w:r>
      <w:r w:rsidR="00C27C58" w:rsidRPr="00BB4589">
        <w:rPr>
          <w:rFonts w:asciiTheme="minorBidi" w:hAnsiTheme="minorBidi" w:cstheme="minorBidi"/>
          <w:lang w:val="fr-FR"/>
        </w:rPr>
        <w:t xml:space="preserve"> de réflexion sur la manière de </w:t>
      </w:r>
      <w:r w:rsidR="00CA719A" w:rsidRPr="00BB4589">
        <w:rPr>
          <w:rFonts w:asciiTheme="minorBidi" w:hAnsiTheme="minorBidi" w:cstheme="minorBidi"/>
          <w:lang w:val="fr-FR"/>
        </w:rPr>
        <w:t xml:space="preserve">renforcer </w:t>
      </w:r>
      <w:r w:rsidR="00B8100E">
        <w:rPr>
          <w:rFonts w:asciiTheme="minorBidi" w:hAnsiTheme="minorBidi" w:cstheme="minorBidi"/>
          <w:lang w:val="fr-FR"/>
        </w:rPr>
        <w:t>davantage</w:t>
      </w:r>
      <w:r w:rsidR="00B8100E" w:rsidRPr="00BB4589">
        <w:rPr>
          <w:rFonts w:asciiTheme="minorBidi" w:hAnsiTheme="minorBidi" w:cstheme="minorBidi"/>
          <w:lang w:val="fr-FR"/>
        </w:rPr>
        <w:t xml:space="preserve"> </w:t>
      </w:r>
      <w:r w:rsidR="00CA719A" w:rsidRPr="00BB4589">
        <w:rPr>
          <w:rFonts w:asciiTheme="minorBidi" w:hAnsiTheme="minorBidi" w:cstheme="minorBidi"/>
          <w:lang w:val="fr-FR"/>
        </w:rPr>
        <w:t xml:space="preserve">la participation active </w:t>
      </w:r>
      <w:r w:rsidR="00253E81" w:rsidRPr="00BB4589">
        <w:rPr>
          <w:rFonts w:asciiTheme="minorBidi" w:hAnsiTheme="minorBidi" w:cstheme="minorBidi"/>
          <w:lang w:val="fr-FR"/>
        </w:rPr>
        <w:t xml:space="preserve">des communautés, des groupes et, le cas échéant, des individus </w:t>
      </w:r>
      <w:r w:rsidR="00CA719A" w:rsidRPr="00BB4589">
        <w:rPr>
          <w:rFonts w:asciiTheme="minorBidi" w:hAnsiTheme="minorBidi" w:cstheme="minorBidi"/>
          <w:lang w:val="fr-FR"/>
        </w:rPr>
        <w:t xml:space="preserve">à tous les </w:t>
      </w:r>
      <w:r w:rsidR="00EB5F9B" w:rsidRPr="00BB4589">
        <w:rPr>
          <w:rFonts w:asciiTheme="minorBidi" w:hAnsiTheme="minorBidi" w:cstheme="minorBidi"/>
          <w:lang w:val="fr-FR"/>
        </w:rPr>
        <w:t>aspects de la Convention</w:t>
      </w:r>
      <w:r w:rsidR="00CA719A" w:rsidRPr="00BB4589">
        <w:rPr>
          <w:rFonts w:asciiTheme="minorBidi" w:hAnsiTheme="minorBidi" w:cstheme="minorBidi"/>
          <w:lang w:val="fr-FR"/>
        </w:rPr>
        <w:t>.</w:t>
      </w:r>
    </w:p>
    <w:p w14:paraId="5350E967" w14:textId="7001A8EC"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Sur le plan opérationnel, </w:t>
      </w:r>
      <w:r w:rsidR="0085188A" w:rsidRPr="00BB4589">
        <w:rPr>
          <w:rFonts w:asciiTheme="minorBidi" w:hAnsiTheme="minorBidi" w:cstheme="minorBidi"/>
          <w:lang w:val="fr-FR"/>
        </w:rPr>
        <w:t xml:space="preserve">le Secrétariat a entrepris des interventions de renforcement des capacités au sens le plus large </w:t>
      </w:r>
      <w:r w:rsidR="00070DC0" w:rsidRPr="00BB4589">
        <w:rPr>
          <w:rFonts w:asciiTheme="minorBidi" w:hAnsiTheme="minorBidi" w:cstheme="minorBidi"/>
          <w:lang w:val="fr-FR"/>
        </w:rPr>
        <w:t>au cours de la période considérée</w:t>
      </w:r>
      <w:r w:rsidR="0085188A" w:rsidRPr="00BB4589">
        <w:rPr>
          <w:rFonts w:asciiTheme="minorBidi" w:hAnsiTheme="minorBidi" w:cstheme="minorBidi"/>
          <w:lang w:val="fr-FR"/>
        </w:rPr>
        <w:t xml:space="preserve">, dans </w:t>
      </w:r>
      <w:r w:rsidR="00070DC0" w:rsidRPr="00BB4589">
        <w:rPr>
          <w:rFonts w:asciiTheme="minorBidi" w:hAnsiTheme="minorBidi" w:cstheme="minorBidi"/>
          <w:lang w:val="fr-FR"/>
        </w:rPr>
        <w:t xml:space="preserve">162 </w:t>
      </w:r>
      <w:r w:rsidR="0085188A" w:rsidRPr="00BB4589">
        <w:rPr>
          <w:rFonts w:asciiTheme="minorBidi" w:hAnsiTheme="minorBidi" w:cstheme="minorBidi"/>
          <w:lang w:val="fr-FR"/>
        </w:rPr>
        <w:t xml:space="preserve">pays, dont </w:t>
      </w:r>
      <w:r w:rsidR="00070DC0" w:rsidRPr="00BB4589">
        <w:rPr>
          <w:rFonts w:asciiTheme="minorBidi" w:hAnsiTheme="minorBidi" w:cstheme="minorBidi"/>
          <w:lang w:val="fr-FR"/>
        </w:rPr>
        <w:t xml:space="preserve">trente-trois </w:t>
      </w:r>
      <w:r w:rsidR="0085188A" w:rsidRPr="00BB4589">
        <w:rPr>
          <w:rFonts w:asciiTheme="minorBidi" w:hAnsiTheme="minorBidi" w:cstheme="minorBidi"/>
          <w:lang w:val="fr-FR"/>
        </w:rPr>
        <w:t xml:space="preserve">en Afrique et trente </w:t>
      </w:r>
      <w:r w:rsidR="00CB7AD8" w:rsidRPr="00BB4589">
        <w:rPr>
          <w:rFonts w:asciiTheme="minorBidi" w:hAnsiTheme="minorBidi" w:cstheme="minorBidi"/>
          <w:lang w:val="fr-FR"/>
        </w:rPr>
        <w:t xml:space="preserve">parmi les </w:t>
      </w:r>
      <w:r w:rsidR="0085188A" w:rsidRPr="00BB4589">
        <w:rPr>
          <w:rFonts w:asciiTheme="minorBidi" w:hAnsiTheme="minorBidi" w:cstheme="minorBidi"/>
          <w:lang w:val="fr-FR"/>
        </w:rPr>
        <w:t>petits États insulaires en développement. Le programme lui-même a également évolué et le Secrétariat a l</w:t>
      </w:r>
      <w:r w:rsidR="00BB4589">
        <w:rPr>
          <w:rFonts w:asciiTheme="minorBidi" w:hAnsiTheme="minorBidi" w:cstheme="minorBidi"/>
          <w:lang w:val="fr-FR"/>
        </w:rPr>
        <w:t>’</w:t>
      </w:r>
      <w:r w:rsidR="0085188A" w:rsidRPr="00BB4589">
        <w:rPr>
          <w:rFonts w:asciiTheme="minorBidi" w:hAnsiTheme="minorBidi" w:cstheme="minorBidi"/>
          <w:lang w:val="fr-FR"/>
        </w:rPr>
        <w:t xml:space="preserve">intention de continuer à réorienter le </w:t>
      </w:r>
      <w:r w:rsidR="009D0647" w:rsidRPr="00BB4589">
        <w:rPr>
          <w:rFonts w:asciiTheme="minorBidi" w:hAnsiTheme="minorBidi" w:cstheme="minorBidi"/>
          <w:lang w:val="fr-FR"/>
        </w:rPr>
        <w:t xml:space="preserve">programme </w:t>
      </w:r>
      <w:r w:rsidR="0085188A" w:rsidRPr="00BB4589">
        <w:rPr>
          <w:rFonts w:asciiTheme="minorBidi" w:hAnsiTheme="minorBidi" w:cstheme="minorBidi"/>
          <w:lang w:val="fr-FR"/>
        </w:rPr>
        <w:t>pour inclure une approche de prestation multimodale, offrant ainsi des possibilités d</w:t>
      </w:r>
      <w:r w:rsidR="00BB4589">
        <w:rPr>
          <w:rFonts w:asciiTheme="minorBidi" w:hAnsiTheme="minorBidi" w:cstheme="minorBidi"/>
          <w:lang w:val="fr-FR"/>
        </w:rPr>
        <w:t>’</w:t>
      </w:r>
      <w:r w:rsidR="00B8100E">
        <w:rPr>
          <w:rFonts w:asciiTheme="minorBidi" w:hAnsiTheme="minorBidi" w:cstheme="minorBidi"/>
          <w:lang w:val="fr-FR"/>
        </w:rPr>
        <w:t>élargir</w:t>
      </w:r>
      <w:r w:rsidR="0085188A" w:rsidRPr="00BB4589">
        <w:rPr>
          <w:rFonts w:asciiTheme="minorBidi" w:hAnsiTheme="minorBidi" w:cstheme="minorBidi"/>
          <w:lang w:val="fr-FR"/>
        </w:rPr>
        <w:t xml:space="preserve"> la portée du programme à de nouveaux publics et d</w:t>
      </w:r>
      <w:r w:rsidR="00BB4589">
        <w:rPr>
          <w:rFonts w:asciiTheme="minorBidi" w:hAnsiTheme="minorBidi" w:cstheme="minorBidi"/>
          <w:lang w:val="fr-FR"/>
        </w:rPr>
        <w:t>’</w:t>
      </w:r>
      <w:r w:rsidR="0085188A" w:rsidRPr="00BB4589">
        <w:rPr>
          <w:rFonts w:asciiTheme="minorBidi" w:hAnsiTheme="minorBidi" w:cstheme="minorBidi"/>
          <w:lang w:val="fr-FR"/>
        </w:rPr>
        <w:t xml:space="preserve">exploiter une pédagogie innovante, tout en assurant la </w:t>
      </w:r>
      <w:r w:rsidR="00A02BCC" w:rsidRPr="00BB4589">
        <w:rPr>
          <w:rFonts w:asciiTheme="minorBidi" w:hAnsiTheme="minorBidi" w:cstheme="minorBidi"/>
          <w:lang w:val="fr-FR"/>
        </w:rPr>
        <w:t>rentabilité</w:t>
      </w:r>
      <w:r w:rsidR="0085188A" w:rsidRPr="00BB4589">
        <w:rPr>
          <w:rFonts w:asciiTheme="minorBidi" w:hAnsiTheme="minorBidi" w:cstheme="minorBidi"/>
          <w:lang w:val="fr-FR"/>
        </w:rPr>
        <w:t>. Le programme sur le patrimoine vivant et l</w:t>
      </w:r>
      <w:r w:rsidR="00BB4589">
        <w:rPr>
          <w:rFonts w:asciiTheme="minorBidi" w:hAnsiTheme="minorBidi" w:cstheme="minorBidi"/>
          <w:lang w:val="fr-FR"/>
        </w:rPr>
        <w:t>’</w:t>
      </w:r>
      <w:r w:rsidR="0085188A" w:rsidRPr="00BB4589">
        <w:rPr>
          <w:rFonts w:asciiTheme="minorBidi" w:hAnsiTheme="minorBidi" w:cstheme="minorBidi"/>
          <w:lang w:val="fr-FR"/>
        </w:rPr>
        <w:t xml:space="preserve">éducation a fait des progrès significatifs grâce à plusieurs projets, mais il est </w:t>
      </w:r>
      <w:r w:rsidR="0075577D" w:rsidRPr="00BB4589">
        <w:rPr>
          <w:rFonts w:asciiTheme="minorBidi" w:hAnsiTheme="minorBidi" w:cstheme="minorBidi"/>
          <w:lang w:val="fr-FR"/>
        </w:rPr>
        <w:t xml:space="preserve">également </w:t>
      </w:r>
      <w:r w:rsidR="0085188A" w:rsidRPr="00BB4589">
        <w:rPr>
          <w:rFonts w:asciiTheme="minorBidi" w:hAnsiTheme="minorBidi" w:cstheme="minorBidi"/>
          <w:lang w:val="fr-FR"/>
        </w:rPr>
        <w:t xml:space="preserve">nécessaire de réfléchir à la manière dont cette expérience peut être étendue. </w:t>
      </w:r>
      <w:r w:rsidR="0011293E" w:rsidRPr="00BB4589">
        <w:rPr>
          <w:rFonts w:asciiTheme="minorBidi" w:hAnsiTheme="minorBidi" w:cstheme="minorBidi"/>
          <w:lang w:val="fr-FR"/>
        </w:rPr>
        <w:t>En outre, les liens importants entre la sauvegarde du patrimoine vivant et le développement durable doivent être renforcés à l</w:t>
      </w:r>
      <w:r w:rsidR="00BB4589">
        <w:rPr>
          <w:rFonts w:asciiTheme="minorBidi" w:hAnsiTheme="minorBidi" w:cstheme="minorBidi"/>
          <w:lang w:val="fr-FR"/>
        </w:rPr>
        <w:t>’</w:t>
      </w:r>
      <w:r w:rsidR="0011293E" w:rsidRPr="00BB4589">
        <w:rPr>
          <w:rFonts w:asciiTheme="minorBidi" w:hAnsiTheme="minorBidi" w:cstheme="minorBidi"/>
          <w:lang w:val="fr-FR"/>
        </w:rPr>
        <w:t xml:space="preserve">avenir. À cet </w:t>
      </w:r>
      <w:r w:rsidR="00CB2078" w:rsidRPr="00BB4589">
        <w:rPr>
          <w:rFonts w:asciiTheme="minorBidi" w:hAnsiTheme="minorBidi" w:cstheme="minorBidi"/>
          <w:lang w:val="fr-FR"/>
        </w:rPr>
        <w:t>égard</w:t>
      </w:r>
      <w:r w:rsidR="00C208BF" w:rsidRPr="00BB4589">
        <w:rPr>
          <w:rFonts w:asciiTheme="minorBidi" w:hAnsiTheme="minorBidi" w:cstheme="minorBidi"/>
          <w:lang w:val="fr-FR"/>
        </w:rPr>
        <w:t xml:space="preserve">, </w:t>
      </w:r>
      <w:r w:rsidR="00CB2078" w:rsidRPr="00BB4589">
        <w:rPr>
          <w:rFonts w:asciiTheme="minorBidi" w:hAnsiTheme="minorBidi" w:cstheme="minorBidi"/>
          <w:lang w:val="fr-FR"/>
        </w:rPr>
        <w:t>le Secrétariat travaille également à l</w:t>
      </w:r>
      <w:r w:rsidR="00BB4589">
        <w:rPr>
          <w:rFonts w:asciiTheme="minorBidi" w:hAnsiTheme="minorBidi" w:cstheme="minorBidi"/>
          <w:lang w:val="fr-FR"/>
        </w:rPr>
        <w:t>’</w:t>
      </w:r>
      <w:r w:rsidR="00CB2078" w:rsidRPr="00BB4589">
        <w:rPr>
          <w:rFonts w:asciiTheme="minorBidi" w:hAnsiTheme="minorBidi" w:cstheme="minorBidi"/>
          <w:lang w:val="fr-FR"/>
        </w:rPr>
        <w:t xml:space="preserve">élaboration de notes conceptuelles ou de prises de position sur trois questions thématiques qui seront présentées aux organes directeurs (voir </w:t>
      </w:r>
      <w:r w:rsidR="00442949" w:rsidRPr="00BB4589">
        <w:rPr>
          <w:rFonts w:asciiTheme="minorBidi" w:hAnsiTheme="minorBidi" w:cstheme="minorBidi"/>
          <w:lang w:val="fr-FR"/>
        </w:rPr>
        <w:t>section IV)</w:t>
      </w:r>
      <w:r w:rsidR="00CB2078" w:rsidRPr="00BB4589">
        <w:rPr>
          <w:rFonts w:asciiTheme="minorBidi" w:hAnsiTheme="minorBidi" w:cstheme="minorBidi"/>
          <w:lang w:val="fr-FR"/>
        </w:rPr>
        <w:t>.</w:t>
      </w:r>
    </w:p>
    <w:p w14:paraId="6216F094" w14:textId="091A0A18"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Comme le souligne l</w:t>
      </w:r>
      <w:r w:rsidR="00BB4589">
        <w:rPr>
          <w:rFonts w:asciiTheme="minorBidi" w:hAnsiTheme="minorBidi" w:cstheme="minorBidi"/>
          <w:lang w:val="fr-FR"/>
        </w:rPr>
        <w:t>’</w:t>
      </w:r>
      <w:r w:rsidRPr="00BB4589">
        <w:rPr>
          <w:rFonts w:asciiTheme="minorBidi" w:hAnsiTheme="minorBidi" w:cstheme="minorBidi"/>
          <w:lang w:val="fr-FR"/>
        </w:rPr>
        <w:t>évaluation d</w:t>
      </w:r>
      <w:r w:rsidR="00BB4589">
        <w:rPr>
          <w:rFonts w:asciiTheme="minorBidi" w:hAnsiTheme="minorBidi" w:cstheme="minorBidi"/>
          <w:lang w:val="fr-FR"/>
        </w:rPr>
        <w:t>’</w:t>
      </w:r>
      <w:r w:rsidRPr="00BB4589">
        <w:rPr>
          <w:rFonts w:asciiTheme="minorBidi" w:hAnsiTheme="minorBidi" w:cstheme="minorBidi"/>
          <w:lang w:val="fr-FR"/>
        </w:rPr>
        <w:t xml:space="preserve">IOS en 2021, la mise en œuvre de la Convention </w:t>
      </w:r>
      <w:r w:rsidR="009F046C">
        <w:rPr>
          <w:rFonts w:asciiTheme="minorBidi" w:hAnsiTheme="minorBidi" w:cstheme="minorBidi"/>
          <w:lang w:val="fr-FR"/>
        </w:rPr>
        <w:t>« </w:t>
      </w:r>
      <w:r w:rsidRPr="00BB4589">
        <w:rPr>
          <w:rFonts w:asciiTheme="minorBidi" w:hAnsiTheme="minorBidi" w:cstheme="minorBidi"/>
          <w:lang w:val="fr-FR"/>
        </w:rPr>
        <w:t>a connu de nombreuses réformes et transformations qui ont considérablement renforcé le soutien de l</w:t>
      </w:r>
      <w:r w:rsidR="00BB4589">
        <w:rPr>
          <w:rFonts w:asciiTheme="minorBidi" w:hAnsiTheme="minorBidi" w:cstheme="minorBidi"/>
          <w:lang w:val="fr-FR"/>
        </w:rPr>
        <w:t>’</w:t>
      </w:r>
      <w:r w:rsidRPr="00BB4589">
        <w:rPr>
          <w:rFonts w:asciiTheme="minorBidi" w:hAnsiTheme="minorBidi" w:cstheme="minorBidi"/>
          <w:lang w:val="fr-FR"/>
        </w:rPr>
        <w:t>Organisation aux États membres, aux partenaires et aux communautés</w:t>
      </w:r>
      <w:r w:rsidR="009F046C">
        <w:rPr>
          <w:rFonts w:asciiTheme="minorBidi" w:hAnsiTheme="minorBidi" w:cstheme="minorBidi"/>
          <w:lang w:val="fr-FR"/>
        </w:rPr>
        <w:t> »</w:t>
      </w:r>
      <w:r w:rsidRPr="00BB4589">
        <w:rPr>
          <w:rFonts w:asciiTheme="minorBidi" w:hAnsiTheme="minorBidi" w:cstheme="minorBidi"/>
          <w:lang w:val="fr-FR"/>
        </w:rPr>
        <w:t xml:space="preserve">. </w:t>
      </w:r>
      <w:r w:rsidR="0075577D" w:rsidRPr="00BB4589">
        <w:rPr>
          <w:rFonts w:asciiTheme="minorBidi" w:hAnsiTheme="minorBidi" w:cstheme="minorBidi"/>
          <w:lang w:val="fr-FR"/>
        </w:rPr>
        <w:t xml:space="preserve">Si </w:t>
      </w:r>
      <w:r w:rsidRPr="00BB4589">
        <w:rPr>
          <w:rFonts w:asciiTheme="minorBidi" w:hAnsiTheme="minorBidi" w:cstheme="minorBidi"/>
          <w:lang w:val="fr-FR"/>
        </w:rPr>
        <w:t xml:space="preserve">le développement de la Convention est un signe positif pour la sensibilisation accrue au patrimoine culturel immatériel dans différents </w:t>
      </w:r>
      <w:r w:rsidR="009F046C">
        <w:rPr>
          <w:rFonts w:asciiTheme="minorBidi" w:hAnsiTheme="minorBidi" w:cstheme="minorBidi"/>
          <w:lang w:val="fr-FR"/>
        </w:rPr>
        <w:t>domaines</w:t>
      </w:r>
      <w:r w:rsidRPr="00BB4589">
        <w:rPr>
          <w:rFonts w:asciiTheme="minorBidi" w:hAnsiTheme="minorBidi" w:cstheme="minorBidi"/>
          <w:lang w:val="fr-FR"/>
        </w:rPr>
        <w:t>, il se traduit également par une demande accrue de soutien de l</w:t>
      </w:r>
      <w:r w:rsidR="00BB4589">
        <w:rPr>
          <w:rFonts w:asciiTheme="minorBidi" w:hAnsiTheme="minorBidi" w:cstheme="minorBidi"/>
          <w:lang w:val="fr-FR"/>
        </w:rPr>
        <w:t>’</w:t>
      </w:r>
      <w:r w:rsidRPr="00BB4589">
        <w:rPr>
          <w:rFonts w:asciiTheme="minorBidi" w:hAnsiTheme="minorBidi" w:cstheme="minorBidi"/>
          <w:lang w:val="fr-FR"/>
        </w:rPr>
        <w:t>UNESCO aux États parties. Comme indiqué dans la recommandation 1 de l</w:t>
      </w:r>
      <w:r w:rsidR="00BB4589">
        <w:rPr>
          <w:rFonts w:asciiTheme="minorBidi" w:hAnsiTheme="minorBidi" w:cstheme="minorBidi"/>
          <w:lang w:val="fr-FR"/>
        </w:rPr>
        <w:t>’</w:t>
      </w:r>
      <w:r w:rsidRPr="00BB4589">
        <w:rPr>
          <w:rFonts w:asciiTheme="minorBidi" w:hAnsiTheme="minorBidi" w:cstheme="minorBidi"/>
          <w:lang w:val="fr-FR"/>
        </w:rPr>
        <w:t>évaluation d</w:t>
      </w:r>
      <w:r w:rsidR="00BB4589">
        <w:rPr>
          <w:rFonts w:asciiTheme="minorBidi" w:hAnsiTheme="minorBidi" w:cstheme="minorBidi"/>
          <w:lang w:val="fr-FR"/>
        </w:rPr>
        <w:t>’</w:t>
      </w:r>
      <w:r w:rsidRPr="00BB4589">
        <w:rPr>
          <w:rFonts w:asciiTheme="minorBidi" w:hAnsiTheme="minorBidi" w:cstheme="minorBidi"/>
          <w:lang w:val="fr-FR"/>
        </w:rPr>
        <w:t>IOS, l</w:t>
      </w:r>
      <w:r w:rsidR="00BB4589">
        <w:rPr>
          <w:rFonts w:asciiTheme="minorBidi" w:hAnsiTheme="minorBidi" w:cstheme="minorBidi"/>
          <w:lang w:val="fr-FR"/>
        </w:rPr>
        <w:t>’</w:t>
      </w:r>
      <w:r w:rsidRPr="00BB4589">
        <w:rPr>
          <w:rFonts w:asciiTheme="minorBidi" w:hAnsiTheme="minorBidi" w:cstheme="minorBidi"/>
          <w:lang w:val="fr-FR"/>
        </w:rPr>
        <w:t>attention de l</w:t>
      </w:r>
      <w:r w:rsidR="00BB4589">
        <w:rPr>
          <w:rFonts w:asciiTheme="minorBidi" w:hAnsiTheme="minorBidi" w:cstheme="minorBidi"/>
          <w:lang w:val="fr-FR"/>
        </w:rPr>
        <w:t>’</w:t>
      </w:r>
      <w:r w:rsidRPr="00BB4589">
        <w:rPr>
          <w:rFonts w:asciiTheme="minorBidi" w:hAnsiTheme="minorBidi" w:cstheme="minorBidi"/>
          <w:lang w:val="fr-FR"/>
        </w:rPr>
        <w:t xml:space="preserve">Assemblée générale est attirée sur </w:t>
      </w:r>
      <w:r w:rsidR="009F046C" w:rsidRPr="009B7E90">
        <w:rPr>
          <w:rFonts w:asciiTheme="minorBidi" w:hAnsiTheme="minorBidi" w:cstheme="minorBidi"/>
          <w:lang w:val="fr-FR"/>
        </w:rPr>
        <w:t>« </w:t>
      </w:r>
      <w:r w:rsidRPr="009B7E90">
        <w:rPr>
          <w:rFonts w:asciiTheme="minorBidi" w:hAnsiTheme="minorBidi" w:cstheme="minorBidi"/>
          <w:lang w:val="fr-FR"/>
        </w:rPr>
        <w:t>la nécessité</w:t>
      </w:r>
      <w:r w:rsidRPr="00BB4589">
        <w:rPr>
          <w:rFonts w:asciiTheme="minorBidi" w:hAnsiTheme="minorBidi" w:cstheme="minorBidi"/>
          <w:lang w:val="fr-FR"/>
        </w:rPr>
        <w:t xml:space="preserve"> d</w:t>
      </w:r>
      <w:r w:rsidR="00BB4589">
        <w:rPr>
          <w:rFonts w:asciiTheme="minorBidi" w:hAnsiTheme="minorBidi" w:cstheme="minorBidi"/>
          <w:lang w:val="fr-FR"/>
        </w:rPr>
        <w:t>’</w:t>
      </w:r>
      <w:r w:rsidRPr="00BB4589">
        <w:rPr>
          <w:rFonts w:asciiTheme="minorBidi" w:hAnsiTheme="minorBidi" w:cstheme="minorBidi"/>
          <w:lang w:val="fr-FR"/>
        </w:rPr>
        <w:t>établir des priorités pour l</w:t>
      </w:r>
      <w:r w:rsidR="00BB4589">
        <w:rPr>
          <w:rFonts w:asciiTheme="minorBidi" w:hAnsiTheme="minorBidi" w:cstheme="minorBidi"/>
          <w:lang w:val="fr-FR"/>
        </w:rPr>
        <w:t>’</w:t>
      </w:r>
      <w:r w:rsidRPr="00BB4589">
        <w:rPr>
          <w:rFonts w:asciiTheme="minorBidi" w:hAnsiTheme="minorBidi" w:cstheme="minorBidi"/>
          <w:lang w:val="fr-FR"/>
        </w:rPr>
        <w:t>utilisation des ressources limitées du Secrétariat de la Convention de 2003</w:t>
      </w:r>
      <w:r w:rsidR="009F046C">
        <w:rPr>
          <w:rFonts w:asciiTheme="minorBidi" w:hAnsiTheme="minorBidi" w:cstheme="minorBidi"/>
          <w:lang w:val="fr-FR"/>
        </w:rPr>
        <w:t> »</w:t>
      </w:r>
      <w:r w:rsidRPr="00BB4589">
        <w:rPr>
          <w:rFonts w:asciiTheme="minorBidi" w:hAnsiTheme="minorBidi" w:cstheme="minorBidi"/>
          <w:lang w:val="fr-FR"/>
        </w:rPr>
        <w:t>.</w:t>
      </w:r>
    </w:p>
    <w:p w14:paraId="251847A4" w14:textId="1101177E" w:rsidR="001578FB" w:rsidRPr="00BB4589" w:rsidRDefault="009069B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 xml:space="preserve">Les décisions que prendront ses organes directeurs à ce stade détermineront la manière dont la Convention se développera au cours des dix prochaines années. À cet égard, la </w:t>
      </w:r>
      <w:r w:rsidR="00681799" w:rsidRPr="00BB4589">
        <w:rPr>
          <w:rFonts w:asciiTheme="minorBidi" w:hAnsiTheme="minorBidi" w:cstheme="minorBidi"/>
          <w:lang w:val="fr-FR"/>
        </w:rPr>
        <w:t xml:space="preserve">seizième session du Comité a demandé </w:t>
      </w:r>
      <w:r w:rsidRPr="00BB4589">
        <w:rPr>
          <w:rFonts w:asciiTheme="minorBidi" w:hAnsiTheme="minorBidi" w:cstheme="minorBidi"/>
          <w:lang w:val="fr-FR"/>
        </w:rPr>
        <w:t xml:space="preserve">que </w:t>
      </w:r>
      <w:r w:rsidR="009B7E90">
        <w:rPr>
          <w:rFonts w:asciiTheme="minorBidi" w:hAnsiTheme="minorBidi" w:cstheme="minorBidi"/>
          <w:lang w:val="fr-FR"/>
        </w:rPr>
        <w:t xml:space="preserve">le </w:t>
      </w:r>
      <w:r w:rsidR="009F046C" w:rsidRPr="009B7E90">
        <w:rPr>
          <w:rFonts w:asciiTheme="minorBidi" w:hAnsiTheme="minorBidi" w:cstheme="minorBidi"/>
          <w:lang w:val="fr-FR"/>
        </w:rPr>
        <w:t>« </w:t>
      </w:r>
      <w:r w:rsidR="00681799" w:rsidRPr="009B7E90">
        <w:rPr>
          <w:rFonts w:asciiTheme="minorBidi" w:hAnsiTheme="minorBidi" w:cstheme="minorBidi"/>
          <w:lang w:val="fr-FR"/>
        </w:rPr>
        <w:t>Secrétariat</w:t>
      </w:r>
      <w:r w:rsidR="00681799" w:rsidRPr="00BB4589">
        <w:rPr>
          <w:rFonts w:asciiTheme="minorBidi" w:hAnsiTheme="minorBidi" w:cstheme="minorBidi"/>
          <w:lang w:val="fr-FR"/>
        </w:rPr>
        <w:t xml:space="preserve"> prépare des informations sur ses principales activités, avec les </w:t>
      </w:r>
      <w:r w:rsidR="009B7E90">
        <w:rPr>
          <w:rFonts w:asciiTheme="minorBidi" w:hAnsiTheme="minorBidi" w:cstheme="minorBidi"/>
          <w:lang w:val="fr-FR"/>
        </w:rPr>
        <w:t>incidences</w:t>
      </w:r>
      <w:r w:rsidR="009B7E90" w:rsidRPr="00BB4589">
        <w:rPr>
          <w:rFonts w:asciiTheme="minorBidi" w:hAnsiTheme="minorBidi" w:cstheme="minorBidi"/>
          <w:lang w:val="fr-FR"/>
        </w:rPr>
        <w:t xml:space="preserve"> </w:t>
      </w:r>
      <w:r w:rsidR="00681799" w:rsidRPr="00BB4589">
        <w:rPr>
          <w:rFonts w:asciiTheme="minorBidi" w:hAnsiTheme="minorBidi" w:cstheme="minorBidi"/>
          <w:lang w:val="fr-FR"/>
        </w:rPr>
        <w:t>financières et les questions liées à la charge de travail</w:t>
      </w:r>
      <w:r w:rsidR="009F046C">
        <w:rPr>
          <w:rFonts w:asciiTheme="minorBidi" w:hAnsiTheme="minorBidi" w:cstheme="minorBidi"/>
          <w:lang w:val="fr-FR"/>
        </w:rPr>
        <w:t> »</w:t>
      </w:r>
      <w:r w:rsidR="00681799" w:rsidRPr="00BB4589">
        <w:rPr>
          <w:rFonts w:asciiTheme="minorBidi" w:hAnsiTheme="minorBidi" w:cstheme="minorBidi"/>
          <w:lang w:val="fr-FR"/>
        </w:rPr>
        <w:t xml:space="preserve">, pour examen par la dix-septième session du Comité (Décision </w:t>
      </w:r>
      <w:hyperlink r:id="rId32" w:history="1">
        <w:r w:rsidR="00681799" w:rsidRPr="00BB4589">
          <w:rPr>
            <w:rStyle w:val="Hyperlink"/>
            <w:rFonts w:asciiTheme="minorBidi" w:hAnsiTheme="minorBidi" w:cstheme="minorBidi"/>
            <w:lang w:val="fr-FR"/>
          </w:rPr>
          <w:t>16.COM 5.b</w:t>
        </w:r>
      </w:hyperlink>
      <w:r w:rsidR="00681799" w:rsidRPr="00BB4589">
        <w:rPr>
          <w:rFonts w:asciiTheme="minorBidi" w:hAnsiTheme="minorBidi" w:cstheme="minorBidi"/>
          <w:lang w:val="fr-FR"/>
        </w:rPr>
        <w:t xml:space="preserve">). </w:t>
      </w:r>
      <w:r w:rsidR="0062614E" w:rsidRPr="00BB4589">
        <w:rPr>
          <w:rFonts w:asciiTheme="minorBidi" w:hAnsiTheme="minorBidi" w:cstheme="minorBidi"/>
          <w:lang w:val="fr-FR"/>
        </w:rPr>
        <w:t xml:space="preserve">De même, </w:t>
      </w:r>
      <w:r w:rsidR="0075577D" w:rsidRPr="00BB4589">
        <w:rPr>
          <w:rFonts w:asciiTheme="minorBidi" w:hAnsiTheme="minorBidi" w:cstheme="minorBidi"/>
          <w:lang w:val="fr-FR"/>
        </w:rPr>
        <w:t xml:space="preserve">la </w:t>
      </w:r>
      <w:r w:rsidR="0062614E" w:rsidRPr="00BB4589">
        <w:rPr>
          <w:rFonts w:asciiTheme="minorBidi" w:hAnsiTheme="minorBidi" w:cstheme="minorBidi"/>
          <w:lang w:val="fr-FR"/>
        </w:rPr>
        <w:t xml:space="preserve">réunion de la Partie III du groupe de travail intergouvernemental à composition non limitée </w:t>
      </w:r>
      <w:r w:rsidR="0074199E" w:rsidRPr="00BB4589">
        <w:rPr>
          <w:rFonts w:asciiTheme="minorBidi" w:hAnsiTheme="minorBidi" w:cstheme="minorBidi"/>
          <w:lang w:val="fr-FR"/>
        </w:rPr>
        <w:t xml:space="preserve">a proposé, dans le cadre de sa recommandation 3, </w:t>
      </w:r>
      <w:r w:rsidR="0062614E" w:rsidRPr="00BB4589">
        <w:rPr>
          <w:rFonts w:asciiTheme="minorBidi" w:hAnsiTheme="minorBidi" w:cstheme="minorBidi"/>
          <w:lang w:val="fr-FR"/>
        </w:rPr>
        <w:t xml:space="preserve">que le Secrétariat prépare </w:t>
      </w:r>
      <w:r w:rsidR="009F046C">
        <w:rPr>
          <w:rFonts w:asciiTheme="minorBidi" w:hAnsiTheme="minorBidi" w:cstheme="minorBidi"/>
          <w:lang w:val="fr-FR"/>
        </w:rPr>
        <w:t>« </w:t>
      </w:r>
      <w:r w:rsidR="0062614E" w:rsidRPr="00BB4589">
        <w:rPr>
          <w:rFonts w:asciiTheme="minorBidi" w:hAnsiTheme="minorBidi" w:cstheme="minorBidi"/>
          <w:lang w:val="fr-FR"/>
        </w:rPr>
        <w:t xml:space="preserve">une proposition détaillée sur les ressources financières et humaines nécessaires au renforcement des </w:t>
      </w:r>
      <w:r w:rsidR="0062614E" w:rsidRPr="009069B4">
        <w:rPr>
          <w:rFonts w:asciiTheme="minorBidi" w:hAnsiTheme="minorBidi" w:cstheme="minorBidi"/>
          <w:lang w:val="fr-FR"/>
        </w:rPr>
        <w:t xml:space="preserve">mécanismes </w:t>
      </w:r>
      <w:r w:rsidR="009F046C" w:rsidRPr="009069B4">
        <w:rPr>
          <w:rFonts w:asciiTheme="minorBidi" w:hAnsiTheme="minorBidi" w:cstheme="minorBidi"/>
          <w:lang w:val="fr-FR"/>
        </w:rPr>
        <w:t>d’inscription</w:t>
      </w:r>
      <w:r w:rsidR="009F046C">
        <w:rPr>
          <w:rFonts w:asciiTheme="minorBidi" w:hAnsiTheme="minorBidi" w:cstheme="minorBidi"/>
          <w:lang w:val="fr-FR"/>
        </w:rPr>
        <w:t xml:space="preserve"> sur les</w:t>
      </w:r>
      <w:r w:rsidR="0062614E" w:rsidRPr="00BB4589">
        <w:rPr>
          <w:rFonts w:asciiTheme="minorBidi" w:hAnsiTheme="minorBidi" w:cstheme="minorBidi"/>
          <w:lang w:val="fr-FR"/>
        </w:rPr>
        <w:t xml:space="preserve"> listes [...]</w:t>
      </w:r>
      <w:r w:rsidR="009F046C">
        <w:rPr>
          <w:rFonts w:asciiTheme="minorBidi" w:hAnsiTheme="minorBidi" w:cstheme="minorBidi"/>
          <w:lang w:val="fr-FR"/>
        </w:rPr>
        <w:t> »</w:t>
      </w:r>
      <w:r w:rsidR="0062614E" w:rsidRPr="00BB4589">
        <w:rPr>
          <w:rFonts w:asciiTheme="minorBidi" w:hAnsiTheme="minorBidi" w:cstheme="minorBidi"/>
          <w:lang w:val="fr-FR"/>
        </w:rPr>
        <w:t xml:space="preserve"> (</w:t>
      </w:r>
      <w:r w:rsidR="0074199E" w:rsidRPr="009861AF">
        <w:rPr>
          <w:rFonts w:asciiTheme="minorBidi" w:hAnsiTheme="minorBidi" w:cstheme="minorBidi"/>
          <w:lang w:val="fr-FR"/>
        </w:rPr>
        <w:t>document LHE/22/9.GA/9</w:t>
      </w:r>
      <w:r w:rsidR="0062614E" w:rsidRPr="00BB4589">
        <w:rPr>
          <w:rFonts w:asciiTheme="minorBidi" w:hAnsiTheme="minorBidi" w:cstheme="minorBidi"/>
          <w:lang w:val="fr-FR"/>
        </w:rPr>
        <w:t>)</w:t>
      </w:r>
      <w:r w:rsidRPr="00BB4589">
        <w:rPr>
          <w:rFonts w:asciiTheme="minorBidi" w:hAnsiTheme="minorBidi" w:cstheme="minorBidi"/>
          <w:lang w:val="fr-FR"/>
        </w:rPr>
        <w:t xml:space="preserve">. A la </w:t>
      </w:r>
      <w:r w:rsidR="00EC75D0" w:rsidRPr="00BB4589">
        <w:rPr>
          <w:rFonts w:asciiTheme="minorBidi" w:hAnsiTheme="minorBidi" w:cstheme="minorBidi"/>
          <w:lang w:val="fr-FR"/>
        </w:rPr>
        <w:t xml:space="preserve">lumière de ces </w:t>
      </w:r>
      <w:r w:rsidR="0054389A" w:rsidRPr="00BB4589">
        <w:rPr>
          <w:rFonts w:asciiTheme="minorBidi" w:hAnsiTheme="minorBidi" w:cstheme="minorBidi"/>
          <w:lang w:val="fr-FR"/>
        </w:rPr>
        <w:t xml:space="preserve">encouragements </w:t>
      </w:r>
      <w:r w:rsidR="009F046C">
        <w:rPr>
          <w:rFonts w:asciiTheme="minorBidi" w:hAnsiTheme="minorBidi" w:cstheme="minorBidi"/>
          <w:lang w:val="fr-FR"/>
        </w:rPr>
        <w:t xml:space="preserve">qui visent </w:t>
      </w:r>
      <w:r w:rsidR="0054389A" w:rsidRPr="00BB4589">
        <w:rPr>
          <w:rFonts w:asciiTheme="minorBidi" w:hAnsiTheme="minorBidi" w:cstheme="minorBidi"/>
          <w:lang w:val="fr-FR"/>
        </w:rPr>
        <w:t xml:space="preserve">à </w:t>
      </w:r>
      <w:r w:rsidR="009F046C">
        <w:rPr>
          <w:rFonts w:asciiTheme="minorBidi" w:hAnsiTheme="minorBidi" w:cstheme="minorBidi"/>
          <w:lang w:val="fr-FR"/>
        </w:rPr>
        <w:t>trouver</w:t>
      </w:r>
      <w:r w:rsidR="009F046C" w:rsidRPr="00BB4589">
        <w:rPr>
          <w:rFonts w:asciiTheme="minorBidi" w:hAnsiTheme="minorBidi" w:cstheme="minorBidi"/>
          <w:lang w:val="fr-FR"/>
        </w:rPr>
        <w:t xml:space="preserve"> </w:t>
      </w:r>
      <w:r w:rsidR="0054389A" w:rsidRPr="00BB4589">
        <w:rPr>
          <w:rFonts w:asciiTheme="minorBidi" w:hAnsiTheme="minorBidi" w:cstheme="minorBidi"/>
          <w:lang w:val="fr-FR"/>
        </w:rPr>
        <w:t>des solutions pour les besoins durables en personnel du Secrétariat</w:t>
      </w:r>
      <w:r w:rsidRPr="00BB4589">
        <w:rPr>
          <w:rFonts w:asciiTheme="minorBidi" w:hAnsiTheme="minorBidi" w:cstheme="minorBidi"/>
          <w:lang w:val="fr-FR"/>
        </w:rPr>
        <w:t>, l</w:t>
      </w:r>
      <w:r w:rsidR="00BB4589">
        <w:rPr>
          <w:rFonts w:asciiTheme="minorBidi" w:hAnsiTheme="minorBidi" w:cstheme="minorBidi"/>
          <w:lang w:val="fr-FR"/>
        </w:rPr>
        <w:t>’</w:t>
      </w:r>
      <w:r w:rsidR="00EC75D0" w:rsidRPr="00BB4589">
        <w:rPr>
          <w:rFonts w:asciiTheme="minorBidi" w:hAnsiTheme="minorBidi" w:cstheme="minorBidi"/>
          <w:lang w:val="fr-FR"/>
        </w:rPr>
        <w:t>Assemblée générale peut s</w:t>
      </w:r>
      <w:r w:rsidR="00BB4589">
        <w:rPr>
          <w:rFonts w:asciiTheme="minorBidi" w:hAnsiTheme="minorBidi" w:cstheme="minorBidi"/>
          <w:lang w:val="fr-FR"/>
        </w:rPr>
        <w:t>’</w:t>
      </w:r>
      <w:r w:rsidR="00EC75D0" w:rsidRPr="00BB4589">
        <w:rPr>
          <w:rFonts w:asciiTheme="minorBidi" w:hAnsiTheme="minorBidi" w:cstheme="minorBidi"/>
          <w:lang w:val="fr-FR"/>
        </w:rPr>
        <w:t>attendre à recevoir des informations consolidées d</w:t>
      </w:r>
      <w:r w:rsidR="00BB4589">
        <w:rPr>
          <w:rFonts w:asciiTheme="minorBidi" w:hAnsiTheme="minorBidi" w:cstheme="minorBidi"/>
          <w:lang w:val="fr-FR"/>
        </w:rPr>
        <w:t>’</w:t>
      </w:r>
      <w:r w:rsidR="00EC75D0" w:rsidRPr="00BB4589">
        <w:rPr>
          <w:rFonts w:asciiTheme="minorBidi" w:hAnsiTheme="minorBidi" w:cstheme="minorBidi"/>
          <w:lang w:val="fr-FR"/>
        </w:rPr>
        <w:t>ici sa prochaine session</w:t>
      </w:r>
      <w:r w:rsidR="0075577D" w:rsidRPr="00BB4589">
        <w:rPr>
          <w:rFonts w:asciiTheme="minorBidi" w:hAnsiTheme="minorBidi" w:cstheme="minorBidi"/>
          <w:lang w:val="fr-FR"/>
        </w:rPr>
        <w:t xml:space="preserve">, ce qui </w:t>
      </w:r>
      <w:r w:rsidR="0054389A" w:rsidRPr="00BB4589">
        <w:rPr>
          <w:rFonts w:asciiTheme="minorBidi" w:hAnsiTheme="minorBidi" w:cstheme="minorBidi"/>
          <w:lang w:val="fr-FR"/>
        </w:rPr>
        <w:t xml:space="preserve">lui </w:t>
      </w:r>
      <w:r w:rsidR="00EC75D0" w:rsidRPr="00BB4589">
        <w:rPr>
          <w:rFonts w:asciiTheme="minorBidi" w:hAnsiTheme="minorBidi" w:cstheme="minorBidi"/>
          <w:lang w:val="fr-FR"/>
        </w:rPr>
        <w:t xml:space="preserve">permettra de faire le </w:t>
      </w:r>
      <w:r w:rsidRPr="00BB4589">
        <w:rPr>
          <w:rFonts w:asciiTheme="minorBidi" w:hAnsiTheme="minorBidi" w:cstheme="minorBidi"/>
          <w:lang w:val="fr-FR"/>
        </w:rPr>
        <w:t>point sur cette situation, de fournir des orientations et d</w:t>
      </w:r>
      <w:r w:rsidR="00BB4589">
        <w:rPr>
          <w:rFonts w:asciiTheme="minorBidi" w:hAnsiTheme="minorBidi" w:cstheme="minorBidi"/>
          <w:lang w:val="fr-FR"/>
        </w:rPr>
        <w:t>’</w:t>
      </w:r>
      <w:r w:rsidRPr="00BB4589">
        <w:rPr>
          <w:rFonts w:asciiTheme="minorBidi" w:hAnsiTheme="minorBidi" w:cstheme="minorBidi"/>
          <w:lang w:val="fr-FR"/>
        </w:rPr>
        <w:t>établir des priorités pour les années à venir.</w:t>
      </w:r>
    </w:p>
    <w:p w14:paraId="2F812B4E" w14:textId="71EEECCD" w:rsidR="001578FB" w:rsidRPr="00BB4589" w:rsidRDefault="008A1ED4">
      <w:pPr>
        <w:pStyle w:val="GAPara"/>
        <w:numPr>
          <w:ilvl w:val="0"/>
          <w:numId w:val="19"/>
        </w:numPr>
        <w:ind w:left="567" w:hanging="567"/>
        <w:jc w:val="both"/>
        <w:rPr>
          <w:rFonts w:asciiTheme="minorBidi" w:hAnsiTheme="minorBidi" w:cstheme="minorBidi"/>
          <w:lang w:val="fr-FR"/>
        </w:rPr>
      </w:pPr>
      <w:r w:rsidRPr="00BB4589">
        <w:rPr>
          <w:rFonts w:asciiTheme="minorBidi" w:hAnsiTheme="minorBidi" w:cstheme="minorBidi"/>
          <w:lang w:val="fr-FR"/>
        </w:rPr>
        <w:t>L</w:t>
      </w:r>
      <w:r w:rsidR="00BB4589">
        <w:rPr>
          <w:rFonts w:asciiTheme="minorBidi" w:hAnsiTheme="minorBidi" w:cstheme="minorBidi"/>
          <w:lang w:val="fr-FR"/>
        </w:rPr>
        <w:t>’</w:t>
      </w:r>
      <w:r w:rsidRPr="00BB4589">
        <w:rPr>
          <w:rFonts w:asciiTheme="minorBidi" w:hAnsiTheme="minorBidi" w:cstheme="minorBidi"/>
          <w:lang w:val="fr-FR"/>
        </w:rPr>
        <w:t>Assemblée générale pourrait souhaiter adopter la résolution suivante :</w:t>
      </w:r>
    </w:p>
    <w:p w14:paraId="0967292E" w14:textId="75FF5EDE" w:rsidR="001578FB" w:rsidRPr="00BB4589" w:rsidRDefault="009069B4">
      <w:pPr>
        <w:pStyle w:val="GATitleResolution"/>
        <w:rPr>
          <w:lang w:val="fr-FR"/>
        </w:rPr>
      </w:pPr>
      <w:r w:rsidRPr="00BB4589">
        <w:rPr>
          <w:lang w:val="fr-FR"/>
        </w:rPr>
        <w:t xml:space="preserve">PROJET DE RÉSOLUTION </w:t>
      </w:r>
      <w:r w:rsidR="003265D0" w:rsidRPr="00BB4589">
        <w:rPr>
          <w:lang w:val="fr-FR"/>
        </w:rPr>
        <w:t>9</w:t>
      </w:r>
      <w:r w:rsidR="008A1ED4" w:rsidRPr="00BB4589">
        <w:rPr>
          <w:lang w:val="fr-FR"/>
        </w:rPr>
        <w:t>.</w:t>
      </w:r>
      <w:r w:rsidR="009F046C">
        <w:rPr>
          <w:lang w:val="fr-FR"/>
        </w:rPr>
        <w:t>GA</w:t>
      </w:r>
      <w:r w:rsidR="009F046C" w:rsidRPr="00BB4589">
        <w:rPr>
          <w:lang w:val="fr-FR"/>
        </w:rPr>
        <w:t xml:space="preserve"> </w:t>
      </w:r>
      <w:r w:rsidR="00A268C4" w:rsidRPr="00BB4589">
        <w:rPr>
          <w:lang w:val="fr-FR"/>
        </w:rPr>
        <w:t>6</w:t>
      </w:r>
    </w:p>
    <w:p w14:paraId="55A37505" w14:textId="60E76827" w:rsidR="001578FB" w:rsidRPr="00BB4589" w:rsidRDefault="009069B4">
      <w:pPr>
        <w:pStyle w:val="GAPreambulaResolution"/>
        <w:rPr>
          <w:rFonts w:eastAsia="SimSun"/>
          <w:lang w:val="fr-FR"/>
        </w:rPr>
      </w:pPr>
      <w:r w:rsidRPr="00BB4589">
        <w:rPr>
          <w:lang w:val="fr-FR"/>
        </w:rPr>
        <w:t>L</w:t>
      </w:r>
      <w:r w:rsidR="00BB4589">
        <w:rPr>
          <w:lang w:val="fr-FR"/>
        </w:rPr>
        <w:t>’</w:t>
      </w:r>
      <w:r w:rsidRPr="00BB4589">
        <w:rPr>
          <w:lang w:val="fr-FR"/>
        </w:rPr>
        <w:t>Assemblée générale,</w:t>
      </w:r>
    </w:p>
    <w:p w14:paraId="7ACD1A34" w14:textId="77777777" w:rsidR="001578FB" w:rsidRPr="00BB4589" w:rsidRDefault="009069B4">
      <w:pPr>
        <w:pStyle w:val="COMParaDecision"/>
        <w:numPr>
          <w:ilvl w:val="0"/>
          <w:numId w:val="10"/>
        </w:numPr>
        <w:ind w:left="1134" w:hanging="567"/>
        <w:rPr>
          <w:lang w:val="fr-FR"/>
        </w:rPr>
      </w:pPr>
      <w:r w:rsidRPr="00BB4589">
        <w:rPr>
          <w:lang w:val="fr-FR"/>
        </w:rPr>
        <w:t>Ayant examiné</w:t>
      </w:r>
      <w:r w:rsidRPr="000B1D75">
        <w:rPr>
          <w:u w:val="none"/>
          <w:lang w:val="fr-FR"/>
        </w:rPr>
        <w:t xml:space="preserve"> le </w:t>
      </w:r>
      <w:r w:rsidR="00F010E0" w:rsidRPr="009861AF">
        <w:rPr>
          <w:u w:val="none"/>
          <w:lang w:val="fr-FR"/>
        </w:rPr>
        <w:t>document LHE/22/9</w:t>
      </w:r>
      <w:r w:rsidRPr="009861AF">
        <w:rPr>
          <w:u w:val="none"/>
          <w:lang w:val="fr-FR"/>
        </w:rPr>
        <w:t xml:space="preserve">.GA/6 </w:t>
      </w:r>
      <w:r w:rsidR="004A45BE" w:rsidRPr="009861AF">
        <w:rPr>
          <w:u w:val="none"/>
          <w:lang w:val="fr-FR"/>
        </w:rPr>
        <w:t>et</w:t>
      </w:r>
      <w:r w:rsidR="004A45BE" w:rsidRPr="00BB4589">
        <w:rPr>
          <w:u w:val="none"/>
          <w:lang w:val="fr-FR"/>
        </w:rPr>
        <w:t xml:space="preserve"> son annexe</w:t>
      </w:r>
      <w:r w:rsidRPr="00BB4589">
        <w:rPr>
          <w:u w:val="none"/>
          <w:lang w:val="fr-FR"/>
        </w:rPr>
        <w:t>,</w:t>
      </w:r>
    </w:p>
    <w:p w14:paraId="2973317B" w14:textId="0C8C5EB3" w:rsidR="001578FB" w:rsidRPr="00BB4589" w:rsidRDefault="009069B4">
      <w:pPr>
        <w:pStyle w:val="COMParaDecision"/>
        <w:numPr>
          <w:ilvl w:val="0"/>
          <w:numId w:val="10"/>
        </w:numPr>
        <w:ind w:left="1134" w:hanging="567"/>
        <w:rPr>
          <w:u w:val="none"/>
          <w:lang w:val="fr-FR"/>
        </w:rPr>
      </w:pPr>
      <w:r w:rsidRPr="00BB4589">
        <w:rPr>
          <w:lang w:val="fr-FR"/>
        </w:rPr>
        <w:t>Prend note</w:t>
      </w:r>
      <w:r w:rsidRPr="000B1D75">
        <w:rPr>
          <w:u w:val="none"/>
          <w:lang w:val="fr-FR"/>
        </w:rPr>
        <w:t xml:space="preserve"> </w:t>
      </w:r>
      <w:r w:rsidRPr="00BB4589">
        <w:rPr>
          <w:u w:val="none"/>
          <w:lang w:val="fr-FR"/>
        </w:rPr>
        <w:t>de</w:t>
      </w:r>
      <w:r w:rsidR="009F046C">
        <w:rPr>
          <w:u w:val="none"/>
          <w:lang w:val="fr-FR"/>
        </w:rPr>
        <w:t>s</w:t>
      </w:r>
      <w:r w:rsidRPr="00BB4589">
        <w:rPr>
          <w:u w:val="none"/>
          <w:lang w:val="fr-FR"/>
        </w:rPr>
        <w:t xml:space="preserve"> impact</w:t>
      </w:r>
      <w:r w:rsidR="009F046C">
        <w:rPr>
          <w:u w:val="none"/>
          <w:lang w:val="fr-FR"/>
        </w:rPr>
        <w:t>s</w:t>
      </w:r>
      <w:r w:rsidRPr="00BB4589">
        <w:rPr>
          <w:u w:val="none"/>
          <w:lang w:val="fr-FR"/>
        </w:rPr>
        <w:t xml:space="preserve"> considérable</w:t>
      </w:r>
      <w:r w:rsidR="009F046C">
        <w:rPr>
          <w:u w:val="none"/>
          <w:lang w:val="fr-FR"/>
        </w:rPr>
        <w:t>s</w:t>
      </w:r>
      <w:r w:rsidRPr="00BB4589">
        <w:rPr>
          <w:u w:val="none"/>
          <w:lang w:val="fr-FR"/>
        </w:rPr>
        <w:t xml:space="preserve"> de la pandémie de COVID-19 sur le patrimoine vivant,</w:t>
      </w:r>
      <w:r w:rsidR="009F046C">
        <w:rPr>
          <w:u w:val="none"/>
          <w:lang w:val="fr-FR"/>
        </w:rPr>
        <w:t xml:space="preserve"> ainsi que sur</w:t>
      </w:r>
      <w:r w:rsidRPr="00BB4589">
        <w:rPr>
          <w:u w:val="none"/>
          <w:lang w:val="fr-FR"/>
        </w:rPr>
        <w:t xml:space="preserve"> ses détenteurs et praticiens et </w:t>
      </w:r>
      <w:r w:rsidR="00935DBB" w:rsidRPr="00BB4589">
        <w:rPr>
          <w:lang w:val="fr-FR"/>
        </w:rPr>
        <w:t>félicite</w:t>
      </w:r>
      <w:r w:rsidR="00935DBB" w:rsidRPr="000B1D75">
        <w:rPr>
          <w:u w:val="none"/>
          <w:lang w:val="fr-FR"/>
        </w:rPr>
        <w:t xml:space="preserve"> </w:t>
      </w:r>
      <w:r w:rsidR="00935DBB" w:rsidRPr="00BB4589">
        <w:rPr>
          <w:u w:val="none"/>
          <w:lang w:val="fr-FR"/>
        </w:rPr>
        <w:t>le Secrétariat pour les ajustements apportés à ses activités - tant statutaires qu</w:t>
      </w:r>
      <w:r w:rsidR="00BB4589">
        <w:rPr>
          <w:u w:val="none"/>
          <w:lang w:val="fr-FR"/>
        </w:rPr>
        <w:t>’</w:t>
      </w:r>
      <w:r w:rsidR="00935DBB" w:rsidRPr="00BB4589">
        <w:rPr>
          <w:u w:val="none"/>
          <w:lang w:val="fr-FR"/>
        </w:rPr>
        <w:t>opérationnelles - en réponse à la pandémie, garantissant la poursuite des travaux des organes directeurs de la Convention et soutenant les efforts nationaux de sauvegarde</w:t>
      </w:r>
      <w:r w:rsidR="009861AF">
        <w:rPr>
          <w:u w:val="none"/>
          <w:lang w:val="fr-FR"/>
        </w:rPr>
        <w:t> </w:t>
      </w:r>
      <w:r w:rsidR="00935DBB" w:rsidRPr="00BB4589">
        <w:rPr>
          <w:u w:val="none"/>
          <w:lang w:val="fr-FR"/>
        </w:rPr>
        <w:t>;</w:t>
      </w:r>
    </w:p>
    <w:p w14:paraId="433E0770" w14:textId="74A53AE7" w:rsidR="001578FB" w:rsidRPr="00BB4589" w:rsidRDefault="009069B4">
      <w:pPr>
        <w:pStyle w:val="COMParaDecision"/>
        <w:numPr>
          <w:ilvl w:val="0"/>
          <w:numId w:val="10"/>
        </w:numPr>
        <w:ind w:left="1134" w:hanging="567"/>
        <w:rPr>
          <w:u w:val="none"/>
          <w:lang w:val="fr-FR"/>
        </w:rPr>
      </w:pPr>
      <w:r w:rsidRPr="00BB4589">
        <w:rPr>
          <w:lang w:val="fr-FR"/>
        </w:rPr>
        <w:t>Félicite en outre</w:t>
      </w:r>
      <w:r w:rsidRPr="000B1D75">
        <w:rPr>
          <w:u w:val="none"/>
          <w:lang w:val="fr-FR"/>
        </w:rPr>
        <w:t xml:space="preserve"> </w:t>
      </w:r>
      <w:r w:rsidRPr="00BB4589">
        <w:rPr>
          <w:u w:val="none"/>
          <w:lang w:val="fr-FR"/>
        </w:rPr>
        <w:t>le Secrétariat d</w:t>
      </w:r>
      <w:r w:rsidR="00BB4589">
        <w:rPr>
          <w:u w:val="none"/>
          <w:lang w:val="fr-FR"/>
        </w:rPr>
        <w:t>’</w:t>
      </w:r>
      <w:r w:rsidR="0066307B" w:rsidRPr="00BB4589">
        <w:rPr>
          <w:u w:val="none"/>
          <w:lang w:val="fr-FR"/>
        </w:rPr>
        <w:t>avoir mené jusqu</w:t>
      </w:r>
      <w:r w:rsidR="00BB4589">
        <w:rPr>
          <w:u w:val="none"/>
          <w:lang w:val="fr-FR"/>
        </w:rPr>
        <w:t>’</w:t>
      </w:r>
      <w:r w:rsidR="0066307B" w:rsidRPr="00BB4589">
        <w:rPr>
          <w:u w:val="none"/>
          <w:lang w:val="fr-FR"/>
        </w:rPr>
        <w:t xml:space="preserve">à son terme </w:t>
      </w:r>
      <w:r w:rsidRPr="00BB4589">
        <w:rPr>
          <w:u w:val="none"/>
          <w:lang w:val="fr-FR"/>
        </w:rPr>
        <w:t xml:space="preserve">la réflexion </w:t>
      </w:r>
      <w:r w:rsidR="009F046C">
        <w:rPr>
          <w:u w:val="none"/>
          <w:lang w:val="fr-FR"/>
        </w:rPr>
        <w:t>globale</w:t>
      </w:r>
      <w:r w:rsidR="009F046C" w:rsidRPr="00BB4589">
        <w:rPr>
          <w:u w:val="none"/>
          <w:lang w:val="fr-FR"/>
        </w:rPr>
        <w:t xml:space="preserve"> </w:t>
      </w:r>
      <w:r w:rsidRPr="00BB4589">
        <w:rPr>
          <w:u w:val="none"/>
          <w:lang w:val="fr-FR"/>
        </w:rPr>
        <w:t>sur les mécanismes d</w:t>
      </w:r>
      <w:r w:rsidR="00BB4589">
        <w:rPr>
          <w:u w:val="none"/>
          <w:lang w:val="fr-FR"/>
        </w:rPr>
        <w:t>’</w:t>
      </w:r>
      <w:r w:rsidRPr="00BB4589">
        <w:rPr>
          <w:u w:val="none"/>
          <w:lang w:val="fr-FR"/>
        </w:rPr>
        <w:t xml:space="preserve">inscription </w:t>
      </w:r>
      <w:r w:rsidR="00C2406B">
        <w:rPr>
          <w:u w:val="none"/>
          <w:lang w:val="fr-FR"/>
        </w:rPr>
        <w:t xml:space="preserve">sur les listes </w:t>
      </w:r>
      <w:r w:rsidRPr="00BB4589">
        <w:rPr>
          <w:u w:val="none"/>
          <w:lang w:val="fr-FR"/>
        </w:rPr>
        <w:t>de la Convention</w:t>
      </w:r>
      <w:r w:rsidR="0066307B" w:rsidRPr="00BB4589">
        <w:rPr>
          <w:u w:val="none"/>
          <w:lang w:val="fr-FR"/>
        </w:rPr>
        <w:t>, en apportant un soutien pertinent au groupe de travail intergouvernemental à composition non limitée</w:t>
      </w:r>
      <w:r w:rsidR="0075577D" w:rsidRPr="00BB4589">
        <w:rPr>
          <w:u w:val="none"/>
          <w:lang w:val="fr-FR"/>
        </w:rPr>
        <w:t xml:space="preserve">, </w:t>
      </w:r>
      <w:r w:rsidR="0066307B" w:rsidRPr="00BB4589">
        <w:rPr>
          <w:u w:val="none"/>
          <w:lang w:val="fr-FR"/>
        </w:rPr>
        <w:t xml:space="preserve">qui a </w:t>
      </w:r>
      <w:r w:rsidR="009F046C">
        <w:rPr>
          <w:u w:val="none"/>
          <w:lang w:val="fr-FR"/>
        </w:rPr>
        <w:t>abouti à</w:t>
      </w:r>
      <w:r w:rsidR="009F046C" w:rsidRPr="00BB4589">
        <w:rPr>
          <w:u w:val="none"/>
          <w:lang w:val="fr-FR"/>
        </w:rPr>
        <w:t xml:space="preserve"> </w:t>
      </w:r>
      <w:r w:rsidR="0066307B" w:rsidRPr="00BB4589">
        <w:rPr>
          <w:u w:val="none"/>
          <w:lang w:val="fr-FR"/>
        </w:rPr>
        <w:t>des résultats importants pour le développement futur de la Convention</w:t>
      </w:r>
      <w:r w:rsidR="009861AF">
        <w:rPr>
          <w:u w:val="none"/>
          <w:lang w:val="fr-FR"/>
        </w:rPr>
        <w:t> </w:t>
      </w:r>
      <w:r w:rsidR="0066307B" w:rsidRPr="00BB4589">
        <w:rPr>
          <w:u w:val="none"/>
          <w:lang w:val="fr-FR"/>
        </w:rPr>
        <w:t>;</w:t>
      </w:r>
    </w:p>
    <w:p w14:paraId="3DB01FAA" w14:textId="5EB6CA35" w:rsidR="001578FB" w:rsidRPr="009861AF" w:rsidRDefault="00CE2F57">
      <w:pPr>
        <w:pStyle w:val="COMParaDecision"/>
        <w:numPr>
          <w:ilvl w:val="0"/>
          <w:numId w:val="10"/>
        </w:numPr>
        <w:ind w:left="1134" w:hanging="567"/>
        <w:rPr>
          <w:u w:val="none"/>
          <w:lang w:val="fr-FR"/>
        </w:rPr>
      </w:pPr>
      <w:r w:rsidRPr="009861AF">
        <w:rPr>
          <w:lang w:val="fr-FR"/>
        </w:rPr>
        <w:t>Note avec satisfaction</w:t>
      </w:r>
      <w:r w:rsidRPr="009861AF">
        <w:rPr>
          <w:u w:val="none"/>
          <w:lang w:val="fr-FR"/>
        </w:rPr>
        <w:t xml:space="preserve"> la nette amélioration des taux de soumission des rapports périodiques de l'Amérique latine et des Caraïbes et de l'Europe, démontrant le plein potentiel du mécanisme en tant qu'outil axé sur les résultats pour suivre les impacts de la Convention à différents niveaux et </w:t>
      </w:r>
      <w:r w:rsidRPr="009861AF">
        <w:rPr>
          <w:lang w:val="fr-FR"/>
        </w:rPr>
        <w:t>reconnaît</w:t>
      </w:r>
      <w:r w:rsidRPr="009861AF">
        <w:rPr>
          <w:u w:val="none"/>
          <w:lang w:val="fr-FR"/>
        </w:rPr>
        <w:t xml:space="preserve"> les efforts déployés par le Secrétariat pour soutenir la mise en œuvre du mécanisme réformé de présentation de rapports périodiques, ainsi que l'engagement des États membres dans cet exercice</w:t>
      </w:r>
      <w:r w:rsidR="00D6080E">
        <w:rPr>
          <w:u w:val="none"/>
          <w:lang w:val="fr-FR"/>
        </w:rPr>
        <w:t> </w:t>
      </w:r>
      <w:r w:rsidR="001D3E1A" w:rsidRPr="009861AF">
        <w:rPr>
          <w:u w:val="none"/>
          <w:lang w:val="fr-FR"/>
        </w:rPr>
        <w:t>;</w:t>
      </w:r>
    </w:p>
    <w:p w14:paraId="409B7119" w14:textId="0EBA1FA5" w:rsidR="001578FB" w:rsidRPr="00BB4589" w:rsidRDefault="009069B4">
      <w:pPr>
        <w:pStyle w:val="COMParaDecision"/>
        <w:numPr>
          <w:ilvl w:val="0"/>
          <w:numId w:val="10"/>
        </w:numPr>
        <w:ind w:left="1134" w:hanging="567"/>
        <w:rPr>
          <w:rFonts w:asciiTheme="minorBidi" w:hAnsiTheme="minorBidi" w:cstheme="minorBidi"/>
          <w:u w:val="none"/>
          <w:lang w:val="fr-FR"/>
        </w:rPr>
      </w:pPr>
      <w:r w:rsidRPr="00BB4589">
        <w:rPr>
          <w:rFonts w:asciiTheme="minorBidi" w:hAnsiTheme="minorBidi" w:cstheme="minorBidi"/>
          <w:lang w:val="fr-FR"/>
        </w:rPr>
        <w:t>Souligne</w:t>
      </w:r>
      <w:r w:rsidRPr="000B1D75">
        <w:rPr>
          <w:rFonts w:asciiTheme="minorBidi" w:hAnsiTheme="minorBidi" w:cstheme="minorBidi"/>
          <w:u w:val="none"/>
          <w:lang w:val="fr-FR"/>
        </w:rPr>
        <w:t xml:space="preserve"> </w:t>
      </w:r>
      <w:r w:rsidRPr="00BB4589">
        <w:rPr>
          <w:rFonts w:asciiTheme="minorBidi" w:hAnsiTheme="minorBidi" w:cstheme="minorBidi"/>
          <w:u w:val="none"/>
          <w:lang w:val="fr-FR"/>
        </w:rPr>
        <w:t>les résultats obtenus dans l</w:t>
      </w:r>
      <w:r w:rsidR="00BB4589">
        <w:rPr>
          <w:rFonts w:asciiTheme="minorBidi" w:hAnsiTheme="minorBidi" w:cstheme="minorBidi"/>
          <w:u w:val="none"/>
          <w:lang w:val="fr-FR"/>
        </w:rPr>
        <w:t>’</w:t>
      </w:r>
      <w:r w:rsidRPr="00BB4589">
        <w:rPr>
          <w:rFonts w:asciiTheme="minorBidi" w:hAnsiTheme="minorBidi" w:cstheme="minorBidi"/>
          <w:u w:val="none"/>
          <w:lang w:val="fr-FR"/>
        </w:rPr>
        <w:t xml:space="preserve">expansion géographique et thématique du programme mondial de renforcement des capacités et </w:t>
      </w:r>
      <w:r w:rsidR="00D12851">
        <w:rPr>
          <w:rFonts w:asciiTheme="minorBidi" w:hAnsiTheme="minorBidi" w:cstheme="minorBidi"/>
          <w:lang w:val="fr-FR"/>
        </w:rPr>
        <w:t>accueille</w:t>
      </w:r>
      <w:r w:rsidRPr="000B1D75">
        <w:rPr>
          <w:rFonts w:asciiTheme="minorBidi" w:hAnsiTheme="minorBidi" w:cstheme="minorBidi"/>
          <w:u w:val="none"/>
          <w:lang w:val="fr-FR"/>
        </w:rPr>
        <w:t xml:space="preserve"> </w:t>
      </w:r>
      <w:r w:rsidRPr="00BB4589">
        <w:rPr>
          <w:rFonts w:asciiTheme="minorBidi" w:hAnsiTheme="minorBidi" w:cstheme="minorBidi"/>
          <w:u w:val="none"/>
          <w:lang w:val="fr-FR"/>
        </w:rPr>
        <w:t>sa réorientation en cours pour s</w:t>
      </w:r>
      <w:r w:rsidR="00BB4589">
        <w:rPr>
          <w:rFonts w:asciiTheme="minorBidi" w:hAnsiTheme="minorBidi" w:cstheme="minorBidi"/>
          <w:u w:val="none"/>
          <w:lang w:val="fr-FR"/>
        </w:rPr>
        <w:t>’</w:t>
      </w:r>
      <w:r w:rsidRPr="00BB4589">
        <w:rPr>
          <w:rFonts w:asciiTheme="minorBidi" w:hAnsiTheme="minorBidi" w:cstheme="minorBidi"/>
          <w:u w:val="none"/>
          <w:lang w:val="fr-FR"/>
        </w:rPr>
        <w:t>adapter à la nécessité d</w:t>
      </w:r>
      <w:r w:rsidR="00BB4589">
        <w:rPr>
          <w:rFonts w:asciiTheme="minorBidi" w:hAnsiTheme="minorBidi" w:cstheme="minorBidi"/>
          <w:u w:val="none"/>
          <w:lang w:val="fr-FR"/>
        </w:rPr>
        <w:t>’</w:t>
      </w:r>
      <w:r w:rsidRPr="00BB4589">
        <w:rPr>
          <w:rFonts w:asciiTheme="minorBidi" w:hAnsiTheme="minorBidi" w:cstheme="minorBidi"/>
          <w:u w:val="none"/>
          <w:lang w:val="fr-FR"/>
        </w:rPr>
        <w:t>adopter des approches multimodales et de renforcer les partenariats dans l</w:t>
      </w:r>
      <w:r w:rsidR="00BB4589">
        <w:rPr>
          <w:rFonts w:asciiTheme="minorBidi" w:hAnsiTheme="minorBidi" w:cstheme="minorBidi"/>
          <w:u w:val="none"/>
          <w:lang w:val="fr-FR"/>
        </w:rPr>
        <w:t>’</w:t>
      </w:r>
      <w:r w:rsidRPr="00BB4589">
        <w:rPr>
          <w:rFonts w:asciiTheme="minorBidi" w:hAnsiTheme="minorBidi" w:cstheme="minorBidi"/>
          <w:u w:val="none"/>
          <w:lang w:val="fr-FR"/>
        </w:rPr>
        <w:t>exécution et la gestion du programme</w:t>
      </w:r>
      <w:r w:rsidR="00D6080E">
        <w:rPr>
          <w:rFonts w:asciiTheme="minorBidi" w:hAnsiTheme="minorBidi" w:cstheme="minorBidi"/>
          <w:u w:val="none"/>
          <w:lang w:val="fr-FR"/>
        </w:rPr>
        <w:t> </w:t>
      </w:r>
      <w:r w:rsidRPr="00BB4589">
        <w:rPr>
          <w:rFonts w:asciiTheme="minorBidi" w:hAnsiTheme="minorBidi" w:cstheme="minorBidi"/>
          <w:u w:val="none"/>
          <w:lang w:val="fr-FR"/>
        </w:rPr>
        <w:t>;</w:t>
      </w:r>
    </w:p>
    <w:p w14:paraId="264EA1BA" w14:textId="1F2DF2F4" w:rsidR="001578FB" w:rsidRPr="00BB4589" w:rsidRDefault="001C3700">
      <w:pPr>
        <w:pStyle w:val="COMParaDecision"/>
        <w:numPr>
          <w:ilvl w:val="0"/>
          <w:numId w:val="10"/>
        </w:numPr>
        <w:ind w:left="1134" w:hanging="567"/>
        <w:rPr>
          <w:rFonts w:asciiTheme="minorBidi" w:hAnsiTheme="minorBidi" w:cstheme="minorBidi"/>
          <w:u w:val="none"/>
          <w:lang w:val="fr-FR"/>
        </w:rPr>
      </w:pPr>
      <w:r>
        <w:rPr>
          <w:rFonts w:asciiTheme="minorBidi" w:hAnsiTheme="minorBidi" w:cstheme="minorBidi"/>
          <w:lang w:val="fr-FR"/>
        </w:rPr>
        <w:t>A</w:t>
      </w:r>
      <w:r w:rsidR="009069B4" w:rsidRPr="00BB4589">
        <w:rPr>
          <w:rFonts w:asciiTheme="minorBidi" w:hAnsiTheme="minorBidi" w:cstheme="minorBidi"/>
          <w:lang w:val="fr-FR"/>
        </w:rPr>
        <w:t>pprécie</w:t>
      </w:r>
      <w:r w:rsidR="009069B4" w:rsidRPr="000B1D75">
        <w:rPr>
          <w:rFonts w:asciiTheme="minorBidi" w:hAnsiTheme="minorBidi" w:cstheme="minorBidi"/>
          <w:u w:val="none"/>
          <w:lang w:val="fr-FR"/>
        </w:rPr>
        <w:t xml:space="preserve"> </w:t>
      </w:r>
      <w:r w:rsidR="009069B4" w:rsidRPr="00BB4589">
        <w:rPr>
          <w:rFonts w:asciiTheme="minorBidi" w:hAnsiTheme="minorBidi" w:cstheme="minorBidi"/>
          <w:u w:val="none"/>
          <w:lang w:val="fr-FR"/>
        </w:rPr>
        <w:t xml:space="preserve">les progrès réalisés dans la mise en œuvre de la priorité de financement </w:t>
      </w:r>
      <w:r>
        <w:rPr>
          <w:rFonts w:asciiTheme="minorBidi" w:hAnsiTheme="minorBidi" w:cstheme="minorBidi"/>
          <w:u w:val="none"/>
          <w:lang w:val="fr-FR"/>
        </w:rPr>
        <w:t>« </w:t>
      </w:r>
      <w:r w:rsidR="009069B4" w:rsidRPr="00BB4589">
        <w:rPr>
          <w:rFonts w:asciiTheme="minorBidi" w:hAnsiTheme="minorBidi" w:cstheme="minorBidi"/>
          <w:u w:val="none"/>
          <w:lang w:val="fr-FR"/>
        </w:rPr>
        <w:t>sauvegarde et transmission du patrimoine culturel immatériel par l</w:t>
      </w:r>
      <w:r w:rsidR="00BB4589">
        <w:rPr>
          <w:rFonts w:asciiTheme="minorBidi" w:hAnsiTheme="minorBidi" w:cstheme="minorBidi"/>
          <w:u w:val="none"/>
          <w:lang w:val="fr-FR"/>
        </w:rPr>
        <w:t>’</w:t>
      </w:r>
      <w:r w:rsidR="009069B4" w:rsidRPr="00BB4589">
        <w:rPr>
          <w:rFonts w:asciiTheme="minorBidi" w:hAnsiTheme="minorBidi" w:cstheme="minorBidi"/>
          <w:u w:val="none"/>
          <w:lang w:val="fr-FR"/>
        </w:rPr>
        <w:t>éducation formelle et non formelle</w:t>
      </w:r>
      <w:r>
        <w:rPr>
          <w:rFonts w:asciiTheme="minorBidi" w:hAnsiTheme="minorBidi" w:cstheme="minorBidi"/>
          <w:u w:val="none"/>
          <w:lang w:val="fr-FR"/>
        </w:rPr>
        <w:t> »</w:t>
      </w:r>
      <w:r w:rsidR="009069B4" w:rsidRPr="00BB4589">
        <w:rPr>
          <w:rFonts w:asciiTheme="minorBidi" w:hAnsiTheme="minorBidi" w:cstheme="minorBidi"/>
          <w:u w:val="none"/>
          <w:lang w:val="fr-FR"/>
        </w:rPr>
        <w:t xml:space="preserve"> et </w:t>
      </w:r>
      <w:r w:rsidR="009069B4" w:rsidRPr="00CE2F57">
        <w:rPr>
          <w:rFonts w:asciiTheme="minorBidi" w:hAnsiTheme="minorBidi" w:cstheme="minorBidi"/>
          <w:lang w:val="fr-FR"/>
        </w:rPr>
        <w:t>souligne</w:t>
      </w:r>
      <w:r w:rsidR="005C6D24" w:rsidRPr="000B1D75">
        <w:rPr>
          <w:rFonts w:asciiTheme="minorBidi" w:hAnsiTheme="minorBidi" w:cstheme="minorBidi"/>
          <w:u w:val="none"/>
          <w:lang w:val="fr-FR"/>
        </w:rPr>
        <w:t xml:space="preserve"> </w:t>
      </w:r>
      <w:r w:rsidR="009069B4" w:rsidRPr="000B1D75">
        <w:rPr>
          <w:rFonts w:asciiTheme="minorBidi" w:hAnsiTheme="minorBidi" w:cstheme="minorBidi"/>
          <w:u w:val="none"/>
          <w:lang w:val="fr-FR"/>
        </w:rPr>
        <w:t>l</w:t>
      </w:r>
      <w:r w:rsidR="00BB4589" w:rsidRPr="000B1D75">
        <w:rPr>
          <w:rFonts w:asciiTheme="minorBidi" w:hAnsiTheme="minorBidi" w:cstheme="minorBidi"/>
          <w:u w:val="none"/>
          <w:lang w:val="fr-FR"/>
        </w:rPr>
        <w:t>’</w:t>
      </w:r>
      <w:r w:rsidR="009069B4" w:rsidRPr="001C3700">
        <w:rPr>
          <w:rFonts w:asciiTheme="minorBidi" w:hAnsiTheme="minorBidi" w:cstheme="minorBidi"/>
          <w:u w:val="none"/>
          <w:lang w:val="fr-FR"/>
        </w:rPr>
        <w:t>importance</w:t>
      </w:r>
      <w:r w:rsidR="009069B4" w:rsidRPr="00BB4589">
        <w:rPr>
          <w:rFonts w:asciiTheme="minorBidi" w:hAnsiTheme="minorBidi" w:cstheme="minorBidi"/>
          <w:u w:val="none"/>
          <w:lang w:val="fr-FR"/>
        </w:rPr>
        <w:t xml:space="preserve"> de renforcer la collaboration intersectorielle pour un plus grand impact</w:t>
      </w:r>
      <w:r w:rsidR="00D6080E">
        <w:rPr>
          <w:rFonts w:asciiTheme="minorBidi" w:hAnsiTheme="minorBidi" w:cstheme="minorBidi"/>
          <w:u w:val="none"/>
          <w:lang w:val="fr-FR"/>
        </w:rPr>
        <w:t> </w:t>
      </w:r>
      <w:r w:rsidR="009069B4" w:rsidRPr="00BB4589">
        <w:rPr>
          <w:rFonts w:asciiTheme="minorBidi" w:hAnsiTheme="minorBidi" w:cstheme="minorBidi"/>
          <w:u w:val="none"/>
          <w:lang w:val="fr-FR"/>
        </w:rPr>
        <w:t>;</w:t>
      </w:r>
    </w:p>
    <w:p w14:paraId="319F27A6" w14:textId="40A0E883" w:rsidR="001578FB" w:rsidRPr="00BB4589" w:rsidRDefault="009069B4">
      <w:pPr>
        <w:pStyle w:val="COMParaDecision"/>
        <w:numPr>
          <w:ilvl w:val="0"/>
          <w:numId w:val="10"/>
        </w:numPr>
        <w:ind w:left="1134" w:hanging="567"/>
        <w:rPr>
          <w:u w:val="none"/>
          <w:lang w:val="fr-FR"/>
        </w:rPr>
      </w:pPr>
      <w:r w:rsidRPr="00BB4589">
        <w:rPr>
          <w:rFonts w:asciiTheme="minorBidi" w:hAnsiTheme="minorBidi" w:cstheme="minorBidi"/>
          <w:lang w:val="fr-FR"/>
        </w:rPr>
        <w:t>Apprécie</w:t>
      </w:r>
      <w:r w:rsidR="001C3700">
        <w:rPr>
          <w:rFonts w:asciiTheme="minorBidi" w:hAnsiTheme="minorBidi" w:cstheme="minorBidi"/>
          <w:lang w:val="fr-FR"/>
        </w:rPr>
        <w:t xml:space="preserve"> en outre</w:t>
      </w:r>
      <w:r w:rsidRPr="000B1D75">
        <w:rPr>
          <w:rFonts w:asciiTheme="minorBidi" w:hAnsiTheme="minorBidi" w:cstheme="minorBidi"/>
          <w:u w:val="none"/>
          <w:lang w:val="fr-FR"/>
        </w:rPr>
        <w:t xml:space="preserve"> </w:t>
      </w:r>
      <w:r w:rsidRPr="00BB4589">
        <w:rPr>
          <w:rFonts w:asciiTheme="minorBidi" w:hAnsiTheme="minorBidi" w:cstheme="minorBidi"/>
          <w:u w:val="none"/>
          <w:lang w:val="fr-FR"/>
        </w:rPr>
        <w:t xml:space="preserve">les progrès </w:t>
      </w:r>
      <w:r w:rsidR="00542D13" w:rsidRPr="00BB4589">
        <w:rPr>
          <w:rFonts w:asciiTheme="minorBidi" w:hAnsiTheme="minorBidi" w:cstheme="minorBidi"/>
          <w:u w:val="none"/>
          <w:lang w:val="fr-FR"/>
        </w:rPr>
        <w:t xml:space="preserve">réalisés </w:t>
      </w:r>
      <w:r w:rsidRPr="00BB4589">
        <w:rPr>
          <w:rFonts w:asciiTheme="minorBidi" w:hAnsiTheme="minorBidi" w:cstheme="minorBidi"/>
          <w:u w:val="none"/>
          <w:lang w:val="fr-FR"/>
        </w:rPr>
        <w:t>dans le cadre des initiatives thématiques telles que le patrimoine culturel immatériel et le changement climatique, la commercialisation, l</w:t>
      </w:r>
      <w:r w:rsidR="00BB4589">
        <w:rPr>
          <w:rFonts w:asciiTheme="minorBidi" w:hAnsiTheme="minorBidi" w:cstheme="minorBidi"/>
          <w:u w:val="none"/>
          <w:lang w:val="fr-FR"/>
        </w:rPr>
        <w:t>’</w:t>
      </w:r>
      <w:r w:rsidRPr="00BB4589">
        <w:rPr>
          <w:rFonts w:asciiTheme="minorBidi" w:hAnsiTheme="minorBidi" w:cstheme="minorBidi"/>
          <w:u w:val="none"/>
          <w:lang w:val="fr-FR"/>
        </w:rPr>
        <w:t xml:space="preserve">éducation et les contextes urbains, </w:t>
      </w:r>
      <w:r w:rsidRPr="00BB4589">
        <w:rPr>
          <w:rFonts w:asciiTheme="minorBidi" w:hAnsiTheme="minorBidi" w:cstheme="minorBidi"/>
          <w:lang w:val="fr-FR"/>
        </w:rPr>
        <w:t>souligne</w:t>
      </w:r>
      <w:r w:rsidR="001C3700" w:rsidRPr="000B1D75">
        <w:rPr>
          <w:rFonts w:asciiTheme="minorBidi" w:hAnsiTheme="minorBidi" w:cstheme="minorBidi"/>
          <w:u w:val="none"/>
          <w:lang w:val="fr-FR"/>
        </w:rPr>
        <w:t xml:space="preserve"> </w:t>
      </w:r>
      <w:r w:rsidRPr="000B1D75">
        <w:rPr>
          <w:rFonts w:asciiTheme="minorBidi" w:hAnsiTheme="minorBidi" w:cstheme="minorBidi"/>
          <w:u w:val="none"/>
          <w:lang w:val="fr-FR"/>
        </w:rPr>
        <w:t>l</w:t>
      </w:r>
      <w:r w:rsidR="00BB4589" w:rsidRPr="000B1D75">
        <w:rPr>
          <w:rFonts w:asciiTheme="minorBidi" w:hAnsiTheme="minorBidi" w:cstheme="minorBidi"/>
          <w:u w:val="none"/>
          <w:lang w:val="fr-FR"/>
        </w:rPr>
        <w:t>’</w:t>
      </w:r>
      <w:r w:rsidRPr="001C3700">
        <w:rPr>
          <w:rFonts w:asciiTheme="minorBidi" w:hAnsiTheme="minorBidi" w:cstheme="minorBidi"/>
          <w:u w:val="none"/>
          <w:lang w:val="fr-FR"/>
        </w:rPr>
        <w:t>importance</w:t>
      </w:r>
      <w:r w:rsidRPr="00BB4589">
        <w:rPr>
          <w:rFonts w:asciiTheme="minorBidi" w:hAnsiTheme="minorBidi" w:cstheme="minorBidi"/>
          <w:u w:val="none"/>
          <w:lang w:val="fr-FR"/>
        </w:rPr>
        <w:t xml:space="preserve"> d</w:t>
      </w:r>
      <w:r w:rsidR="00BB4589">
        <w:rPr>
          <w:rFonts w:asciiTheme="minorBidi" w:hAnsiTheme="minorBidi" w:cstheme="minorBidi"/>
          <w:u w:val="none"/>
          <w:lang w:val="fr-FR"/>
        </w:rPr>
        <w:t>’</w:t>
      </w:r>
      <w:r w:rsidRPr="00BB4589">
        <w:rPr>
          <w:rFonts w:asciiTheme="minorBidi" w:hAnsiTheme="minorBidi" w:cstheme="minorBidi"/>
          <w:u w:val="none"/>
          <w:lang w:val="fr-FR"/>
        </w:rPr>
        <w:t>assurer des synergies avec les conventions culturelles de l</w:t>
      </w:r>
      <w:r w:rsidR="00BB4589">
        <w:rPr>
          <w:rFonts w:asciiTheme="minorBidi" w:hAnsiTheme="minorBidi" w:cstheme="minorBidi"/>
          <w:u w:val="none"/>
          <w:lang w:val="fr-FR"/>
        </w:rPr>
        <w:t>’</w:t>
      </w:r>
      <w:r w:rsidRPr="00BB4589">
        <w:rPr>
          <w:rFonts w:asciiTheme="minorBidi" w:hAnsiTheme="minorBidi" w:cstheme="minorBidi"/>
          <w:u w:val="none"/>
          <w:lang w:val="fr-FR"/>
        </w:rPr>
        <w:t xml:space="preserve">UNESCO et les autres programmes pertinents à cet égard, et </w:t>
      </w:r>
      <w:r w:rsidRPr="00BB4589">
        <w:rPr>
          <w:rFonts w:asciiTheme="minorBidi" w:hAnsiTheme="minorBidi" w:cstheme="minorBidi"/>
          <w:lang w:val="fr-FR"/>
        </w:rPr>
        <w:t>invite</w:t>
      </w:r>
      <w:r w:rsidRPr="000B1D75">
        <w:rPr>
          <w:rFonts w:asciiTheme="minorBidi" w:hAnsiTheme="minorBidi" w:cstheme="minorBidi"/>
          <w:u w:val="none"/>
          <w:lang w:val="fr-FR"/>
        </w:rPr>
        <w:t xml:space="preserve"> </w:t>
      </w:r>
      <w:r w:rsidRPr="00BB4589">
        <w:rPr>
          <w:rFonts w:asciiTheme="minorBidi" w:hAnsiTheme="minorBidi" w:cstheme="minorBidi"/>
          <w:u w:val="none"/>
          <w:lang w:val="fr-FR"/>
        </w:rPr>
        <w:t>le Secrétariat à poursuivre ses efforts</w:t>
      </w:r>
      <w:r w:rsidR="00D6080E">
        <w:rPr>
          <w:rFonts w:asciiTheme="minorBidi" w:hAnsiTheme="minorBidi" w:cstheme="minorBidi"/>
          <w:u w:val="none"/>
          <w:lang w:val="fr-FR"/>
        </w:rPr>
        <w:t> </w:t>
      </w:r>
      <w:r w:rsidRPr="00BB4589">
        <w:rPr>
          <w:rFonts w:asciiTheme="minorBidi" w:hAnsiTheme="minorBidi" w:cstheme="minorBidi"/>
          <w:u w:val="none"/>
          <w:lang w:val="fr-FR"/>
        </w:rPr>
        <w:t>;</w:t>
      </w:r>
    </w:p>
    <w:p w14:paraId="41C0E54B" w14:textId="633604EC" w:rsidR="001578FB" w:rsidRPr="00BB4589" w:rsidRDefault="009069B4">
      <w:pPr>
        <w:pStyle w:val="COMParaDecision"/>
        <w:numPr>
          <w:ilvl w:val="0"/>
          <w:numId w:val="10"/>
        </w:numPr>
        <w:ind w:left="1134" w:hanging="567"/>
        <w:rPr>
          <w:u w:val="none"/>
          <w:lang w:val="fr-FR"/>
        </w:rPr>
      </w:pPr>
      <w:r w:rsidRPr="00BB4589">
        <w:rPr>
          <w:lang w:val="fr-FR"/>
        </w:rPr>
        <w:t>Demande</w:t>
      </w:r>
      <w:r w:rsidRPr="000B1D75">
        <w:rPr>
          <w:u w:val="none"/>
          <w:lang w:val="fr-FR"/>
        </w:rPr>
        <w:t xml:space="preserve"> au </w:t>
      </w:r>
      <w:r w:rsidRPr="00BB4589">
        <w:rPr>
          <w:u w:val="none"/>
          <w:lang w:val="fr-FR"/>
        </w:rPr>
        <w:t>Secrétariat de faire rapport sur ses activités pour la période comprise entre janvier 2022 et décembre 2023, pour examen par l</w:t>
      </w:r>
      <w:r w:rsidR="00BB4589">
        <w:rPr>
          <w:u w:val="none"/>
          <w:lang w:val="fr-FR"/>
        </w:rPr>
        <w:t>’</w:t>
      </w:r>
      <w:r w:rsidRPr="00BB4589">
        <w:rPr>
          <w:u w:val="none"/>
          <w:lang w:val="fr-FR"/>
        </w:rPr>
        <w:t>Assemblée générale à sa dixième session.</w:t>
      </w:r>
    </w:p>
    <w:p w14:paraId="355C5A75" w14:textId="43EE11FB" w:rsidR="002B0EDD" w:rsidRPr="00BB4589" w:rsidRDefault="002B0EDD" w:rsidP="0005412F">
      <w:pPr>
        <w:pStyle w:val="COMParaDecision"/>
        <w:ind w:firstLine="0"/>
        <w:jc w:val="left"/>
        <w:rPr>
          <w:u w:val="none"/>
          <w:lang w:val="fr-FR"/>
        </w:rPr>
        <w:sectPr w:rsidR="002B0EDD" w:rsidRPr="00BB4589" w:rsidSect="00176720">
          <w:headerReference w:type="even" r:id="rId33"/>
          <w:headerReference w:type="default" r:id="rId34"/>
          <w:headerReference w:type="first" r:id="rId35"/>
          <w:pgSz w:w="11906" w:h="16838" w:code="9"/>
          <w:pgMar w:top="1418" w:right="1134" w:bottom="1134" w:left="1134" w:header="397" w:footer="284" w:gutter="0"/>
          <w:cols w:space="708"/>
          <w:titlePg/>
          <w:docGrid w:linePitch="360"/>
        </w:sectPr>
      </w:pPr>
    </w:p>
    <w:p w14:paraId="1FB77D35" w14:textId="77777777" w:rsidR="001578FB" w:rsidRPr="00BB4589" w:rsidRDefault="009069B4">
      <w:pPr>
        <w:pStyle w:val="COMParaDecision"/>
        <w:ind w:left="0" w:firstLine="0"/>
        <w:jc w:val="center"/>
        <w:rPr>
          <w:rFonts w:asciiTheme="minorBidi" w:hAnsiTheme="minorBidi" w:cstheme="minorBidi"/>
          <w:b/>
          <w:lang w:val="fr-FR"/>
        </w:rPr>
      </w:pPr>
      <w:r w:rsidRPr="00BB4589">
        <w:rPr>
          <w:rFonts w:asciiTheme="minorBidi" w:hAnsiTheme="minorBidi" w:cstheme="minorBidi"/>
          <w:b/>
          <w:lang w:val="fr-FR"/>
        </w:rPr>
        <w:t>Annexe</w:t>
      </w:r>
    </w:p>
    <w:p w14:paraId="5D4B1885" w14:textId="77777777" w:rsidR="001578FB" w:rsidRPr="00BB4589" w:rsidRDefault="009069B4">
      <w:pPr>
        <w:pStyle w:val="COMParaDecision"/>
        <w:spacing w:after="240"/>
        <w:ind w:left="0" w:firstLine="0"/>
        <w:jc w:val="center"/>
        <w:rPr>
          <w:rFonts w:asciiTheme="minorBidi" w:hAnsiTheme="minorBidi" w:cstheme="minorBidi"/>
          <w:b/>
          <w:u w:val="none"/>
          <w:lang w:val="fr-FR"/>
        </w:rPr>
      </w:pPr>
      <w:r w:rsidRPr="00BB4589">
        <w:rPr>
          <w:rFonts w:asciiTheme="minorBidi" w:hAnsiTheme="minorBidi" w:cstheme="minorBidi"/>
          <w:b/>
          <w:u w:val="none"/>
          <w:lang w:val="fr-FR"/>
        </w:rPr>
        <w:t>Évaluation par indicateur de performance</w:t>
      </w:r>
    </w:p>
    <w:tbl>
      <w:tblPr>
        <w:tblStyle w:val="TableGrid2"/>
        <w:tblW w:w="14572" w:type="dxa"/>
        <w:tblLook w:val="04A0" w:firstRow="1" w:lastRow="0" w:firstColumn="1" w:lastColumn="0" w:noHBand="0" w:noVBand="1"/>
      </w:tblPr>
      <w:tblGrid>
        <w:gridCol w:w="3789"/>
        <w:gridCol w:w="10783"/>
      </w:tblGrid>
      <w:tr w:rsidR="00A268C4" w:rsidRPr="000A60EE" w14:paraId="1C560786" w14:textId="77777777" w:rsidTr="00EB3A99">
        <w:trPr>
          <w:cantSplit/>
        </w:trPr>
        <w:tc>
          <w:tcPr>
            <w:tcW w:w="1300" w:type="pct"/>
            <w:shd w:val="clear" w:color="auto" w:fill="808080" w:themeFill="background1" w:themeFillShade="80"/>
            <w:vAlign w:val="center"/>
          </w:tcPr>
          <w:p w14:paraId="24F87DFC" w14:textId="77777777" w:rsidR="001578FB" w:rsidRDefault="009069B4">
            <w:pPr>
              <w:keepNext/>
              <w:spacing w:before="120" w:after="120"/>
              <w:rPr>
                <w:rFonts w:asciiTheme="minorBidi" w:hAnsiTheme="minorBidi" w:cstheme="minorBidi"/>
                <w:b/>
                <w:bCs/>
                <w:color w:val="FFFFFF" w:themeColor="background1"/>
                <w:sz w:val="22"/>
                <w:szCs w:val="22"/>
                <w:lang w:val="en-GB"/>
              </w:rPr>
            </w:pPr>
            <w:r w:rsidRPr="006B6390">
              <w:rPr>
                <w:rFonts w:asciiTheme="minorBidi" w:hAnsiTheme="minorBidi" w:cstheme="minorBidi"/>
                <w:b/>
                <w:bCs/>
                <w:color w:val="FFFFFF" w:themeColor="background1"/>
                <w:sz w:val="22"/>
                <w:szCs w:val="22"/>
                <w:lang w:val="en-GB"/>
              </w:rPr>
              <w:t xml:space="preserve">40C/5 </w:t>
            </w:r>
            <w:proofErr w:type="spellStart"/>
            <w:r w:rsidRPr="006B6390">
              <w:rPr>
                <w:rFonts w:asciiTheme="minorBidi" w:hAnsiTheme="minorBidi" w:cstheme="minorBidi"/>
                <w:b/>
                <w:bCs/>
                <w:color w:val="FFFFFF" w:themeColor="background1"/>
                <w:sz w:val="22"/>
                <w:szCs w:val="22"/>
                <w:lang w:val="en-GB"/>
              </w:rPr>
              <w:t>Indicateur</w:t>
            </w:r>
            <w:proofErr w:type="spellEnd"/>
            <w:r w:rsidRPr="006B6390">
              <w:rPr>
                <w:rFonts w:asciiTheme="minorBidi" w:hAnsiTheme="minorBidi" w:cstheme="minorBidi"/>
                <w:b/>
                <w:bCs/>
                <w:color w:val="FFFFFF" w:themeColor="background1"/>
                <w:sz w:val="22"/>
                <w:szCs w:val="22"/>
                <w:lang w:val="en-GB"/>
              </w:rPr>
              <w:t xml:space="preserve"> de performance 1</w:t>
            </w:r>
          </w:p>
        </w:tc>
        <w:tc>
          <w:tcPr>
            <w:tcW w:w="3700" w:type="pct"/>
            <w:shd w:val="clear" w:color="auto" w:fill="808080" w:themeFill="background1" w:themeFillShade="80"/>
            <w:vAlign w:val="center"/>
          </w:tcPr>
          <w:p w14:paraId="6C05F3F4" w14:textId="2A67ABBA" w:rsidR="001578FB" w:rsidRPr="00BB4589" w:rsidRDefault="009069B4">
            <w:pPr>
              <w:keepNext/>
              <w:spacing w:before="120" w:after="120"/>
              <w:rPr>
                <w:rFonts w:asciiTheme="minorBidi" w:hAnsiTheme="minorBidi" w:cstheme="minorBidi"/>
                <w:b/>
                <w:bCs/>
                <w:color w:val="FFFFFF" w:themeColor="background1"/>
                <w:sz w:val="22"/>
                <w:szCs w:val="22"/>
              </w:rPr>
            </w:pPr>
            <w:r w:rsidRPr="00BB4589">
              <w:rPr>
                <w:rFonts w:asciiTheme="minorBidi" w:hAnsiTheme="minorBidi" w:cstheme="minorBidi"/>
                <w:b/>
                <w:bCs/>
                <w:color w:val="FFFFFF" w:themeColor="background1"/>
                <w:sz w:val="22"/>
                <w:szCs w:val="22"/>
              </w:rPr>
              <w:t>Une bonne gouvernance exercée par l</w:t>
            </w:r>
            <w:r w:rsidR="00BB4589">
              <w:rPr>
                <w:rFonts w:asciiTheme="minorBidi" w:hAnsiTheme="minorBidi" w:cstheme="minorBidi"/>
                <w:b/>
                <w:bCs/>
                <w:color w:val="FFFFFF" w:themeColor="background1"/>
                <w:sz w:val="22"/>
                <w:szCs w:val="22"/>
              </w:rPr>
              <w:t>’</w:t>
            </w:r>
            <w:r w:rsidRPr="00BB4589">
              <w:rPr>
                <w:rFonts w:asciiTheme="minorBidi" w:hAnsiTheme="minorBidi" w:cstheme="minorBidi"/>
                <w:b/>
                <w:bCs/>
                <w:color w:val="FFFFFF" w:themeColor="background1"/>
                <w:sz w:val="22"/>
                <w:szCs w:val="22"/>
              </w:rPr>
              <w:t>adoption et la mise en œuvre des résolutions/décisions stratégiques des organes directeurs de la Convention de 2003.</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2"/>
        <w:gridCol w:w="1961"/>
        <w:gridCol w:w="7140"/>
      </w:tblGrid>
      <w:tr w:rsidR="00A268C4" w:rsidRPr="006B6390" w14:paraId="020EADB3" w14:textId="77777777" w:rsidTr="00EB3A99">
        <w:trPr>
          <w:tblHeader/>
        </w:trPr>
        <w:tc>
          <w:tcPr>
            <w:tcW w:w="1300" w:type="pct"/>
            <w:shd w:val="clear" w:color="auto" w:fill="D9D9D9" w:themeFill="background1" w:themeFillShade="D9"/>
            <w:vAlign w:val="center"/>
          </w:tcPr>
          <w:p w14:paraId="3B6CB574" w14:textId="77777777" w:rsidR="001578FB" w:rsidRPr="00D12851" w:rsidRDefault="009069B4">
            <w:pPr>
              <w:spacing w:before="60" w:after="60"/>
              <w:jc w:val="center"/>
              <w:rPr>
                <w:rFonts w:asciiTheme="minorBidi" w:eastAsia="Calibri" w:hAnsiTheme="minorBidi" w:cstheme="minorBidi"/>
                <w:b/>
                <w:sz w:val="22"/>
                <w:szCs w:val="22"/>
              </w:rPr>
            </w:pPr>
            <w:r w:rsidRPr="00D12851">
              <w:rPr>
                <w:rFonts w:asciiTheme="minorBidi" w:eastAsia="Calibri" w:hAnsiTheme="minorBidi" w:cstheme="minorBidi"/>
                <w:b/>
                <w:sz w:val="22"/>
                <w:szCs w:val="22"/>
              </w:rPr>
              <w:t>Évalués selon les critères suivants :</w:t>
            </w:r>
          </w:p>
        </w:tc>
        <w:tc>
          <w:tcPr>
            <w:tcW w:w="577" w:type="pct"/>
            <w:shd w:val="clear" w:color="auto" w:fill="D9D9D9" w:themeFill="background1" w:themeFillShade="D9"/>
            <w:vAlign w:val="center"/>
          </w:tcPr>
          <w:p w14:paraId="5479E680" w14:textId="0AE7837B" w:rsidR="001578FB" w:rsidRPr="000B1D75" w:rsidRDefault="00FA1163">
            <w:pPr>
              <w:spacing w:before="60" w:after="60"/>
              <w:jc w:val="center"/>
              <w:rPr>
                <w:rFonts w:asciiTheme="minorBidi" w:eastAsia="Calibri" w:hAnsiTheme="minorBidi" w:cstheme="minorBidi"/>
                <w:b/>
                <w:sz w:val="22"/>
                <w:szCs w:val="22"/>
              </w:rPr>
            </w:pPr>
            <w:r>
              <w:rPr>
                <w:rFonts w:asciiTheme="minorBidi" w:hAnsiTheme="minorBidi" w:cstheme="minorBidi"/>
                <w:b/>
                <w:bCs/>
                <w:sz w:val="22"/>
                <w:szCs w:val="22"/>
              </w:rPr>
              <w:t>Indicateurs de référence</w:t>
            </w:r>
          </w:p>
        </w:tc>
        <w:tc>
          <w:tcPr>
            <w:tcW w:w="673" w:type="pct"/>
            <w:shd w:val="clear" w:color="auto" w:fill="D9D9D9" w:themeFill="background1" w:themeFillShade="D9"/>
            <w:vAlign w:val="center"/>
          </w:tcPr>
          <w:p w14:paraId="638CA1A7" w14:textId="77777777" w:rsidR="001578FB" w:rsidRPr="000B1D75" w:rsidRDefault="009069B4">
            <w:pPr>
              <w:spacing w:before="60" w:after="60"/>
              <w:jc w:val="center"/>
              <w:rPr>
                <w:rFonts w:asciiTheme="minorBidi" w:eastAsia="Calibri" w:hAnsiTheme="minorBidi" w:cstheme="minorBidi"/>
                <w:b/>
                <w:sz w:val="22"/>
                <w:szCs w:val="22"/>
              </w:rPr>
            </w:pPr>
            <w:r w:rsidRPr="000B1D75">
              <w:rPr>
                <w:rFonts w:asciiTheme="minorBidi" w:eastAsia="Calibri" w:hAnsiTheme="minorBidi" w:cstheme="minorBidi"/>
                <w:b/>
                <w:sz w:val="22"/>
                <w:szCs w:val="22"/>
              </w:rPr>
              <w:t>Objectifs 2020-2021</w:t>
            </w:r>
          </w:p>
        </w:tc>
        <w:tc>
          <w:tcPr>
            <w:tcW w:w="2451" w:type="pct"/>
            <w:shd w:val="clear" w:color="auto" w:fill="D9D9D9" w:themeFill="background1" w:themeFillShade="D9"/>
            <w:vAlign w:val="center"/>
          </w:tcPr>
          <w:p w14:paraId="252265C0" w14:textId="77777777" w:rsidR="001578FB" w:rsidRPr="00D12851" w:rsidRDefault="009069B4">
            <w:pPr>
              <w:autoSpaceDE w:val="0"/>
              <w:autoSpaceDN w:val="0"/>
              <w:adjustRightInd w:val="0"/>
              <w:jc w:val="center"/>
              <w:rPr>
                <w:rFonts w:asciiTheme="minorBidi" w:eastAsia="Calibri" w:hAnsiTheme="minorBidi" w:cstheme="minorBidi"/>
                <w:b/>
                <w:color w:val="000000"/>
                <w:sz w:val="22"/>
                <w:szCs w:val="22"/>
              </w:rPr>
            </w:pPr>
            <w:r w:rsidRPr="00D12851">
              <w:rPr>
                <w:rFonts w:asciiTheme="minorBidi" w:eastAsia="Calibri" w:hAnsiTheme="minorBidi" w:cstheme="minorBidi"/>
                <w:b/>
                <w:sz w:val="22"/>
                <w:szCs w:val="22"/>
              </w:rPr>
              <w:t xml:space="preserve">Évaluation des progrès accomplis : </w:t>
            </w:r>
            <w:r w:rsidRPr="00D12851">
              <w:rPr>
                <w:rFonts w:asciiTheme="minorBidi" w:eastAsia="Calibri" w:hAnsiTheme="minorBidi" w:cstheme="minorBidi"/>
                <w:b/>
                <w:sz w:val="22"/>
                <w:szCs w:val="22"/>
              </w:rPr>
              <w:br/>
              <w:t xml:space="preserve">01/01/2020 au </w:t>
            </w:r>
            <w:r w:rsidR="00EF175F" w:rsidRPr="00D12851">
              <w:rPr>
                <w:rFonts w:asciiTheme="minorBidi" w:eastAsia="Calibri" w:hAnsiTheme="minorBidi" w:cstheme="minorBidi"/>
                <w:b/>
                <w:sz w:val="22"/>
                <w:szCs w:val="22"/>
              </w:rPr>
              <w:t xml:space="preserve">31/12/2021 </w:t>
            </w:r>
          </w:p>
        </w:tc>
      </w:tr>
      <w:tr w:rsidR="00A268C4" w:rsidRPr="000A60EE" w14:paraId="61E50C17" w14:textId="77777777" w:rsidTr="00EB3A99">
        <w:trPr>
          <w:trHeight w:val="1498"/>
        </w:trPr>
        <w:tc>
          <w:tcPr>
            <w:tcW w:w="1300" w:type="pct"/>
            <w:tcBorders>
              <w:bottom w:val="single" w:sz="4" w:space="0" w:color="auto"/>
            </w:tcBorders>
          </w:tcPr>
          <w:p w14:paraId="33A647AC" w14:textId="6633B7D0"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Renforcement de la capacité à fournir des orientations stratégiques aux États parties pour la mise en œuvre et le suivi de la convention, y compris par l</w:t>
            </w:r>
            <w:r w:rsidR="00BB4589">
              <w:rPr>
                <w:rFonts w:asciiTheme="minorBidi" w:hAnsiTheme="minorBidi" w:cstheme="minorBidi"/>
                <w:sz w:val="22"/>
                <w:szCs w:val="22"/>
              </w:rPr>
              <w:t>’</w:t>
            </w:r>
            <w:r w:rsidRPr="00BB4589">
              <w:rPr>
                <w:rFonts w:asciiTheme="minorBidi" w:hAnsiTheme="minorBidi" w:cstheme="minorBidi"/>
                <w:sz w:val="22"/>
                <w:szCs w:val="22"/>
              </w:rPr>
              <w:t>examen des rapports périodiques soumis.</w:t>
            </w:r>
          </w:p>
          <w:p w14:paraId="0D1871EC" w14:textId="77777777"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Amélioration des méthodes de travail des organes directeurs</w:t>
            </w:r>
          </w:p>
          <w:p w14:paraId="7DD71571" w14:textId="77777777"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Niveau de financement de la mise en œuvre des décisions adoptées par les organes directeurs</w:t>
            </w:r>
          </w:p>
          <w:p w14:paraId="3F5E7E6C" w14:textId="77777777"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Niveau de contribution des organisations non gouvernementales ayant une compétence reconnue dans le domaine du patrimoine culturel immatériel à la gouvernance de la Convention.</w:t>
            </w:r>
          </w:p>
        </w:tc>
        <w:tc>
          <w:tcPr>
            <w:tcW w:w="577" w:type="pct"/>
            <w:tcBorders>
              <w:bottom w:val="single" w:sz="4" w:space="0" w:color="auto"/>
            </w:tcBorders>
            <w:shd w:val="clear" w:color="auto" w:fill="auto"/>
          </w:tcPr>
          <w:p w14:paraId="2724BE24" w14:textId="77777777" w:rsidR="001578FB" w:rsidRDefault="009069B4">
            <w:pPr>
              <w:pStyle w:val="ListParagraph"/>
              <w:numPr>
                <w:ilvl w:val="0"/>
                <w:numId w:val="20"/>
              </w:numPr>
              <w:spacing w:before="120" w:after="120"/>
              <w:ind w:left="312" w:hanging="340"/>
              <w:contextualSpacing w:val="0"/>
              <w:rPr>
                <w:rFonts w:asciiTheme="minorBidi" w:hAnsiTheme="minorBidi" w:cstheme="minorBidi"/>
                <w:sz w:val="22"/>
                <w:szCs w:val="22"/>
                <w:lang w:val="en-GB"/>
              </w:rPr>
            </w:pPr>
            <w:proofErr w:type="spellStart"/>
            <w:r w:rsidRPr="006B6390">
              <w:rPr>
                <w:rFonts w:asciiTheme="minorBidi" w:hAnsiTheme="minorBidi" w:cstheme="minorBidi"/>
                <w:sz w:val="22"/>
                <w:szCs w:val="22"/>
                <w:lang w:val="en-GB"/>
              </w:rPr>
              <w:t>Oui</w:t>
            </w:r>
            <w:proofErr w:type="spellEnd"/>
          </w:p>
        </w:tc>
        <w:tc>
          <w:tcPr>
            <w:tcW w:w="673" w:type="pct"/>
            <w:tcBorders>
              <w:bottom w:val="single" w:sz="4" w:space="0" w:color="auto"/>
            </w:tcBorders>
            <w:shd w:val="clear" w:color="auto" w:fill="auto"/>
          </w:tcPr>
          <w:p w14:paraId="479F3ACD" w14:textId="77777777" w:rsidR="001578FB" w:rsidRDefault="009069B4">
            <w:pPr>
              <w:pStyle w:val="ListParagraph"/>
              <w:numPr>
                <w:ilvl w:val="0"/>
                <w:numId w:val="20"/>
              </w:numPr>
              <w:spacing w:before="120" w:after="120"/>
              <w:ind w:left="312" w:hanging="340"/>
              <w:contextualSpacing w:val="0"/>
              <w:rPr>
                <w:rFonts w:asciiTheme="minorBidi" w:hAnsiTheme="minorBidi" w:cstheme="minorBidi"/>
                <w:sz w:val="22"/>
                <w:szCs w:val="22"/>
                <w:lang w:val="en-GB"/>
              </w:rPr>
            </w:pPr>
            <w:proofErr w:type="spellStart"/>
            <w:r w:rsidRPr="006B6390">
              <w:rPr>
                <w:rFonts w:asciiTheme="minorBidi" w:hAnsiTheme="minorBidi" w:cstheme="minorBidi"/>
                <w:sz w:val="22"/>
                <w:szCs w:val="22"/>
                <w:lang w:val="en-GB"/>
              </w:rPr>
              <w:t>Oui</w:t>
            </w:r>
            <w:proofErr w:type="spellEnd"/>
          </w:p>
        </w:tc>
        <w:tc>
          <w:tcPr>
            <w:tcW w:w="2451" w:type="pct"/>
            <w:tcBorders>
              <w:bottom w:val="single" w:sz="4" w:space="0" w:color="auto"/>
            </w:tcBorders>
            <w:shd w:val="clear" w:color="auto" w:fill="auto"/>
          </w:tcPr>
          <w:p w14:paraId="429FAE81" w14:textId="691F9E12"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Méthodes et outils de travail des organes directeurs et d</w:t>
            </w:r>
            <w:r w:rsidR="00BB4589">
              <w:rPr>
                <w:rFonts w:asciiTheme="minorBidi" w:hAnsiTheme="minorBidi" w:cstheme="minorBidi"/>
                <w:sz w:val="22"/>
                <w:szCs w:val="22"/>
              </w:rPr>
              <w:t>’</w:t>
            </w:r>
            <w:r w:rsidRPr="00BB4589">
              <w:rPr>
                <w:rFonts w:asciiTheme="minorBidi" w:hAnsiTheme="minorBidi" w:cstheme="minorBidi"/>
                <w:sz w:val="22"/>
                <w:szCs w:val="22"/>
              </w:rPr>
              <w:t>évaluation de la Convention adaptés aux modalités en ligne, et services de gestion des connaissances optimisés pour assurer la continuité des mécanismes statutaires et des réunions.</w:t>
            </w:r>
          </w:p>
          <w:p w14:paraId="02F65126" w14:textId="7D000DE0" w:rsidR="001578FB" w:rsidRPr="00BB4589" w:rsidRDefault="009069B4">
            <w:pPr>
              <w:pStyle w:val="ListParagraph"/>
              <w:numPr>
                <w:ilvl w:val="0"/>
                <w:numId w:val="20"/>
              </w:numPr>
              <w:spacing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Adoption des principes et modalités opérationnels pour la sauvegarde du patrimoine culturel immatériel dans les situations d</w:t>
            </w:r>
            <w:r w:rsidR="00BB4589">
              <w:rPr>
                <w:rFonts w:asciiTheme="minorBidi" w:hAnsiTheme="minorBidi" w:cstheme="minorBidi"/>
                <w:sz w:val="22"/>
                <w:szCs w:val="22"/>
              </w:rPr>
              <w:t>’</w:t>
            </w:r>
            <w:r w:rsidRPr="00BB4589">
              <w:rPr>
                <w:rFonts w:asciiTheme="minorBidi" w:hAnsiTheme="minorBidi" w:cstheme="minorBidi"/>
                <w:sz w:val="22"/>
                <w:szCs w:val="22"/>
              </w:rPr>
              <w:t>urgence.</w:t>
            </w:r>
            <w:r w:rsidRPr="006B6390">
              <w:rPr>
                <w:rStyle w:val="FootnoteReference"/>
                <w:rFonts w:asciiTheme="minorBidi" w:hAnsiTheme="minorBidi" w:cstheme="minorBidi"/>
                <w:sz w:val="22"/>
                <w:szCs w:val="22"/>
                <w:lang w:val="en-GB"/>
              </w:rPr>
              <w:footnoteReference w:id="13"/>
            </w:r>
          </w:p>
          <w:p w14:paraId="4A248CBE" w14:textId="48E599C8"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Processus de dialogue entre l</w:t>
            </w:r>
            <w:r w:rsidR="00BB4589">
              <w:rPr>
                <w:rFonts w:asciiTheme="minorBidi" w:hAnsiTheme="minorBidi" w:cstheme="minorBidi"/>
                <w:sz w:val="22"/>
                <w:szCs w:val="22"/>
              </w:rPr>
              <w:t>’</w:t>
            </w:r>
            <w:r w:rsidRPr="00BB4589">
              <w:rPr>
                <w:rFonts w:asciiTheme="minorBidi" w:hAnsiTheme="minorBidi" w:cstheme="minorBidi"/>
                <w:sz w:val="22"/>
                <w:szCs w:val="22"/>
              </w:rPr>
              <w:t>organisme d</w:t>
            </w:r>
            <w:r w:rsidR="00BB4589">
              <w:rPr>
                <w:rFonts w:asciiTheme="minorBidi" w:hAnsiTheme="minorBidi" w:cstheme="minorBidi"/>
                <w:sz w:val="22"/>
                <w:szCs w:val="22"/>
              </w:rPr>
              <w:t>’</w:t>
            </w:r>
            <w:r w:rsidRPr="00BB4589">
              <w:rPr>
                <w:rFonts w:asciiTheme="minorBidi" w:hAnsiTheme="minorBidi" w:cstheme="minorBidi"/>
                <w:sz w:val="22"/>
                <w:szCs w:val="22"/>
              </w:rPr>
              <w:t>évaluation et les États soumissionnaires introduit dans la procédure d</w:t>
            </w:r>
            <w:r w:rsidR="00BB4589">
              <w:rPr>
                <w:rFonts w:asciiTheme="minorBidi" w:hAnsiTheme="minorBidi" w:cstheme="minorBidi"/>
                <w:sz w:val="22"/>
                <w:szCs w:val="22"/>
              </w:rPr>
              <w:t>’</w:t>
            </w:r>
            <w:r w:rsidRPr="00BB4589">
              <w:rPr>
                <w:rFonts w:asciiTheme="minorBidi" w:hAnsiTheme="minorBidi" w:cstheme="minorBidi"/>
                <w:sz w:val="22"/>
                <w:szCs w:val="22"/>
              </w:rPr>
              <w:t>évaluation.</w:t>
            </w:r>
            <w:r w:rsidRPr="006B6390">
              <w:rPr>
                <w:rStyle w:val="FootnoteReference"/>
                <w:rFonts w:asciiTheme="minorBidi" w:hAnsiTheme="minorBidi" w:cstheme="minorBidi"/>
                <w:sz w:val="22"/>
                <w:szCs w:val="22"/>
                <w:lang w:val="en-GB"/>
              </w:rPr>
              <w:footnoteReference w:id="14"/>
            </w:r>
            <w:r w:rsidRPr="00BB4589">
              <w:rPr>
                <w:rFonts w:asciiTheme="minorBidi" w:hAnsiTheme="minorBidi" w:cstheme="minorBidi"/>
                <w:sz w:val="22"/>
                <w:szCs w:val="22"/>
              </w:rPr>
              <w:t xml:space="preserve"> Le processus de dialogue a été réalisé pour 11 dossiers en 2020 et 15 dossiers en 2021.</w:t>
            </w:r>
          </w:p>
          <w:p w14:paraId="3FF7D6A4" w14:textId="77777777"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62 dossiers de nomination de 62 États ont été nouvellement soumis pour le cycle 2020 ; 74 dossiers de 81 États ont été nouvellement soumis pour le cycle 2021 ; et 59 dossiers de nomination de 64 États ont été nouvellement soumis pour le cycle 2022.</w:t>
            </w:r>
            <w:r w:rsidRPr="006B6390">
              <w:rPr>
                <w:rStyle w:val="FootnoteReference"/>
                <w:rFonts w:asciiTheme="minorBidi" w:hAnsiTheme="minorBidi" w:cstheme="minorBidi"/>
                <w:sz w:val="22"/>
                <w:szCs w:val="22"/>
                <w:lang w:val="en-GB"/>
              </w:rPr>
              <w:footnoteReference w:id="15"/>
            </w:r>
          </w:p>
          <w:p w14:paraId="619843A1" w14:textId="77777777" w:rsidR="001578FB" w:rsidRDefault="009069B4">
            <w:pPr>
              <w:pStyle w:val="ListParagraph"/>
              <w:keepNext/>
              <w:numPr>
                <w:ilvl w:val="0"/>
                <w:numId w:val="20"/>
              </w:numPr>
              <w:spacing w:before="120" w:after="120"/>
              <w:ind w:left="425" w:hanging="425"/>
              <w:contextualSpacing w:val="0"/>
              <w:jc w:val="both"/>
              <w:rPr>
                <w:rFonts w:asciiTheme="minorBidi" w:hAnsiTheme="minorBidi" w:cstheme="minorBidi"/>
                <w:sz w:val="22"/>
                <w:szCs w:val="22"/>
                <w:lang w:val="en-GB"/>
              </w:rPr>
            </w:pPr>
            <w:r>
              <w:rPr>
                <w:rFonts w:asciiTheme="minorBidi" w:hAnsiTheme="minorBidi" w:cstheme="minorBidi"/>
                <w:sz w:val="22"/>
                <w:szCs w:val="22"/>
                <w:lang w:val="en-GB"/>
              </w:rPr>
              <w:t xml:space="preserve">20 </w:t>
            </w:r>
            <w:proofErr w:type="spellStart"/>
            <w:r w:rsidR="00A268C4" w:rsidRPr="006B6390">
              <w:rPr>
                <w:rFonts w:asciiTheme="minorBidi" w:hAnsiTheme="minorBidi" w:cstheme="minorBidi"/>
                <w:sz w:val="22"/>
                <w:szCs w:val="22"/>
                <w:lang w:val="en-GB"/>
              </w:rPr>
              <w:t>réunions</w:t>
            </w:r>
            <w:proofErr w:type="spellEnd"/>
            <w:r w:rsidR="00A268C4" w:rsidRPr="006B6390">
              <w:rPr>
                <w:rFonts w:asciiTheme="minorBidi" w:hAnsiTheme="minorBidi" w:cstheme="minorBidi"/>
                <w:sz w:val="22"/>
                <w:szCs w:val="22"/>
                <w:lang w:val="en-GB"/>
              </w:rPr>
              <w:t xml:space="preserve"> </w:t>
            </w:r>
            <w:proofErr w:type="spellStart"/>
            <w:r w:rsidR="00A268C4" w:rsidRPr="006B6390">
              <w:rPr>
                <w:rFonts w:asciiTheme="minorBidi" w:hAnsiTheme="minorBidi" w:cstheme="minorBidi"/>
                <w:sz w:val="22"/>
                <w:szCs w:val="22"/>
                <w:lang w:val="en-GB"/>
              </w:rPr>
              <w:t>statutaires</w:t>
            </w:r>
            <w:proofErr w:type="spellEnd"/>
            <w:r w:rsidR="00A268C4" w:rsidRPr="006B6390">
              <w:rPr>
                <w:rFonts w:asciiTheme="minorBidi" w:hAnsiTheme="minorBidi" w:cstheme="minorBidi"/>
                <w:sz w:val="22"/>
                <w:szCs w:val="22"/>
                <w:lang w:val="en-GB"/>
              </w:rPr>
              <w:t xml:space="preserve"> </w:t>
            </w:r>
            <w:proofErr w:type="spellStart"/>
            <w:r w:rsidR="00A268C4" w:rsidRPr="006B6390">
              <w:rPr>
                <w:rFonts w:asciiTheme="minorBidi" w:hAnsiTheme="minorBidi" w:cstheme="minorBidi"/>
                <w:sz w:val="22"/>
                <w:szCs w:val="22"/>
                <w:lang w:val="en-GB"/>
              </w:rPr>
              <w:t>organisées</w:t>
            </w:r>
            <w:proofErr w:type="spellEnd"/>
            <w:r w:rsidR="00A268C4" w:rsidRPr="006B6390">
              <w:rPr>
                <w:rFonts w:asciiTheme="minorBidi" w:hAnsiTheme="minorBidi" w:cstheme="minorBidi"/>
                <w:sz w:val="22"/>
                <w:szCs w:val="22"/>
                <w:lang w:val="en-GB"/>
              </w:rPr>
              <w:t>.</w:t>
            </w:r>
            <w:r w:rsidR="00A268C4" w:rsidRPr="006B6390">
              <w:rPr>
                <w:rStyle w:val="FootnoteReference"/>
                <w:rFonts w:asciiTheme="minorBidi" w:hAnsiTheme="minorBidi" w:cstheme="minorBidi"/>
                <w:sz w:val="22"/>
                <w:szCs w:val="22"/>
                <w:lang w:val="en-GB"/>
              </w:rPr>
              <w:footnoteReference w:id="16"/>
            </w:r>
          </w:p>
          <w:p w14:paraId="7DC43CDF" w14:textId="3922CFAC" w:rsidR="001578FB" w:rsidRPr="00BB4589" w:rsidRDefault="00A268C4">
            <w:pPr>
              <w:pStyle w:val="ListParagraph"/>
              <w:keepNext/>
              <w:keepLines/>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Cycle régional du mécanisme réformé de présentation de rapports périodiques lancé pour les États parties d</w:t>
            </w:r>
            <w:r w:rsidR="00BB4589">
              <w:rPr>
                <w:rFonts w:asciiTheme="minorBidi" w:hAnsiTheme="minorBidi" w:cstheme="minorBidi"/>
                <w:sz w:val="22"/>
                <w:szCs w:val="22"/>
              </w:rPr>
              <w:t>’</w:t>
            </w:r>
            <w:r w:rsidRPr="00BB4589">
              <w:rPr>
                <w:rFonts w:asciiTheme="minorBidi" w:hAnsiTheme="minorBidi" w:cstheme="minorBidi"/>
                <w:sz w:val="22"/>
                <w:szCs w:val="22"/>
              </w:rPr>
              <w:t>Amérique latine et des Caraïbes (</w:t>
            </w:r>
            <w:r w:rsidR="009069B4" w:rsidRPr="00BB4589">
              <w:rPr>
                <w:rFonts w:asciiTheme="minorBidi" w:hAnsiTheme="minorBidi" w:cstheme="minorBidi"/>
                <w:sz w:val="22"/>
                <w:szCs w:val="22"/>
              </w:rPr>
              <w:t xml:space="preserve">taux de soumission de </w:t>
            </w:r>
            <w:r w:rsidRPr="00BB4589">
              <w:rPr>
                <w:rFonts w:asciiTheme="minorBidi" w:hAnsiTheme="minorBidi" w:cstheme="minorBidi"/>
                <w:sz w:val="22"/>
                <w:szCs w:val="22"/>
              </w:rPr>
              <w:t xml:space="preserve">87,5 % </w:t>
            </w:r>
            <w:r w:rsidR="009069B4" w:rsidRPr="00BB4589">
              <w:rPr>
                <w:rFonts w:asciiTheme="minorBidi" w:hAnsiTheme="minorBidi" w:cstheme="minorBidi"/>
                <w:sz w:val="22"/>
                <w:szCs w:val="22"/>
              </w:rPr>
              <w:t xml:space="preserve">en </w:t>
            </w:r>
            <w:r w:rsidRPr="00BB4589">
              <w:rPr>
                <w:rFonts w:asciiTheme="minorBidi" w:hAnsiTheme="minorBidi" w:cstheme="minorBidi"/>
                <w:sz w:val="22"/>
                <w:szCs w:val="22"/>
              </w:rPr>
              <w:t>2020</w:t>
            </w:r>
            <w:r w:rsidR="009069B4" w:rsidRPr="00BB4589">
              <w:rPr>
                <w:rFonts w:asciiTheme="minorBidi" w:hAnsiTheme="minorBidi" w:cstheme="minorBidi"/>
                <w:sz w:val="22"/>
                <w:szCs w:val="22"/>
              </w:rPr>
              <w:t>) et d</w:t>
            </w:r>
            <w:r w:rsidR="00BB4589">
              <w:rPr>
                <w:rFonts w:asciiTheme="minorBidi" w:hAnsiTheme="minorBidi" w:cstheme="minorBidi"/>
                <w:sz w:val="22"/>
                <w:szCs w:val="22"/>
              </w:rPr>
              <w:t>’</w:t>
            </w:r>
            <w:r w:rsidR="009069B4" w:rsidRPr="00BB4589">
              <w:rPr>
                <w:rFonts w:asciiTheme="minorBidi" w:hAnsiTheme="minorBidi" w:cstheme="minorBidi"/>
                <w:sz w:val="22"/>
                <w:szCs w:val="22"/>
              </w:rPr>
              <w:t>Europe (taux de soumission de 95,4 % en 2021)</w:t>
            </w:r>
            <w:r w:rsidRPr="00BB4589">
              <w:rPr>
                <w:rFonts w:asciiTheme="minorBidi" w:hAnsiTheme="minorBidi" w:cstheme="minorBidi"/>
                <w:sz w:val="22"/>
                <w:szCs w:val="22"/>
              </w:rPr>
              <w:t>.</w:t>
            </w:r>
          </w:p>
          <w:p w14:paraId="6C602F45" w14:textId="4576664C"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 xml:space="preserve">Point autonome sur le </w:t>
            </w:r>
            <w:r w:rsidR="00D6080E">
              <w:rPr>
                <w:rFonts w:asciiTheme="minorBidi" w:hAnsiTheme="minorBidi" w:cstheme="minorBidi"/>
                <w:sz w:val="22"/>
                <w:szCs w:val="22"/>
              </w:rPr>
              <w:t>« </w:t>
            </w:r>
            <w:r w:rsidRPr="00BB4589">
              <w:rPr>
                <w:rFonts w:asciiTheme="minorBidi" w:hAnsiTheme="minorBidi" w:cstheme="minorBidi"/>
                <w:sz w:val="22"/>
                <w:szCs w:val="22"/>
              </w:rPr>
              <w:t>Rapport du forum des organisations non gouvernementales</w:t>
            </w:r>
            <w:r w:rsidR="00D6080E">
              <w:rPr>
                <w:rFonts w:asciiTheme="minorBidi" w:hAnsiTheme="minorBidi" w:cstheme="minorBidi"/>
                <w:sz w:val="22"/>
                <w:szCs w:val="22"/>
              </w:rPr>
              <w:t> »</w:t>
            </w:r>
            <w:r w:rsidRPr="00BB4589">
              <w:rPr>
                <w:rFonts w:asciiTheme="minorBidi" w:hAnsiTheme="minorBidi" w:cstheme="minorBidi"/>
                <w:sz w:val="22"/>
                <w:szCs w:val="22"/>
              </w:rPr>
              <w:t xml:space="preserve"> inclus pour la première fois dans l</w:t>
            </w:r>
            <w:r w:rsidR="00BB4589">
              <w:rPr>
                <w:rFonts w:asciiTheme="minorBidi" w:hAnsiTheme="minorBidi" w:cstheme="minorBidi"/>
                <w:sz w:val="22"/>
                <w:szCs w:val="22"/>
              </w:rPr>
              <w:t>’</w:t>
            </w:r>
            <w:r w:rsidRPr="00BB4589">
              <w:rPr>
                <w:rFonts w:asciiTheme="minorBidi" w:hAnsiTheme="minorBidi" w:cstheme="minorBidi"/>
                <w:sz w:val="22"/>
                <w:szCs w:val="22"/>
              </w:rPr>
              <w:t xml:space="preserve">agenda du Comité en 2020 </w:t>
            </w:r>
            <w:r w:rsidR="003258AE" w:rsidRPr="00BB4589">
              <w:rPr>
                <w:rFonts w:asciiTheme="minorBidi" w:hAnsiTheme="minorBidi" w:cstheme="minorBidi"/>
                <w:sz w:val="22"/>
                <w:szCs w:val="22"/>
              </w:rPr>
              <w:t>et 2021</w:t>
            </w:r>
            <w:r w:rsidRPr="00BB4589">
              <w:rPr>
                <w:rFonts w:asciiTheme="minorBidi" w:hAnsiTheme="minorBidi" w:cstheme="minorBidi"/>
                <w:sz w:val="22"/>
                <w:szCs w:val="22"/>
              </w:rPr>
              <w:t>.</w:t>
            </w:r>
          </w:p>
          <w:p w14:paraId="41025870" w14:textId="6A7F3B62"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46 nouvelles demandes d</w:t>
            </w:r>
            <w:r w:rsidR="00BB4589">
              <w:rPr>
                <w:rFonts w:asciiTheme="minorBidi" w:hAnsiTheme="minorBidi" w:cstheme="minorBidi"/>
                <w:sz w:val="22"/>
                <w:szCs w:val="22"/>
              </w:rPr>
              <w:t>’</w:t>
            </w:r>
            <w:r w:rsidRPr="00BB4589">
              <w:rPr>
                <w:rFonts w:asciiTheme="minorBidi" w:hAnsiTheme="minorBidi" w:cstheme="minorBidi"/>
                <w:sz w:val="22"/>
                <w:szCs w:val="22"/>
              </w:rPr>
              <w:t>accréditation traitées pour des organisations non gouvernementales et 65 rapports enregistrés pour le renouvellement de l</w:t>
            </w:r>
            <w:r w:rsidR="00BB4589">
              <w:rPr>
                <w:rFonts w:asciiTheme="minorBidi" w:hAnsiTheme="minorBidi" w:cstheme="minorBidi"/>
                <w:sz w:val="22"/>
                <w:szCs w:val="22"/>
              </w:rPr>
              <w:t>’</w:t>
            </w:r>
            <w:r w:rsidRPr="00BB4589">
              <w:rPr>
                <w:rFonts w:asciiTheme="minorBidi" w:hAnsiTheme="minorBidi" w:cstheme="minorBidi"/>
                <w:sz w:val="22"/>
                <w:szCs w:val="22"/>
              </w:rPr>
              <w:t>accréditation.</w:t>
            </w:r>
          </w:p>
          <w:p w14:paraId="12078999" w14:textId="77777777"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8 propositions traitées pour la création ou le renouvellement de Chaires UNESCO dans le domaine du patrimoine culturel immatériel.</w:t>
            </w:r>
          </w:p>
        </w:tc>
      </w:tr>
      <w:tr w:rsidR="00A268C4" w:rsidRPr="000A60EE" w14:paraId="6881A953" w14:textId="77777777" w:rsidTr="00EB3A99">
        <w:trPr>
          <w:trHeight w:val="367"/>
        </w:trPr>
        <w:tc>
          <w:tcPr>
            <w:tcW w:w="1300" w:type="pct"/>
            <w:tcBorders>
              <w:left w:val="nil"/>
              <w:bottom w:val="nil"/>
              <w:right w:val="nil"/>
            </w:tcBorders>
          </w:tcPr>
          <w:p w14:paraId="2B0DAA98" w14:textId="77777777" w:rsidR="00A268C4" w:rsidRPr="00BB4589" w:rsidRDefault="00A268C4" w:rsidP="00EB3A99">
            <w:pPr>
              <w:spacing w:before="120" w:after="120"/>
              <w:rPr>
                <w:rFonts w:asciiTheme="minorBidi" w:hAnsiTheme="minorBidi" w:cstheme="minorBidi"/>
                <w:sz w:val="22"/>
                <w:szCs w:val="22"/>
              </w:rPr>
            </w:pPr>
          </w:p>
        </w:tc>
        <w:tc>
          <w:tcPr>
            <w:tcW w:w="577" w:type="pct"/>
            <w:tcBorders>
              <w:left w:val="nil"/>
              <w:bottom w:val="nil"/>
              <w:right w:val="nil"/>
            </w:tcBorders>
            <w:shd w:val="clear" w:color="auto" w:fill="auto"/>
          </w:tcPr>
          <w:p w14:paraId="465653B3" w14:textId="77777777" w:rsidR="00A268C4" w:rsidRPr="00BB4589" w:rsidRDefault="00A268C4" w:rsidP="00EB3A99">
            <w:pPr>
              <w:pStyle w:val="ListParagraph"/>
              <w:spacing w:before="120" w:after="120"/>
              <w:ind w:left="312"/>
              <w:contextualSpacing w:val="0"/>
              <w:rPr>
                <w:rFonts w:asciiTheme="minorBidi" w:hAnsiTheme="minorBidi" w:cstheme="minorBidi"/>
                <w:sz w:val="22"/>
                <w:szCs w:val="22"/>
              </w:rPr>
            </w:pPr>
          </w:p>
        </w:tc>
        <w:tc>
          <w:tcPr>
            <w:tcW w:w="673" w:type="pct"/>
            <w:tcBorders>
              <w:left w:val="nil"/>
              <w:bottom w:val="nil"/>
              <w:right w:val="nil"/>
            </w:tcBorders>
            <w:shd w:val="clear" w:color="auto" w:fill="auto"/>
          </w:tcPr>
          <w:p w14:paraId="78D5C2A1" w14:textId="77777777" w:rsidR="00A268C4" w:rsidRPr="00BB4589" w:rsidRDefault="00A268C4" w:rsidP="00EB3A99">
            <w:pPr>
              <w:pStyle w:val="ListParagraph"/>
              <w:spacing w:before="120" w:after="120"/>
              <w:ind w:left="312"/>
              <w:contextualSpacing w:val="0"/>
              <w:rPr>
                <w:rFonts w:asciiTheme="minorBidi" w:hAnsiTheme="minorBidi" w:cstheme="minorBidi"/>
                <w:sz w:val="22"/>
                <w:szCs w:val="22"/>
              </w:rPr>
            </w:pPr>
          </w:p>
        </w:tc>
        <w:tc>
          <w:tcPr>
            <w:tcW w:w="2451" w:type="pct"/>
            <w:tcBorders>
              <w:left w:val="nil"/>
              <w:bottom w:val="nil"/>
              <w:right w:val="nil"/>
            </w:tcBorders>
          </w:tcPr>
          <w:p w14:paraId="3B989B11" w14:textId="77777777" w:rsidR="00A268C4" w:rsidRPr="00BB4589" w:rsidRDefault="00A268C4" w:rsidP="00EB3A99">
            <w:pPr>
              <w:pStyle w:val="ListParagraph"/>
              <w:spacing w:before="120" w:after="120"/>
              <w:ind w:left="544"/>
              <w:contextualSpacing w:val="0"/>
              <w:rPr>
                <w:rFonts w:asciiTheme="minorBidi" w:hAnsiTheme="minorBidi" w:cstheme="minorBidi"/>
                <w:sz w:val="22"/>
                <w:szCs w:val="22"/>
              </w:rPr>
            </w:pPr>
          </w:p>
        </w:tc>
      </w:tr>
    </w:tbl>
    <w:tbl>
      <w:tblPr>
        <w:tblStyle w:val="TableGrid2"/>
        <w:tblW w:w="14572" w:type="dxa"/>
        <w:tblBorders>
          <w:top w:val="single" w:sz="4" w:space="0" w:color="auto"/>
        </w:tblBorders>
        <w:tblLook w:val="04A0" w:firstRow="1" w:lastRow="0" w:firstColumn="1" w:lastColumn="0" w:noHBand="0" w:noVBand="1"/>
      </w:tblPr>
      <w:tblGrid>
        <w:gridCol w:w="3824"/>
        <w:gridCol w:w="10748"/>
      </w:tblGrid>
      <w:tr w:rsidR="00A268C4" w:rsidRPr="000A60EE" w14:paraId="15EC050D" w14:textId="77777777" w:rsidTr="00FA1163">
        <w:trPr>
          <w:cantSplit/>
        </w:trPr>
        <w:tc>
          <w:tcPr>
            <w:tcW w:w="1312" w:type="pct"/>
            <w:shd w:val="clear" w:color="auto" w:fill="808080" w:themeFill="background1" w:themeFillShade="80"/>
            <w:vAlign w:val="center"/>
          </w:tcPr>
          <w:p w14:paraId="46365BF1" w14:textId="77777777" w:rsidR="001578FB" w:rsidRDefault="009069B4">
            <w:pPr>
              <w:keepNext/>
              <w:spacing w:before="120" w:after="120"/>
              <w:rPr>
                <w:rFonts w:asciiTheme="minorBidi" w:hAnsiTheme="minorBidi" w:cstheme="minorBidi"/>
                <w:b/>
                <w:bCs/>
                <w:color w:val="FFFFFF" w:themeColor="background1"/>
                <w:sz w:val="22"/>
                <w:szCs w:val="22"/>
                <w:lang w:val="en-GB"/>
              </w:rPr>
            </w:pPr>
            <w:r w:rsidRPr="006B6390">
              <w:rPr>
                <w:rFonts w:asciiTheme="minorBidi" w:hAnsiTheme="minorBidi" w:cstheme="minorBidi"/>
                <w:b/>
                <w:bCs/>
                <w:color w:val="FFFFFF" w:themeColor="background1"/>
                <w:sz w:val="22"/>
                <w:szCs w:val="22"/>
                <w:lang w:val="en-GB"/>
              </w:rPr>
              <w:t xml:space="preserve">40C/5 </w:t>
            </w:r>
            <w:proofErr w:type="spellStart"/>
            <w:r w:rsidRPr="006B6390">
              <w:rPr>
                <w:rFonts w:asciiTheme="minorBidi" w:hAnsiTheme="minorBidi" w:cstheme="minorBidi"/>
                <w:b/>
                <w:bCs/>
                <w:color w:val="FFFFFF" w:themeColor="background1"/>
                <w:sz w:val="22"/>
                <w:szCs w:val="22"/>
                <w:lang w:val="en-GB"/>
              </w:rPr>
              <w:t>Indicateur</w:t>
            </w:r>
            <w:proofErr w:type="spellEnd"/>
            <w:r w:rsidRPr="006B6390">
              <w:rPr>
                <w:rFonts w:asciiTheme="minorBidi" w:hAnsiTheme="minorBidi" w:cstheme="minorBidi"/>
                <w:b/>
                <w:bCs/>
                <w:color w:val="FFFFFF" w:themeColor="background1"/>
                <w:sz w:val="22"/>
                <w:szCs w:val="22"/>
                <w:lang w:val="en-GB"/>
              </w:rPr>
              <w:t xml:space="preserve"> de performance 2</w:t>
            </w:r>
          </w:p>
        </w:tc>
        <w:tc>
          <w:tcPr>
            <w:tcW w:w="3688" w:type="pct"/>
            <w:shd w:val="clear" w:color="auto" w:fill="808080" w:themeFill="background1" w:themeFillShade="80"/>
            <w:vAlign w:val="center"/>
          </w:tcPr>
          <w:p w14:paraId="2E721095" w14:textId="2E161570" w:rsidR="001578FB" w:rsidRPr="00BB4589" w:rsidRDefault="009069B4">
            <w:pPr>
              <w:keepNext/>
              <w:spacing w:before="120" w:after="120"/>
              <w:rPr>
                <w:rFonts w:asciiTheme="minorBidi" w:hAnsiTheme="minorBidi" w:cstheme="minorBidi"/>
                <w:b/>
                <w:bCs/>
                <w:color w:val="FFFFFF" w:themeColor="background1"/>
                <w:sz w:val="22"/>
                <w:szCs w:val="22"/>
              </w:rPr>
            </w:pPr>
            <w:r w:rsidRPr="00BB4589">
              <w:rPr>
                <w:rFonts w:asciiTheme="minorBidi" w:hAnsiTheme="minorBidi" w:cstheme="minorBidi"/>
                <w:b/>
                <w:bCs/>
                <w:color w:val="FFFFFF" w:themeColor="background1"/>
                <w:sz w:val="22"/>
                <w:szCs w:val="22"/>
              </w:rPr>
              <w:t>Nombre d</w:t>
            </w:r>
            <w:r w:rsidR="00BB4589">
              <w:rPr>
                <w:rFonts w:asciiTheme="minorBidi" w:hAnsiTheme="minorBidi" w:cstheme="minorBidi"/>
                <w:b/>
                <w:bCs/>
                <w:color w:val="FFFFFF" w:themeColor="background1"/>
                <w:sz w:val="22"/>
                <w:szCs w:val="22"/>
              </w:rPr>
              <w:t>’</w:t>
            </w:r>
            <w:r w:rsidRPr="00BB4589">
              <w:rPr>
                <w:rFonts w:asciiTheme="minorBidi" w:hAnsiTheme="minorBidi" w:cstheme="minorBidi"/>
                <w:b/>
                <w:bCs/>
                <w:color w:val="FFFFFF" w:themeColor="background1"/>
                <w:sz w:val="22"/>
                <w:szCs w:val="22"/>
              </w:rPr>
              <w:t>États membres soutenus utilisant des ressources humaines et institutionnelles renforcées pour la sauvegarde du patrimoine culturel immatériel</w:t>
            </w:r>
          </w:p>
        </w:tc>
      </w:tr>
    </w:tbl>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033"/>
        <w:gridCol w:w="1795"/>
        <w:gridCol w:w="6970"/>
      </w:tblGrid>
      <w:tr w:rsidR="00A268C4" w:rsidRPr="00EF175F" w14:paraId="2A20F37B" w14:textId="77777777" w:rsidTr="00FA1163">
        <w:trPr>
          <w:trHeight w:val="624"/>
          <w:tblHeader/>
        </w:trPr>
        <w:tc>
          <w:tcPr>
            <w:tcW w:w="1312" w:type="pct"/>
            <w:shd w:val="clear" w:color="auto" w:fill="D9D9D9" w:themeFill="background1" w:themeFillShade="D9"/>
            <w:vAlign w:val="center"/>
          </w:tcPr>
          <w:p w14:paraId="68F2EA69" w14:textId="77777777" w:rsidR="001578FB" w:rsidRPr="00BB4589" w:rsidRDefault="009069B4">
            <w:pPr>
              <w:spacing w:before="60" w:after="60"/>
              <w:jc w:val="center"/>
              <w:rPr>
                <w:rFonts w:asciiTheme="minorBidi" w:eastAsia="Calibri" w:hAnsiTheme="minorBidi" w:cstheme="minorBidi"/>
                <w:b/>
                <w:sz w:val="22"/>
                <w:szCs w:val="22"/>
              </w:rPr>
            </w:pPr>
            <w:r w:rsidRPr="00BB4589">
              <w:rPr>
                <w:rFonts w:asciiTheme="minorBidi" w:eastAsia="Calibri" w:hAnsiTheme="minorBidi" w:cstheme="minorBidi"/>
                <w:b/>
                <w:sz w:val="22"/>
                <w:szCs w:val="22"/>
              </w:rPr>
              <w:t>Évalués selon les critères suivants :</w:t>
            </w:r>
          </w:p>
        </w:tc>
        <w:tc>
          <w:tcPr>
            <w:tcW w:w="646" w:type="pct"/>
            <w:shd w:val="clear" w:color="auto" w:fill="D9D9D9" w:themeFill="background1" w:themeFillShade="D9"/>
            <w:vAlign w:val="center"/>
          </w:tcPr>
          <w:p w14:paraId="4A17A685" w14:textId="17D8CF99" w:rsidR="001578FB" w:rsidRDefault="00FA1163">
            <w:pPr>
              <w:spacing w:before="60" w:after="60"/>
              <w:jc w:val="center"/>
              <w:rPr>
                <w:rFonts w:asciiTheme="minorBidi" w:eastAsia="Calibri" w:hAnsiTheme="minorBidi" w:cstheme="minorBidi"/>
                <w:b/>
                <w:sz w:val="22"/>
                <w:szCs w:val="22"/>
                <w:lang w:val="en-GB"/>
              </w:rPr>
            </w:pPr>
            <w:r>
              <w:rPr>
                <w:rFonts w:asciiTheme="minorBidi" w:hAnsiTheme="minorBidi" w:cstheme="minorBidi"/>
                <w:b/>
                <w:bCs/>
                <w:sz w:val="22"/>
                <w:szCs w:val="22"/>
              </w:rPr>
              <w:t>Indicateurs de référence</w:t>
            </w:r>
          </w:p>
        </w:tc>
        <w:tc>
          <w:tcPr>
            <w:tcW w:w="633" w:type="pct"/>
            <w:shd w:val="clear" w:color="auto" w:fill="D9D9D9" w:themeFill="background1" w:themeFillShade="D9"/>
            <w:vAlign w:val="center"/>
          </w:tcPr>
          <w:p w14:paraId="085C1722" w14:textId="77777777" w:rsidR="001578FB" w:rsidRDefault="009069B4">
            <w:pPr>
              <w:spacing w:before="60" w:after="60"/>
              <w:jc w:val="center"/>
              <w:rPr>
                <w:rFonts w:asciiTheme="minorBidi" w:eastAsia="Calibri" w:hAnsiTheme="minorBidi" w:cstheme="minorBidi"/>
                <w:b/>
                <w:sz w:val="22"/>
                <w:szCs w:val="22"/>
                <w:lang w:val="en-GB"/>
              </w:rPr>
            </w:pPr>
            <w:proofErr w:type="spellStart"/>
            <w:r w:rsidRPr="006B6390">
              <w:rPr>
                <w:rFonts w:asciiTheme="minorBidi" w:eastAsia="Calibri" w:hAnsiTheme="minorBidi" w:cstheme="minorBidi"/>
                <w:b/>
                <w:sz w:val="22"/>
                <w:szCs w:val="22"/>
                <w:lang w:val="en-GB"/>
              </w:rPr>
              <w:t>Objectifs</w:t>
            </w:r>
            <w:proofErr w:type="spellEnd"/>
            <w:r w:rsidRPr="006B6390">
              <w:rPr>
                <w:rFonts w:asciiTheme="minorBidi" w:eastAsia="Calibri" w:hAnsiTheme="minorBidi" w:cstheme="minorBidi"/>
                <w:b/>
                <w:sz w:val="22"/>
                <w:szCs w:val="22"/>
                <w:lang w:val="en-GB"/>
              </w:rPr>
              <w:t xml:space="preserve"> 2020-2021</w:t>
            </w:r>
          </w:p>
        </w:tc>
        <w:tc>
          <w:tcPr>
            <w:tcW w:w="2409" w:type="pct"/>
            <w:shd w:val="clear" w:color="auto" w:fill="D9D9D9" w:themeFill="background1" w:themeFillShade="D9"/>
            <w:vAlign w:val="center"/>
          </w:tcPr>
          <w:p w14:paraId="4FF02C85" w14:textId="77777777" w:rsidR="001578FB" w:rsidRPr="00BB4589" w:rsidRDefault="009069B4">
            <w:pPr>
              <w:autoSpaceDE w:val="0"/>
              <w:autoSpaceDN w:val="0"/>
              <w:adjustRightInd w:val="0"/>
              <w:jc w:val="center"/>
              <w:rPr>
                <w:rFonts w:asciiTheme="minorBidi" w:eastAsia="Calibri" w:hAnsiTheme="minorBidi" w:cstheme="minorBidi"/>
                <w:b/>
                <w:color w:val="000000"/>
                <w:sz w:val="22"/>
                <w:szCs w:val="22"/>
              </w:rPr>
            </w:pPr>
            <w:r w:rsidRPr="00BB4589">
              <w:rPr>
                <w:rFonts w:asciiTheme="minorBidi" w:eastAsia="Calibri" w:hAnsiTheme="minorBidi" w:cstheme="minorBidi"/>
                <w:b/>
                <w:sz w:val="22"/>
                <w:szCs w:val="22"/>
              </w:rPr>
              <w:t xml:space="preserve">Évaluation des progrès accomplis : </w:t>
            </w:r>
            <w:r w:rsidRPr="00BB4589">
              <w:rPr>
                <w:rFonts w:asciiTheme="minorBidi" w:eastAsia="Calibri" w:hAnsiTheme="minorBidi" w:cstheme="minorBidi"/>
                <w:b/>
                <w:sz w:val="22"/>
                <w:szCs w:val="22"/>
              </w:rPr>
              <w:br/>
              <w:t xml:space="preserve">01/01/2020 au </w:t>
            </w:r>
            <w:r w:rsidR="00EF175F" w:rsidRPr="00BB4589">
              <w:rPr>
                <w:rFonts w:asciiTheme="minorBidi" w:eastAsia="Calibri" w:hAnsiTheme="minorBidi" w:cstheme="minorBidi"/>
                <w:b/>
                <w:sz w:val="22"/>
                <w:szCs w:val="22"/>
              </w:rPr>
              <w:t>31/12/2021</w:t>
            </w:r>
          </w:p>
        </w:tc>
      </w:tr>
      <w:tr w:rsidR="00A268C4" w:rsidRPr="000A60EE" w14:paraId="0B39507A" w14:textId="77777777" w:rsidTr="00FA1163">
        <w:tc>
          <w:tcPr>
            <w:tcW w:w="1312" w:type="pct"/>
            <w:tcBorders>
              <w:bottom w:val="single" w:sz="4" w:space="0" w:color="auto"/>
            </w:tcBorders>
          </w:tcPr>
          <w:p w14:paraId="4BE8DADC" w14:textId="77777777"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Cadres institutionnels renforcés ou nouvellement établis pour la sauvegarde du patrimoine culturel immatériel</w:t>
            </w:r>
          </w:p>
          <w:p w14:paraId="3F20FD05" w14:textId="74339C46"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Adoption ou renforcement d</w:t>
            </w:r>
            <w:r w:rsidR="00BB4589">
              <w:rPr>
                <w:rFonts w:asciiTheme="minorBidi" w:hAnsiTheme="minorBidi" w:cstheme="minorBidi"/>
                <w:sz w:val="22"/>
                <w:szCs w:val="22"/>
              </w:rPr>
              <w:t>’</w:t>
            </w:r>
            <w:r w:rsidRPr="00BB4589">
              <w:rPr>
                <w:rFonts w:asciiTheme="minorBidi" w:hAnsiTheme="minorBidi" w:cstheme="minorBidi"/>
                <w:sz w:val="22"/>
                <w:szCs w:val="22"/>
              </w:rPr>
              <w:t>approches communautaires pour l</w:t>
            </w:r>
            <w:r w:rsidR="00BB4589">
              <w:rPr>
                <w:rFonts w:asciiTheme="minorBidi" w:hAnsiTheme="minorBidi" w:cstheme="minorBidi"/>
                <w:sz w:val="22"/>
                <w:szCs w:val="22"/>
              </w:rPr>
              <w:t>’</w:t>
            </w:r>
            <w:r w:rsidRPr="00BB4589">
              <w:rPr>
                <w:rFonts w:asciiTheme="minorBidi" w:hAnsiTheme="minorBidi" w:cstheme="minorBidi"/>
                <w:sz w:val="22"/>
                <w:szCs w:val="22"/>
              </w:rPr>
              <w:t>inventaire du patrimoine culturel immatériel ou l</w:t>
            </w:r>
            <w:r w:rsidR="00BB4589">
              <w:rPr>
                <w:rFonts w:asciiTheme="minorBidi" w:hAnsiTheme="minorBidi" w:cstheme="minorBidi"/>
                <w:sz w:val="22"/>
                <w:szCs w:val="22"/>
              </w:rPr>
              <w:t>’</w:t>
            </w:r>
            <w:r w:rsidRPr="00BB4589">
              <w:rPr>
                <w:rFonts w:asciiTheme="minorBidi" w:hAnsiTheme="minorBidi" w:cstheme="minorBidi"/>
                <w:sz w:val="22"/>
                <w:szCs w:val="22"/>
              </w:rPr>
              <w:t>élaboration de plans de sauvegarde, y compris celles reflétant une approche sensible au genre</w:t>
            </w:r>
          </w:p>
        </w:tc>
        <w:tc>
          <w:tcPr>
            <w:tcW w:w="646" w:type="pct"/>
            <w:tcBorders>
              <w:bottom w:val="single" w:sz="4" w:space="0" w:color="auto"/>
            </w:tcBorders>
            <w:shd w:val="clear" w:color="auto" w:fill="auto"/>
          </w:tcPr>
          <w:p w14:paraId="6F976D26" w14:textId="77777777" w:rsidR="001578FB" w:rsidRPr="00BB4589" w:rsidRDefault="009069B4">
            <w:pPr>
              <w:pStyle w:val="ListParagraph"/>
              <w:numPr>
                <w:ilvl w:val="0"/>
                <w:numId w:val="20"/>
              </w:numPr>
              <w:spacing w:before="120" w:after="120"/>
              <w:ind w:left="312" w:hanging="340"/>
              <w:contextualSpacing w:val="0"/>
              <w:rPr>
                <w:rFonts w:asciiTheme="minorBidi" w:hAnsiTheme="minorBidi" w:cstheme="minorBidi"/>
                <w:sz w:val="22"/>
                <w:szCs w:val="22"/>
              </w:rPr>
            </w:pPr>
            <w:r w:rsidRPr="00BB4589">
              <w:rPr>
                <w:rFonts w:asciiTheme="minorBidi" w:hAnsiTheme="minorBidi" w:cstheme="minorBidi"/>
                <w:sz w:val="22"/>
                <w:szCs w:val="22"/>
              </w:rPr>
              <w:t>95, dont 34 en Afrique et 18 petits États insulaires en développement (PEID)</w:t>
            </w:r>
          </w:p>
        </w:tc>
        <w:tc>
          <w:tcPr>
            <w:tcW w:w="633" w:type="pct"/>
            <w:tcBorders>
              <w:bottom w:val="single" w:sz="4" w:space="0" w:color="auto"/>
            </w:tcBorders>
            <w:shd w:val="clear" w:color="auto" w:fill="auto"/>
          </w:tcPr>
          <w:p w14:paraId="1F433DD2" w14:textId="77777777" w:rsidR="001578FB" w:rsidRPr="00BB4589" w:rsidRDefault="009069B4">
            <w:pPr>
              <w:pStyle w:val="ListParagraph"/>
              <w:numPr>
                <w:ilvl w:val="0"/>
                <w:numId w:val="20"/>
              </w:numPr>
              <w:spacing w:before="120" w:after="120"/>
              <w:ind w:left="312" w:hanging="340"/>
              <w:contextualSpacing w:val="0"/>
              <w:rPr>
                <w:rFonts w:asciiTheme="minorBidi" w:hAnsiTheme="minorBidi" w:cstheme="minorBidi"/>
                <w:sz w:val="22"/>
                <w:szCs w:val="22"/>
              </w:rPr>
            </w:pPr>
            <w:r w:rsidRPr="00BB4589">
              <w:rPr>
                <w:rFonts w:asciiTheme="minorBidi" w:hAnsiTheme="minorBidi" w:cstheme="minorBidi"/>
                <w:sz w:val="22"/>
                <w:szCs w:val="22"/>
              </w:rPr>
              <w:t>100, dont 34 en Afrique et 18 PEID</w:t>
            </w:r>
          </w:p>
        </w:tc>
        <w:tc>
          <w:tcPr>
            <w:tcW w:w="2409" w:type="pct"/>
            <w:tcBorders>
              <w:bottom w:val="single" w:sz="4" w:space="0" w:color="auto"/>
            </w:tcBorders>
          </w:tcPr>
          <w:p w14:paraId="71A7743B" w14:textId="2A8B2D7D"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162 États membres ont bénéficié du programme de renforcement des capacités (33 en Afrique et 30 dans les PEID). Cela inclut 59 pays bénéficiant de projets pluriannuels en cours ou nouveaux, 76 pays soutenus pour leur exercice de rapport périodique, et 101 pays (25 en Afrique) bénéficiant d</w:t>
            </w:r>
            <w:r w:rsidR="00BB4589">
              <w:rPr>
                <w:rFonts w:asciiTheme="minorBidi" w:hAnsiTheme="minorBidi" w:cstheme="minorBidi"/>
                <w:sz w:val="22"/>
                <w:szCs w:val="22"/>
              </w:rPr>
              <w:t>’</w:t>
            </w:r>
            <w:r w:rsidRPr="00BB4589">
              <w:rPr>
                <w:rFonts w:asciiTheme="minorBidi" w:hAnsiTheme="minorBidi" w:cstheme="minorBidi"/>
                <w:sz w:val="22"/>
                <w:szCs w:val="22"/>
              </w:rPr>
              <w:t>activités à court terme, notamment par le biais du budget du programme régulier de l</w:t>
            </w:r>
            <w:r w:rsidR="00BB4589">
              <w:rPr>
                <w:rFonts w:asciiTheme="minorBidi" w:hAnsiTheme="minorBidi" w:cstheme="minorBidi"/>
                <w:sz w:val="22"/>
                <w:szCs w:val="22"/>
              </w:rPr>
              <w:t>’</w:t>
            </w:r>
            <w:r w:rsidRPr="00BB4589">
              <w:rPr>
                <w:rFonts w:asciiTheme="minorBidi" w:hAnsiTheme="minorBidi" w:cstheme="minorBidi"/>
                <w:sz w:val="22"/>
                <w:szCs w:val="22"/>
              </w:rPr>
              <w:t>UNESCO.</w:t>
            </w:r>
          </w:p>
          <w:p w14:paraId="4022FE8F" w14:textId="170C45B1"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 xml:space="preserve">4 </w:t>
            </w:r>
            <w:r w:rsidR="00A268C4" w:rsidRPr="00BB4589">
              <w:rPr>
                <w:rFonts w:asciiTheme="minorBidi" w:hAnsiTheme="minorBidi" w:cstheme="minorBidi"/>
                <w:sz w:val="22"/>
                <w:szCs w:val="22"/>
              </w:rPr>
              <w:t>ateliers régionaux de formation de formateurs</w:t>
            </w:r>
            <w:r w:rsidR="00A268C4" w:rsidRPr="006B6390">
              <w:rPr>
                <w:rFonts w:asciiTheme="minorBidi" w:hAnsiTheme="minorBidi" w:cstheme="minorBidi"/>
                <w:sz w:val="22"/>
                <w:szCs w:val="22"/>
                <w:vertAlign w:val="superscript"/>
                <w:lang w:val="en-GB"/>
              </w:rPr>
              <w:footnoteReference w:id="17"/>
            </w:r>
            <w:r w:rsidR="00A268C4" w:rsidRPr="00BB4589">
              <w:rPr>
                <w:rFonts w:asciiTheme="minorBidi" w:hAnsiTheme="minorBidi" w:cstheme="minorBidi"/>
                <w:sz w:val="22"/>
                <w:szCs w:val="22"/>
                <w:vertAlign w:val="superscript"/>
              </w:rPr>
              <w:t xml:space="preserve"> </w:t>
            </w:r>
            <w:r w:rsidR="00A268C4" w:rsidRPr="00BB4589">
              <w:rPr>
                <w:rFonts w:asciiTheme="minorBidi" w:hAnsiTheme="minorBidi" w:cstheme="minorBidi"/>
                <w:sz w:val="22"/>
                <w:szCs w:val="22"/>
              </w:rPr>
              <w:t xml:space="preserve"> organisés en coopération avec 3 centres de catégorie 2</w:t>
            </w:r>
            <w:r w:rsidR="00FB5FDB" w:rsidRPr="006B6390">
              <w:rPr>
                <w:rFonts w:asciiTheme="minorBidi" w:hAnsiTheme="minorBidi" w:cstheme="minorBidi"/>
                <w:sz w:val="22"/>
                <w:szCs w:val="22"/>
                <w:vertAlign w:val="superscript"/>
                <w:lang w:val="en-GB"/>
              </w:rPr>
              <w:footnoteReference w:id="18"/>
            </w:r>
            <w:r w:rsidR="00A268C4" w:rsidRPr="00BB4589">
              <w:rPr>
                <w:rFonts w:asciiTheme="minorBidi" w:hAnsiTheme="minorBidi" w:cstheme="minorBidi"/>
                <w:sz w:val="22"/>
                <w:szCs w:val="22"/>
              </w:rPr>
              <w:t xml:space="preserve"> , formant </w:t>
            </w:r>
            <w:r w:rsidR="00C00105" w:rsidRPr="00BB4589">
              <w:rPr>
                <w:rFonts w:asciiTheme="minorBidi" w:hAnsiTheme="minorBidi" w:cstheme="minorBidi"/>
                <w:sz w:val="22"/>
                <w:szCs w:val="22"/>
              </w:rPr>
              <w:t xml:space="preserve">83 </w:t>
            </w:r>
            <w:r w:rsidR="00A268C4" w:rsidRPr="00BB4589">
              <w:rPr>
                <w:rFonts w:asciiTheme="minorBidi" w:hAnsiTheme="minorBidi" w:cstheme="minorBidi"/>
                <w:sz w:val="22"/>
                <w:szCs w:val="22"/>
              </w:rPr>
              <w:t xml:space="preserve">membres du réseau </w:t>
            </w:r>
            <w:r w:rsidR="00C00105" w:rsidRPr="00BB4589">
              <w:rPr>
                <w:rFonts w:asciiTheme="minorBidi" w:hAnsiTheme="minorBidi" w:cstheme="minorBidi"/>
                <w:sz w:val="22"/>
                <w:szCs w:val="22"/>
              </w:rPr>
              <w:t xml:space="preserve">(&gt;50% de </w:t>
            </w:r>
            <w:r w:rsidR="00A268C4" w:rsidRPr="00BB4589">
              <w:rPr>
                <w:rFonts w:asciiTheme="minorBidi" w:hAnsiTheme="minorBidi" w:cstheme="minorBidi"/>
                <w:sz w:val="22"/>
                <w:szCs w:val="22"/>
              </w:rPr>
              <w:t xml:space="preserve">femmes) </w:t>
            </w:r>
            <w:r w:rsidR="00C00105" w:rsidRPr="00BB4589">
              <w:rPr>
                <w:rFonts w:asciiTheme="minorBidi" w:hAnsiTheme="minorBidi" w:cstheme="minorBidi"/>
                <w:sz w:val="22"/>
                <w:szCs w:val="22"/>
              </w:rPr>
              <w:t>d</w:t>
            </w:r>
            <w:r w:rsidR="00BB4589">
              <w:rPr>
                <w:rFonts w:asciiTheme="minorBidi" w:hAnsiTheme="minorBidi" w:cstheme="minorBidi"/>
                <w:sz w:val="22"/>
                <w:szCs w:val="22"/>
              </w:rPr>
              <w:t>’</w:t>
            </w:r>
            <w:r w:rsidR="00C00105" w:rsidRPr="00BB4589">
              <w:rPr>
                <w:rFonts w:asciiTheme="minorBidi" w:hAnsiTheme="minorBidi" w:cstheme="minorBidi"/>
                <w:sz w:val="22"/>
                <w:szCs w:val="22"/>
              </w:rPr>
              <w:t>Amérique latine et des Caraïbes, d</w:t>
            </w:r>
            <w:r w:rsidR="00BB4589">
              <w:rPr>
                <w:rFonts w:asciiTheme="minorBidi" w:hAnsiTheme="minorBidi" w:cstheme="minorBidi"/>
                <w:sz w:val="22"/>
                <w:szCs w:val="22"/>
              </w:rPr>
              <w:t>’</w:t>
            </w:r>
            <w:r w:rsidR="00C00105" w:rsidRPr="00BB4589">
              <w:rPr>
                <w:rFonts w:asciiTheme="minorBidi" w:hAnsiTheme="minorBidi" w:cstheme="minorBidi"/>
                <w:sz w:val="22"/>
                <w:szCs w:val="22"/>
              </w:rPr>
              <w:t>Asie centrale, du Pacifique et des États arabes</w:t>
            </w:r>
            <w:r w:rsidR="00A268C4" w:rsidRPr="00BB4589">
              <w:rPr>
                <w:rFonts w:asciiTheme="minorBidi" w:hAnsiTheme="minorBidi" w:cstheme="minorBidi"/>
                <w:sz w:val="22"/>
                <w:szCs w:val="22"/>
              </w:rPr>
              <w:t xml:space="preserve">. En outre, </w:t>
            </w:r>
            <w:r w:rsidR="00C00105" w:rsidRPr="00BB4589">
              <w:rPr>
                <w:rFonts w:asciiTheme="minorBidi" w:hAnsiTheme="minorBidi" w:cstheme="minorBidi"/>
                <w:sz w:val="22"/>
                <w:szCs w:val="22"/>
              </w:rPr>
              <w:t xml:space="preserve">48 </w:t>
            </w:r>
            <w:r w:rsidR="00A268C4" w:rsidRPr="00BB4589">
              <w:rPr>
                <w:rFonts w:asciiTheme="minorBidi" w:hAnsiTheme="minorBidi" w:cstheme="minorBidi"/>
                <w:sz w:val="22"/>
                <w:szCs w:val="22"/>
              </w:rPr>
              <w:t>animateurs ont été formés à la sauvegarde du patrimoine culturel immatériel dans l</w:t>
            </w:r>
            <w:r w:rsidR="00BB4589">
              <w:rPr>
                <w:rFonts w:asciiTheme="minorBidi" w:hAnsiTheme="minorBidi" w:cstheme="minorBidi"/>
                <w:sz w:val="22"/>
                <w:szCs w:val="22"/>
              </w:rPr>
              <w:t>’</w:t>
            </w:r>
            <w:r w:rsidR="00A268C4" w:rsidRPr="00BB4589">
              <w:rPr>
                <w:rFonts w:asciiTheme="minorBidi" w:hAnsiTheme="minorBidi" w:cstheme="minorBidi"/>
                <w:sz w:val="22"/>
                <w:szCs w:val="22"/>
              </w:rPr>
              <w:t>éducation formelle et non formelle et un réseau d</w:t>
            </w:r>
            <w:r w:rsidR="00BB4589">
              <w:rPr>
                <w:rFonts w:asciiTheme="minorBidi" w:hAnsiTheme="minorBidi" w:cstheme="minorBidi"/>
                <w:sz w:val="22"/>
                <w:szCs w:val="22"/>
              </w:rPr>
              <w:t>’</w:t>
            </w:r>
            <w:r w:rsidR="00A268C4" w:rsidRPr="00BB4589">
              <w:rPr>
                <w:rFonts w:asciiTheme="minorBidi" w:hAnsiTheme="minorBidi" w:cstheme="minorBidi"/>
                <w:sz w:val="22"/>
                <w:szCs w:val="22"/>
              </w:rPr>
              <w:t>apprentissage a été créé.</w:t>
            </w:r>
          </w:p>
          <w:p w14:paraId="53F98979" w14:textId="77777777"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eastAsia="SimSun" w:hAnsiTheme="minorBidi" w:cstheme="minorBidi"/>
                <w:sz w:val="22"/>
                <w:szCs w:val="22"/>
              </w:rPr>
              <w:t xml:space="preserve">Une approche spécifique de renforcement des capacités a été élaborée </w:t>
            </w:r>
            <w:r w:rsidRPr="00BB4589">
              <w:rPr>
                <w:rFonts w:asciiTheme="minorBidi" w:hAnsiTheme="minorBidi" w:cstheme="minorBidi"/>
                <w:sz w:val="22"/>
                <w:szCs w:val="22"/>
              </w:rPr>
              <w:t xml:space="preserve">et mise en œuvre </w:t>
            </w:r>
            <w:r w:rsidRPr="00BB4589">
              <w:rPr>
                <w:rFonts w:asciiTheme="minorBidi" w:eastAsia="SimSun" w:hAnsiTheme="minorBidi" w:cstheme="minorBidi"/>
                <w:sz w:val="22"/>
                <w:szCs w:val="22"/>
              </w:rPr>
              <w:t xml:space="preserve">pour le déploiement du mécanisme réformé de présentation de rapports périodiques </w:t>
            </w:r>
            <w:r w:rsidRPr="00BB4589">
              <w:rPr>
                <w:rFonts w:asciiTheme="minorBidi" w:hAnsiTheme="minorBidi" w:cstheme="minorBidi"/>
                <w:sz w:val="22"/>
                <w:szCs w:val="22"/>
              </w:rPr>
              <w:t xml:space="preserve">pour les deux </w:t>
            </w:r>
            <w:r w:rsidRPr="00BB4589">
              <w:rPr>
                <w:rFonts w:asciiTheme="minorBidi" w:eastAsia="SimSun" w:hAnsiTheme="minorBidi" w:cstheme="minorBidi"/>
                <w:sz w:val="22"/>
                <w:szCs w:val="22"/>
              </w:rPr>
              <w:t xml:space="preserve">premiers </w:t>
            </w:r>
            <w:r w:rsidRPr="00BB4589">
              <w:rPr>
                <w:rFonts w:asciiTheme="minorBidi" w:hAnsiTheme="minorBidi" w:cstheme="minorBidi"/>
                <w:sz w:val="22"/>
                <w:szCs w:val="22"/>
              </w:rPr>
              <w:t>cycles</w:t>
            </w:r>
            <w:r w:rsidRPr="00BB4589">
              <w:rPr>
                <w:rFonts w:asciiTheme="minorBidi" w:eastAsia="SimSun" w:hAnsiTheme="minorBidi" w:cstheme="minorBidi"/>
                <w:sz w:val="22"/>
                <w:szCs w:val="22"/>
              </w:rPr>
              <w:t xml:space="preserve"> régionaux de présentation de rapports (Amérique latine et Caraïbes </w:t>
            </w:r>
            <w:r w:rsidRPr="00BB4589">
              <w:rPr>
                <w:rFonts w:asciiTheme="minorBidi" w:hAnsiTheme="minorBidi" w:cstheme="minorBidi"/>
                <w:sz w:val="22"/>
                <w:szCs w:val="22"/>
              </w:rPr>
              <w:t>en 2020</w:t>
            </w:r>
            <w:r w:rsidRPr="00BB4589">
              <w:rPr>
                <w:rFonts w:asciiTheme="minorBidi" w:eastAsia="SimSun" w:hAnsiTheme="minorBidi" w:cstheme="minorBidi"/>
                <w:sz w:val="22"/>
                <w:szCs w:val="22"/>
              </w:rPr>
              <w:t xml:space="preserve">, Europe </w:t>
            </w:r>
            <w:r w:rsidRPr="00BB4589">
              <w:rPr>
                <w:rFonts w:asciiTheme="minorBidi" w:hAnsiTheme="minorBidi" w:cstheme="minorBidi"/>
                <w:sz w:val="22"/>
                <w:szCs w:val="22"/>
              </w:rPr>
              <w:t>en 2021</w:t>
            </w:r>
            <w:r w:rsidRPr="00BB4589">
              <w:rPr>
                <w:rFonts w:asciiTheme="minorBidi" w:eastAsia="SimSun" w:hAnsiTheme="minorBidi" w:cstheme="minorBidi"/>
                <w:sz w:val="22"/>
                <w:szCs w:val="22"/>
              </w:rPr>
              <w:t>)</w:t>
            </w:r>
            <w:r w:rsidRPr="00BB4589">
              <w:rPr>
                <w:rFonts w:asciiTheme="minorBidi" w:hAnsiTheme="minorBidi" w:cstheme="minorBidi"/>
                <w:sz w:val="22"/>
                <w:szCs w:val="22"/>
              </w:rPr>
              <w:t xml:space="preserve">. </w:t>
            </w:r>
            <w:r w:rsidR="00295F24" w:rsidRPr="00BB4589">
              <w:rPr>
                <w:rFonts w:asciiTheme="minorBidi" w:eastAsia="SimSun" w:hAnsiTheme="minorBidi" w:cstheme="minorBidi"/>
                <w:sz w:val="22"/>
                <w:szCs w:val="22"/>
              </w:rPr>
              <w:t>Une formation de formateurs pour les facilitateurs dans les États arabes dans le cadre du troisième cycle a également été mise en œuvre en octobre 2021.</w:t>
            </w:r>
          </w:p>
          <w:p w14:paraId="271BC392" w14:textId="77777777"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 xml:space="preserve">78 points focaux nationaux pour les rapports périodiques en Amérique latine et dans les Caraïbes et en Europe ont été formés par le biais de cours en ligne sur les rapports périodiques. </w:t>
            </w:r>
          </w:p>
          <w:p w14:paraId="6F2A7EFE" w14:textId="4CDA581D"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Plus de 140 universités ont participé à des activités de mise en réseau, dont 39 universités dans les États arabes (après des activités similaires en Afrique, en Asie et dans le Pacifique, ainsi qu</w:t>
            </w:r>
            <w:r w:rsidR="00BB4589">
              <w:rPr>
                <w:rFonts w:asciiTheme="minorBidi" w:hAnsiTheme="minorBidi" w:cstheme="minorBidi"/>
                <w:sz w:val="22"/>
                <w:szCs w:val="22"/>
              </w:rPr>
              <w:t>’</w:t>
            </w:r>
            <w:r w:rsidRPr="00BB4589">
              <w:rPr>
                <w:rFonts w:asciiTheme="minorBidi" w:hAnsiTheme="minorBidi" w:cstheme="minorBidi"/>
                <w:sz w:val="22"/>
                <w:szCs w:val="22"/>
              </w:rPr>
              <w:t>en Amérique latine et dans les Caraïbes).</w:t>
            </w:r>
          </w:p>
          <w:p w14:paraId="4C56D700" w14:textId="30DCCEA9" w:rsidR="001578FB" w:rsidRPr="00BB4589" w:rsidRDefault="009069B4">
            <w:pPr>
              <w:pStyle w:val="ListParagraph"/>
              <w:numPr>
                <w:ilvl w:val="0"/>
                <w:numId w:val="20"/>
              </w:numPr>
              <w:spacing w:before="120" w:after="120"/>
              <w:ind w:left="425" w:hanging="425"/>
              <w:contextualSpacing w:val="0"/>
              <w:rPr>
                <w:rFonts w:asciiTheme="minorBidi" w:hAnsiTheme="minorBidi" w:cstheme="minorBidi"/>
                <w:sz w:val="22"/>
                <w:szCs w:val="22"/>
              </w:rPr>
            </w:pPr>
            <w:r w:rsidRPr="00BB4589">
              <w:rPr>
                <w:rFonts w:asciiTheme="minorBidi" w:hAnsiTheme="minorBidi" w:cstheme="minorBidi"/>
                <w:sz w:val="22"/>
                <w:szCs w:val="22"/>
              </w:rPr>
              <w:t>L</w:t>
            </w:r>
            <w:r w:rsidR="00BB4589">
              <w:rPr>
                <w:rFonts w:asciiTheme="minorBidi" w:hAnsiTheme="minorBidi" w:cstheme="minorBidi"/>
                <w:sz w:val="22"/>
                <w:szCs w:val="22"/>
              </w:rPr>
              <w:t>’</w:t>
            </w:r>
            <w:r w:rsidRPr="00BB4589">
              <w:rPr>
                <w:rFonts w:asciiTheme="minorBidi" w:hAnsiTheme="minorBidi" w:cstheme="minorBidi"/>
                <w:sz w:val="22"/>
                <w:szCs w:val="22"/>
              </w:rPr>
              <w:t>assistance internationale du Fonds pour le patrimoine culturel immatériel a soutenu le renforcement des capacités en matière d</w:t>
            </w:r>
            <w:r w:rsidR="00BB4589">
              <w:rPr>
                <w:rFonts w:asciiTheme="minorBidi" w:hAnsiTheme="minorBidi" w:cstheme="minorBidi"/>
                <w:sz w:val="22"/>
                <w:szCs w:val="22"/>
              </w:rPr>
              <w:t>’</w:t>
            </w:r>
            <w:r w:rsidRPr="00BB4589">
              <w:rPr>
                <w:rFonts w:asciiTheme="minorBidi" w:hAnsiTheme="minorBidi" w:cstheme="minorBidi"/>
                <w:sz w:val="22"/>
                <w:szCs w:val="22"/>
              </w:rPr>
              <w:t>inventaire et de sauvegarde au niveau communautaire dans 26 États parties.</w:t>
            </w:r>
          </w:p>
        </w:tc>
      </w:tr>
      <w:tr w:rsidR="00A268C4" w:rsidRPr="000A60EE" w14:paraId="1BFD44D0" w14:textId="77777777" w:rsidTr="00FA1163">
        <w:tc>
          <w:tcPr>
            <w:tcW w:w="1312" w:type="pct"/>
            <w:tcBorders>
              <w:left w:val="nil"/>
              <w:bottom w:val="nil"/>
              <w:right w:val="nil"/>
            </w:tcBorders>
          </w:tcPr>
          <w:p w14:paraId="30D1032E" w14:textId="77777777" w:rsidR="00A268C4" w:rsidRPr="00BB4589" w:rsidRDefault="00A268C4" w:rsidP="00EB3A99">
            <w:pPr>
              <w:pStyle w:val="ListParagraph"/>
              <w:spacing w:before="120" w:after="120"/>
              <w:ind w:left="312"/>
              <w:contextualSpacing w:val="0"/>
              <w:rPr>
                <w:rFonts w:asciiTheme="minorBidi" w:hAnsiTheme="minorBidi" w:cstheme="minorBidi"/>
                <w:sz w:val="22"/>
                <w:szCs w:val="22"/>
              </w:rPr>
            </w:pPr>
          </w:p>
        </w:tc>
        <w:tc>
          <w:tcPr>
            <w:tcW w:w="646" w:type="pct"/>
            <w:tcBorders>
              <w:left w:val="nil"/>
              <w:bottom w:val="nil"/>
              <w:right w:val="nil"/>
            </w:tcBorders>
            <w:shd w:val="clear" w:color="auto" w:fill="auto"/>
          </w:tcPr>
          <w:p w14:paraId="5D73D1A7" w14:textId="77777777" w:rsidR="00A268C4" w:rsidRPr="00BB4589" w:rsidRDefault="00A268C4" w:rsidP="00EB3A99">
            <w:pPr>
              <w:pStyle w:val="ListParagraph"/>
              <w:spacing w:before="120" w:after="120"/>
              <w:ind w:left="358"/>
              <w:contextualSpacing w:val="0"/>
              <w:rPr>
                <w:rFonts w:asciiTheme="minorBidi" w:hAnsiTheme="minorBidi" w:cstheme="minorBidi"/>
                <w:iCs/>
                <w:sz w:val="22"/>
                <w:szCs w:val="22"/>
              </w:rPr>
            </w:pPr>
          </w:p>
        </w:tc>
        <w:tc>
          <w:tcPr>
            <w:tcW w:w="633" w:type="pct"/>
            <w:tcBorders>
              <w:left w:val="nil"/>
              <w:bottom w:val="nil"/>
              <w:right w:val="nil"/>
            </w:tcBorders>
            <w:shd w:val="clear" w:color="auto" w:fill="auto"/>
          </w:tcPr>
          <w:p w14:paraId="3F3EDA9F" w14:textId="77777777" w:rsidR="00A268C4" w:rsidRPr="00BB4589" w:rsidRDefault="00A268C4" w:rsidP="00EB3A99">
            <w:pPr>
              <w:pStyle w:val="ListParagraph"/>
              <w:spacing w:before="120" w:after="120"/>
              <w:ind w:left="501"/>
              <w:rPr>
                <w:rFonts w:asciiTheme="minorBidi" w:hAnsiTheme="minorBidi" w:cstheme="minorBidi"/>
                <w:iCs/>
                <w:sz w:val="22"/>
                <w:szCs w:val="22"/>
              </w:rPr>
            </w:pPr>
          </w:p>
        </w:tc>
        <w:tc>
          <w:tcPr>
            <w:tcW w:w="2409" w:type="pct"/>
            <w:tcBorders>
              <w:left w:val="nil"/>
              <w:bottom w:val="nil"/>
              <w:right w:val="nil"/>
            </w:tcBorders>
          </w:tcPr>
          <w:p w14:paraId="6955CF44" w14:textId="77777777" w:rsidR="00A268C4" w:rsidRPr="00BB4589" w:rsidRDefault="00A268C4" w:rsidP="00EB3A99">
            <w:pPr>
              <w:spacing w:before="120" w:after="120"/>
              <w:rPr>
                <w:rFonts w:asciiTheme="minorBidi" w:hAnsiTheme="minorBidi" w:cstheme="minorBidi"/>
                <w:iCs/>
                <w:sz w:val="22"/>
                <w:szCs w:val="22"/>
              </w:rPr>
            </w:pPr>
          </w:p>
        </w:tc>
      </w:tr>
    </w:tbl>
    <w:tbl>
      <w:tblPr>
        <w:tblStyle w:val="TableGrid2"/>
        <w:tblW w:w="14572" w:type="dxa"/>
        <w:tblBorders>
          <w:top w:val="single" w:sz="4" w:space="0" w:color="auto"/>
        </w:tblBorders>
        <w:tblLook w:val="04A0" w:firstRow="1" w:lastRow="0" w:firstColumn="1" w:lastColumn="0" w:noHBand="0" w:noVBand="1"/>
      </w:tblPr>
      <w:tblGrid>
        <w:gridCol w:w="3789"/>
        <w:gridCol w:w="10783"/>
      </w:tblGrid>
      <w:tr w:rsidR="00A268C4" w:rsidRPr="000A60EE" w14:paraId="37AF6AFC" w14:textId="77777777" w:rsidTr="00EB3A99">
        <w:trPr>
          <w:cantSplit/>
        </w:trPr>
        <w:tc>
          <w:tcPr>
            <w:tcW w:w="1300" w:type="pct"/>
            <w:shd w:val="clear" w:color="auto" w:fill="808080" w:themeFill="background1" w:themeFillShade="80"/>
            <w:vAlign w:val="center"/>
          </w:tcPr>
          <w:p w14:paraId="3A82F73D" w14:textId="77777777" w:rsidR="001578FB" w:rsidRDefault="009069B4">
            <w:pPr>
              <w:keepNext/>
              <w:spacing w:before="120" w:after="120"/>
              <w:rPr>
                <w:rFonts w:asciiTheme="minorBidi" w:hAnsiTheme="minorBidi" w:cstheme="minorBidi"/>
                <w:b/>
                <w:bCs/>
                <w:color w:val="FFFFFF" w:themeColor="background1"/>
                <w:sz w:val="22"/>
                <w:szCs w:val="22"/>
                <w:lang w:val="en-GB"/>
              </w:rPr>
            </w:pPr>
            <w:r w:rsidRPr="006B6390">
              <w:rPr>
                <w:rFonts w:asciiTheme="minorBidi" w:hAnsiTheme="minorBidi" w:cstheme="minorBidi"/>
                <w:b/>
                <w:bCs/>
                <w:color w:val="FFFFFF" w:themeColor="background1"/>
                <w:sz w:val="22"/>
                <w:szCs w:val="22"/>
                <w:lang w:val="en-GB"/>
              </w:rPr>
              <w:t xml:space="preserve">40C/5 </w:t>
            </w:r>
            <w:proofErr w:type="spellStart"/>
            <w:r w:rsidRPr="006B6390">
              <w:rPr>
                <w:rFonts w:asciiTheme="minorBidi" w:hAnsiTheme="minorBidi" w:cstheme="minorBidi"/>
                <w:b/>
                <w:bCs/>
                <w:color w:val="FFFFFF" w:themeColor="background1"/>
                <w:sz w:val="22"/>
                <w:szCs w:val="22"/>
                <w:lang w:val="en-GB"/>
              </w:rPr>
              <w:t>Indicateur</w:t>
            </w:r>
            <w:proofErr w:type="spellEnd"/>
            <w:r w:rsidRPr="006B6390">
              <w:rPr>
                <w:rFonts w:asciiTheme="minorBidi" w:hAnsiTheme="minorBidi" w:cstheme="minorBidi"/>
                <w:b/>
                <w:bCs/>
                <w:color w:val="FFFFFF" w:themeColor="background1"/>
                <w:sz w:val="22"/>
                <w:szCs w:val="22"/>
                <w:lang w:val="en-GB"/>
              </w:rPr>
              <w:t xml:space="preserve"> de performance 3</w:t>
            </w:r>
          </w:p>
        </w:tc>
        <w:tc>
          <w:tcPr>
            <w:tcW w:w="3700" w:type="pct"/>
            <w:shd w:val="clear" w:color="auto" w:fill="808080" w:themeFill="background1" w:themeFillShade="80"/>
            <w:vAlign w:val="center"/>
          </w:tcPr>
          <w:p w14:paraId="4D53A9A3" w14:textId="21F0EDA8" w:rsidR="001578FB" w:rsidRPr="00BB4589" w:rsidRDefault="009069B4">
            <w:pPr>
              <w:keepNext/>
              <w:spacing w:before="120" w:after="120"/>
              <w:rPr>
                <w:rFonts w:asciiTheme="minorBidi" w:hAnsiTheme="minorBidi" w:cstheme="minorBidi"/>
                <w:b/>
                <w:bCs/>
                <w:color w:val="FFFFFF" w:themeColor="background1"/>
                <w:sz w:val="22"/>
                <w:szCs w:val="22"/>
              </w:rPr>
            </w:pPr>
            <w:r w:rsidRPr="00BB4589">
              <w:rPr>
                <w:rFonts w:asciiTheme="minorBidi" w:hAnsiTheme="minorBidi" w:cstheme="minorBidi"/>
                <w:b/>
                <w:bCs/>
                <w:color w:val="FFFFFF" w:themeColor="background1"/>
                <w:sz w:val="22"/>
                <w:szCs w:val="22"/>
              </w:rPr>
              <w:t>Nombre d</w:t>
            </w:r>
            <w:r w:rsidR="00BB4589">
              <w:rPr>
                <w:rFonts w:asciiTheme="minorBidi" w:hAnsiTheme="minorBidi" w:cstheme="minorBidi"/>
                <w:b/>
                <w:bCs/>
                <w:color w:val="FFFFFF" w:themeColor="background1"/>
                <w:sz w:val="22"/>
                <w:szCs w:val="22"/>
              </w:rPr>
              <w:t>’</w:t>
            </w:r>
            <w:r w:rsidRPr="00BB4589">
              <w:rPr>
                <w:rFonts w:asciiTheme="minorBidi" w:hAnsiTheme="minorBidi" w:cstheme="minorBidi"/>
                <w:b/>
                <w:bCs/>
                <w:color w:val="FFFFFF" w:themeColor="background1"/>
                <w:sz w:val="22"/>
                <w:szCs w:val="22"/>
              </w:rPr>
              <w:t>États membres soutenus qui ont intégré le patrimoine culturel immatériel dans leurs plans, politiques et programmes, en particulier en tant que contribution à la réalisation des ODD, en tenant compte de la dimension de genre.</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A268C4" w:rsidRPr="00EF175F" w14:paraId="29C1D33C" w14:textId="77777777" w:rsidTr="00EB3A99">
        <w:trPr>
          <w:tblHeader/>
        </w:trPr>
        <w:tc>
          <w:tcPr>
            <w:tcW w:w="1300" w:type="pct"/>
            <w:shd w:val="clear" w:color="auto" w:fill="D9D9D9" w:themeFill="background1" w:themeFillShade="D9"/>
            <w:vAlign w:val="center"/>
          </w:tcPr>
          <w:p w14:paraId="1D9FC130" w14:textId="77777777" w:rsidR="001578FB" w:rsidRPr="00BB4589" w:rsidRDefault="009069B4">
            <w:pPr>
              <w:spacing w:before="60" w:after="60"/>
              <w:jc w:val="center"/>
              <w:rPr>
                <w:rFonts w:asciiTheme="minorBidi" w:eastAsia="Calibri" w:hAnsiTheme="minorBidi" w:cstheme="minorBidi"/>
                <w:b/>
                <w:sz w:val="22"/>
                <w:szCs w:val="22"/>
              </w:rPr>
            </w:pPr>
            <w:r w:rsidRPr="00BB4589">
              <w:rPr>
                <w:rFonts w:asciiTheme="minorBidi" w:eastAsia="Calibri" w:hAnsiTheme="minorBidi" w:cstheme="minorBidi"/>
                <w:b/>
                <w:sz w:val="22"/>
                <w:szCs w:val="22"/>
              </w:rPr>
              <w:t>Évalués selon les critères suivants :</w:t>
            </w:r>
          </w:p>
        </w:tc>
        <w:tc>
          <w:tcPr>
            <w:tcW w:w="577" w:type="pct"/>
            <w:shd w:val="clear" w:color="auto" w:fill="D9D9D9" w:themeFill="background1" w:themeFillShade="D9"/>
            <w:vAlign w:val="center"/>
          </w:tcPr>
          <w:p w14:paraId="14C3024A" w14:textId="1EE15958" w:rsidR="001578FB" w:rsidRDefault="00FA1163">
            <w:pPr>
              <w:spacing w:before="60" w:after="60"/>
              <w:jc w:val="center"/>
              <w:rPr>
                <w:rFonts w:asciiTheme="minorBidi" w:eastAsia="Calibri" w:hAnsiTheme="minorBidi" w:cstheme="minorBidi"/>
                <w:b/>
                <w:sz w:val="22"/>
                <w:szCs w:val="22"/>
                <w:lang w:val="en-GB"/>
              </w:rPr>
            </w:pPr>
            <w:r>
              <w:rPr>
                <w:rFonts w:asciiTheme="minorBidi" w:hAnsiTheme="minorBidi" w:cstheme="minorBidi"/>
                <w:b/>
                <w:bCs/>
                <w:sz w:val="22"/>
                <w:szCs w:val="22"/>
              </w:rPr>
              <w:t>Indicateurs de référence</w:t>
            </w:r>
          </w:p>
        </w:tc>
        <w:tc>
          <w:tcPr>
            <w:tcW w:w="673" w:type="pct"/>
            <w:shd w:val="clear" w:color="auto" w:fill="D9D9D9" w:themeFill="background1" w:themeFillShade="D9"/>
            <w:vAlign w:val="center"/>
          </w:tcPr>
          <w:p w14:paraId="183B9F09" w14:textId="77777777" w:rsidR="001578FB" w:rsidRDefault="009069B4">
            <w:pPr>
              <w:spacing w:before="60" w:after="60"/>
              <w:jc w:val="center"/>
              <w:rPr>
                <w:rFonts w:asciiTheme="minorBidi" w:eastAsia="Calibri" w:hAnsiTheme="minorBidi" w:cstheme="minorBidi"/>
                <w:b/>
                <w:sz w:val="22"/>
                <w:szCs w:val="22"/>
                <w:lang w:val="en-GB"/>
              </w:rPr>
            </w:pPr>
            <w:proofErr w:type="spellStart"/>
            <w:r w:rsidRPr="006B6390">
              <w:rPr>
                <w:rFonts w:asciiTheme="minorBidi" w:eastAsia="Calibri" w:hAnsiTheme="minorBidi" w:cstheme="minorBidi"/>
                <w:b/>
                <w:sz w:val="22"/>
                <w:szCs w:val="22"/>
                <w:lang w:val="en-GB"/>
              </w:rPr>
              <w:t>Objectifs</w:t>
            </w:r>
            <w:proofErr w:type="spellEnd"/>
            <w:r w:rsidRPr="006B6390">
              <w:rPr>
                <w:rFonts w:asciiTheme="minorBidi" w:eastAsia="Calibri" w:hAnsiTheme="minorBidi" w:cstheme="minorBidi"/>
                <w:b/>
                <w:sz w:val="22"/>
                <w:szCs w:val="22"/>
                <w:lang w:val="en-GB"/>
              </w:rPr>
              <w:t xml:space="preserve"> 2020-2021</w:t>
            </w:r>
          </w:p>
        </w:tc>
        <w:tc>
          <w:tcPr>
            <w:tcW w:w="2450" w:type="pct"/>
            <w:shd w:val="clear" w:color="auto" w:fill="D9D9D9" w:themeFill="background1" w:themeFillShade="D9"/>
            <w:vAlign w:val="center"/>
          </w:tcPr>
          <w:p w14:paraId="4250E10E" w14:textId="77777777" w:rsidR="001578FB" w:rsidRPr="00BB4589" w:rsidRDefault="009069B4">
            <w:pPr>
              <w:autoSpaceDE w:val="0"/>
              <w:autoSpaceDN w:val="0"/>
              <w:adjustRightInd w:val="0"/>
              <w:jc w:val="center"/>
              <w:rPr>
                <w:rFonts w:asciiTheme="minorBidi" w:eastAsia="Calibri" w:hAnsiTheme="minorBidi" w:cstheme="minorBidi"/>
                <w:b/>
                <w:color w:val="000000"/>
                <w:sz w:val="22"/>
                <w:szCs w:val="22"/>
              </w:rPr>
            </w:pPr>
            <w:r w:rsidRPr="00BB4589">
              <w:rPr>
                <w:rFonts w:asciiTheme="minorBidi" w:eastAsia="Calibri" w:hAnsiTheme="minorBidi" w:cstheme="minorBidi"/>
                <w:b/>
                <w:sz w:val="22"/>
                <w:szCs w:val="22"/>
              </w:rPr>
              <w:t xml:space="preserve">Évaluation des progrès accomplis : </w:t>
            </w:r>
            <w:r w:rsidRPr="00BB4589">
              <w:rPr>
                <w:rFonts w:asciiTheme="minorBidi" w:eastAsia="Calibri" w:hAnsiTheme="minorBidi" w:cstheme="minorBidi"/>
                <w:b/>
                <w:sz w:val="22"/>
                <w:szCs w:val="22"/>
              </w:rPr>
              <w:br/>
              <w:t xml:space="preserve">01/01/2020 au </w:t>
            </w:r>
            <w:r w:rsidR="00EF175F" w:rsidRPr="00BB4589">
              <w:rPr>
                <w:rFonts w:asciiTheme="minorBidi" w:eastAsia="Calibri" w:hAnsiTheme="minorBidi" w:cstheme="minorBidi"/>
                <w:b/>
                <w:sz w:val="22"/>
                <w:szCs w:val="22"/>
              </w:rPr>
              <w:t>31/12/2021</w:t>
            </w:r>
          </w:p>
        </w:tc>
      </w:tr>
      <w:tr w:rsidR="00A268C4" w:rsidRPr="000A60EE" w14:paraId="71677767" w14:textId="77777777" w:rsidTr="00EB3A99">
        <w:tc>
          <w:tcPr>
            <w:tcW w:w="1300" w:type="pct"/>
            <w:tcBorders>
              <w:bottom w:val="single" w:sz="4" w:space="0" w:color="auto"/>
            </w:tcBorders>
          </w:tcPr>
          <w:p w14:paraId="33D6A62F" w14:textId="32DA0BB7"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Les rapports liés à la Convention traitent des plans, politiques et programmes visant à intégrer la sauvegarde du patrimoine culturel immatériel avec une approche sensible au genre, y compris dans les contextes d</w:t>
            </w:r>
            <w:r w:rsidR="00BB4589">
              <w:rPr>
                <w:rFonts w:asciiTheme="minorBidi" w:hAnsiTheme="minorBidi" w:cstheme="minorBidi"/>
                <w:sz w:val="22"/>
                <w:szCs w:val="22"/>
              </w:rPr>
              <w:t>’</w:t>
            </w:r>
            <w:r w:rsidRPr="00BB4589">
              <w:rPr>
                <w:rFonts w:asciiTheme="minorBidi" w:hAnsiTheme="minorBidi" w:cstheme="minorBidi"/>
                <w:sz w:val="22"/>
                <w:szCs w:val="22"/>
              </w:rPr>
              <w:t>urgence, et fournissent des preuves en vue de la réalisation des cibles des ODD.</w:t>
            </w:r>
          </w:p>
          <w:p w14:paraId="4CB23995" w14:textId="0F02F161" w:rsidR="001578FB" w:rsidRPr="00BB4589" w:rsidRDefault="009069B4">
            <w:pPr>
              <w:pStyle w:val="ListParagraph"/>
              <w:keepLines/>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Partenariats établis, à l</w:t>
            </w:r>
            <w:r w:rsidR="00BB4589">
              <w:rPr>
                <w:rFonts w:asciiTheme="minorBidi" w:hAnsiTheme="minorBidi" w:cstheme="minorBidi"/>
                <w:sz w:val="22"/>
                <w:szCs w:val="22"/>
              </w:rPr>
              <w:t>’</w:t>
            </w:r>
            <w:r w:rsidRPr="00BB4589">
              <w:rPr>
                <w:rFonts w:asciiTheme="minorBidi" w:hAnsiTheme="minorBidi" w:cstheme="minorBidi"/>
                <w:sz w:val="22"/>
                <w:szCs w:val="22"/>
              </w:rPr>
              <w:t>intérieur et à l</w:t>
            </w:r>
            <w:r w:rsidR="00BB4589">
              <w:rPr>
                <w:rFonts w:asciiTheme="minorBidi" w:hAnsiTheme="minorBidi" w:cstheme="minorBidi"/>
                <w:sz w:val="22"/>
                <w:szCs w:val="22"/>
              </w:rPr>
              <w:t>’</w:t>
            </w:r>
            <w:r w:rsidRPr="00BB4589">
              <w:rPr>
                <w:rFonts w:asciiTheme="minorBidi" w:hAnsiTheme="minorBidi" w:cstheme="minorBidi"/>
                <w:sz w:val="22"/>
                <w:szCs w:val="22"/>
              </w:rPr>
              <w:t>extérieur du secteur de la culture, en vue de renforcer le rôle du patrimoine culturel immatériel en tant que catalyseur et garantie du développement durable et de soutenir les plans nationaux visant à atteindre les ODD.</w:t>
            </w:r>
          </w:p>
          <w:p w14:paraId="6C57E12B" w14:textId="4398BE7F" w:rsidR="001578FB" w:rsidRPr="00BB4589" w:rsidRDefault="009069B4">
            <w:pPr>
              <w:pStyle w:val="ListParagraph"/>
              <w:keepNext/>
              <w:keepLines/>
              <w:numPr>
                <w:ilvl w:val="0"/>
                <w:numId w:val="20"/>
              </w:numPr>
              <w:spacing w:before="120" w:after="120"/>
              <w:ind w:left="317" w:hanging="346"/>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Initiatives conçues et mises en œuvre, aboutissant à l</w:t>
            </w:r>
            <w:r w:rsidR="00BB4589">
              <w:rPr>
                <w:rFonts w:asciiTheme="minorBidi" w:hAnsiTheme="minorBidi" w:cstheme="minorBidi"/>
                <w:sz w:val="22"/>
                <w:szCs w:val="22"/>
              </w:rPr>
              <w:t>’</w:t>
            </w:r>
            <w:r w:rsidRPr="00BB4589">
              <w:rPr>
                <w:rFonts w:asciiTheme="minorBidi" w:hAnsiTheme="minorBidi" w:cstheme="minorBidi"/>
                <w:sz w:val="22"/>
                <w:szCs w:val="22"/>
              </w:rPr>
              <w:t>incorporation du patrimoine culturel immatériel dans l</w:t>
            </w:r>
            <w:r w:rsidR="00BB4589">
              <w:rPr>
                <w:rFonts w:asciiTheme="minorBidi" w:hAnsiTheme="minorBidi" w:cstheme="minorBidi"/>
                <w:sz w:val="22"/>
                <w:szCs w:val="22"/>
              </w:rPr>
              <w:t>’</w:t>
            </w:r>
            <w:r w:rsidRPr="00BB4589">
              <w:rPr>
                <w:rFonts w:asciiTheme="minorBidi" w:hAnsiTheme="minorBidi" w:cstheme="minorBidi"/>
                <w:sz w:val="22"/>
                <w:szCs w:val="22"/>
              </w:rPr>
              <w:t>éducation formelle et non formelle (ODD 4.7).</w:t>
            </w:r>
          </w:p>
        </w:tc>
        <w:tc>
          <w:tcPr>
            <w:tcW w:w="577" w:type="pct"/>
            <w:tcBorders>
              <w:bottom w:val="single" w:sz="4" w:space="0" w:color="auto"/>
            </w:tcBorders>
            <w:shd w:val="clear" w:color="auto" w:fill="auto"/>
          </w:tcPr>
          <w:p w14:paraId="026618E0" w14:textId="77777777" w:rsidR="001578FB" w:rsidRPr="00BB4589" w:rsidRDefault="009069B4">
            <w:pPr>
              <w:pStyle w:val="ListParagraph"/>
              <w:numPr>
                <w:ilvl w:val="0"/>
                <w:numId w:val="20"/>
              </w:numPr>
              <w:spacing w:before="120" w:after="120"/>
              <w:ind w:left="358" w:hanging="284"/>
              <w:contextualSpacing w:val="0"/>
              <w:rPr>
                <w:rFonts w:asciiTheme="minorBidi" w:hAnsiTheme="minorBidi" w:cstheme="minorBidi"/>
                <w:iCs/>
                <w:sz w:val="22"/>
                <w:szCs w:val="22"/>
              </w:rPr>
            </w:pPr>
            <w:r w:rsidRPr="00BB4589">
              <w:rPr>
                <w:rFonts w:asciiTheme="minorBidi" w:hAnsiTheme="minorBidi" w:cstheme="minorBidi"/>
                <w:iCs/>
                <w:sz w:val="22"/>
                <w:szCs w:val="22"/>
              </w:rPr>
              <w:t>41, dont 22 en Afrique et 8 PEID</w:t>
            </w:r>
          </w:p>
        </w:tc>
        <w:tc>
          <w:tcPr>
            <w:tcW w:w="673" w:type="pct"/>
            <w:tcBorders>
              <w:bottom w:val="single" w:sz="4" w:space="0" w:color="auto"/>
            </w:tcBorders>
            <w:shd w:val="clear" w:color="auto" w:fill="auto"/>
          </w:tcPr>
          <w:p w14:paraId="21D4EC5E" w14:textId="77777777" w:rsidR="001578FB" w:rsidRPr="00BB4589" w:rsidRDefault="009069B4">
            <w:pPr>
              <w:pStyle w:val="ListParagraph"/>
              <w:numPr>
                <w:ilvl w:val="0"/>
                <w:numId w:val="20"/>
              </w:numPr>
              <w:spacing w:before="120" w:after="120"/>
              <w:ind w:left="358" w:hanging="284"/>
              <w:contextualSpacing w:val="0"/>
              <w:rPr>
                <w:rFonts w:asciiTheme="minorBidi" w:hAnsiTheme="minorBidi" w:cstheme="minorBidi"/>
                <w:iCs/>
                <w:sz w:val="22"/>
                <w:szCs w:val="22"/>
              </w:rPr>
            </w:pPr>
            <w:r w:rsidRPr="00BB4589">
              <w:rPr>
                <w:rFonts w:asciiTheme="minorBidi" w:hAnsiTheme="minorBidi" w:cstheme="minorBidi"/>
                <w:iCs/>
                <w:sz w:val="22"/>
                <w:szCs w:val="22"/>
              </w:rPr>
              <w:t>45, dont 15 en Afrique et 10 PEID</w:t>
            </w:r>
          </w:p>
        </w:tc>
        <w:tc>
          <w:tcPr>
            <w:tcW w:w="2450" w:type="pct"/>
            <w:tcBorders>
              <w:bottom w:val="single" w:sz="4" w:space="0" w:color="auto"/>
            </w:tcBorders>
          </w:tcPr>
          <w:p w14:paraId="007CA553" w14:textId="55D0ECC5"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sidRPr="00BB4589">
              <w:rPr>
                <w:rStyle w:val="textview"/>
                <w:rFonts w:asciiTheme="minorBidi" w:hAnsiTheme="minorBidi" w:cstheme="minorBidi"/>
                <w:sz w:val="22"/>
                <w:szCs w:val="22"/>
              </w:rPr>
              <w:t xml:space="preserve">51 </w:t>
            </w:r>
            <w:r w:rsidRPr="00BB4589">
              <w:rPr>
                <w:rFonts w:asciiTheme="minorBidi" w:hAnsiTheme="minorBidi" w:cstheme="minorBidi"/>
                <w:iCs/>
                <w:sz w:val="22"/>
                <w:szCs w:val="22"/>
              </w:rPr>
              <w:t>États membres soutenus dans le domaine du patrimoine culturel immatériel et de l</w:t>
            </w:r>
            <w:r w:rsidR="00BB4589">
              <w:rPr>
                <w:rFonts w:asciiTheme="minorBidi" w:hAnsiTheme="minorBidi" w:cstheme="minorBidi"/>
                <w:iCs/>
                <w:sz w:val="22"/>
                <w:szCs w:val="22"/>
              </w:rPr>
              <w:t>’</w:t>
            </w:r>
            <w:r w:rsidRPr="00BB4589">
              <w:rPr>
                <w:rFonts w:asciiTheme="minorBidi" w:hAnsiTheme="minorBidi" w:cstheme="minorBidi"/>
                <w:iCs/>
                <w:sz w:val="22"/>
                <w:szCs w:val="22"/>
              </w:rPr>
              <w:t>éducation, dont 26 en Afrique et 9 PEID.</w:t>
            </w:r>
          </w:p>
          <w:p w14:paraId="48DF1D18" w14:textId="793EBB2A"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sz w:val="22"/>
                <w:szCs w:val="22"/>
              </w:rPr>
            </w:pPr>
            <w:r w:rsidRPr="00BB4589">
              <w:rPr>
                <w:rFonts w:asciiTheme="minorBidi" w:hAnsiTheme="minorBidi" w:cstheme="minorBidi"/>
                <w:sz w:val="22"/>
                <w:szCs w:val="22"/>
              </w:rPr>
              <w:t>Un réseau mondial d</w:t>
            </w:r>
            <w:r w:rsidR="00BB4589">
              <w:rPr>
                <w:rFonts w:asciiTheme="minorBidi" w:hAnsiTheme="minorBidi" w:cstheme="minorBidi"/>
                <w:sz w:val="22"/>
                <w:szCs w:val="22"/>
              </w:rPr>
              <w:t>’</w:t>
            </w:r>
            <w:r w:rsidRPr="00BB4589">
              <w:rPr>
                <w:rFonts w:asciiTheme="minorBidi" w:hAnsiTheme="minorBidi" w:cstheme="minorBidi"/>
                <w:sz w:val="22"/>
                <w:szCs w:val="22"/>
              </w:rPr>
              <w:t xml:space="preserve">apprentissage composé de </w:t>
            </w:r>
            <w:r w:rsidR="00105D6E" w:rsidRPr="00BB4589">
              <w:rPr>
                <w:rFonts w:asciiTheme="minorBidi" w:hAnsiTheme="minorBidi" w:cstheme="minorBidi"/>
                <w:sz w:val="22"/>
                <w:szCs w:val="22"/>
              </w:rPr>
              <w:t xml:space="preserve">48 </w:t>
            </w:r>
            <w:r w:rsidRPr="00BB4589">
              <w:rPr>
                <w:rFonts w:asciiTheme="minorBidi" w:hAnsiTheme="minorBidi" w:cstheme="minorBidi"/>
                <w:sz w:val="22"/>
                <w:szCs w:val="22"/>
              </w:rPr>
              <w:t>personnes ressources a été créé pour fournir des services de formation et de conseil sur la sauvegarde du patrimoine culturel immatériel dans l</w:t>
            </w:r>
            <w:r w:rsidR="00BB4589">
              <w:rPr>
                <w:rFonts w:asciiTheme="minorBidi" w:hAnsiTheme="minorBidi" w:cstheme="minorBidi"/>
                <w:sz w:val="22"/>
                <w:szCs w:val="22"/>
              </w:rPr>
              <w:t>’</w:t>
            </w:r>
            <w:r w:rsidRPr="00BB4589">
              <w:rPr>
                <w:rFonts w:asciiTheme="minorBidi" w:hAnsiTheme="minorBidi" w:cstheme="minorBidi"/>
                <w:sz w:val="22"/>
                <w:szCs w:val="22"/>
              </w:rPr>
              <w:t>éducation formelle et non formelle.</w:t>
            </w:r>
          </w:p>
          <w:p w14:paraId="326C078C" w14:textId="4BC9B96A" w:rsidR="001578FB" w:rsidRPr="00BB4589" w:rsidRDefault="009069B4">
            <w:pPr>
              <w:pStyle w:val="ListParagraph"/>
              <w:numPr>
                <w:ilvl w:val="0"/>
                <w:numId w:val="20"/>
              </w:numPr>
              <w:spacing w:before="120" w:after="120"/>
              <w:ind w:left="425" w:hanging="425"/>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Centre d</w:t>
            </w:r>
            <w:r w:rsidR="00BB4589">
              <w:rPr>
                <w:rFonts w:asciiTheme="minorBidi" w:hAnsiTheme="minorBidi" w:cstheme="minorBidi"/>
                <w:sz w:val="22"/>
                <w:szCs w:val="22"/>
              </w:rPr>
              <w:t>’</w:t>
            </w:r>
            <w:r w:rsidRPr="00BB4589">
              <w:rPr>
                <w:rFonts w:asciiTheme="minorBidi" w:hAnsiTheme="minorBidi" w:cstheme="minorBidi"/>
                <w:sz w:val="22"/>
                <w:szCs w:val="22"/>
              </w:rPr>
              <w:t>échange pour le partage des connaissances, la coopération et l</w:t>
            </w:r>
            <w:r w:rsidR="00BB4589">
              <w:rPr>
                <w:rFonts w:asciiTheme="minorBidi" w:hAnsiTheme="minorBidi" w:cstheme="minorBidi"/>
                <w:sz w:val="22"/>
                <w:szCs w:val="22"/>
              </w:rPr>
              <w:t>’</w:t>
            </w:r>
            <w:r w:rsidRPr="00BB4589">
              <w:rPr>
                <w:rFonts w:asciiTheme="minorBidi" w:hAnsiTheme="minorBidi" w:cstheme="minorBidi"/>
                <w:sz w:val="22"/>
                <w:szCs w:val="22"/>
              </w:rPr>
              <w:t>innovation dans le domaine du patrimoine culturel immatériel et de l</w:t>
            </w:r>
            <w:r w:rsidR="00BB4589">
              <w:rPr>
                <w:rFonts w:asciiTheme="minorBidi" w:hAnsiTheme="minorBidi" w:cstheme="minorBidi"/>
                <w:sz w:val="22"/>
                <w:szCs w:val="22"/>
              </w:rPr>
              <w:t>’</w:t>
            </w:r>
            <w:r w:rsidRPr="00BB4589">
              <w:rPr>
                <w:rFonts w:asciiTheme="minorBidi" w:hAnsiTheme="minorBidi" w:cstheme="minorBidi"/>
                <w:sz w:val="22"/>
                <w:szCs w:val="22"/>
              </w:rPr>
              <w:t xml:space="preserve">éducation créé, mis à disposition en deux langues (anglais et français) et lancé </w:t>
            </w:r>
            <w:r w:rsidRPr="00BB4589">
              <w:rPr>
                <w:rFonts w:asciiTheme="minorBidi" w:eastAsia="Calibri" w:hAnsiTheme="minorBidi" w:cstheme="minorBidi"/>
                <w:sz w:val="22"/>
                <w:szCs w:val="22"/>
              </w:rPr>
              <w:t>dans le cadre de la Conférence mondiale sur l</w:t>
            </w:r>
            <w:r w:rsidR="00BB4589">
              <w:rPr>
                <w:rFonts w:asciiTheme="minorBidi" w:eastAsia="Calibri" w:hAnsiTheme="minorBidi" w:cstheme="minorBidi"/>
                <w:sz w:val="22"/>
                <w:szCs w:val="22"/>
              </w:rPr>
              <w:t>’</w:t>
            </w:r>
            <w:r w:rsidRPr="00BB4589">
              <w:rPr>
                <w:rFonts w:asciiTheme="minorBidi" w:eastAsia="Calibri" w:hAnsiTheme="minorBidi" w:cstheme="minorBidi"/>
                <w:sz w:val="22"/>
                <w:szCs w:val="22"/>
              </w:rPr>
              <w:t>éducation au développement durable en mai 2021.</w:t>
            </w:r>
          </w:p>
          <w:p w14:paraId="756A6564" w14:textId="69C9E214"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sidRPr="00BB4589">
              <w:rPr>
                <w:rFonts w:asciiTheme="minorBidi" w:hAnsiTheme="minorBidi" w:cstheme="minorBidi"/>
                <w:iCs/>
                <w:sz w:val="22"/>
                <w:szCs w:val="22"/>
              </w:rPr>
              <w:t>L</w:t>
            </w:r>
            <w:r w:rsidR="00BB4589">
              <w:rPr>
                <w:rFonts w:asciiTheme="minorBidi" w:hAnsiTheme="minorBidi" w:cstheme="minorBidi"/>
                <w:iCs/>
                <w:sz w:val="22"/>
                <w:szCs w:val="22"/>
              </w:rPr>
              <w:t>’</w:t>
            </w:r>
            <w:r w:rsidRPr="00BB4589">
              <w:rPr>
                <w:rFonts w:asciiTheme="minorBidi" w:hAnsiTheme="minorBidi" w:cstheme="minorBidi"/>
                <w:iCs/>
                <w:sz w:val="22"/>
                <w:szCs w:val="22"/>
              </w:rPr>
              <w:t>enquête en ligne "Expériences du patrimoine vivant dans le contexte de la pandémie de COVID-19" a permis de recueillir plus de 230 témoignages provenant de soixante-dix-huit pays, qui ont été rendus accessibles via l</w:t>
            </w:r>
            <w:r w:rsidR="00BB4589">
              <w:rPr>
                <w:rFonts w:asciiTheme="minorBidi" w:hAnsiTheme="minorBidi" w:cstheme="minorBidi"/>
                <w:iCs/>
                <w:sz w:val="22"/>
                <w:szCs w:val="22"/>
              </w:rPr>
              <w:t>’</w:t>
            </w:r>
            <w:hyperlink r:id="rId36" w:history="1">
              <w:r w:rsidRPr="00BB4589">
                <w:rPr>
                  <w:rStyle w:val="Hyperlink"/>
                  <w:rFonts w:asciiTheme="minorBidi" w:hAnsiTheme="minorBidi" w:cstheme="minorBidi"/>
                  <w:sz w:val="22"/>
                  <w:szCs w:val="22"/>
                </w:rPr>
                <w:t>interface</w:t>
              </w:r>
            </w:hyperlink>
            <w:r w:rsidRPr="00BB4589">
              <w:rPr>
                <w:rFonts w:asciiTheme="minorBidi" w:hAnsiTheme="minorBidi" w:cstheme="minorBidi"/>
                <w:iCs/>
                <w:sz w:val="22"/>
                <w:szCs w:val="22"/>
              </w:rPr>
              <w:t xml:space="preserve"> en ligne dédiée</w:t>
            </w:r>
            <w:r w:rsidR="0052179C" w:rsidRPr="00BB4589">
              <w:rPr>
                <w:rStyle w:val="Hyperlink"/>
                <w:rFonts w:asciiTheme="minorBidi" w:hAnsiTheme="minorBidi" w:cstheme="minorBidi"/>
                <w:sz w:val="22"/>
                <w:szCs w:val="22"/>
              </w:rPr>
              <w:t>.</w:t>
            </w:r>
          </w:p>
          <w:p w14:paraId="0DC09DE0" w14:textId="00F30BAF" w:rsidR="001578FB" w:rsidRPr="00BB4589" w:rsidRDefault="009069B4">
            <w:pPr>
              <w:pStyle w:val="ListParagraph"/>
              <w:numPr>
                <w:ilvl w:val="0"/>
                <w:numId w:val="20"/>
              </w:numPr>
              <w:spacing w:before="120" w:after="120"/>
              <w:ind w:left="425" w:hanging="425"/>
              <w:contextualSpacing w:val="0"/>
              <w:jc w:val="both"/>
              <w:rPr>
                <w:rFonts w:asciiTheme="minorBidi" w:eastAsia="Calibri" w:hAnsiTheme="minorBidi" w:cstheme="minorBidi"/>
                <w:sz w:val="22"/>
                <w:szCs w:val="22"/>
              </w:rPr>
            </w:pPr>
            <w:r w:rsidRPr="00BB4589">
              <w:rPr>
                <w:rFonts w:asciiTheme="minorBidi" w:hAnsiTheme="minorBidi" w:cstheme="minorBidi"/>
                <w:iCs/>
                <w:sz w:val="22"/>
                <w:szCs w:val="22"/>
              </w:rPr>
              <w:t>Rapport de l</w:t>
            </w:r>
            <w:r w:rsidR="00BB4589">
              <w:rPr>
                <w:rFonts w:asciiTheme="minorBidi" w:hAnsiTheme="minorBidi" w:cstheme="minorBidi"/>
                <w:iCs/>
                <w:sz w:val="22"/>
                <w:szCs w:val="22"/>
              </w:rPr>
              <w:t>’</w:t>
            </w:r>
            <w:r w:rsidRPr="00BB4589">
              <w:rPr>
                <w:rFonts w:asciiTheme="minorBidi" w:hAnsiTheme="minorBidi" w:cstheme="minorBidi"/>
                <w:iCs/>
                <w:sz w:val="22"/>
                <w:szCs w:val="22"/>
              </w:rPr>
              <w:t xml:space="preserve">UNESCO sur "Le patrimoine vivant face à COVID-19" publié en </w:t>
            </w:r>
            <w:r w:rsidRPr="00BB4589">
              <w:rPr>
                <w:rFonts w:asciiTheme="minorBidi" w:hAnsiTheme="minorBidi" w:cstheme="minorBidi"/>
                <w:sz w:val="22"/>
                <w:szCs w:val="22"/>
              </w:rPr>
              <w:t xml:space="preserve">mai </w:t>
            </w:r>
            <w:r w:rsidRPr="00BB4589">
              <w:rPr>
                <w:rFonts w:asciiTheme="minorBidi" w:hAnsiTheme="minorBidi" w:cstheme="minorBidi"/>
                <w:iCs/>
                <w:sz w:val="22"/>
                <w:szCs w:val="22"/>
              </w:rPr>
              <w:t xml:space="preserve">2021 en deux langues (anglais et français), avec des recommandations clés </w:t>
            </w:r>
            <w:r w:rsidR="006250C0" w:rsidRPr="00BB4589">
              <w:rPr>
                <w:rFonts w:asciiTheme="minorBidi" w:hAnsiTheme="minorBidi" w:cstheme="minorBidi"/>
                <w:iCs/>
                <w:sz w:val="22"/>
                <w:szCs w:val="22"/>
              </w:rPr>
              <w:t xml:space="preserve">pour préparer la </w:t>
            </w:r>
            <w:r w:rsidR="00DB2857" w:rsidRPr="00BB4589">
              <w:rPr>
                <w:rFonts w:asciiTheme="minorBidi" w:hAnsiTheme="minorBidi" w:cstheme="minorBidi"/>
                <w:iCs/>
                <w:sz w:val="22"/>
                <w:szCs w:val="22"/>
              </w:rPr>
              <w:t xml:space="preserve">phase de récupération </w:t>
            </w:r>
            <w:r w:rsidR="006250C0" w:rsidRPr="00BB4589">
              <w:rPr>
                <w:rFonts w:asciiTheme="minorBidi" w:hAnsiTheme="minorBidi" w:cstheme="minorBidi"/>
                <w:iCs/>
                <w:sz w:val="22"/>
                <w:szCs w:val="22"/>
              </w:rPr>
              <w:t>et au-delà</w:t>
            </w:r>
            <w:r w:rsidRPr="00BB4589">
              <w:rPr>
                <w:rFonts w:asciiTheme="minorBidi" w:hAnsiTheme="minorBidi" w:cstheme="minorBidi"/>
                <w:iCs/>
                <w:sz w:val="22"/>
                <w:szCs w:val="22"/>
              </w:rPr>
              <w:t>.</w:t>
            </w:r>
          </w:p>
        </w:tc>
      </w:tr>
      <w:tr w:rsidR="00A268C4" w:rsidRPr="000A60EE" w14:paraId="6F20A5A6" w14:textId="77777777" w:rsidTr="00EB3A99">
        <w:tc>
          <w:tcPr>
            <w:tcW w:w="1300" w:type="pct"/>
            <w:tcBorders>
              <w:left w:val="nil"/>
              <w:bottom w:val="nil"/>
              <w:right w:val="nil"/>
            </w:tcBorders>
          </w:tcPr>
          <w:p w14:paraId="295C957E" w14:textId="77777777" w:rsidR="00A268C4" w:rsidRPr="00BB4589" w:rsidRDefault="00A268C4" w:rsidP="00EB3A99">
            <w:pPr>
              <w:pStyle w:val="ListParagraph"/>
              <w:spacing w:before="120" w:after="120"/>
              <w:ind w:left="312"/>
              <w:contextualSpacing w:val="0"/>
              <w:rPr>
                <w:rFonts w:asciiTheme="minorBidi" w:hAnsiTheme="minorBidi" w:cstheme="minorBidi"/>
                <w:sz w:val="22"/>
                <w:szCs w:val="22"/>
              </w:rPr>
            </w:pPr>
          </w:p>
        </w:tc>
        <w:tc>
          <w:tcPr>
            <w:tcW w:w="577" w:type="pct"/>
            <w:tcBorders>
              <w:left w:val="nil"/>
              <w:bottom w:val="nil"/>
              <w:right w:val="nil"/>
            </w:tcBorders>
            <w:shd w:val="clear" w:color="auto" w:fill="auto"/>
          </w:tcPr>
          <w:p w14:paraId="5FDFCBFA" w14:textId="77777777" w:rsidR="00A268C4" w:rsidRPr="00BB4589" w:rsidRDefault="00A268C4" w:rsidP="00EB3A99">
            <w:pPr>
              <w:pStyle w:val="ListParagraph"/>
              <w:spacing w:before="120" w:after="120"/>
              <w:ind w:left="358"/>
              <w:contextualSpacing w:val="0"/>
              <w:rPr>
                <w:rFonts w:asciiTheme="minorBidi" w:hAnsiTheme="minorBidi" w:cstheme="minorBidi"/>
                <w:iCs/>
                <w:sz w:val="22"/>
                <w:szCs w:val="22"/>
              </w:rPr>
            </w:pPr>
          </w:p>
        </w:tc>
        <w:tc>
          <w:tcPr>
            <w:tcW w:w="673" w:type="pct"/>
            <w:tcBorders>
              <w:left w:val="nil"/>
              <w:bottom w:val="nil"/>
              <w:right w:val="nil"/>
            </w:tcBorders>
            <w:shd w:val="clear" w:color="auto" w:fill="auto"/>
          </w:tcPr>
          <w:p w14:paraId="27A1216B" w14:textId="77777777" w:rsidR="00A268C4" w:rsidRPr="00BB4589" w:rsidRDefault="00A268C4" w:rsidP="00EB3A99">
            <w:pPr>
              <w:pStyle w:val="ListParagraph"/>
              <w:spacing w:before="120" w:after="120"/>
              <w:ind w:left="358"/>
              <w:contextualSpacing w:val="0"/>
              <w:rPr>
                <w:rFonts w:asciiTheme="minorBidi" w:hAnsiTheme="minorBidi" w:cstheme="minorBidi"/>
                <w:iCs/>
                <w:sz w:val="22"/>
                <w:szCs w:val="22"/>
              </w:rPr>
            </w:pPr>
          </w:p>
        </w:tc>
        <w:tc>
          <w:tcPr>
            <w:tcW w:w="2450" w:type="pct"/>
            <w:tcBorders>
              <w:left w:val="nil"/>
              <w:bottom w:val="nil"/>
              <w:right w:val="nil"/>
            </w:tcBorders>
          </w:tcPr>
          <w:p w14:paraId="6B8BD96A" w14:textId="77777777" w:rsidR="00A268C4" w:rsidRPr="00BB4589" w:rsidRDefault="00A268C4" w:rsidP="00EB3A99">
            <w:pPr>
              <w:pStyle w:val="ListParagraph"/>
              <w:spacing w:before="120" w:after="120"/>
              <w:ind w:left="543"/>
              <w:contextualSpacing w:val="0"/>
              <w:rPr>
                <w:rStyle w:val="textview"/>
                <w:rFonts w:asciiTheme="minorBidi" w:hAnsiTheme="minorBidi" w:cstheme="minorBidi"/>
                <w:sz w:val="22"/>
                <w:szCs w:val="22"/>
              </w:rPr>
            </w:pPr>
          </w:p>
        </w:tc>
      </w:tr>
    </w:tbl>
    <w:tbl>
      <w:tblPr>
        <w:tblStyle w:val="TableGrid2"/>
        <w:tblW w:w="14572" w:type="dxa"/>
        <w:tblLook w:val="04A0" w:firstRow="1" w:lastRow="0" w:firstColumn="1" w:lastColumn="0" w:noHBand="0" w:noVBand="1"/>
      </w:tblPr>
      <w:tblGrid>
        <w:gridCol w:w="3789"/>
        <w:gridCol w:w="10783"/>
      </w:tblGrid>
      <w:tr w:rsidR="00A268C4" w:rsidRPr="000A60EE" w14:paraId="461134F1" w14:textId="77777777" w:rsidTr="00EB3A99">
        <w:trPr>
          <w:cantSplit/>
        </w:trPr>
        <w:tc>
          <w:tcPr>
            <w:tcW w:w="1300" w:type="pct"/>
            <w:tcBorders>
              <w:top w:val="nil"/>
            </w:tcBorders>
            <w:shd w:val="clear" w:color="auto" w:fill="808080" w:themeFill="background1" w:themeFillShade="80"/>
            <w:vAlign w:val="center"/>
          </w:tcPr>
          <w:p w14:paraId="31754742" w14:textId="77777777" w:rsidR="001578FB" w:rsidRDefault="009069B4">
            <w:pPr>
              <w:keepNext/>
              <w:spacing w:before="120" w:after="120"/>
              <w:rPr>
                <w:rFonts w:asciiTheme="minorBidi" w:hAnsiTheme="minorBidi" w:cstheme="minorBidi"/>
                <w:b/>
                <w:bCs/>
                <w:color w:val="FFFFFF" w:themeColor="background1"/>
                <w:sz w:val="22"/>
                <w:szCs w:val="22"/>
                <w:lang w:val="en-GB"/>
              </w:rPr>
            </w:pPr>
            <w:r w:rsidRPr="006B6390">
              <w:rPr>
                <w:rFonts w:asciiTheme="minorBidi" w:hAnsiTheme="minorBidi" w:cstheme="minorBidi"/>
                <w:b/>
                <w:bCs/>
                <w:color w:val="FFFFFF" w:themeColor="background1"/>
                <w:sz w:val="22"/>
                <w:szCs w:val="22"/>
                <w:lang w:val="en-GB"/>
              </w:rPr>
              <w:t xml:space="preserve">40C/5 </w:t>
            </w:r>
            <w:proofErr w:type="spellStart"/>
            <w:r w:rsidRPr="006B6390">
              <w:rPr>
                <w:rFonts w:asciiTheme="minorBidi" w:hAnsiTheme="minorBidi" w:cstheme="minorBidi"/>
                <w:b/>
                <w:bCs/>
                <w:color w:val="FFFFFF" w:themeColor="background1"/>
                <w:sz w:val="22"/>
                <w:szCs w:val="22"/>
                <w:lang w:val="en-GB"/>
              </w:rPr>
              <w:t>Indicateur</w:t>
            </w:r>
            <w:proofErr w:type="spellEnd"/>
            <w:r w:rsidRPr="006B6390">
              <w:rPr>
                <w:rFonts w:asciiTheme="minorBidi" w:hAnsiTheme="minorBidi" w:cstheme="minorBidi"/>
                <w:b/>
                <w:bCs/>
                <w:color w:val="FFFFFF" w:themeColor="background1"/>
                <w:sz w:val="22"/>
                <w:szCs w:val="22"/>
                <w:lang w:val="en-GB"/>
              </w:rPr>
              <w:t xml:space="preserve"> de performance 4</w:t>
            </w:r>
          </w:p>
        </w:tc>
        <w:tc>
          <w:tcPr>
            <w:tcW w:w="3700" w:type="pct"/>
            <w:tcBorders>
              <w:top w:val="nil"/>
            </w:tcBorders>
            <w:shd w:val="clear" w:color="auto" w:fill="808080" w:themeFill="background1" w:themeFillShade="80"/>
            <w:vAlign w:val="center"/>
          </w:tcPr>
          <w:p w14:paraId="7B3B813F" w14:textId="246D0837" w:rsidR="001578FB" w:rsidRPr="00BB4589" w:rsidRDefault="009069B4">
            <w:pPr>
              <w:keepNext/>
              <w:spacing w:before="120" w:after="120"/>
              <w:rPr>
                <w:rFonts w:asciiTheme="minorBidi" w:hAnsiTheme="minorBidi" w:cstheme="minorBidi"/>
                <w:b/>
                <w:bCs/>
                <w:color w:val="FFFFFF" w:themeColor="background1"/>
                <w:sz w:val="22"/>
                <w:szCs w:val="22"/>
              </w:rPr>
            </w:pPr>
            <w:r w:rsidRPr="00BB4589">
              <w:rPr>
                <w:rFonts w:asciiTheme="minorBidi" w:hAnsiTheme="minorBidi" w:cstheme="minorBidi"/>
                <w:b/>
                <w:bCs/>
                <w:color w:val="FFFFFF" w:themeColor="background1"/>
                <w:sz w:val="22"/>
                <w:szCs w:val="22"/>
              </w:rPr>
              <w:t>Nombre d</w:t>
            </w:r>
            <w:r w:rsidR="00BB4589">
              <w:rPr>
                <w:rFonts w:asciiTheme="minorBidi" w:hAnsiTheme="minorBidi" w:cstheme="minorBidi"/>
                <w:b/>
                <w:bCs/>
                <w:color w:val="FFFFFF" w:themeColor="background1"/>
                <w:sz w:val="22"/>
                <w:szCs w:val="22"/>
              </w:rPr>
              <w:t>’</w:t>
            </w:r>
            <w:r w:rsidRPr="00BB4589">
              <w:rPr>
                <w:rFonts w:asciiTheme="minorBidi" w:hAnsiTheme="minorBidi" w:cstheme="minorBidi"/>
                <w:b/>
                <w:bCs/>
                <w:color w:val="FFFFFF" w:themeColor="background1"/>
                <w:sz w:val="22"/>
                <w:szCs w:val="22"/>
              </w:rPr>
              <w:t>États parties qui ont effectivement mis en œuvre l</w:t>
            </w:r>
            <w:r w:rsidR="00BB4589">
              <w:rPr>
                <w:rFonts w:asciiTheme="minorBidi" w:hAnsiTheme="minorBidi" w:cstheme="minorBidi"/>
                <w:b/>
                <w:bCs/>
                <w:color w:val="FFFFFF" w:themeColor="background1"/>
                <w:sz w:val="22"/>
                <w:szCs w:val="22"/>
              </w:rPr>
              <w:t>’</w:t>
            </w:r>
            <w:r w:rsidRPr="00BB4589">
              <w:rPr>
                <w:rFonts w:asciiTheme="minorBidi" w:hAnsiTheme="minorBidi" w:cstheme="minorBidi"/>
                <w:b/>
                <w:bCs/>
                <w:color w:val="FFFFFF" w:themeColor="background1"/>
                <w:sz w:val="22"/>
                <w:szCs w:val="22"/>
              </w:rPr>
              <w:t>assistance internationale, y compris le Fonds du patrimoine culturel immatériel, pour compléter leurs efforts de sauvegarde nationaux.</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A268C4" w:rsidRPr="006B6390" w14:paraId="76A5A29B" w14:textId="77777777" w:rsidTr="00EB3A99">
        <w:trPr>
          <w:tblHeader/>
        </w:trPr>
        <w:tc>
          <w:tcPr>
            <w:tcW w:w="1300" w:type="pct"/>
            <w:shd w:val="clear" w:color="auto" w:fill="D9D9D9" w:themeFill="background1" w:themeFillShade="D9"/>
            <w:vAlign w:val="center"/>
          </w:tcPr>
          <w:p w14:paraId="34DA38A9" w14:textId="77777777" w:rsidR="001578FB" w:rsidRPr="00BB4589" w:rsidRDefault="009069B4">
            <w:pPr>
              <w:spacing w:before="60" w:after="60"/>
              <w:jc w:val="center"/>
              <w:rPr>
                <w:rFonts w:asciiTheme="minorBidi" w:eastAsia="Calibri" w:hAnsiTheme="minorBidi" w:cstheme="minorBidi"/>
                <w:b/>
                <w:sz w:val="22"/>
                <w:szCs w:val="22"/>
              </w:rPr>
            </w:pPr>
            <w:r w:rsidRPr="00BB4589">
              <w:rPr>
                <w:rFonts w:asciiTheme="minorBidi" w:eastAsia="Calibri" w:hAnsiTheme="minorBidi" w:cstheme="minorBidi"/>
                <w:b/>
                <w:sz w:val="22"/>
                <w:szCs w:val="22"/>
              </w:rPr>
              <w:t>Évalués selon les critères suivants</w:t>
            </w:r>
          </w:p>
        </w:tc>
        <w:tc>
          <w:tcPr>
            <w:tcW w:w="577" w:type="pct"/>
            <w:shd w:val="clear" w:color="auto" w:fill="D9D9D9" w:themeFill="background1" w:themeFillShade="D9"/>
            <w:vAlign w:val="center"/>
          </w:tcPr>
          <w:p w14:paraId="32BC7F17" w14:textId="4F8AC2B5" w:rsidR="001578FB" w:rsidRDefault="00FA1163">
            <w:pPr>
              <w:spacing w:before="60" w:after="60"/>
              <w:jc w:val="center"/>
              <w:rPr>
                <w:rFonts w:asciiTheme="minorBidi" w:eastAsia="Calibri" w:hAnsiTheme="minorBidi" w:cstheme="minorBidi"/>
                <w:b/>
                <w:sz w:val="22"/>
                <w:szCs w:val="22"/>
                <w:lang w:val="en-GB"/>
              </w:rPr>
            </w:pPr>
            <w:r>
              <w:rPr>
                <w:rFonts w:asciiTheme="minorBidi" w:hAnsiTheme="minorBidi" w:cstheme="minorBidi"/>
                <w:b/>
                <w:bCs/>
                <w:sz w:val="22"/>
                <w:szCs w:val="22"/>
              </w:rPr>
              <w:t>Indicateurs de référence</w:t>
            </w:r>
          </w:p>
        </w:tc>
        <w:tc>
          <w:tcPr>
            <w:tcW w:w="673" w:type="pct"/>
            <w:shd w:val="clear" w:color="auto" w:fill="D9D9D9" w:themeFill="background1" w:themeFillShade="D9"/>
            <w:vAlign w:val="center"/>
          </w:tcPr>
          <w:p w14:paraId="04646B14" w14:textId="77777777" w:rsidR="001578FB" w:rsidRDefault="009069B4">
            <w:pPr>
              <w:spacing w:before="60" w:after="60"/>
              <w:jc w:val="center"/>
              <w:rPr>
                <w:rFonts w:asciiTheme="minorBidi" w:eastAsia="Calibri" w:hAnsiTheme="minorBidi" w:cstheme="minorBidi"/>
                <w:b/>
                <w:sz w:val="22"/>
                <w:szCs w:val="22"/>
                <w:lang w:val="en-GB"/>
              </w:rPr>
            </w:pPr>
            <w:proofErr w:type="spellStart"/>
            <w:r w:rsidRPr="006B6390">
              <w:rPr>
                <w:rFonts w:asciiTheme="minorBidi" w:eastAsia="Calibri" w:hAnsiTheme="minorBidi" w:cstheme="minorBidi"/>
                <w:b/>
                <w:sz w:val="22"/>
                <w:szCs w:val="22"/>
                <w:lang w:val="en-GB"/>
              </w:rPr>
              <w:t>Objectifs</w:t>
            </w:r>
            <w:proofErr w:type="spellEnd"/>
            <w:r w:rsidRPr="006B6390">
              <w:rPr>
                <w:rFonts w:asciiTheme="minorBidi" w:eastAsia="Calibri" w:hAnsiTheme="minorBidi" w:cstheme="minorBidi"/>
                <w:b/>
                <w:sz w:val="22"/>
                <w:szCs w:val="22"/>
                <w:lang w:val="en-GB"/>
              </w:rPr>
              <w:t xml:space="preserve"> 2020-2021</w:t>
            </w:r>
          </w:p>
        </w:tc>
        <w:tc>
          <w:tcPr>
            <w:tcW w:w="2450" w:type="pct"/>
            <w:shd w:val="clear" w:color="auto" w:fill="D9D9D9" w:themeFill="background1" w:themeFillShade="D9"/>
            <w:vAlign w:val="center"/>
          </w:tcPr>
          <w:p w14:paraId="1B6C89F4" w14:textId="77777777" w:rsidR="001578FB" w:rsidRPr="00BB4589" w:rsidRDefault="009069B4">
            <w:pPr>
              <w:autoSpaceDE w:val="0"/>
              <w:autoSpaceDN w:val="0"/>
              <w:adjustRightInd w:val="0"/>
              <w:jc w:val="center"/>
              <w:rPr>
                <w:rFonts w:asciiTheme="minorBidi" w:eastAsia="Calibri" w:hAnsiTheme="minorBidi" w:cstheme="minorBidi"/>
                <w:b/>
                <w:color w:val="000000"/>
                <w:sz w:val="22"/>
                <w:szCs w:val="22"/>
              </w:rPr>
            </w:pPr>
            <w:r w:rsidRPr="00BB4589">
              <w:rPr>
                <w:rFonts w:asciiTheme="minorBidi" w:eastAsia="Calibri" w:hAnsiTheme="minorBidi" w:cstheme="minorBidi"/>
                <w:b/>
                <w:sz w:val="22"/>
                <w:szCs w:val="22"/>
              </w:rPr>
              <w:t>Évaluation des progrès accomplis :</w:t>
            </w:r>
            <w:r w:rsidRPr="00BB4589">
              <w:rPr>
                <w:rFonts w:asciiTheme="minorBidi" w:eastAsia="Calibri" w:hAnsiTheme="minorBidi" w:cstheme="minorBidi"/>
                <w:b/>
                <w:sz w:val="22"/>
                <w:szCs w:val="22"/>
              </w:rPr>
              <w:br/>
            </w:r>
            <w:r w:rsidR="00EF175F" w:rsidRPr="00BB4589">
              <w:rPr>
                <w:rFonts w:asciiTheme="minorBidi" w:eastAsia="Calibri" w:hAnsiTheme="minorBidi" w:cstheme="minorBidi"/>
                <w:b/>
                <w:sz w:val="22"/>
                <w:szCs w:val="22"/>
              </w:rPr>
              <w:t>01/01/2020 au 31/12/2021</w:t>
            </w:r>
          </w:p>
        </w:tc>
      </w:tr>
      <w:tr w:rsidR="00A268C4" w:rsidRPr="000A60EE" w14:paraId="44AB0C3A" w14:textId="77777777" w:rsidTr="00EB3A99">
        <w:tc>
          <w:tcPr>
            <w:tcW w:w="1300" w:type="pct"/>
            <w:tcBorders>
              <w:bottom w:val="single" w:sz="4" w:space="0" w:color="auto"/>
            </w:tcBorders>
          </w:tcPr>
          <w:p w14:paraId="2DF50526" w14:textId="77777777"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Fonds pour le patrimoine culturel immatériel utilisé par les États parties pour compléter efficacement leurs efforts nationaux de sauvegarde</w:t>
            </w:r>
          </w:p>
          <w:p w14:paraId="2BD33C6D" w14:textId="05E0E124" w:rsidR="001578FB" w:rsidRPr="00BB4589" w:rsidRDefault="009069B4">
            <w:pPr>
              <w:pStyle w:val="ListParagraph"/>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Assistance préparatoire/technique du Fonds du patrimoine culturel immatériel utilisée par les États parties pour élaborer des demandes d</w:t>
            </w:r>
            <w:r w:rsidR="00BB4589">
              <w:rPr>
                <w:rFonts w:asciiTheme="minorBidi" w:hAnsiTheme="minorBidi" w:cstheme="minorBidi"/>
                <w:sz w:val="22"/>
                <w:szCs w:val="22"/>
              </w:rPr>
              <w:t>’</w:t>
            </w:r>
            <w:r w:rsidRPr="00BB4589">
              <w:rPr>
                <w:rFonts w:asciiTheme="minorBidi" w:hAnsiTheme="minorBidi" w:cstheme="minorBidi"/>
                <w:sz w:val="22"/>
                <w:szCs w:val="22"/>
              </w:rPr>
              <w:t>assistance internationale afin de compléter efficacement leurs efforts nationaux de sauvegarde.</w:t>
            </w:r>
          </w:p>
        </w:tc>
        <w:tc>
          <w:tcPr>
            <w:tcW w:w="577" w:type="pct"/>
            <w:tcBorders>
              <w:bottom w:val="single" w:sz="4" w:space="0" w:color="auto"/>
            </w:tcBorders>
            <w:shd w:val="clear" w:color="auto" w:fill="auto"/>
          </w:tcPr>
          <w:p w14:paraId="61C1EF39" w14:textId="77777777" w:rsidR="001578FB" w:rsidRPr="00BB4589" w:rsidRDefault="009069B4">
            <w:pPr>
              <w:pStyle w:val="ListParagraph"/>
              <w:numPr>
                <w:ilvl w:val="0"/>
                <w:numId w:val="20"/>
              </w:numPr>
              <w:spacing w:before="120" w:after="120"/>
              <w:ind w:left="358" w:hanging="284"/>
              <w:contextualSpacing w:val="0"/>
              <w:rPr>
                <w:rFonts w:asciiTheme="minorBidi" w:eastAsia="Calibri" w:hAnsiTheme="minorBidi" w:cstheme="minorBidi"/>
                <w:sz w:val="22"/>
                <w:szCs w:val="22"/>
              </w:rPr>
            </w:pPr>
            <w:r w:rsidRPr="00BB4589">
              <w:rPr>
                <w:rFonts w:asciiTheme="minorBidi" w:hAnsiTheme="minorBidi" w:cstheme="minorBidi"/>
                <w:iCs/>
                <w:sz w:val="22"/>
                <w:szCs w:val="22"/>
              </w:rPr>
              <w:t>9, dont 7 en Afrique et 2 PEID</w:t>
            </w:r>
          </w:p>
        </w:tc>
        <w:tc>
          <w:tcPr>
            <w:tcW w:w="673" w:type="pct"/>
            <w:tcBorders>
              <w:bottom w:val="single" w:sz="4" w:space="0" w:color="auto"/>
            </w:tcBorders>
            <w:shd w:val="clear" w:color="auto" w:fill="auto"/>
          </w:tcPr>
          <w:p w14:paraId="68033E70" w14:textId="77777777" w:rsidR="001578FB" w:rsidRPr="00BB4589" w:rsidRDefault="009069B4">
            <w:pPr>
              <w:pStyle w:val="ListParagraph"/>
              <w:numPr>
                <w:ilvl w:val="0"/>
                <w:numId w:val="20"/>
              </w:numPr>
              <w:spacing w:before="120" w:after="120"/>
              <w:ind w:left="358" w:hanging="284"/>
              <w:contextualSpacing w:val="0"/>
              <w:rPr>
                <w:rFonts w:asciiTheme="minorBidi" w:hAnsiTheme="minorBidi" w:cstheme="minorBidi"/>
                <w:iCs/>
                <w:sz w:val="22"/>
                <w:szCs w:val="22"/>
              </w:rPr>
            </w:pPr>
            <w:r w:rsidRPr="00BB4589">
              <w:rPr>
                <w:rFonts w:asciiTheme="minorBidi" w:hAnsiTheme="minorBidi" w:cstheme="minorBidi"/>
                <w:iCs/>
                <w:sz w:val="22"/>
                <w:szCs w:val="22"/>
              </w:rPr>
              <w:t>16, dont 12 en Afrique et 2 PEID</w:t>
            </w:r>
          </w:p>
        </w:tc>
        <w:tc>
          <w:tcPr>
            <w:tcW w:w="2450" w:type="pct"/>
            <w:tcBorders>
              <w:bottom w:val="single" w:sz="4" w:space="0" w:color="auto"/>
            </w:tcBorders>
            <w:shd w:val="clear" w:color="auto" w:fill="auto"/>
          </w:tcPr>
          <w:p w14:paraId="5F7F3BA2" w14:textId="22671088" w:rsidR="001578FB" w:rsidRPr="00BB4589" w:rsidRDefault="009069B4">
            <w:pPr>
              <w:pStyle w:val="GAPara"/>
              <w:numPr>
                <w:ilvl w:val="0"/>
                <w:numId w:val="20"/>
              </w:numPr>
              <w:snapToGrid w:val="0"/>
              <w:jc w:val="both"/>
              <w:rPr>
                <w:rFonts w:asciiTheme="minorBidi" w:hAnsiTheme="minorBidi" w:cstheme="minorBidi"/>
                <w:iCs/>
                <w:snapToGrid/>
                <w:lang w:val="fr-FR" w:eastAsia="fr-FR"/>
              </w:rPr>
            </w:pPr>
            <w:r w:rsidRPr="00BB4589">
              <w:rPr>
                <w:rFonts w:asciiTheme="minorBidi" w:hAnsiTheme="minorBidi" w:cstheme="minorBidi"/>
                <w:iCs/>
                <w:snapToGrid/>
                <w:lang w:val="fr-FR" w:eastAsia="fr-FR"/>
              </w:rPr>
              <w:t>34 demandes d</w:t>
            </w:r>
            <w:r w:rsidR="00BB4589">
              <w:rPr>
                <w:rFonts w:asciiTheme="minorBidi" w:hAnsiTheme="minorBidi" w:cstheme="minorBidi"/>
                <w:iCs/>
                <w:snapToGrid/>
                <w:lang w:val="fr-FR" w:eastAsia="fr-FR"/>
              </w:rPr>
              <w:t>’</w:t>
            </w:r>
            <w:r w:rsidRPr="00BB4589">
              <w:rPr>
                <w:rFonts w:asciiTheme="minorBidi" w:hAnsiTheme="minorBidi" w:cstheme="minorBidi"/>
                <w:iCs/>
                <w:snapToGrid/>
                <w:lang w:val="fr-FR" w:eastAsia="fr-FR"/>
              </w:rPr>
              <w:t>assistance internationale enregistrées et traitées par le Secrétariat</w:t>
            </w:r>
            <w:r w:rsidR="0011139C">
              <w:rPr>
                <w:rStyle w:val="FootnoteReference"/>
                <w:rFonts w:asciiTheme="minorBidi" w:hAnsiTheme="minorBidi" w:cstheme="minorBidi"/>
                <w:iCs/>
                <w:snapToGrid/>
                <w:lang w:eastAsia="fr-FR"/>
              </w:rPr>
              <w:footnoteReference w:id="19"/>
            </w:r>
            <w:r w:rsidRPr="00BB4589">
              <w:rPr>
                <w:rFonts w:asciiTheme="minorBidi" w:hAnsiTheme="minorBidi" w:cstheme="minorBidi"/>
                <w:iCs/>
                <w:snapToGrid/>
                <w:lang w:val="fr-FR" w:eastAsia="fr-FR"/>
              </w:rPr>
              <w:t xml:space="preserve"> , 16 demandes d</w:t>
            </w:r>
            <w:r w:rsidR="00BB4589">
              <w:rPr>
                <w:rFonts w:asciiTheme="minorBidi" w:hAnsiTheme="minorBidi" w:cstheme="minorBidi"/>
                <w:iCs/>
                <w:snapToGrid/>
                <w:lang w:val="fr-FR" w:eastAsia="fr-FR"/>
              </w:rPr>
              <w:t>’</w:t>
            </w:r>
            <w:r w:rsidRPr="00BB4589">
              <w:rPr>
                <w:rFonts w:asciiTheme="minorBidi" w:hAnsiTheme="minorBidi" w:cstheme="minorBidi"/>
                <w:iCs/>
                <w:snapToGrid/>
                <w:lang w:val="fr-FR" w:eastAsia="fr-FR"/>
              </w:rPr>
              <w:t>assistance internationale ont été approuvées par le Comité et son Bureau, dont huit en Afrique (43% du montant total des fonds accordés au cours de la période considérée) et quatre dans les petits États insulaires en développement.</w:t>
            </w:r>
          </w:p>
          <w:p w14:paraId="695A34DE" w14:textId="3580EAB8" w:rsidR="00A268C4" w:rsidRPr="00BB4589" w:rsidRDefault="00A268C4" w:rsidP="00195153">
            <w:pPr>
              <w:pStyle w:val="ListParagraph"/>
              <w:spacing w:before="120" w:after="120"/>
              <w:ind w:left="501"/>
              <w:contextualSpacing w:val="0"/>
              <w:jc w:val="both"/>
              <w:rPr>
                <w:rFonts w:asciiTheme="minorBidi" w:hAnsiTheme="minorBidi" w:cstheme="minorBidi"/>
                <w:iCs/>
                <w:sz w:val="22"/>
                <w:szCs w:val="22"/>
              </w:rPr>
            </w:pPr>
          </w:p>
        </w:tc>
      </w:tr>
      <w:tr w:rsidR="00A268C4" w:rsidRPr="000A60EE" w14:paraId="25AB7275" w14:textId="77777777" w:rsidTr="00EB3A99">
        <w:tc>
          <w:tcPr>
            <w:tcW w:w="1300" w:type="pct"/>
            <w:tcBorders>
              <w:left w:val="nil"/>
              <w:bottom w:val="nil"/>
              <w:right w:val="nil"/>
            </w:tcBorders>
          </w:tcPr>
          <w:p w14:paraId="7100F644" w14:textId="77777777" w:rsidR="00A268C4" w:rsidRPr="00BB4589" w:rsidRDefault="00A268C4" w:rsidP="00EB3A99">
            <w:pPr>
              <w:pStyle w:val="ListParagraph"/>
              <w:spacing w:before="120" w:after="120"/>
              <w:ind w:left="312"/>
              <w:contextualSpacing w:val="0"/>
              <w:rPr>
                <w:rFonts w:asciiTheme="minorBidi" w:hAnsiTheme="minorBidi" w:cstheme="minorBidi"/>
                <w:sz w:val="22"/>
                <w:szCs w:val="22"/>
              </w:rPr>
            </w:pPr>
          </w:p>
        </w:tc>
        <w:tc>
          <w:tcPr>
            <w:tcW w:w="577" w:type="pct"/>
            <w:tcBorders>
              <w:left w:val="nil"/>
              <w:bottom w:val="nil"/>
              <w:right w:val="nil"/>
            </w:tcBorders>
            <w:shd w:val="clear" w:color="auto" w:fill="auto"/>
          </w:tcPr>
          <w:p w14:paraId="4CF48FCE" w14:textId="77777777" w:rsidR="00A268C4" w:rsidRPr="00BB4589" w:rsidRDefault="00A268C4" w:rsidP="00EB3A99">
            <w:pPr>
              <w:pStyle w:val="ListParagraph"/>
              <w:spacing w:before="120" w:after="120"/>
              <w:ind w:left="358"/>
              <w:contextualSpacing w:val="0"/>
              <w:rPr>
                <w:rFonts w:asciiTheme="minorBidi" w:hAnsiTheme="minorBidi" w:cstheme="minorBidi"/>
                <w:iCs/>
                <w:sz w:val="22"/>
                <w:szCs w:val="22"/>
              </w:rPr>
            </w:pPr>
          </w:p>
        </w:tc>
        <w:tc>
          <w:tcPr>
            <w:tcW w:w="673" w:type="pct"/>
            <w:tcBorders>
              <w:left w:val="nil"/>
              <w:bottom w:val="nil"/>
              <w:right w:val="nil"/>
            </w:tcBorders>
            <w:shd w:val="clear" w:color="auto" w:fill="auto"/>
          </w:tcPr>
          <w:p w14:paraId="5D3DAA7A" w14:textId="77777777" w:rsidR="00A268C4" w:rsidRPr="00BB4589" w:rsidRDefault="00A268C4" w:rsidP="00EB3A99">
            <w:pPr>
              <w:pStyle w:val="ListParagraph"/>
              <w:spacing w:before="120" w:after="120"/>
              <w:ind w:left="358"/>
              <w:contextualSpacing w:val="0"/>
              <w:rPr>
                <w:rFonts w:asciiTheme="minorBidi" w:hAnsiTheme="minorBidi" w:cstheme="minorBidi"/>
                <w:iCs/>
                <w:sz w:val="22"/>
                <w:szCs w:val="22"/>
              </w:rPr>
            </w:pPr>
          </w:p>
        </w:tc>
        <w:tc>
          <w:tcPr>
            <w:tcW w:w="2450" w:type="pct"/>
            <w:tcBorders>
              <w:left w:val="nil"/>
              <w:bottom w:val="nil"/>
              <w:right w:val="nil"/>
            </w:tcBorders>
            <w:shd w:val="clear" w:color="auto" w:fill="auto"/>
          </w:tcPr>
          <w:p w14:paraId="21C1DF97" w14:textId="77777777" w:rsidR="00A268C4" w:rsidRPr="00BB4589" w:rsidRDefault="00A268C4" w:rsidP="00EB3A99">
            <w:pPr>
              <w:pStyle w:val="ListParagraph"/>
              <w:spacing w:before="120" w:after="120"/>
              <w:ind w:left="358"/>
              <w:contextualSpacing w:val="0"/>
              <w:rPr>
                <w:rFonts w:asciiTheme="minorBidi" w:hAnsiTheme="minorBidi" w:cstheme="minorBidi"/>
                <w:iCs/>
                <w:sz w:val="22"/>
                <w:szCs w:val="22"/>
              </w:rPr>
            </w:pPr>
          </w:p>
        </w:tc>
      </w:tr>
    </w:tbl>
    <w:tbl>
      <w:tblPr>
        <w:tblStyle w:val="TableGrid2"/>
        <w:tblW w:w="14572" w:type="dxa"/>
        <w:tblLook w:val="04A0" w:firstRow="1" w:lastRow="0" w:firstColumn="1" w:lastColumn="0" w:noHBand="0" w:noVBand="1"/>
      </w:tblPr>
      <w:tblGrid>
        <w:gridCol w:w="3681"/>
        <w:gridCol w:w="10891"/>
      </w:tblGrid>
      <w:tr w:rsidR="00A268C4" w:rsidRPr="000A60EE" w14:paraId="0FB8C1AA" w14:textId="77777777" w:rsidTr="00EB3A99">
        <w:trPr>
          <w:cantSplit/>
        </w:trPr>
        <w:tc>
          <w:tcPr>
            <w:tcW w:w="1263" w:type="pct"/>
            <w:tcBorders>
              <w:top w:val="nil"/>
            </w:tcBorders>
            <w:shd w:val="clear" w:color="auto" w:fill="808080" w:themeFill="background1" w:themeFillShade="80"/>
            <w:vAlign w:val="center"/>
          </w:tcPr>
          <w:p w14:paraId="697383FD" w14:textId="77777777" w:rsidR="001578FB" w:rsidRDefault="009069B4">
            <w:pPr>
              <w:keepNext/>
              <w:keepLines/>
              <w:spacing w:before="120" w:after="120"/>
              <w:rPr>
                <w:rFonts w:asciiTheme="minorBidi" w:hAnsiTheme="minorBidi" w:cstheme="minorBidi"/>
                <w:b/>
                <w:bCs/>
                <w:color w:val="FFFFFF" w:themeColor="background1"/>
                <w:sz w:val="22"/>
                <w:szCs w:val="22"/>
                <w:lang w:val="en-GB"/>
              </w:rPr>
            </w:pPr>
            <w:r w:rsidRPr="006B6390">
              <w:rPr>
                <w:rFonts w:asciiTheme="minorBidi" w:hAnsiTheme="minorBidi" w:cstheme="minorBidi"/>
                <w:b/>
                <w:bCs/>
                <w:color w:val="FFFFFF" w:themeColor="background1"/>
                <w:sz w:val="22"/>
                <w:szCs w:val="22"/>
                <w:lang w:val="en-GB"/>
              </w:rPr>
              <w:t xml:space="preserve">40C/5 </w:t>
            </w:r>
            <w:proofErr w:type="spellStart"/>
            <w:r w:rsidRPr="006B6390">
              <w:rPr>
                <w:rFonts w:asciiTheme="minorBidi" w:hAnsiTheme="minorBidi" w:cstheme="minorBidi"/>
                <w:b/>
                <w:bCs/>
                <w:color w:val="FFFFFF" w:themeColor="background1"/>
                <w:sz w:val="22"/>
                <w:szCs w:val="22"/>
                <w:lang w:val="en-GB"/>
              </w:rPr>
              <w:t>Indicateur</w:t>
            </w:r>
            <w:proofErr w:type="spellEnd"/>
            <w:r w:rsidRPr="006B6390">
              <w:rPr>
                <w:rFonts w:asciiTheme="minorBidi" w:hAnsiTheme="minorBidi" w:cstheme="minorBidi"/>
                <w:b/>
                <w:bCs/>
                <w:color w:val="FFFFFF" w:themeColor="background1"/>
                <w:sz w:val="22"/>
                <w:szCs w:val="22"/>
                <w:lang w:val="en-GB"/>
              </w:rPr>
              <w:t xml:space="preserve"> de performance 5</w:t>
            </w:r>
          </w:p>
        </w:tc>
        <w:tc>
          <w:tcPr>
            <w:tcW w:w="3737" w:type="pct"/>
            <w:tcBorders>
              <w:top w:val="nil"/>
            </w:tcBorders>
            <w:shd w:val="clear" w:color="auto" w:fill="808080" w:themeFill="background1" w:themeFillShade="80"/>
            <w:vAlign w:val="center"/>
          </w:tcPr>
          <w:p w14:paraId="0F9B61F2" w14:textId="66F1FFAB" w:rsidR="001578FB" w:rsidRPr="00BB4589" w:rsidRDefault="009069B4">
            <w:pPr>
              <w:keepNext/>
              <w:keepLines/>
              <w:spacing w:before="120" w:after="120"/>
              <w:rPr>
                <w:rFonts w:asciiTheme="minorBidi" w:hAnsiTheme="minorBidi" w:cstheme="minorBidi"/>
                <w:b/>
                <w:bCs/>
                <w:color w:val="FFFFFF" w:themeColor="background1"/>
                <w:sz w:val="22"/>
                <w:szCs w:val="22"/>
              </w:rPr>
            </w:pPr>
            <w:r w:rsidRPr="00BB4589">
              <w:rPr>
                <w:rFonts w:asciiTheme="minorBidi" w:hAnsiTheme="minorBidi" w:cstheme="minorBidi"/>
                <w:b/>
                <w:bCs/>
                <w:color w:val="FFFFFF" w:themeColor="background1"/>
                <w:sz w:val="22"/>
                <w:szCs w:val="22"/>
              </w:rPr>
              <w:t>Nombre d</w:t>
            </w:r>
            <w:r w:rsidR="00BB4589">
              <w:rPr>
                <w:rFonts w:asciiTheme="minorBidi" w:hAnsiTheme="minorBidi" w:cstheme="minorBidi"/>
                <w:b/>
                <w:bCs/>
                <w:color w:val="FFFFFF" w:themeColor="background1"/>
                <w:sz w:val="22"/>
                <w:szCs w:val="22"/>
              </w:rPr>
              <w:t>’</w:t>
            </w:r>
            <w:r w:rsidRPr="00BB4589">
              <w:rPr>
                <w:rFonts w:asciiTheme="minorBidi" w:hAnsiTheme="minorBidi" w:cstheme="minorBidi"/>
                <w:b/>
                <w:bCs/>
                <w:color w:val="FFFFFF" w:themeColor="background1"/>
                <w:sz w:val="22"/>
                <w:szCs w:val="22"/>
              </w:rPr>
              <w:t>initiatives entreprises par les États membres soutenus qui ont amélioré la connaissance et la compréhension de la sauvegarde du patrimoine culturel immatériel et de la Convention de 2003.</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89"/>
        <w:gridCol w:w="1961"/>
        <w:gridCol w:w="7139"/>
      </w:tblGrid>
      <w:tr w:rsidR="00A268C4" w:rsidRPr="006B6390" w14:paraId="4B665BB2" w14:textId="77777777" w:rsidTr="00EB3A99">
        <w:trPr>
          <w:tblHeader/>
        </w:trPr>
        <w:tc>
          <w:tcPr>
            <w:tcW w:w="1263" w:type="pct"/>
            <w:shd w:val="clear" w:color="auto" w:fill="D9D9D9" w:themeFill="background1" w:themeFillShade="D9"/>
            <w:vAlign w:val="center"/>
          </w:tcPr>
          <w:p w14:paraId="57093D01" w14:textId="77777777" w:rsidR="001578FB" w:rsidRPr="00BB4589" w:rsidRDefault="009069B4">
            <w:pPr>
              <w:keepNext/>
              <w:keepLines/>
              <w:spacing w:before="60" w:after="60"/>
              <w:jc w:val="center"/>
              <w:rPr>
                <w:rFonts w:asciiTheme="minorBidi" w:eastAsia="Calibri" w:hAnsiTheme="minorBidi" w:cstheme="minorBidi"/>
                <w:b/>
                <w:sz w:val="22"/>
                <w:szCs w:val="22"/>
              </w:rPr>
            </w:pPr>
            <w:r w:rsidRPr="00BB4589">
              <w:rPr>
                <w:rFonts w:asciiTheme="minorBidi" w:eastAsia="Calibri" w:hAnsiTheme="minorBidi" w:cstheme="minorBidi"/>
                <w:b/>
                <w:sz w:val="22"/>
                <w:szCs w:val="22"/>
              </w:rPr>
              <w:t>Évalués selon les critères suivants :</w:t>
            </w:r>
          </w:p>
        </w:tc>
        <w:tc>
          <w:tcPr>
            <w:tcW w:w="614" w:type="pct"/>
            <w:shd w:val="clear" w:color="auto" w:fill="D9D9D9" w:themeFill="background1" w:themeFillShade="D9"/>
            <w:vAlign w:val="center"/>
          </w:tcPr>
          <w:p w14:paraId="18764321" w14:textId="0AC5A027" w:rsidR="001578FB" w:rsidRDefault="00FA1163">
            <w:pPr>
              <w:keepNext/>
              <w:keepLines/>
              <w:spacing w:before="60" w:after="60"/>
              <w:jc w:val="center"/>
              <w:rPr>
                <w:rFonts w:asciiTheme="minorBidi" w:eastAsia="Calibri" w:hAnsiTheme="minorBidi" w:cstheme="minorBidi"/>
                <w:b/>
                <w:sz w:val="22"/>
                <w:szCs w:val="22"/>
                <w:lang w:val="en-GB"/>
              </w:rPr>
            </w:pPr>
            <w:r>
              <w:rPr>
                <w:rFonts w:asciiTheme="minorBidi" w:hAnsiTheme="minorBidi" w:cstheme="minorBidi"/>
                <w:b/>
                <w:bCs/>
                <w:sz w:val="22"/>
                <w:szCs w:val="22"/>
              </w:rPr>
              <w:t>Indicateurs de référence</w:t>
            </w:r>
          </w:p>
        </w:tc>
        <w:tc>
          <w:tcPr>
            <w:tcW w:w="673" w:type="pct"/>
            <w:shd w:val="clear" w:color="auto" w:fill="D9D9D9" w:themeFill="background1" w:themeFillShade="D9"/>
            <w:vAlign w:val="center"/>
          </w:tcPr>
          <w:p w14:paraId="0BFA14D2" w14:textId="77777777" w:rsidR="001578FB" w:rsidRDefault="009069B4">
            <w:pPr>
              <w:keepNext/>
              <w:keepLines/>
              <w:spacing w:before="60" w:after="60"/>
              <w:jc w:val="center"/>
              <w:rPr>
                <w:rFonts w:asciiTheme="minorBidi" w:eastAsia="Calibri" w:hAnsiTheme="minorBidi" w:cstheme="minorBidi"/>
                <w:b/>
                <w:sz w:val="22"/>
                <w:szCs w:val="22"/>
                <w:lang w:val="en-GB"/>
              </w:rPr>
            </w:pPr>
            <w:proofErr w:type="spellStart"/>
            <w:r w:rsidRPr="006B6390">
              <w:rPr>
                <w:rFonts w:asciiTheme="minorBidi" w:eastAsia="Calibri" w:hAnsiTheme="minorBidi" w:cstheme="minorBidi"/>
                <w:b/>
                <w:sz w:val="22"/>
                <w:szCs w:val="22"/>
                <w:lang w:val="en-GB"/>
              </w:rPr>
              <w:t>Objectifs</w:t>
            </w:r>
            <w:proofErr w:type="spellEnd"/>
            <w:r w:rsidRPr="006B6390">
              <w:rPr>
                <w:rFonts w:asciiTheme="minorBidi" w:eastAsia="Calibri" w:hAnsiTheme="minorBidi" w:cstheme="minorBidi"/>
                <w:b/>
                <w:sz w:val="22"/>
                <w:szCs w:val="22"/>
                <w:lang w:val="en-GB"/>
              </w:rPr>
              <w:t xml:space="preserve"> 2020-2021</w:t>
            </w:r>
          </w:p>
        </w:tc>
        <w:tc>
          <w:tcPr>
            <w:tcW w:w="2450" w:type="pct"/>
            <w:shd w:val="clear" w:color="auto" w:fill="D9D9D9" w:themeFill="background1" w:themeFillShade="D9"/>
            <w:vAlign w:val="center"/>
          </w:tcPr>
          <w:p w14:paraId="13FD68E0" w14:textId="77777777" w:rsidR="001578FB" w:rsidRPr="00BB4589" w:rsidRDefault="009069B4">
            <w:pPr>
              <w:keepNext/>
              <w:keepLines/>
              <w:autoSpaceDE w:val="0"/>
              <w:autoSpaceDN w:val="0"/>
              <w:adjustRightInd w:val="0"/>
              <w:jc w:val="center"/>
              <w:rPr>
                <w:rFonts w:asciiTheme="minorBidi" w:eastAsia="Calibri" w:hAnsiTheme="minorBidi" w:cstheme="minorBidi"/>
                <w:b/>
                <w:color w:val="000000"/>
                <w:sz w:val="22"/>
                <w:szCs w:val="22"/>
              </w:rPr>
            </w:pPr>
            <w:r w:rsidRPr="00BB4589">
              <w:rPr>
                <w:rFonts w:asciiTheme="minorBidi" w:eastAsia="Calibri" w:hAnsiTheme="minorBidi" w:cstheme="minorBidi"/>
                <w:b/>
                <w:sz w:val="22"/>
                <w:szCs w:val="22"/>
              </w:rPr>
              <w:t>Évaluation des progrès accomplis :</w:t>
            </w:r>
            <w:r w:rsidRPr="00BB4589">
              <w:rPr>
                <w:rFonts w:asciiTheme="minorBidi" w:eastAsia="Calibri" w:hAnsiTheme="minorBidi" w:cstheme="minorBidi"/>
                <w:b/>
                <w:sz w:val="22"/>
                <w:szCs w:val="22"/>
              </w:rPr>
              <w:br/>
            </w:r>
            <w:r w:rsidR="00EF175F" w:rsidRPr="00BB4589">
              <w:rPr>
                <w:rFonts w:asciiTheme="minorBidi" w:eastAsia="Calibri" w:hAnsiTheme="minorBidi" w:cstheme="minorBidi"/>
                <w:b/>
                <w:sz w:val="22"/>
                <w:szCs w:val="22"/>
              </w:rPr>
              <w:t>01/01/2020 au 31/12/2021</w:t>
            </w:r>
          </w:p>
        </w:tc>
      </w:tr>
      <w:tr w:rsidR="00A268C4" w:rsidRPr="000A60EE" w14:paraId="0FA859EC" w14:textId="77777777" w:rsidTr="0005412F">
        <w:trPr>
          <w:trHeight w:val="6397"/>
        </w:trPr>
        <w:tc>
          <w:tcPr>
            <w:tcW w:w="1263" w:type="pct"/>
          </w:tcPr>
          <w:p w14:paraId="7BAD0FC5" w14:textId="6DAEFC31" w:rsidR="001578FB" w:rsidRPr="00BB4589" w:rsidRDefault="009069B4">
            <w:pPr>
              <w:pStyle w:val="ListParagraph"/>
              <w:keepLines/>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Preuve de l</w:t>
            </w:r>
            <w:r w:rsidR="00BB4589">
              <w:rPr>
                <w:rFonts w:asciiTheme="minorBidi" w:hAnsiTheme="minorBidi" w:cstheme="minorBidi"/>
                <w:sz w:val="22"/>
                <w:szCs w:val="22"/>
              </w:rPr>
              <w:t>’</w:t>
            </w:r>
            <w:r w:rsidRPr="00BB4589">
              <w:rPr>
                <w:rFonts w:asciiTheme="minorBidi" w:hAnsiTheme="minorBidi" w:cstheme="minorBidi"/>
                <w:sz w:val="22"/>
                <w:szCs w:val="22"/>
              </w:rPr>
              <w:t>existence de programmes, de projets ou d</w:t>
            </w:r>
            <w:r w:rsidR="00BB4589">
              <w:rPr>
                <w:rFonts w:asciiTheme="minorBidi" w:hAnsiTheme="minorBidi" w:cstheme="minorBidi"/>
                <w:sz w:val="22"/>
                <w:szCs w:val="22"/>
              </w:rPr>
              <w:t>’</w:t>
            </w:r>
            <w:r w:rsidRPr="00BB4589">
              <w:rPr>
                <w:rFonts w:asciiTheme="minorBidi" w:hAnsiTheme="minorBidi" w:cstheme="minorBidi"/>
                <w:sz w:val="22"/>
                <w:szCs w:val="22"/>
              </w:rPr>
              <w:t>initiatives de sauvegarde du patrimoine reflétant les principes et les objectifs de la Convention de 2003 et ayant une efficacité avérée pour contribuer à la viabilité du patrimoine culturel immatériel concerné.</w:t>
            </w:r>
          </w:p>
          <w:p w14:paraId="3942F3D3" w14:textId="77777777" w:rsidR="001578FB" w:rsidRPr="00BB4589" w:rsidRDefault="009069B4">
            <w:pPr>
              <w:pStyle w:val="ListParagraph"/>
              <w:keepNext/>
              <w:keepLines/>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Initiatives de communication et/ou de sensibilisation développées conformément à la stratégie de communication et de sensibilisation de la convention.</w:t>
            </w:r>
          </w:p>
          <w:p w14:paraId="5890B7D9" w14:textId="6D0DD4B7" w:rsidR="001578FB" w:rsidRPr="00BB4589" w:rsidRDefault="009069B4">
            <w:pPr>
              <w:pStyle w:val="ListParagraph"/>
              <w:keepNext/>
              <w:keepLines/>
              <w:numPr>
                <w:ilvl w:val="0"/>
                <w:numId w:val="20"/>
              </w:numPr>
              <w:spacing w:before="120" w:after="120"/>
              <w:ind w:left="312" w:hanging="340"/>
              <w:contextualSpacing w:val="0"/>
              <w:jc w:val="both"/>
              <w:rPr>
                <w:rFonts w:asciiTheme="minorBidi" w:eastAsia="Calibri" w:hAnsiTheme="minorBidi" w:cstheme="minorBidi"/>
                <w:sz w:val="22"/>
                <w:szCs w:val="22"/>
              </w:rPr>
            </w:pPr>
            <w:r w:rsidRPr="00BB4589">
              <w:rPr>
                <w:rFonts w:asciiTheme="minorBidi" w:hAnsiTheme="minorBidi" w:cstheme="minorBidi"/>
                <w:sz w:val="22"/>
                <w:szCs w:val="22"/>
              </w:rPr>
              <w:t>Niveau d</w:t>
            </w:r>
            <w:r w:rsidR="00BB4589">
              <w:rPr>
                <w:rFonts w:asciiTheme="minorBidi" w:hAnsiTheme="minorBidi" w:cstheme="minorBidi"/>
                <w:sz w:val="22"/>
                <w:szCs w:val="22"/>
              </w:rPr>
              <w:t>’</w:t>
            </w:r>
            <w:r w:rsidRPr="00BB4589">
              <w:rPr>
                <w:rFonts w:asciiTheme="minorBidi" w:hAnsiTheme="minorBidi" w:cstheme="minorBidi"/>
                <w:sz w:val="22"/>
                <w:szCs w:val="22"/>
              </w:rPr>
              <w:t>engagement de tous les acteurs (gouvernementaux et non gouvernementaux) concernés par la sauvegarde du patrimoine culturel immatériel dans des initiatives connexes.</w:t>
            </w:r>
          </w:p>
        </w:tc>
        <w:tc>
          <w:tcPr>
            <w:tcW w:w="614" w:type="pct"/>
            <w:shd w:val="clear" w:color="auto" w:fill="auto"/>
          </w:tcPr>
          <w:p w14:paraId="42E9E3A3" w14:textId="77777777" w:rsidR="001578FB" w:rsidRPr="00BB4589" w:rsidRDefault="009069B4">
            <w:pPr>
              <w:pStyle w:val="ListParagraph"/>
              <w:keepNext/>
              <w:keepLines/>
              <w:numPr>
                <w:ilvl w:val="0"/>
                <w:numId w:val="20"/>
              </w:numPr>
              <w:spacing w:before="120" w:after="120"/>
              <w:ind w:left="358" w:hanging="284"/>
              <w:contextualSpacing w:val="0"/>
              <w:rPr>
                <w:rFonts w:asciiTheme="minorBidi" w:eastAsia="Calibri" w:hAnsiTheme="minorBidi" w:cstheme="minorBidi"/>
                <w:sz w:val="22"/>
                <w:szCs w:val="22"/>
              </w:rPr>
            </w:pPr>
            <w:r w:rsidRPr="00BB4589">
              <w:rPr>
                <w:rFonts w:asciiTheme="minorBidi" w:hAnsiTheme="minorBidi" w:cstheme="minorBidi"/>
                <w:iCs/>
                <w:sz w:val="22"/>
                <w:szCs w:val="22"/>
              </w:rPr>
              <w:t>15, dont 5 en Afrique et 1 PEID</w:t>
            </w:r>
          </w:p>
        </w:tc>
        <w:tc>
          <w:tcPr>
            <w:tcW w:w="673" w:type="pct"/>
            <w:shd w:val="clear" w:color="auto" w:fill="auto"/>
          </w:tcPr>
          <w:p w14:paraId="21CEBBF5" w14:textId="77777777" w:rsidR="001578FB" w:rsidRPr="00BB4589" w:rsidRDefault="009069B4">
            <w:pPr>
              <w:pStyle w:val="ListParagraph"/>
              <w:keepNext/>
              <w:keepLines/>
              <w:numPr>
                <w:ilvl w:val="0"/>
                <w:numId w:val="20"/>
              </w:numPr>
              <w:spacing w:before="120" w:after="120"/>
              <w:ind w:left="358" w:hanging="284"/>
              <w:contextualSpacing w:val="0"/>
              <w:rPr>
                <w:rFonts w:asciiTheme="minorBidi" w:hAnsiTheme="minorBidi" w:cstheme="minorBidi"/>
                <w:iCs/>
                <w:sz w:val="22"/>
                <w:szCs w:val="22"/>
              </w:rPr>
            </w:pPr>
            <w:r w:rsidRPr="00BB4589">
              <w:rPr>
                <w:rFonts w:asciiTheme="minorBidi" w:hAnsiTheme="minorBidi" w:cstheme="minorBidi"/>
                <w:iCs/>
                <w:sz w:val="22"/>
                <w:szCs w:val="22"/>
              </w:rPr>
              <w:t>20, dont 5 en Afrique et 5 PEID</w:t>
            </w:r>
          </w:p>
        </w:tc>
        <w:tc>
          <w:tcPr>
            <w:tcW w:w="2450" w:type="pct"/>
          </w:tcPr>
          <w:p w14:paraId="130D7462" w14:textId="77777777"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sidRPr="00BB4589">
              <w:rPr>
                <w:rFonts w:asciiTheme="minorBidi" w:hAnsiTheme="minorBidi" w:cstheme="minorBidi"/>
                <w:iCs/>
                <w:sz w:val="22"/>
                <w:szCs w:val="22"/>
              </w:rPr>
              <w:t>30 initiatives entreprises par les États membres soutenus, dont 8 en Afrique et 8 PEID.</w:t>
            </w:r>
          </w:p>
          <w:p w14:paraId="063686EE" w14:textId="46A6667E"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sidRPr="00BB4589">
              <w:rPr>
                <w:rFonts w:asciiTheme="minorBidi" w:hAnsiTheme="minorBidi" w:cstheme="minorBidi"/>
                <w:iCs/>
                <w:sz w:val="22"/>
                <w:szCs w:val="22"/>
              </w:rPr>
              <w:t>Les initiatives de communication lancées dans le cadre de la réponse de l</w:t>
            </w:r>
            <w:r w:rsidR="00BB4589">
              <w:rPr>
                <w:rFonts w:asciiTheme="minorBidi" w:hAnsiTheme="minorBidi" w:cstheme="minorBidi"/>
                <w:iCs/>
                <w:sz w:val="22"/>
                <w:szCs w:val="22"/>
              </w:rPr>
              <w:t>’</w:t>
            </w:r>
            <w:r w:rsidRPr="00BB4589">
              <w:rPr>
                <w:rFonts w:asciiTheme="minorBidi" w:hAnsiTheme="minorBidi" w:cstheme="minorBidi"/>
                <w:iCs/>
                <w:sz w:val="22"/>
                <w:szCs w:val="22"/>
              </w:rPr>
              <w:t>UNESCO à la pandémie de COVID-19, y compris une plateforme en ligne et une enquête sur " les expériences du patrimoine vivant dans le contexte de la pandémie de COVID-19 ", avec plus de 230 témoignages de praticiens et de communautés accessibles.</w:t>
            </w:r>
          </w:p>
          <w:p w14:paraId="74E31C31" w14:textId="17DFD805"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sidRPr="00BB4589">
              <w:rPr>
                <w:rFonts w:asciiTheme="minorBidi" w:hAnsiTheme="minorBidi" w:cstheme="minorBidi"/>
                <w:iCs/>
                <w:sz w:val="22"/>
                <w:szCs w:val="22"/>
              </w:rPr>
              <w:t>Une exposition thématique - une reproduction d</w:t>
            </w:r>
            <w:r w:rsidR="00BB4589">
              <w:rPr>
                <w:rFonts w:asciiTheme="minorBidi" w:hAnsiTheme="minorBidi" w:cstheme="minorBidi"/>
                <w:iCs/>
                <w:sz w:val="22"/>
                <w:szCs w:val="22"/>
              </w:rPr>
              <w:t>’</w:t>
            </w:r>
            <w:r w:rsidRPr="00BB4589">
              <w:rPr>
                <w:rFonts w:asciiTheme="minorBidi" w:hAnsiTheme="minorBidi" w:cstheme="minorBidi"/>
                <w:iCs/>
                <w:sz w:val="22"/>
                <w:szCs w:val="22"/>
              </w:rPr>
              <w:t>une exposition sonore de langues indigènes - reconfigurée et installée au siège de l</w:t>
            </w:r>
            <w:r w:rsidR="00BB4589">
              <w:rPr>
                <w:rFonts w:asciiTheme="minorBidi" w:hAnsiTheme="minorBidi" w:cstheme="minorBidi"/>
                <w:iCs/>
                <w:sz w:val="22"/>
                <w:szCs w:val="22"/>
              </w:rPr>
              <w:t>’</w:t>
            </w:r>
            <w:r w:rsidRPr="00BB4589">
              <w:rPr>
                <w:rFonts w:asciiTheme="minorBidi" w:hAnsiTheme="minorBidi" w:cstheme="minorBidi"/>
                <w:iCs/>
                <w:sz w:val="22"/>
                <w:szCs w:val="22"/>
              </w:rPr>
              <w:t>UNESCO.</w:t>
            </w:r>
          </w:p>
          <w:p w14:paraId="47BD8BCC" w14:textId="38861325"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sidRPr="00BB4589">
              <w:rPr>
                <w:rFonts w:asciiTheme="minorBidi" w:hAnsiTheme="minorBidi" w:cstheme="minorBidi"/>
                <w:iCs/>
                <w:sz w:val="22"/>
                <w:szCs w:val="22"/>
              </w:rPr>
              <w:t>Plongée dans le patrimoine culturel immatériel" : mise à jour des visualisations existantes (concernant la diversité culturelle, l</w:t>
            </w:r>
            <w:r w:rsidR="00BB4589">
              <w:rPr>
                <w:rFonts w:asciiTheme="minorBidi" w:hAnsiTheme="minorBidi" w:cstheme="minorBidi"/>
                <w:iCs/>
                <w:sz w:val="22"/>
                <w:szCs w:val="22"/>
              </w:rPr>
              <w:t>’</w:t>
            </w:r>
            <w:r w:rsidRPr="00BB4589">
              <w:rPr>
                <w:rFonts w:asciiTheme="minorBidi" w:hAnsiTheme="minorBidi" w:cstheme="minorBidi"/>
                <w:iCs/>
                <w:sz w:val="22"/>
                <w:szCs w:val="22"/>
              </w:rPr>
              <w:t>environnement et les menaces) avec des inscriptions pour 2020 ; publication en décembre 2020 d</w:t>
            </w:r>
            <w:r w:rsidR="00BB4589">
              <w:rPr>
                <w:rFonts w:asciiTheme="minorBidi" w:hAnsiTheme="minorBidi" w:cstheme="minorBidi"/>
                <w:iCs/>
                <w:sz w:val="22"/>
                <w:szCs w:val="22"/>
              </w:rPr>
              <w:t>’</w:t>
            </w:r>
            <w:r w:rsidRPr="00BB4589">
              <w:rPr>
                <w:rFonts w:asciiTheme="minorBidi" w:hAnsiTheme="minorBidi" w:cstheme="minorBidi"/>
                <w:iCs/>
                <w:sz w:val="22"/>
                <w:szCs w:val="22"/>
              </w:rPr>
              <w:t>une nouvelle série de visualisations consacrées aux relations entre le patrimoine vivant et le développement durable (interface présentée le 21 mai 2021 lors de l</w:t>
            </w:r>
            <w:r w:rsidR="00BB4589">
              <w:rPr>
                <w:rFonts w:asciiTheme="minorBidi" w:hAnsiTheme="minorBidi" w:cstheme="minorBidi"/>
                <w:iCs/>
                <w:sz w:val="22"/>
                <w:szCs w:val="22"/>
              </w:rPr>
              <w:t>’</w:t>
            </w:r>
            <w:r w:rsidRPr="00BB4589">
              <w:rPr>
                <w:rFonts w:asciiTheme="minorBidi" w:hAnsiTheme="minorBidi" w:cstheme="minorBidi"/>
                <w:iCs/>
                <w:sz w:val="22"/>
                <w:szCs w:val="22"/>
              </w:rPr>
              <w:t>événement de haut niveau sur la culture et le développement durable organisé à New York par le président de l</w:t>
            </w:r>
            <w:r w:rsidR="00BB4589">
              <w:rPr>
                <w:rFonts w:asciiTheme="minorBidi" w:hAnsiTheme="minorBidi" w:cstheme="minorBidi"/>
                <w:iCs/>
                <w:sz w:val="22"/>
                <w:szCs w:val="22"/>
              </w:rPr>
              <w:t>’</w:t>
            </w:r>
            <w:r w:rsidRPr="00BB4589">
              <w:rPr>
                <w:rFonts w:asciiTheme="minorBidi" w:hAnsiTheme="minorBidi" w:cstheme="minorBidi"/>
                <w:iCs/>
                <w:sz w:val="22"/>
                <w:szCs w:val="22"/>
              </w:rPr>
              <w:t>Assemblée générale des Nations unies).</w:t>
            </w:r>
          </w:p>
          <w:p w14:paraId="4DA8DEA9" w14:textId="77777777" w:rsidR="001578FB" w:rsidRPr="00BB4589" w:rsidRDefault="009069B4">
            <w:pPr>
              <w:pStyle w:val="ListParagraph"/>
              <w:numPr>
                <w:ilvl w:val="0"/>
                <w:numId w:val="20"/>
              </w:numPr>
              <w:spacing w:before="120" w:after="120"/>
              <w:ind w:left="425" w:hanging="425"/>
              <w:contextualSpacing w:val="0"/>
              <w:jc w:val="both"/>
              <w:rPr>
                <w:rFonts w:asciiTheme="minorBidi" w:hAnsiTheme="minorBidi" w:cstheme="minorBidi"/>
                <w:iCs/>
                <w:sz w:val="22"/>
                <w:szCs w:val="22"/>
              </w:rPr>
            </w:pPr>
            <w:r w:rsidRPr="00BB4589">
              <w:rPr>
                <w:rFonts w:asciiTheme="minorBidi" w:hAnsiTheme="minorBidi" w:cstheme="minorBidi"/>
                <w:iCs/>
                <w:sz w:val="22"/>
                <w:szCs w:val="22"/>
              </w:rPr>
              <w:t xml:space="preserve">Publication de contenus plus fréquents </w:t>
            </w:r>
            <w:r w:rsidR="006E2048" w:rsidRPr="00BB4589">
              <w:rPr>
                <w:rFonts w:asciiTheme="minorBidi" w:hAnsiTheme="minorBidi" w:cstheme="minorBidi"/>
                <w:iCs/>
                <w:sz w:val="22"/>
                <w:szCs w:val="22"/>
              </w:rPr>
              <w:t xml:space="preserve">et </w:t>
            </w:r>
            <w:r w:rsidRPr="00BB4589">
              <w:rPr>
                <w:rFonts w:asciiTheme="minorBidi" w:hAnsiTheme="minorBidi" w:cstheme="minorBidi"/>
                <w:iCs/>
                <w:sz w:val="22"/>
                <w:szCs w:val="22"/>
              </w:rPr>
              <w:t>diversifiés sur le portail de la Convention (pages thématiques, actualités des journées internationales).</w:t>
            </w:r>
          </w:p>
          <w:p w14:paraId="6272D328" w14:textId="77777777" w:rsidR="001578FB" w:rsidRPr="00BB4589" w:rsidRDefault="009069B4">
            <w:pPr>
              <w:pStyle w:val="ListParagraph"/>
              <w:numPr>
                <w:ilvl w:val="0"/>
                <w:numId w:val="20"/>
              </w:numPr>
              <w:spacing w:after="120"/>
              <w:ind w:left="425" w:hanging="425"/>
              <w:contextualSpacing w:val="0"/>
              <w:jc w:val="both"/>
              <w:rPr>
                <w:rFonts w:asciiTheme="minorBidi" w:hAnsiTheme="minorBidi" w:cstheme="minorBidi"/>
                <w:iCs/>
                <w:sz w:val="22"/>
                <w:szCs w:val="22"/>
              </w:rPr>
            </w:pPr>
            <w:r w:rsidRPr="00BB4589">
              <w:rPr>
                <w:rFonts w:asciiTheme="minorBidi" w:hAnsiTheme="minorBidi" w:cstheme="minorBidi"/>
                <w:iCs/>
                <w:sz w:val="22"/>
                <w:szCs w:val="22"/>
              </w:rPr>
              <w:t xml:space="preserve">Cartographie </w:t>
            </w:r>
            <w:r w:rsidR="00A268C4" w:rsidRPr="00BB4589">
              <w:rPr>
                <w:rFonts w:asciiTheme="minorBidi" w:hAnsiTheme="minorBidi" w:cstheme="minorBidi"/>
                <w:iCs/>
                <w:sz w:val="22"/>
                <w:szCs w:val="22"/>
              </w:rPr>
              <w:t xml:space="preserve">des domaines de compétences des </w:t>
            </w:r>
            <w:r w:rsidRPr="00BB4589">
              <w:rPr>
                <w:rFonts w:asciiTheme="minorBidi" w:hAnsiTheme="minorBidi" w:cstheme="minorBidi"/>
                <w:iCs/>
                <w:sz w:val="22"/>
                <w:szCs w:val="22"/>
              </w:rPr>
              <w:t xml:space="preserve">ONG </w:t>
            </w:r>
            <w:r w:rsidR="00A268C4" w:rsidRPr="00BB4589">
              <w:rPr>
                <w:rFonts w:asciiTheme="minorBidi" w:hAnsiTheme="minorBidi" w:cstheme="minorBidi"/>
                <w:iCs/>
                <w:sz w:val="22"/>
                <w:szCs w:val="22"/>
              </w:rPr>
              <w:t>accréditées en coopération avec le Forum des ONG du PCI.</w:t>
            </w:r>
          </w:p>
        </w:tc>
      </w:tr>
    </w:tbl>
    <w:p w14:paraId="045568BD" w14:textId="77777777" w:rsidR="008A1ED4" w:rsidRPr="00BB4589" w:rsidRDefault="008A1ED4">
      <w:pPr>
        <w:spacing w:after="120"/>
        <w:jc w:val="both"/>
        <w:rPr>
          <w:rFonts w:ascii="Arial" w:hAnsi="Arial" w:cs="Arial"/>
          <w:snapToGrid w:val="0"/>
          <w:sz w:val="22"/>
          <w:szCs w:val="22"/>
          <w:lang w:eastAsia="en-US"/>
        </w:rPr>
      </w:pPr>
    </w:p>
    <w:sectPr w:rsidR="008A1ED4" w:rsidRPr="00BB4589" w:rsidSect="00A268C4">
      <w:headerReference w:type="first" r:id="rId37"/>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10A0" w14:textId="77777777" w:rsidR="00C04006" w:rsidRDefault="00C04006" w:rsidP="00655736">
      <w:r>
        <w:separator/>
      </w:r>
    </w:p>
  </w:endnote>
  <w:endnote w:type="continuationSeparator" w:id="0">
    <w:p w14:paraId="2B342230" w14:textId="77777777" w:rsidR="00C04006" w:rsidRDefault="00C0400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AD97" w14:textId="77777777" w:rsidR="00C04006" w:rsidRDefault="00C04006" w:rsidP="00655736">
      <w:r>
        <w:separator/>
      </w:r>
    </w:p>
  </w:footnote>
  <w:footnote w:type="continuationSeparator" w:id="0">
    <w:p w14:paraId="6CC1B1F5" w14:textId="77777777" w:rsidR="00C04006" w:rsidRDefault="00C04006" w:rsidP="00655736">
      <w:r>
        <w:continuationSeparator/>
      </w:r>
    </w:p>
  </w:footnote>
  <w:footnote w:id="1">
    <w:p w14:paraId="4B7B5867" w14:textId="453753A5" w:rsidR="001578FB" w:rsidRPr="00540C07" w:rsidRDefault="009069B4">
      <w:pPr>
        <w:pStyle w:val="FootnoteText"/>
        <w:ind w:left="709" w:hanging="709"/>
        <w:jc w:val="both"/>
        <w:rPr>
          <w:rFonts w:asciiTheme="minorBidi" w:hAnsiTheme="minorBidi"/>
          <w:sz w:val="18"/>
          <w:szCs w:val="18"/>
          <w:lang w:val="fr-FR"/>
        </w:rPr>
      </w:pPr>
      <w:r w:rsidRPr="00195153">
        <w:rPr>
          <w:rStyle w:val="FootnoteReference"/>
          <w:rFonts w:asciiTheme="minorBidi" w:hAnsiTheme="minorBidi"/>
        </w:rPr>
        <w:footnoteRef/>
      </w:r>
      <w:r w:rsidRPr="00BB4589">
        <w:rPr>
          <w:rFonts w:asciiTheme="minorBidi" w:hAnsiTheme="minorBidi"/>
          <w:lang w:val="fr-FR"/>
        </w:rPr>
        <w:t xml:space="preserve"> </w:t>
      </w:r>
      <w:r w:rsidRPr="00BB4589">
        <w:rPr>
          <w:lang w:val="fr-FR"/>
        </w:rPr>
        <w:tab/>
      </w:r>
      <w:r w:rsidRPr="00540C07">
        <w:rPr>
          <w:rFonts w:asciiTheme="minorBidi" w:eastAsia="Times New Roman" w:hAnsiTheme="minorBidi"/>
          <w:snapToGrid w:val="0"/>
          <w:sz w:val="18"/>
          <w:szCs w:val="18"/>
          <w:lang w:val="fr-FR"/>
        </w:rPr>
        <w:t xml:space="preserve">L'évaluation </w:t>
      </w:r>
      <w:r w:rsidR="00FF6064" w:rsidRPr="00540C07">
        <w:rPr>
          <w:rFonts w:asciiTheme="minorBidi" w:eastAsia="Times New Roman" w:hAnsiTheme="minorBidi"/>
          <w:snapToGrid w:val="0"/>
          <w:sz w:val="18"/>
          <w:szCs w:val="18"/>
          <w:lang w:val="fr-FR"/>
        </w:rPr>
        <w:t>d’</w:t>
      </w:r>
      <w:r w:rsidRPr="00540C07">
        <w:rPr>
          <w:rFonts w:asciiTheme="minorBidi" w:eastAsia="Times New Roman" w:hAnsiTheme="minorBidi"/>
          <w:snapToGrid w:val="0"/>
          <w:sz w:val="18"/>
          <w:szCs w:val="18"/>
          <w:lang w:val="fr-FR"/>
        </w:rPr>
        <w:t xml:space="preserve">IOS de l'action de l'UNESCO dans le cadre de la Convention de 2003 pour la sauvegarde du patrimoine culturel immatériel fournit une description détaillée de la composition et de la structure du Secrétariat (document </w:t>
      </w:r>
      <w:hyperlink r:id="rId1" w:history="1">
        <w:r w:rsidRPr="00540C07">
          <w:rPr>
            <w:rStyle w:val="Hyperlink"/>
            <w:rFonts w:asciiTheme="minorBidi" w:eastAsia="Times New Roman" w:hAnsiTheme="minorBidi" w:cstheme="minorBidi"/>
            <w:snapToGrid w:val="0"/>
            <w:sz w:val="18"/>
            <w:szCs w:val="18"/>
            <w:lang w:val="fr-FR"/>
          </w:rPr>
          <w:t>LHE/21/16.COM/INF</w:t>
        </w:r>
        <w:r w:rsidRPr="00540C07">
          <w:rPr>
            <w:rStyle w:val="Hyperlink"/>
            <w:rFonts w:asciiTheme="minorBidi" w:hAnsiTheme="minorBidi" w:cstheme="minorBidi"/>
            <w:sz w:val="18"/>
            <w:szCs w:val="18"/>
            <w:lang w:val="fr-FR"/>
          </w:rPr>
          <w:t>.10 Rev.</w:t>
        </w:r>
      </w:hyperlink>
      <w:r w:rsidRPr="00540C07">
        <w:rPr>
          <w:rFonts w:asciiTheme="minorBidi" w:hAnsiTheme="minorBidi"/>
          <w:sz w:val="18"/>
          <w:szCs w:val="18"/>
          <w:lang w:val="fr-FR"/>
        </w:rPr>
        <w:t>, paragraphes 33-34).</w:t>
      </w:r>
    </w:p>
  </w:footnote>
  <w:footnote w:id="2">
    <w:p w14:paraId="55FB575C" w14:textId="516DE94D" w:rsidR="001578FB" w:rsidRPr="00BB4589" w:rsidRDefault="009069B4" w:rsidP="00773EA1">
      <w:pPr>
        <w:pStyle w:val="FootnoteText"/>
        <w:ind w:left="567" w:hanging="567"/>
        <w:jc w:val="both"/>
        <w:rPr>
          <w:lang w:val="fr-FR"/>
        </w:rPr>
      </w:pPr>
      <w:r w:rsidRPr="00195153">
        <w:rPr>
          <w:rStyle w:val="FootnoteReference"/>
          <w:rFonts w:asciiTheme="minorBidi" w:hAnsiTheme="minorBidi"/>
        </w:rPr>
        <w:footnoteRef/>
      </w:r>
      <w:r w:rsidRPr="00BB4589">
        <w:rPr>
          <w:rFonts w:asciiTheme="minorBidi" w:hAnsiTheme="minorBidi"/>
          <w:lang w:val="fr-FR"/>
        </w:rPr>
        <w:t xml:space="preserve"> </w:t>
      </w:r>
      <w:r w:rsidRPr="00BB4589">
        <w:rPr>
          <w:rFonts w:asciiTheme="minorBidi" w:hAnsiTheme="minorBidi"/>
          <w:lang w:val="fr-FR"/>
        </w:rPr>
        <w:tab/>
      </w:r>
      <w:r w:rsidRPr="00773EA1">
        <w:rPr>
          <w:rFonts w:ascii="Arial" w:hAnsi="Arial" w:cs="Arial"/>
          <w:sz w:val="18"/>
          <w:szCs w:val="18"/>
          <w:lang w:val="fr-FR"/>
        </w:rPr>
        <w:t xml:space="preserve">Barbade, Bosnie-Herzégovine, Bolivie, Colombie, Équateur, Gambie, </w:t>
      </w:r>
      <w:r w:rsidR="00FF422F" w:rsidRPr="00773EA1">
        <w:rPr>
          <w:rFonts w:ascii="Arial" w:hAnsi="Arial" w:cs="Arial"/>
          <w:sz w:val="18"/>
          <w:szCs w:val="18"/>
          <w:lang w:val="fr-FR"/>
        </w:rPr>
        <w:t>Saint-Vincent-et-les Grenadines</w:t>
      </w:r>
      <w:r w:rsidR="003A4D73" w:rsidRPr="00773EA1">
        <w:rPr>
          <w:rFonts w:ascii="Arial" w:hAnsi="Arial" w:cs="Arial"/>
          <w:sz w:val="18"/>
          <w:szCs w:val="18"/>
          <w:lang w:val="fr-FR"/>
        </w:rPr>
        <w:t>,</w:t>
      </w:r>
      <w:r w:rsidR="00FF422F" w:rsidRPr="00773EA1" w:rsidDel="00FF422F">
        <w:rPr>
          <w:rFonts w:ascii="Arial" w:hAnsi="Arial" w:cs="Arial"/>
          <w:sz w:val="18"/>
          <w:szCs w:val="18"/>
          <w:lang w:val="fr-FR"/>
        </w:rPr>
        <w:t xml:space="preserve"> </w:t>
      </w:r>
      <w:r w:rsidRPr="00773EA1">
        <w:rPr>
          <w:rFonts w:ascii="Arial" w:hAnsi="Arial" w:cs="Arial"/>
          <w:sz w:val="18"/>
          <w:szCs w:val="18"/>
          <w:lang w:val="fr-FR"/>
        </w:rPr>
        <w:t>et Saint-Martin</w:t>
      </w:r>
    </w:p>
  </w:footnote>
  <w:footnote w:id="3">
    <w:p w14:paraId="26534C80" w14:textId="6DD4639E" w:rsidR="001578FB" w:rsidRPr="00BB4589" w:rsidRDefault="009069B4">
      <w:pPr>
        <w:pStyle w:val="FootnoteText"/>
        <w:ind w:left="567" w:hanging="567"/>
        <w:rPr>
          <w:rFonts w:asciiTheme="minorBidi" w:hAnsiTheme="minorBidi"/>
          <w:lang w:val="fr-FR"/>
        </w:rPr>
      </w:pPr>
      <w:r w:rsidRPr="00195153">
        <w:rPr>
          <w:rStyle w:val="FootnoteReference"/>
          <w:rFonts w:asciiTheme="minorBidi" w:hAnsiTheme="minorBidi"/>
          <w:lang w:val="en-GB"/>
        </w:rPr>
        <w:footnoteRef/>
      </w:r>
      <w:r w:rsidRPr="00BB4589">
        <w:rPr>
          <w:rFonts w:asciiTheme="minorBidi" w:hAnsiTheme="minorBidi"/>
          <w:vertAlign w:val="superscript"/>
          <w:lang w:val="fr-FR"/>
        </w:rPr>
        <w:t>.</w:t>
      </w:r>
      <w:r w:rsidRPr="00BB4589">
        <w:rPr>
          <w:rFonts w:asciiTheme="minorBidi" w:hAnsiTheme="minorBidi"/>
          <w:vertAlign w:val="superscript"/>
          <w:lang w:val="fr-FR"/>
        </w:rPr>
        <w:tab/>
      </w:r>
      <w:r w:rsidRPr="009861AF">
        <w:rPr>
          <w:rFonts w:asciiTheme="minorBidi" w:hAnsiTheme="minorBidi"/>
          <w:sz w:val="18"/>
          <w:szCs w:val="18"/>
          <w:lang w:val="fr-FR"/>
        </w:rPr>
        <w:t xml:space="preserve">Voir la décision </w:t>
      </w:r>
      <w:hyperlink r:id="rId2" w:history="1">
        <w:r w:rsidRPr="009861AF">
          <w:rPr>
            <w:rStyle w:val="Hyperlink"/>
            <w:rFonts w:asciiTheme="minorBidi" w:hAnsiTheme="minorBidi" w:cstheme="minorBidi"/>
            <w:sz w:val="18"/>
            <w:szCs w:val="18"/>
            <w:lang w:val="fr-FR"/>
          </w:rPr>
          <w:t>14.COM 15</w:t>
        </w:r>
      </w:hyperlink>
    </w:p>
  </w:footnote>
  <w:footnote w:id="4">
    <w:p w14:paraId="64AA8970" w14:textId="2B62A4EC" w:rsidR="001578FB" w:rsidRPr="009861AF" w:rsidRDefault="009069B4">
      <w:pPr>
        <w:pStyle w:val="FootnoteText"/>
        <w:ind w:left="567" w:hanging="567"/>
        <w:rPr>
          <w:rFonts w:asciiTheme="minorBidi" w:hAnsiTheme="minorBidi"/>
          <w:lang w:val="fr-FR"/>
        </w:rPr>
      </w:pPr>
      <w:r w:rsidRPr="00527E2A">
        <w:rPr>
          <w:rStyle w:val="FootnoteReference"/>
          <w:rFonts w:asciiTheme="minorBidi" w:hAnsiTheme="minorBidi"/>
        </w:rPr>
        <w:footnoteRef/>
      </w:r>
      <w:r w:rsidRPr="00BB4589">
        <w:rPr>
          <w:rFonts w:asciiTheme="minorBidi" w:hAnsiTheme="minorBidi"/>
          <w:vertAlign w:val="superscript"/>
          <w:lang w:val="fr-FR"/>
        </w:rPr>
        <w:t xml:space="preserve"> </w:t>
      </w:r>
      <w:r w:rsidRPr="00BB4589">
        <w:rPr>
          <w:rFonts w:asciiTheme="minorBidi" w:hAnsiTheme="minorBidi"/>
          <w:lang w:val="fr-FR"/>
        </w:rPr>
        <w:tab/>
      </w:r>
      <w:r w:rsidRPr="00540C07">
        <w:rPr>
          <w:rFonts w:asciiTheme="minorBidi" w:hAnsiTheme="minorBidi"/>
          <w:sz w:val="18"/>
          <w:szCs w:val="18"/>
          <w:lang w:val="fr-FR"/>
        </w:rPr>
        <w:t xml:space="preserve">Voir la décision </w:t>
      </w:r>
      <w:hyperlink r:id="rId3" w:history="1">
        <w:r w:rsidRPr="00540C07">
          <w:rPr>
            <w:rStyle w:val="Hyperlink"/>
            <w:rFonts w:asciiTheme="minorBidi" w:hAnsiTheme="minorBidi" w:cstheme="minorBidi"/>
            <w:sz w:val="18"/>
            <w:szCs w:val="18"/>
            <w:lang w:val="fr-FR"/>
          </w:rPr>
          <w:t>15.COM 8</w:t>
        </w:r>
      </w:hyperlink>
    </w:p>
  </w:footnote>
  <w:footnote w:id="5">
    <w:p w14:paraId="7D677DB4" w14:textId="025DBA32" w:rsidR="001578FB" w:rsidRPr="00540C07" w:rsidRDefault="009069B4">
      <w:pPr>
        <w:pStyle w:val="FootnoteText"/>
        <w:ind w:left="567" w:hanging="567"/>
        <w:rPr>
          <w:rFonts w:asciiTheme="minorBidi" w:hAnsiTheme="minorBidi"/>
          <w:sz w:val="18"/>
          <w:szCs w:val="18"/>
          <w:lang w:val="fr-FR"/>
        </w:rPr>
      </w:pPr>
      <w:r w:rsidRPr="009861AF">
        <w:rPr>
          <w:rStyle w:val="FootnoteReference"/>
          <w:rFonts w:asciiTheme="minorBidi" w:hAnsiTheme="minorBidi"/>
          <w:lang w:val="en-GB"/>
        </w:rPr>
        <w:footnoteRef/>
      </w:r>
      <w:r w:rsidRPr="009861AF">
        <w:rPr>
          <w:rFonts w:asciiTheme="minorBidi" w:hAnsiTheme="minorBidi"/>
          <w:vertAlign w:val="superscript"/>
          <w:lang w:val="fr-FR"/>
        </w:rPr>
        <w:t>.</w:t>
      </w:r>
      <w:r w:rsidRPr="009861AF">
        <w:rPr>
          <w:rFonts w:asciiTheme="minorBidi" w:hAnsiTheme="minorBidi"/>
          <w:lang w:val="fr-FR"/>
        </w:rPr>
        <w:tab/>
      </w:r>
      <w:r w:rsidRPr="00540C07">
        <w:rPr>
          <w:rFonts w:asciiTheme="minorBidi" w:hAnsiTheme="minorBidi"/>
          <w:sz w:val="18"/>
          <w:szCs w:val="18"/>
          <w:lang w:val="fr-FR"/>
        </w:rPr>
        <w:t xml:space="preserve">Voir la </w:t>
      </w:r>
      <w:r w:rsidRPr="00540C07">
        <w:rPr>
          <w:rFonts w:asciiTheme="minorBidi" w:eastAsiaTheme="minorEastAsia" w:hAnsiTheme="minorBidi"/>
          <w:sz w:val="18"/>
          <w:szCs w:val="18"/>
          <w:lang w:val="fr-FR" w:eastAsia="zh-CN"/>
        </w:rPr>
        <w:t xml:space="preserve">décision </w:t>
      </w:r>
      <w:hyperlink r:id="rId4" w:history="1">
        <w:r w:rsidRPr="00540C07">
          <w:rPr>
            <w:rStyle w:val="Hyperlink"/>
            <w:rFonts w:asciiTheme="minorBidi" w:hAnsiTheme="minorBidi" w:cstheme="minorBidi"/>
            <w:sz w:val="18"/>
            <w:szCs w:val="18"/>
            <w:lang w:val="fr-FR" w:eastAsia="zh-CN"/>
          </w:rPr>
          <w:t>15.COM 8</w:t>
        </w:r>
      </w:hyperlink>
    </w:p>
  </w:footnote>
  <w:footnote w:id="6">
    <w:p w14:paraId="064E5170" w14:textId="24E746C1" w:rsidR="001578FB" w:rsidRPr="009861AF" w:rsidRDefault="009069B4">
      <w:pPr>
        <w:pStyle w:val="FootnoteText"/>
        <w:ind w:left="567" w:hanging="567"/>
        <w:rPr>
          <w:rFonts w:asciiTheme="minorBidi" w:hAnsiTheme="minorBidi"/>
          <w:sz w:val="18"/>
          <w:szCs w:val="18"/>
          <w:lang w:val="fr-FR"/>
        </w:rPr>
      </w:pPr>
      <w:r w:rsidRPr="00195153">
        <w:rPr>
          <w:rStyle w:val="FootnoteReference"/>
          <w:rFonts w:asciiTheme="minorBidi" w:hAnsiTheme="minorBidi"/>
          <w:sz w:val="18"/>
          <w:szCs w:val="18"/>
          <w:lang w:val="en-GB"/>
        </w:rPr>
        <w:footnoteRef/>
      </w:r>
      <w:r w:rsidRPr="00BB4589">
        <w:rPr>
          <w:rFonts w:asciiTheme="minorBidi" w:hAnsiTheme="minorBidi"/>
          <w:sz w:val="18"/>
          <w:szCs w:val="18"/>
          <w:vertAlign w:val="superscript"/>
          <w:lang w:val="fr-FR"/>
        </w:rPr>
        <w:t>.</w:t>
      </w:r>
      <w:r w:rsidRPr="00BB4589">
        <w:rPr>
          <w:rFonts w:asciiTheme="minorBidi" w:hAnsiTheme="minorBidi"/>
          <w:sz w:val="18"/>
          <w:szCs w:val="18"/>
          <w:lang w:val="fr-FR"/>
        </w:rPr>
        <w:tab/>
      </w:r>
      <w:r w:rsidRPr="009861AF">
        <w:rPr>
          <w:rFonts w:asciiTheme="minorBidi" w:hAnsiTheme="minorBidi"/>
          <w:sz w:val="18"/>
          <w:szCs w:val="18"/>
          <w:lang w:val="fr-FR"/>
        </w:rPr>
        <w:t xml:space="preserve">Voir la décision </w:t>
      </w:r>
      <w:hyperlink r:id="rId5" w:history="1">
        <w:r w:rsidRPr="009861AF">
          <w:rPr>
            <w:rStyle w:val="Hyperlink"/>
            <w:rFonts w:asciiTheme="minorBidi" w:hAnsiTheme="minorBidi" w:cstheme="minorBidi"/>
            <w:sz w:val="18"/>
            <w:szCs w:val="18"/>
            <w:lang w:val="fr-FR"/>
          </w:rPr>
          <w:t>14.COM 10</w:t>
        </w:r>
      </w:hyperlink>
      <w:r w:rsidRPr="009861AF">
        <w:rPr>
          <w:rFonts w:asciiTheme="minorBidi" w:hAnsiTheme="minorBidi"/>
          <w:sz w:val="18"/>
          <w:szCs w:val="18"/>
          <w:lang w:val="fr-FR"/>
        </w:rPr>
        <w:t xml:space="preserve"> (paragraphe 14).</w:t>
      </w:r>
    </w:p>
  </w:footnote>
  <w:footnote w:id="7">
    <w:p w14:paraId="0596F0A9" w14:textId="2ACFAE79" w:rsidR="001578FB" w:rsidRPr="00BB4589" w:rsidRDefault="009069B4">
      <w:pPr>
        <w:pStyle w:val="FootnoteText"/>
        <w:ind w:left="567" w:hanging="567"/>
        <w:rPr>
          <w:rFonts w:asciiTheme="minorBidi" w:hAnsiTheme="minorBidi"/>
          <w:sz w:val="18"/>
          <w:szCs w:val="18"/>
          <w:lang w:val="fr-FR"/>
        </w:rPr>
      </w:pPr>
      <w:r w:rsidRPr="009861AF">
        <w:rPr>
          <w:rStyle w:val="FootnoteReference"/>
          <w:rFonts w:asciiTheme="minorBidi" w:hAnsiTheme="minorBidi"/>
          <w:sz w:val="18"/>
          <w:szCs w:val="18"/>
          <w:lang w:val="en-GB"/>
        </w:rPr>
        <w:footnoteRef/>
      </w:r>
      <w:r w:rsidRPr="009861AF">
        <w:rPr>
          <w:rFonts w:asciiTheme="minorBidi" w:hAnsiTheme="minorBidi"/>
          <w:sz w:val="18"/>
          <w:szCs w:val="18"/>
          <w:vertAlign w:val="superscript"/>
          <w:lang w:val="fr-FR"/>
        </w:rPr>
        <w:t>.</w:t>
      </w:r>
      <w:r w:rsidR="00CB0DAB" w:rsidRPr="009861AF">
        <w:rPr>
          <w:rFonts w:asciiTheme="minorBidi" w:hAnsiTheme="minorBidi"/>
          <w:sz w:val="18"/>
          <w:szCs w:val="18"/>
          <w:lang w:val="fr-FR"/>
        </w:rPr>
        <w:tab/>
      </w:r>
      <w:r w:rsidRPr="009861AF">
        <w:rPr>
          <w:rFonts w:asciiTheme="minorBidi" w:hAnsiTheme="minorBidi"/>
          <w:sz w:val="18"/>
          <w:szCs w:val="18"/>
          <w:lang w:val="fr-FR"/>
        </w:rPr>
        <w:t xml:space="preserve">Voir document </w:t>
      </w:r>
      <w:hyperlink r:id="rId6" w:history="1">
        <w:r w:rsidRPr="009861AF">
          <w:rPr>
            <w:rStyle w:val="Hyperlink"/>
            <w:rFonts w:asciiTheme="minorBidi" w:hAnsiTheme="minorBidi" w:cstheme="minorBidi"/>
            <w:sz w:val="18"/>
            <w:szCs w:val="18"/>
            <w:lang w:val="fr-FR"/>
          </w:rPr>
          <w:t>C54/21/16.COM/INF.5.III</w:t>
        </w:r>
      </w:hyperlink>
      <w:r w:rsidR="009861AF" w:rsidRPr="009861AF">
        <w:rPr>
          <w:rStyle w:val="Hyperlink"/>
          <w:rFonts w:asciiTheme="minorBidi" w:hAnsiTheme="minorBidi" w:cstheme="minorBidi"/>
          <w:sz w:val="18"/>
          <w:szCs w:val="18"/>
          <w:lang w:val="fr-FR"/>
        </w:rPr>
        <w:t>.</w:t>
      </w:r>
    </w:p>
  </w:footnote>
  <w:footnote w:id="8">
    <w:p w14:paraId="0A9B3500" w14:textId="34F26CA2" w:rsidR="001578FB" w:rsidRPr="00BB4589" w:rsidRDefault="009069B4">
      <w:pPr>
        <w:pStyle w:val="FootnoteText"/>
        <w:ind w:left="567" w:hanging="567"/>
        <w:rPr>
          <w:rFonts w:asciiTheme="minorBidi" w:hAnsiTheme="minorBidi"/>
          <w:sz w:val="18"/>
          <w:szCs w:val="18"/>
          <w:lang w:val="fr-FR"/>
        </w:rPr>
      </w:pPr>
      <w:r w:rsidRPr="00325090">
        <w:rPr>
          <w:rStyle w:val="FootnoteReference"/>
          <w:rFonts w:asciiTheme="minorBidi" w:hAnsiTheme="minorBidi"/>
          <w:sz w:val="18"/>
          <w:szCs w:val="18"/>
        </w:rPr>
        <w:footnoteRef/>
      </w:r>
      <w:r w:rsidRPr="00BB4589">
        <w:rPr>
          <w:rFonts w:asciiTheme="minorBidi" w:hAnsiTheme="minorBidi"/>
          <w:sz w:val="18"/>
          <w:szCs w:val="18"/>
          <w:lang w:val="fr-FR"/>
        </w:rPr>
        <w:t xml:space="preserve"> </w:t>
      </w:r>
      <w:r w:rsidRPr="00BB4589">
        <w:rPr>
          <w:rFonts w:asciiTheme="minorBidi" w:hAnsiTheme="minorBidi"/>
          <w:sz w:val="18"/>
          <w:szCs w:val="18"/>
          <w:lang w:val="fr-FR"/>
        </w:rPr>
        <w:tab/>
      </w:r>
      <w:r w:rsidR="00042A0C">
        <w:rPr>
          <w:rFonts w:asciiTheme="minorBidi" w:hAnsiTheme="minorBidi"/>
          <w:sz w:val="18"/>
          <w:szCs w:val="18"/>
          <w:lang w:val="fr-FR"/>
        </w:rPr>
        <w:t>« </w:t>
      </w:r>
      <w:r w:rsidR="006337EF" w:rsidRPr="00BB4589">
        <w:rPr>
          <w:rFonts w:asciiTheme="minorBidi" w:hAnsiTheme="minorBidi"/>
          <w:sz w:val="18"/>
          <w:szCs w:val="18"/>
          <w:lang w:val="fr-FR"/>
        </w:rPr>
        <w:t xml:space="preserve">Promotion du patrimoine culturel immatériel et développement du tourisme culturel dans les districts de Jodhpur, </w:t>
      </w:r>
      <w:proofErr w:type="spellStart"/>
      <w:r w:rsidR="006337EF" w:rsidRPr="00BB4589">
        <w:rPr>
          <w:rFonts w:asciiTheme="minorBidi" w:hAnsiTheme="minorBidi"/>
          <w:sz w:val="18"/>
          <w:szCs w:val="18"/>
          <w:lang w:val="fr-FR"/>
        </w:rPr>
        <w:t>Barmer</w:t>
      </w:r>
      <w:proofErr w:type="spellEnd"/>
      <w:r w:rsidR="006337EF" w:rsidRPr="00BB4589">
        <w:rPr>
          <w:rFonts w:asciiTheme="minorBidi" w:hAnsiTheme="minorBidi"/>
          <w:sz w:val="18"/>
          <w:szCs w:val="18"/>
          <w:lang w:val="fr-FR"/>
        </w:rPr>
        <w:t xml:space="preserve">, </w:t>
      </w:r>
      <w:proofErr w:type="spellStart"/>
      <w:r w:rsidR="006337EF" w:rsidRPr="00BB4589">
        <w:rPr>
          <w:rFonts w:asciiTheme="minorBidi" w:hAnsiTheme="minorBidi"/>
          <w:sz w:val="18"/>
          <w:szCs w:val="18"/>
          <w:lang w:val="fr-FR"/>
        </w:rPr>
        <w:t>Jaisalmer</w:t>
      </w:r>
      <w:proofErr w:type="spellEnd"/>
      <w:r w:rsidR="006337EF" w:rsidRPr="00BB4589">
        <w:rPr>
          <w:rFonts w:asciiTheme="minorBidi" w:hAnsiTheme="minorBidi"/>
          <w:sz w:val="18"/>
          <w:szCs w:val="18"/>
          <w:lang w:val="fr-FR"/>
        </w:rPr>
        <w:t xml:space="preserve"> et </w:t>
      </w:r>
      <w:proofErr w:type="spellStart"/>
      <w:r w:rsidR="006337EF" w:rsidRPr="00BB4589">
        <w:rPr>
          <w:rFonts w:asciiTheme="minorBidi" w:hAnsiTheme="minorBidi"/>
          <w:sz w:val="18"/>
          <w:szCs w:val="18"/>
          <w:lang w:val="fr-FR"/>
        </w:rPr>
        <w:t>Bikaner</w:t>
      </w:r>
      <w:proofErr w:type="spellEnd"/>
      <w:r w:rsidR="006337EF" w:rsidRPr="00BB4589">
        <w:rPr>
          <w:rFonts w:asciiTheme="minorBidi" w:hAnsiTheme="minorBidi"/>
          <w:sz w:val="18"/>
          <w:szCs w:val="18"/>
          <w:lang w:val="fr-FR"/>
        </w:rPr>
        <w:t xml:space="preserve"> au Rajasthan</w:t>
      </w:r>
      <w:r w:rsidR="00042A0C">
        <w:rPr>
          <w:rFonts w:asciiTheme="minorBidi" w:hAnsiTheme="minorBidi"/>
          <w:sz w:val="18"/>
          <w:szCs w:val="18"/>
          <w:lang w:val="fr-FR"/>
        </w:rPr>
        <w:t> »</w:t>
      </w:r>
      <w:r w:rsidR="006337EF" w:rsidRPr="00BB4589">
        <w:rPr>
          <w:rFonts w:asciiTheme="minorBidi" w:hAnsiTheme="minorBidi"/>
          <w:sz w:val="18"/>
          <w:szCs w:val="18"/>
          <w:lang w:val="fr-FR"/>
        </w:rPr>
        <w:t xml:space="preserve">, mis en œuvre par le </w:t>
      </w:r>
      <w:r w:rsidRPr="00BB4589">
        <w:rPr>
          <w:rFonts w:asciiTheme="minorBidi" w:hAnsiTheme="minorBidi"/>
          <w:sz w:val="18"/>
          <w:szCs w:val="18"/>
          <w:lang w:val="fr-FR"/>
        </w:rPr>
        <w:t xml:space="preserve">bureau de </w:t>
      </w:r>
      <w:r w:rsidR="006337EF" w:rsidRPr="00BB4589">
        <w:rPr>
          <w:rFonts w:asciiTheme="minorBidi" w:hAnsiTheme="minorBidi"/>
          <w:sz w:val="18"/>
          <w:szCs w:val="18"/>
          <w:lang w:val="fr-FR"/>
        </w:rPr>
        <w:t>l</w:t>
      </w:r>
      <w:r w:rsidR="00042A0C">
        <w:rPr>
          <w:rFonts w:asciiTheme="minorBidi" w:hAnsiTheme="minorBidi"/>
          <w:sz w:val="18"/>
          <w:szCs w:val="18"/>
          <w:lang w:val="fr-FR"/>
        </w:rPr>
        <w:t>’</w:t>
      </w:r>
      <w:r w:rsidR="006337EF" w:rsidRPr="00BB4589">
        <w:rPr>
          <w:rFonts w:asciiTheme="minorBidi" w:hAnsiTheme="minorBidi"/>
          <w:sz w:val="18"/>
          <w:szCs w:val="18"/>
          <w:lang w:val="fr-FR"/>
        </w:rPr>
        <w:t xml:space="preserve">UNESCO à New </w:t>
      </w:r>
      <w:r w:rsidRPr="00BB4589">
        <w:rPr>
          <w:rFonts w:asciiTheme="minorBidi" w:hAnsiTheme="minorBidi"/>
          <w:sz w:val="18"/>
          <w:szCs w:val="18"/>
          <w:lang w:val="fr-FR"/>
        </w:rPr>
        <w:t>Delhi</w:t>
      </w:r>
      <w:r w:rsidR="002E3396" w:rsidRPr="00BB4589">
        <w:rPr>
          <w:rFonts w:asciiTheme="minorBidi" w:hAnsiTheme="minorBidi"/>
          <w:sz w:val="18"/>
          <w:szCs w:val="18"/>
          <w:lang w:val="fr-FR"/>
        </w:rPr>
        <w:t>.</w:t>
      </w:r>
    </w:p>
  </w:footnote>
  <w:footnote w:id="9">
    <w:p w14:paraId="7F4CFDEA" w14:textId="5BDEEBD8" w:rsidR="001578FB" w:rsidRPr="00BB4589" w:rsidRDefault="009069B4">
      <w:pPr>
        <w:pStyle w:val="FootnoteText"/>
        <w:ind w:left="567" w:hanging="567"/>
        <w:rPr>
          <w:rFonts w:asciiTheme="minorBidi" w:hAnsiTheme="minorBidi"/>
          <w:sz w:val="18"/>
          <w:szCs w:val="18"/>
          <w:lang w:val="fr-FR"/>
        </w:rPr>
      </w:pPr>
      <w:r w:rsidRPr="00325090">
        <w:rPr>
          <w:rStyle w:val="FootnoteReference"/>
          <w:rFonts w:asciiTheme="minorBidi" w:hAnsiTheme="minorBidi"/>
          <w:sz w:val="18"/>
          <w:szCs w:val="18"/>
        </w:rPr>
        <w:footnoteRef/>
      </w:r>
      <w:r w:rsidRPr="00BB4589">
        <w:rPr>
          <w:rFonts w:asciiTheme="minorBidi" w:hAnsiTheme="minorBidi"/>
          <w:sz w:val="18"/>
          <w:szCs w:val="18"/>
          <w:lang w:val="fr-FR"/>
        </w:rPr>
        <w:t xml:space="preserve"> </w:t>
      </w:r>
      <w:r w:rsidRPr="00BB4589">
        <w:rPr>
          <w:rFonts w:asciiTheme="minorBidi" w:hAnsiTheme="minorBidi"/>
          <w:sz w:val="18"/>
          <w:szCs w:val="18"/>
          <w:lang w:val="fr-FR"/>
        </w:rPr>
        <w:tab/>
      </w:r>
      <w:bookmarkStart w:id="2" w:name="_Hlk106268192"/>
      <w:r w:rsidR="00042A0C">
        <w:rPr>
          <w:rFonts w:asciiTheme="minorBidi" w:hAnsiTheme="minorBidi"/>
          <w:sz w:val="18"/>
          <w:szCs w:val="18"/>
          <w:lang w:val="fr-FR"/>
        </w:rPr>
        <w:t>« </w:t>
      </w:r>
      <w:r w:rsidR="00325090" w:rsidRPr="00BB4589">
        <w:rPr>
          <w:rFonts w:asciiTheme="minorBidi" w:hAnsiTheme="minorBidi"/>
          <w:sz w:val="18"/>
          <w:szCs w:val="18"/>
          <w:lang w:val="fr-FR"/>
        </w:rPr>
        <w:t xml:space="preserve">Inventaire </w:t>
      </w:r>
      <w:r w:rsidR="00042A0C">
        <w:rPr>
          <w:rFonts w:asciiTheme="minorBidi" w:hAnsiTheme="minorBidi"/>
          <w:sz w:val="18"/>
          <w:szCs w:val="18"/>
          <w:lang w:val="fr-FR"/>
        </w:rPr>
        <w:t>par les communautés</w:t>
      </w:r>
      <w:r w:rsidR="00042A0C" w:rsidRPr="00BB4589">
        <w:rPr>
          <w:rFonts w:asciiTheme="minorBidi" w:hAnsiTheme="minorBidi"/>
          <w:sz w:val="18"/>
          <w:szCs w:val="18"/>
          <w:lang w:val="fr-FR"/>
        </w:rPr>
        <w:t xml:space="preserve"> </w:t>
      </w:r>
      <w:r w:rsidR="00325090" w:rsidRPr="00BB4589">
        <w:rPr>
          <w:rFonts w:asciiTheme="minorBidi" w:hAnsiTheme="minorBidi"/>
          <w:sz w:val="18"/>
          <w:szCs w:val="18"/>
          <w:lang w:val="fr-FR"/>
        </w:rPr>
        <w:t>du patrimoine immatériel dans les zones urbaines</w:t>
      </w:r>
      <w:r w:rsidR="00042A0C">
        <w:rPr>
          <w:rFonts w:asciiTheme="minorBidi" w:hAnsiTheme="minorBidi"/>
          <w:sz w:val="18"/>
          <w:szCs w:val="18"/>
          <w:lang w:val="fr-FR"/>
        </w:rPr>
        <w:t> »</w:t>
      </w:r>
      <w:r w:rsidR="00325090" w:rsidRPr="00BB4589">
        <w:rPr>
          <w:rFonts w:asciiTheme="minorBidi" w:hAnsiTheme="minorBidi"/>
          <w:sz w:val="18"/>
          <w:szCs w:val="18"/>
          <w:lang w:val="fr-FR"/>
        </w:rPr>
        <w:t>, mis en œuvre par le bureau de l</w:t>
      </w:r>
      <w:r w:rsidR="00042A0C">
        <w:rPr>
          <w:rFonts w:asciiTheme="minorBidi" w:hAnsiTheme="minorBidi"/>
          <w:sz w:val="18"/>
          <w:szCs w:val="18"/>
          <w:lang w:val="fr-FR"/>
        </w:rPr>
        <w:t>’</w:t>
      </w:r>
      <w:r w:rsidR="00325090" w:rsidRPr="00BB4589">
        <w:rPr>
          <w:rFonts w:asciiTheme="minorBidi" w:hAnsiTheme="minorBidi"/>
          <w:sz w:val="18"/>
          <w:szCs w:val="18"/>
          <w:lang w:val="fr-FR"/>
        </w:rPr>
        <w:t xml:space="preserve">UNESCO à </w:t>
      </w:r>
      <w:r w:rsidR="002E3396" w:rsidRPr="00BB4589">
        <w:rPr>
          <w:rFonts w:asciiTheme="minorBidi" w:hAnsiTheme="minorBidi"/>
          <w:sz w:val="18"/>
          <w:szCs w:val="18"/>
          <w:lang w:val="fr-FR"/>
        </w:rPr>
        <w:t xml:space="preserve">Lima </w:t>
      </w:r>
      <w:r w:rsidR="00325090" w:rsidRPr="00BB4589">
        <w:rPr>
          <w:rFonts w:asciiTheme="minorBidi" w:hAnsiTheme="minorBidi"/>
          <w:sz w:val="18"/>
          <w:szCs w:val="18"/>
          <w:lang w:val="fr-FR"/>
        </w:rPr>
        <w:t>(Ayacucho, Pérou) et par l</w:t>
      </w:r>
      <w:r w:rsidR="00042A0C">
        <w:rPr>
          <w:rFonts w:asciiTheme="minorBidi" w:hAnsiTheme="minorBidi"/>
          <w:sz w:val="18"/>
          <w:szCs w:val="18"/>
          <w:lang w:val="fr-FR"/>
        </w:rPr>
        <w:t>’E</w:t>
      </w:r>
      <w:r w:rsidR="002E3396" w:rsidRPr="00BB4589">
        <w:rPr>
          <w:rFonts w:asciiTheme="minorBidi" w:hAnsiTheme="minorBidi"/>
          <w:sz w:val="18"/>
          <w:szCs w:val="18"/>
          <w:lang w:val="fr-FR"/>
        </w:rPr>
        <w:t xml:space="preserve">ntité </w:t>
      </w:r>
      <w:r w:rsidR="00042A0C">
        <w:rPr>
          <w:rFonts w:asciiTheme="minorBidi" w:hAnsiTheme="minorBidi"/>
          <w:sz w:val="18"/>
          <w:szCs w:val="18"/>
          <w:lang w:val="fr-FR"/>
        </w:rPr>
        <w:t>du p</w:t>
      </w:r>
      <w:r w:rsidR="002E3396" w:rsidRPr="00BB4589">
        <w:rPr>
          <w:rFonts w:asciiTheme="minorBidi" w:hAnsiTheme="minorBidi"/>
          <w:sz w:val="18"/>
          <w:szCs w:val="18"/>
          <w:lang w:val="fr-FR"/>
        </w:rPr>
        <w:t>atrimoine vivant</w:t>
      </w:r>
      <w:r w:rsidR="00042A0C">
        <w:rPr>
          <w:rFonts w:asciiTheme="minorBidi" w:hAnsiTheme="minorBidi"/>
          <w:sz w:val="18"/>
          <w:szCs w:val="18"/>
          <w:lang w:val="fr-FR"/>
        </w:rPr>
        <w:t> </w:t>
      </w:r>
      <w:r w:rsidR="002E3396" w:rsidRPr="00BB4589">
        <w:rPr>
          <w:rFonts w:asciiTheme="minorBidi" w:hAnsiTheme="minorBidi"/>
          <w:sz w:val="18"/>
          <w:szCs w:val="18"/>
          <w:lang w:val="fr-FR"/>
        </w:rPr>
        <w:t xml:space="preserve"> </w:t>
      </w:r>
      <w:r w:rsidR="00325090" w:rsidRPr="00BB4589">
        <w:rPr>
          <w:rFonts w:asciiTheme="minorBidi" w:hAnsiTheme="minorBidi"/>
          <w:sz w:val="18"/>
          <w:szCs w:val="18"/>
          <w:lang w:val="fr-FR"/>
        </w:rPr>
        <w:t>(Tbilissi, Géorgie)</w:t>
      </w:r>
      <w:r w:rsidR="002E3396" w:rsidRPr="00BB4589">
        <w:rPr>
          <w:rFonts w:asciiTheme="minorBidi" w:hAnsiTheme="minorBidi"/>
          <w:sz w:val="18"/>
          <w:szCs w:val="18"/>
          <w:lang w:val="fr-FR"/>
        </w:rPr>
        <w:t>.</w:t>
      </w:r>
      <w:bookmarkEnd w:id="2"/>
    </w:p>
  </w:footnote>
  <w:footnote w:id="10">
    <w:p w14:paraId="47B5EDB2" w14:textId="0998E968" w:rsidR="001578FB" w:rsidRPr="00BB4589" w:rsidRDefault="009069B4">
      <w:pPr>
        <w:pStyle w:val="FootnoteText"/>
        <w:ind w:left="567" w:hanging="567"/>
        <w:rPr>
          <w:rFonts w:asciiTheme="minorBidi" w:hAnsiTheme="minorBidi"/>
          <w:sz w:val="18"/>
          <w:szCs w:val="18"/>
          <w:lang w:val="fr-FR"/>
        </w:rPr>
      </w:pPr>
      <w:r w:rsidRPr="00195153">
        <w:rPr>
          <w:rStyle w:val="FootnoteReference"/>
          <w:rFonts w:asciiTheme="minorBidi" w:hAnsiTheme="minorBidi"/>
          <w:sz w:val="18"/>
          <w:szCs w:val="18"/>
        </w:rPr>
        <w:footnoteRef/>
      </w:r>
      <w:r w:rsidRPr="00BB4589">
        <w:rPr>
          <w:rFonts w:asciiTheme="minorBidi" w:hAnsiTheme="minorBidi"/>
          <w:sz w:val="18"/>
          <w:szCs w:val="18"/>
          <w:lang w:val="fr-FR"/>
        </w:rPr>
        <w:t xml:space="preserve"> </w:t>
      </w:r>
      <w:r w:rsidRPr="00BB4589">
        <w:rPr>
          <w:rFonts w:asciiTheme="minorBidi" w:hAnsiTheme="minorBidi"/>
          <w:sz w:val="18"/>
          <w:szCs w:val="18"/>
          <w:lang w:val="fr-FR"/>
        </w:rPr>
        <w:tab/>
      </w:r>
      <w:bookmarkStart w:id="3" w:name="_Hlk106268115"/>
      <w:r w:rsidR="005C3D1C">
        <w:rPr>
          <w:rFonts w:asciiTheme="minorBidi" w:hAnsiTheme="minorBidi"/>
          <w:sz w:val="18"/>
          <w:szCs w:val="18"/>
          <w:lang w:val="fr-FR"/>
        </w:rPr>
        <w:t>« </w:t>
      </w:r>
      <w:r w:rsidR="00F14506" w:rsidRPr="00BB4589">
        <w:rPr>
          <w:rFonts w:asciiTheme="minorBidi" w:hAnsiTheme="minorBidi"/>
          <w:sz w:val="18"/>
          <w:szCs w:val="18"/>
          <w:lang w:val="fr-FR"/>
        </w:rPr>
        <w:t>Le changement climatique</w:t>
      </w:r>
      <w:r w:rsidR="005C3D1C">
        <w:rPr>
          <w:rFonts w:asciiTheme="minorBidi" w:hAnsiTheme="minorBidi"/>
          <w:sz w:val="18"/>
          <w:szCs w:val="18"/>
          <w:lang w:val="fr-FR"/>
        </w:rPr>
        <w:t>,</w:t>
      </w:r>
      <w:r w:rsidR="00F14506" w:rsidRPr="00BB4589">
        <w:rPr>
          <w:rFonts w:asciiTheme="minorBidi" w:hAnsiTheme="minorBidi"/>
          <w:sz w:val="18"/>
          <w:szCs w:val="18"/>
          <w:lang w:val="fr-FR"/>
        </w:rPr>
        <w:t xml:space="preserve"> la préservation et la valorisation du patrimoine culturel immatériel lié à l'</w:t>
      </w:r>
      <w:r w:rsidR="002E3396" w:rsidRPr="00BB4589">
        <w:rPr>
          <w:rFonts w:asciiTheme="minorBidi" w:hAnsiTheme="minorBidi"/>
          <w:sz w:val="18"/>
          <w:szCs w:val="18"/>
          <w:lang w:val="fr-FR"/>
        </w:rPr>
        <w:t>artisanat</w:t>
      </w:r>
      <w:r w:rsidR="005C3D1C">
        <w:rPr>
          <w:rFonts w:asciiTheme="minorBidi" w:hAnsiTheme="minorBidi"/>
          <w:sz w:val="18"/>
          <w:szCs w:val="18"/>
          <w:lang w:val="fr-FR"/>
        </w:rPr>
        <w:t> »</w:t>
      </w:r>
      <w:r w:rsidR="00F14506" w:rsidRPr="00BB4589">
        <w:rPr>
          <w:rFonts w:asciiTheme="minorBidi" w:hAnsiTheme="minorBidi"/>
          <w:sz w:val="18"/>
          <w:szCs w:val="18"/>
          <w:lang w:val="fr-FR"/>
        </w:rPr>
        <w:t>, mis en œuvre par le bureau de l</w:t>
      </w:r>
      <w:r w:rsidR="005C3D1C">
        <w:rPr>
          <w:rFonts w:asciiTheme="minorBidi" w:hAnsiTheme="minorBidi"/>
          <w:sz w:val="18"/>
          <w:szCs w:val="18"/>
          <w:lang w:val="fr-FR"/>
        </w:rPr>
        <w:t>’</w:t>
      </w:r>
      <w:r w:rsidR="00F14506" w:rsidRPr="00BB4589">
        <w:rPr>
          <w:rFonts w:asciiTheme="minorBidi" w:hAnsiTheme="minorBidi"/>
          <w:sz w:val="18"/>
          <w:szCs w:val="18"/>
          <w:lang w:val="fr-FR"/>
        </w:rPr>
        <w:t>UNESCO à Rabat</w:t>
      </w:r>
      <w:r w:rsidR="002E3396" w:rsidRPr="00BB4589">
        <w:rPr>
          <w:rFonts w:asciiTheme="minorBidi" w:hAnsiTheme="minorBidi"/>
          <w:sz w:val="18"/>
          <w:szCs w:val="18"/>
          <w:lang w:val="fr-FR"/>
        </w:rPr>
        <w:t>.</w:t>
      </w:r>
      <w:bookmarkEnd w:id="3"/>
    </w:p>
  </w:footnote>
  <w:footnote w:id="11">
    <w:p w14:paraId="296CB0E3" w14:textId="4BC26A26" w:rsidR="001578FB" w:rsidRPr="000B1D75" w:rsidRDefault="009069B4">
      <w:pPr>
        <w:pStyle w:val="FootnoteText"/>
        <w:ind w:left="567" w:hanging="567"/>
        <w:rPr>
          <w:rFonts w:asciiTheme="minorBidi" w:hAnsiTheme="minorBidi"/>
          <w:sz w:val="18"/>
          <w:szCs w:val="18"/>
          <w:lang w:val="fr-FR"/>
        </w:rPr>
      </w:pPr>
      <w:r w:rsidRPr="00325090">
        <w:rPr>
          <w:rStyle w:val="FootnoteReference"/>
          <w:rFonts w:asciiTheme="minorBidi" w:hAnsiTheme="minorBidi"/>
          <w:sz w:val="18"/>
          <w:szCs w:val="18"/>
        </w:rPr>
        <w:footnoteRef/>
      </w:r>
      <w:r w:rsidRPr="000B1D75">
        <w:rPr>
          <w:rFonts w:asciiTheme="minorBidi" w:hAnsiTheme="minorBidi"/>
          <w:sz w:val="18"/>
          <w:szCs w:val="18"/>
          <w:lang w:val="fr-FR"/>
        </w:rPr>
        <w:t xml:space="preserve"> </w:t>
      </w:r>
      <w:r w:rsidRPr="000B1D75">
        <w:rPr>
          <w:rFonts w:asciiTheme="minorBidi" w:hAnsiTheme="minorBidi"/>
          <w:sz w:val="18"/>
          <w:szCs w:val="18"/>
          <w:lang w:val="fr-FR"/>
        </w:rPr>
        <w:tab/>
      </w:r>
      <w:r w:rsidR="005C3D1C">
        <w:rPr>
          <w:rFonts w:asciiTheme="minorBidi" w:hAnsiTheme="minorBidi"/>
          <w:sz w:val="18"/>
          <w:szCs w:val="18"/>
          <w:lang w:val="fr-FR"/>
        </w:rPr>
        <w:t>« </w:t>
      </w:r>
      <w:r w:rsidR="005C3D1C" w:rsidRPr="000B1D75">
        <w:rPr>
          <w:rFonts w:asciiTheme="minorBidi" w:hAnsiTheme="minorBidi"/>
          <w:sz w:val="18"/>
          <w:szCs w:val="18"/>
          <w:lang w:val="fr-FR"/>
        </w:rPr>
        <w:t>Dé</w:t>
      </w:r>
      <w:r w:rsidR="005C3D1C">
        <w:rPr>
          <w:rFonts w:asciiTheme="minorBidi" w:hAnsiTheme="minorBidi"/>
          <w:sz w:val="18"/>
          <w:szCs w:val="18"/>
          <w:lang w:val="fr-FR"/>
        </w:rPr>
        <w:t>veloppement de l’artisanat rural et des pôles culturels au Bengale occidental pour soutenir la transmission intergénérationnelle de l’artisanat rural et des arts du spectacle en Inde »</w:t>
      </w:r>
      <w:r w:rsidRPr="000B1D75">
        <w:rPr>
          <w:rFonts w:asciiTheme="minorBidi" w:hAnsiTheme="minorBidi"/>
          <w:sz w:val="18"/>
          <w:szCs w:val="18"/>
          <w:lang w:val="fr-FR"/>
        </w:rPr>
        <w:t xml:space="preserve">, </w:t>
      </w:r>
      <w:r w:rsidR="00F14506" w:rsidRPr="000B1D75">
        <w:rPr>
          <w:rFonts w:asciiTheme="minorBidi" w:hAnsiTheme="minorBidi"/>
          <w:sz w:val="18"/>
          <w:szCs w:val="18"/>
          <w:lang w:val="fr-FR"/>
        </w:rPr>
        <w:t xml:space="preserve">mis en œuvre par le </w:t>
      </w:r>
      <w:r w:rsidRPr="000B1D75">
        <w:rPr>
          <w:rFonts w:asciiTheme="minorBidi" w:hAnsiTheme="minorBidi"/>
          <w:sz w:val="18"/>
          <w:szCs w:val="18"/>
          <w:lang w:val="fr-FR"/>
        </w:rPr>
        <w:t xml:space="preserve">bureau de </w:t>
      </w:r>
      <w:r w:rsidR="00F14506" w:rsidRPr="000B1D75">
        <w:rPr>
          <w:rFonts w:asciiTheme="minorBidi" w:hAnsiTheme="minorBidi"/>
          <w:sz w:val="18"/>
          <w:szCs w:val="18"/>
          <w:lang w:val="fr-FR"/>
        </w:rPr>
        <w:t xml:space="preserve">l'UNESCO à New </w:t>
      </w:r>
      <w:r w:rsidRPr="000B1D75">
        <w:rPr>
          <w:rFonts w:asciiTheme="minorBidi" w:hAnsiTheme="minorBidi"/>
          <w:sz w:val="18"/>
          <w:szCs w:val="18"/>
          <w:lang w:val="fr-FR"/>
        </w:rPr>
        <w:t>Delhi</w:t>
      </w:r>
      <w:r w:rsidR="002E3396" w:rsidRPr="000B1D75">
        <w:rPr>
          <w:rFonts w:asciiTheme="minorBidi" w:hAnsiTheme="minorBidi"/>
          <w:sz w:val="18"/>
          <w:szCs w:val="18"/>
          <w:lang w:val="fr-FR"/>
        </w:rPr>
        <w:t>.</w:t>
      </w:r>
    </w:p>
  </w:footnote>
  <w:footnote w:id="12">
    <w:p w14:paraId="49CACB88" w14:textId="49FF2292" w:rsidR="001578FB" w:rsidRPr="00BB4589" w:rsidRDefault="009069B4">
      <w:pPr>
        <w:pStyle w:val="FootnoteText"/>
        <w:ind w:left="567" w:hanging="567"/>
        <w:rPr>
          <w:lang w:val="fr-FR"/>
        </w:rPr>
      </w:pPr>
      <w:r w:rsidRPr="00195153">
        <w:rPr>
          <w:rStyle w:val="FootnoteReference"/>
          <w:rFonts w:asciiTheme="minorBidi" w:hAnsiTheme="minorBidi"/>
        </w:rPr>
        <w:footnoteRef/>
      </w:r>
      <w:r w:rsidRPr="00BB4589">
        <w:rPr>
          <w:lang w:val="fr-FR"/>
        </w:rPr>
        <w:t xml:space="preserve"> </w:t>
      </w:r>
      <w:r w:rsidRPr="00BB4589">
        <w:rPr>
          <w:lang w:val="fr-FR"/>
        </w:rPr>
        <w:tab/>
      </w:r>
      <w:bookmarkStart w:id="4" w:name="_Hlk106268180"/>
      <w:r w:rsidR="005C3D1C">
        <w:rPr>
          <w:lang w:val="fr-FR"/>
        </w:rPr>
        <w:t>« </w:t>
      </w:r>
      <w:r w:rsidR="00F14506" w:rsidRPr="00BB4589">
        <w:rPr>
          <w:rFonts w:asciiTheme="minorBidi" w:hAnsiTheme="minorBidi"/>
          <w:sz w:val="18"/>
          <w:szCs w:val="18"/>
          <w:lang w:val="fr-FR"/>
        </w:rPr>
        <w:t xml:space="preserve">Sauvegarde et valorisation du patrimoine culturel immatériel et </w:t>
      </w:r>
      <w:r w:rsidR="002E3396" w:rsidRPr="00BB4589">
        <w:rPr>
          <w:rFonts w:asciiTheme="minorBidi" w:hAnsiTheme="minorBidi"/>
          <w:sz w:val="18"/>
          <w:szCs w:val="18"/>
          <w:lang w:val="fr-FR"/>
        </w:rPr>
        <w:t xml:space="preserve">soutien à la </w:t>
      </w:r>
      <w:r w:rsidR="00F14506" w:rsidRPr="00BB4589">
        <w:rPr>
          <w:rFonts w:asciiTheme="minorBidi" w:hAnsiTheme="minorBidi"/>
          <w:sz w:val="18"/>
          <w:szCs w:val="18"/>
          <w:lang w:val="fr-FR"/>
        </w:rPr>
        <w:t xml:space="preserve">créativité des jeunes dans </w:t>
      </w:r>
      <w:r w:rsidR="002E3396" w:rsidRPr="00BB4589">
        <w:rPr>
          <w:rFonts w:asciiTheme="minorBidi" w:hAnsiTheme="minorBidi"/>
          <w:sz w:val="18"/>
          <w:szCs w:val="18"/>
          <w:lang w:val="fr-FR"/>
        </w:rPr>
        <w:t>l</w:t>
      </w:r>
      <w:r w:rsidR="005C3D1C">
        <w:rPr>
          <w:rFonts w:asciiTheme="minorBidi" w:hAnsiTheme="minorBidi"/>
          <w:sz w:val="18"/>
          <w:szCs w:val="18"/>
          <w:lang w:val="fr-FR"/>
        </w:rPr>
        <w:t>’</w:t>
      </w:r>
      <w:r w:rsidR="00F14506" w:rsidRPr="00BB4589">
        <w:rPr>
          <w:rFonts w:asciiTheme="minorBidi" w:hAnsiTheme="minorBidi"/>
          <w:sz w:val="18"/>
          <w:szCs w:val="18"/>
          <w:lang w:val="fr-FR"/>
        </w:rPr>
        <w:t>industrie musicale de la région de l'</w:t>
      </w:r>
      <w:r w:rsidR="002E3396" w:rsidRPr="00BB4589">
        <w:rPr>
          <w:rFonts w:asciiTheme="minorBidi" w:hAnsiTheme="minorBidi"/>
          <w:sz w:val="18"/>
          <w:szCs w:val="18"/>
          <w:lang w:val="fr-FR"/>
        </w:rPr>
        <w:t>Est</w:t>
      </w:r>
      <w:r w:rsidR="005C3D1C">
        <w:rPr>
          <w:rFonts w:asciiTheme="minorBidi" w:hAnsiTheme="minorBidi"/>
          <w:sz w:val="18"/>
          <w:szCs w:val="18"/>
          <w:lang w:val="fr-FR"/>
        </w:rPr>
        <w:t> »</w:t>
      </w:r>
      <w:r w:rsidR="00F14506" w:rsidRPr="00BB4589">
        <w:rPr>
          <w:rFonts w:asciiTheme="minorBidi" w:hAnsiTheme="minorBidi"/>
          <w:sz w:val="18"/>
          <w:szCs w:val="18"/>
          <w:lang w:val="fr-FR"/>
        </w:rPr>
        <w:t>, mis en œuvre par le bureau de l</w:t>
      </w:r>
      <w:r w:rsidR="005C3D1C">
        <w:rPr>
          <w:rFonts w:asciiTheme="minorBidi" w:hAnsiTheme="minorBidi"/>
          <w:sz w:val="18"/>
          <w:szCs w:val="18"/>
          <w:lang w:val="fr-FR"/>
        </w:rPr>
        <w:t>’</w:t>
      </w:r>
      <w:r w:rsidR="00F14506" w:rsidRPr="00BB4589">
        <w:rPr>
          <w:rFonts w:asciiTheme="minorBidi" w:hAnsiTheme="minorBidi"/>
          <w:sz w:val="18"/>
          <w:szCs w:val="18"/>
          <w:lang w:val="fr-FR"/>
        </w:rPr>
        <w:t>UNESCO à Rabat</w:t>
      </w:r>
      <w:r w:rsidR="002E3396" w:rsidRPr="00BB4589">
        <w:rPr>
          <w:rFonts w:asciiTheme="minorBidi" w:hAnsiTheme="minorBidi"/>
          <w:sz w:val="18"/>
          <w:szCs w:val="18"/>
          <w:lang w:val="fr-FR"/>
        </w:rPr>
        <w:t>.</w:t>
      </w:r>
      <w:bookmarkEnd w:id="4"/>
    </w:p>
  </w:footnote>
  <w:footnote w:id="13">
    <w:p w14:paraId="03EEFCCC" w14:textId="303D0297" w:rsidR="001578FB" w:rsidRPr="008B2CFA" w:rsidRDefault="009069B4">
      <w:pPr>
        <w:pStyle w:val="FootnoteText"/>
        <w:spacing w:after="60"/>
        <w:ind w:left="567" w:hanging="567"/>
        <w:contextualSpacing/>
        <w:rPr>
          <w:rFonts w:asciiTheme="minorBidi" w:hAnsiTheme="minorBidi"/>
          <w:sz w:val="18"/>
          <w:szCs w:val="18"/>
          <w:lang w:val="fr-FR"/>
        </w:rPr>
      </w:pPr>
      <w:r w:rsidRPr="008B2CFA">
        <w:rPr>
          <w:rStyle w:val="FootnoteReference"/>
          <w:rFonts w:asciiTheme="minorBidi" w:hAnsiTheme="minorBidi"/>
          <w:sz w:val="18"/>
          <w:szCs w:val="18"/>
          <w:lang w:val="en-GB"/>
        </w:rPr>
        <w:footnoteRef/>
      </w:r>
      <w:r w:rsidRPr="00BB4589">
        <w:rPr>
          <w:rFonts w:asciiTheme="minorBidi" w:hAnsiTheme="minorBidi"/>
          <w:lang w:val="fr-FR"/>
        </w:rPr>
        <w:t xml:space="preserve">. </w:t>
      </w:r>
      <w:r w:rsidRPr="00BB4589">
        <w:rPr>
          <w:rFonts w:asciiTheme="minorBidi" w:hAnsiTheme="minorBidi"/>
          <w:lang w:val="fr-FR"/>
        </w:rPr>
        <w:tab/>
      </w:r>
      <w:r w:rsidRPr="008B2CFA">
        <w:rPr>
          <w:rFonts w:asciiTheme="minorBidi" w:hAnsiTheme="minorBidi"/>
          <w:sz w:val="18"/>
          <w:szCs w:val="18"/>
          <w:lang w:val="fr-FR"/>
        </w:rPr>
        <w:t>Résolution</w:t>
      </w:r>
      <w:r w:rsidR="009861AF" w:rsidRPr="008B2CFA">
        <w:rPr>
          <w:rFonts w:asciiTheme="minorBidi" w:hAnsiTheme="minorBidi"/>
          <w:sz w:val="18"/>
          <w:szCs w:val="18"/>
          <w:lang w:val="fr-FR"/>
        </w:rPr>
        <w:t xml:space="preserve"> </w:t>
      </w:r>
      <w:hyperlink r:id="rId7" w:history="1">
        <w:r w:rsidR="009861AF" w:rsidRPr="008B2CFA">
          <w:rPr>
            <w:rStyle w:val="Hyperlink"/>
            <w:rFonts w:asciiTheme="minorBidi" w:hAnsiTheme="minorBidi" w:cstheme="minorBidi"/>
            <w:sz w:val="18"/>
            <w:szCs w:val="18"/>
            <w:lang w:val="fr-FR"/>
          </w:rPr>
          <w:t>8.GA 9</w:t>
        </w:r>
      </w:hyperlink>
    </w:p>
  </w:footnote>
  <w:footnote w:id="14">
    <w:p w14:paraId="0264D02A" w14:textId="2D582926" w:rsidR="001578FB" w:rsidRPr="008B2CFA" w:rsidRDefault="009069B4">
      <w:pPr>
        <w:pStyle w:val="FootnoteText"/>
        <w:spacing w:after="60"/>
        <w:ind w:left="567" w:hanging="567"/>
        <w:contextualSpacing/>
        <w:rPr>
          <w:rFonts w:asciiTheme="minorBidi" w:hAnsiTheme="minorBidi"/>
          <w:sz w:val="18"/>
          <w:szCs w:val="18"/>
          <w:lang w:val="fr-FR"/>
        </w:rPr>
      </w:pPr>
      <w:r w:rsidRPr="008B2CFA">
        <w:rPr>
          <w:rStyle w:val="FootnoteReference"/>
          <w:rFonts w:asciiTheme="minorBidi" w:hAnsiTheme="minorBidi"/>
          <w:sz w:val="18"/>
          <w:szCs w:val="18"/>
          <w:lang w:val="en-GB"/>
        </w:rPr>
        <w:footnoteRef/>
      </w:r>
      <w:r w:rsidRPr="008B2CFA">
        <w:rPr>
          <w:rFonts w:asciiTheme="minorBidi" w:hAnsiTheme="minorBidi"/>
          <w:sz w:val="18"/>
          <w:szCs w:val="18"/>
          <w:lang w:val="fr-FR"/>
        </w:rPr>
        <w:t xml:space="preserve">. </w:t>
      </w:r>
      <w:r w:rsidRPr="008B2CFA">
        <w:rPr>
          <w:rFonts w:asciiTheme="minorBidi" w:hAnsiTheme="minorBidi"/>
          <w:sz w:val="18"/>
          <w:szCs w:val="18"/>
          <w:lang w:val="fr-FR"/>
        </w:rPr>
        <w:tab/>
        <w:t xml:space="preserve">Résolution </w:t>
      </w:r>
      <w:hyperlink r:id="rId8" w:history="1">
        <w:r w:rsidRPr="008B2CFA">
          <w:rPr>
            <w:rStyle w:val="Hyperlink"/>
            <w:rFonts w:asciiTheme="minorBidi" w:hAnsiTheme="minorBidi" w:cstheme="minorBidi"/>
            <w:sz w:val="18"/>
            <w:szCs w:val="18"/>
            <w:lang w:val="fr-FR"/>
          </w:rPr>
          <w:t>8.GA 10</w:t>
        </w:r>
      </w:hyperlink>
    </w:p>
  </w:footnote>
  <w:footnote w:id="15">
    <w:p w14:paraId="70929B9E" w14:textId="77777777" w:rsidR="001578FB" w:rsidRPr="00BB4589" w:rsidRDefault="009069B4">
      <w:pPr>
        <w:pStyle w:val="FootnoteText"/>
        <w:spacing w:after="60"/>
        <w:ind w:left="567" w:hanging="567"/>
        <w:contextualSpacing/>
        <w:jc w:val="both"/>
        <w:rPr>
          <w:rFonts w:asciiTheme="minorBidi" w:hAnsiTheme="minorBidi"/>
          <w:lang w:val="fr-FR"/>
        </w:rPr>
      </w:pPr>
      <w:r w:rsidRPr="008B2CFA">
        <w:rPr>
          <w:rStyle w:val="FootnoteReference"/>
          <w:rFonts w:asciiTheme="minorBidi" w:hAnsiTheme="minorBidi"/>
          <w:sz w:val="18"/>
          <w:szCs w:val="18"/>
          <w:lang w:val="en-GB"/>
        </w:rPr>
        <w:footnoteRef/>
      </w:r>
      <w:r w:rsidRPr="008B2CFA">
        <w:rPr>
          <w:rFonts w:asciiTheme="minorBidi" w:hAnsiTheme="minorBidi"/>
          <w:sz w:val="18"/>
          <w:szCs w:val="18"/>
          <w:vertAlign w:val="superscript"/>
          <w:lang w:val="fr-FR"/>
        </w:rPr>
        <w:t>.</w:t>
      </w:r>
      <w:r w:rsidRPr="008B2CFA">
        <w:rPr>
          <w:rFonts w:asciiTheme="minorBidi" w:hAnsiTheme="minorBidi"/>
          <w:sz w:val="18"/>
          <w:szCs w:val="18"/>
          <w:lang w:val="fr-FR"/>
        </w:rPr>
        <w:t xml:space="preserve"> </w:t>
      </w:r>
      <w:r w:rsidRPr="008B2CFA">
        <w:rPr>
          <w:rFonts w:asciiTheme="minorBidi" w:hAnsiTheme="minorBidi"/>
          <w:sz w:val="18"/>
          <w:szCs w:val="18"/>
          <w:lang w:val="fr-FR"/>
        </w:rPr>
        <w:tab/>
        <w:t xml:space="preserve">Pendant la période de référence, le Secrétariat a organisé </w:t>
      </w:r>
      <w:r w:rsidR="00E96422" w:rsidRPr="008B2CFA">
        <w:rPr>
          <w:rFonts w:asciiTheme="minorBidi" w:hAnsiTheme="minorBidi"/>
          <w:sz w:val="18"/>
          <w:szCs w:val="18"/>
          <w:lang w:val="fr-FR"/>
        </w:rPr>
        <w:t xml:space="preserve">six </w:t>
      </w:r>
      <w:r w:rsidRPr="008B2CFA">
        <w:rPr>
          <w:rFonts w:asciiTheme="minorBidi" w:hAnsiTheme="minorBidi"/>
          <w:sz w:val="18"/>
          <w:szCs w:val="18"/>
          <w:lang w:val="fr-FR"/>
        </w:rPr>
        <w:t>réunions de l'organe d'évaluation pour évaluer cinquante-deux dossiers de candidature pour le cycle 2020 ainsi que soixante dossiers pour le cycle 2021. Le Secrétariat a également administré la complétude technique de cinquante-neuf dossiers de nomination pour le cycle 2022.</w:t>
      </w:r>
    </w:p>
  </w:footnote>
  <w:footnote w:id="16">
    <w:p w14:paraId="4368FDBA" w14:textId="77777777" w:rsidR="001578FB" w:rsidRPr="008B2CFA" w:rsidRDefault="009069B4">
      <w:pPr>
        <w:pStyle w:val="FootnoteText"/>
        <w:tabs>
          <w:tab w:val="left" w:pos="567"/>
        </w:tabs>
        <w:spacing w:after="60"/>
        <w:contextualSpacing/>
        <w:jc w:val="both"/>
        <w:rPr>
          <w:rFonts w:asciiTheme="minorBidi" w:hAnsiTheme="minorBidi"/>
          <w:sz w:val="18"/>
          <w:szCs w:val="18"/>
          <w:lang w:val="fr-FR"/>
        </w:rPr>
      </w:pPr>
      <w:r w:rsidRPr="008B2CFA">
        <w:rPr>
          <w:rStyle w:val="FootnoteReference"/>
          <w:rFonts w:asciiTheme="minorBidi" w:hAnsiTheme="minorBidi"/>
          <w:sz w:val="18"/>
          <w:szCs w:val="18"/>
          <w:lang w:val="en-GB"/>
        </w:rPr>
        <w:footnoteRef/>
      </w:r>
      <w:r w:rsidRPr="008B2CFA">
        <w:rPr>
          <w:rFonts w:asciiTheme="minorBidi" w:hAnsiTheme="minorBidi"/>
          <w:sz w:val="18"/>
          <w:szCs w:val="18"/>
          <w:vertAlign w:val="superscript"/>
          <w:lang w:val="fr-FR"/>
        </w:rPr>
        <w:t>.</w:t>
      </w:r>
      <w:r w:rsidRPr="00BB4589">
        <w:rPr>
          <w:rFonts w:asciiTheme="minorBidi" w:hAnsiTheme="minorBidi"/>
          <w:lang w:val="fr-FR"/>
        </w:rPr>
        <w:tab/>
      </w:r>
      <w:r w:rsidRPr="008B2CFA">
        <w:rPr>
          <w:rFonts w:asciiTheme="minorBidi" w:hAnsiTheme="minorBidi"/>
          <w:b/>
          <w:sz w:val="18"/>
          <w:szCs w:val="18"/>
          <w:lang w:val="fr-FR"/>
        </w:rPr>
        <w:t>Réunions en 2020 :</w:t>
      </w:r>
    </w:p>
    <w:p w14:paraId="2DDAA6C2" w14:textId="77777777" w:rsidR="001578FB" w:rsidRPr="008B2CFA" w:rsidRDefault="009069B4">
      <w:pPr>
        <w:pStyle w:val="FootnoteText"/>
        <w:spacing w:after="60"/>
        <w:ind w:left="567" w:firstLine="153"/>
        <w:contextualSpacing/>
        <w:jc w:val="both"/>
        <w:rPr>
          <w:rFonts w:asciiTheme="minorBidi" w:hAnsiTheme="minorBidi"/>
          <w:sz w:val="18"/>
          <w:szCs w:val="18"/>
          <w:lang w:val="fr-FR"/>
        </w:rPr>
      </w:pPr>
      <w:r w:rsidRPr="008B2CFA">
        <w:rPr>
          <w:rFonts w:asciiTheme="minorBidi" w:hAnsiTheme="minorBidi"/>
          <w:sz w:val="18"/>
          <w:szCs w:val="18"/>
          <w:lang w:val="fr-FR"/>
        </w:rPr>
        <w:t>4 réunions du Bureau de 15.COM ;</w:t>
      </w:r>
    </w:p>
    <w:p w14:paraId="383C2051" w14:textId="6A8BF28C" w:rsidR="001578FB" w:rsidRPr="008B2CFA" w:rsidRDefault="008B2CFA">
      <w:pPr>
        <w:pStyle w:val="FootnoteText"/>
        <w:spacing w:after="60"/>
        <w:ind w:left="567" w:firstLine="153"/>
        <w:contextualSpacing/>
        <w:jc w:val="both"/>
        <w:rPr>
          <w:rFonts w:asciiTheme="minorBidi" w:hAnsiTheme="minorBidi"/>
          <w:sz w:val="18"/>
          <w:szCs w:val="18"/>
          <w:lang w:val="fr-FR"/>
        </w:rPr>
      </w:pPr>
      <w:r>
        <w:rPr>
          <w:rFonts w:asciiTheme="minorBidi" w:hAnsiTheme="minorBidi"/>
          <w:sz w:val="18"/>
          <w:szCs w:val="18"/>
          <w:lang w:val="fr-FR"/>
        </w:rPr>
        <w:t>Huitième</w:t>
      </w:r>
      <w:r w:rsidR="009069B4" w:rsidRPr="008B2CFA">
        <w:rPr>
          <w:rFonts w:asciiTheme="minorBidi" w:hAnsiTheme="minorBidi"/>
          <w:sz w:val="18"/>
          <w:szCs w:val="18"/>
          <w:lang w:val="fr-FR"/>
        </w:rPr>
        <w:t xml:space="preserve"> session de l'Assemblée générale des États parties à la Convention, siège de l'UNESCO, 8-10 septembre 2020 ;</w:t>
      </w:r>
    </w:p>
    <w:p w14:paraId="75B093F9" w14:textId="77777777" w:rsidR="001578FB" w:rsidRPr="008B2CFA" w:rsidRDefault="009069B4">
      <w:pPr>
        <w:pStyle w:val="FootnoteText"/>
        <w:spacing w:after="60"/>
        <w:ind w:left="567" w:firstLine="153"/>
        <w:contextualSpacing/>
        <w:jc w:val="both"/>
        <w:rPr>
          <w:rFonts w:asciiTheme="minorBidi" w:hAnsiTheme="minorBidi"/>
          <w:sz w:val="18"/>
          <w:szCs w:val="18"/>
          <w:lang w:val="fr-FR"/>
        </w:rPr>
      </w:pPr>
      <w:r w:rsidRPr="008B2CFA">
        <w:rPr>
          <w:rFonts w:asciiTheme="minorBidi" w:hAnsiTheme="minorBidi"/>
          <w:sz w:val="18"/>
          <w:szCs w:val="18"/>
          <w:lang w:val="fr-FR"/>
        </w:rPr>
        <w:t>3 réunions de l'organe d'évaluation pour le cycle 2020 ; et</w:t>
      </w:r>
    </w:p>
    <w:p w14:paraId="12299B6A" w14:textId="27F1D1E1" w:rsidR="001578FB" w:rsidRPr="008B2CFA" w:rsidRDefault="008B2CFA">
      <w:pPr>
        <w:pStyle w:val="FootnoteText"/>
        <w:spacing w:after="60"/>
        <w:ind w:left="567" w:firstLine="153"/>
        <w:contextualSpacing/>
        <w:jc w:val="both"/>
        <w:rPr>
          <w:rFonts w:asciiTheme="minorBidi" w:hAnsiTheme="minorBidi"/>
          <w:sz w:val="18"/>
          <w:szCs w:val="18"/>
          <w:lang w:val="fr-FR"/>
        </w:rPr>
      </w:pPr>
      <w:r>
        <w:rPr>
          <w:rFonts w:asciiTheme="minorBidi" w:hAnsiTheme="minorBidi"/>
          <w:sz w:val="18"/>
          <w:szCs w:val="18"/>
          <w:lang w:val="fr-FR"/>
        </w:rPr>
        <w:t>Quinzième</w:t>
      </w:r>
      <w:r w:rsidR="009069B4" w:rsidRPr="008B2CFA">
        <w:rPr>
          <w:rFonts w:asciiTheme="minorBidi" w:hAnsiTheme="minorBidi"/>
          <w:sz w:val="18"/>
          <w:szCs w:val="18"/>
          <w:lang w:val="fr-FR"/>
        </w:rPr>
        <w:t xml:space="preserve"> session du Comité intergouvernemental, en ligne, du 14 au 19 décembre 2020.</w:t>
      </w:r>
    </w:p>
    <w:p w14:paraId="613BF0F8" w14:textId="77777777" w:rsidR="001578FB" w:rsidRPr="008B2CFA" w:rsidRDefault="009069B4">
      <w:pPr>
        <w:pStyle w:val="FootnoteText"/>
        <w:keepNext/>
        <w:spacing w:after="60"/>
        <w:ind w:left="567"/>
        <w:contextualSpacing/>
        <w:jc w:val="both"/>
        <w:rPr>
          <w:rFonts w:asciiTheme="minorBidi" w:hAnsiTheme="minorBidi"/>
          <w:b/>
          <w:sz w:val="18"/>
          <w:szCs w:val="18"/>
          <w:lang w:val="fr-FR"/>
        </w:rPr>
      </w:pPr>
      <w:r w:rsidRPr="008B2CFA">
        <w:rPr>
          <w:rFonts w:asciiTheme="minorBidi" w:hAnsiTheme="minorBidi"/>
          <w:b/>
          <w:sz w:val="18"/>
          <w:szCs w:val="18"/>
          <w:lang w:val="fr-FR"/>
        </w:rPr>
        <w:t>Réunions en 2021 :</w:t>
      </w:r>
    </w:p>
    <w:p w14:paraId="53985487" w14:textId="77777777" w:rsidR="001578FB" w:rsidRPr="008B2CFA" w:rsidRDefault="009069B4">
      <w:pPr>
        <w:pStyle w:val="FootnoteText"/>
        <w:spacing w:after="60"/>
        <w:ind w:left="567" w:firstLine="153"/>
        <w:contextualSpacing/>
        <w:jc w:val="both"/>
        <w:rPr>
          <w:rFonts w:asciiTheme="minorBidi" w:hAnsiTheme="minorBidi"/>
          <w:sz w:val="18"/>
          <w:szCs w:val="18"/>
          <w:lang w:val="fr-FR"/>
        </w:rPr>
      </w:pPr>
      <w:r w:rsidRPr="008B2CFA">
        <w:rPr>
          <w:rFonts w:asciiTheme="minorBidi" w:hAnsiTheme="minorBidi"/>
          <w:sz w:val="18"/>
          <w:szCs w:val="18"/>
          <w:lang w:val="fr-FR"/>
        </w:rPr>
        <w:t xml:space="preserve">4 </w:t>
      </w:r>
      <w:r w:rsidR="00A268C4" w:rsidRPr="008B2CFA">
        <w:rPr>
          <w:rFonts w:asciiTheme="minorBidi" w:hAnsiTheme="minorBidi"/>
          <w:sz w:val="18"/>
          <w:szCs w:val="18"/>
          <w:lang w:val="fr-FR"/>
        </w:rPr>
        <w:t>réunions du Bureau de 16.COM ;</w:t>
      </w:r>
    </w:p>
    <w:p w14:paraId="15EF913E" w14:textId="77777777" w:rsidR="001578FB" w:rsidRPr="008B2CFA" w:rsidRDefault="009069B4">
      <w:pPr>
        <w:pStyle w:val="FootnoteText"/>
        <w:spacing w:after="60"/>
        <w:ind w:left="567" w:firstLine="153"/>
        <w:contextualSpacing/>
        <w:jc w:val="both"/>
        <w:rPr>
          <w:rFonts w:asciiTheme="minorBidi" w:hAnsiTheme="minorBidi"/>
          <w:sz w:val="18"/>
          <w:szCs w:val="18"/>
          <w:lang w:val="fr-FR"/>
        </w:rPr>
      </w:pPr>
      <w:r w:rsidRPr="008B2CFA">
        <w:rPr>
          <w:rFonts w:asciiTheme="minorBidi" w:hAnsiTheme="minorBidi"/>
          <w:sz w:val="18"/>
          <w:szCs w:val="18"/>
          <w:lang w:val="fr-FR"/>
        </w:rPr>
        <w:t xml:space="preserve">3 </w:t>
      </w:r>
      <w:r w:rsidR="00A268C4" w:rsidRPr="008B2CFA">
        <w:rPr>
          <w:rFonts w:asciiTheme="minorBidi" w:hAnsiTheme="minorBidi"/>
          <w:sz w:val="18"/>
          <w:szCs w:val="18"/>
          <w:lang w:val="fr-FR"/>
        </w:rPr>
        <w:t>réunions de l'organe d'évaluation pour le cycle 2021 ;</w:t>
      </w:r>
    </w:p>
    <w:p w14:paraId="22A3B4F7" w14:textId="77777777" w:rsidR="001578FB" w:rsidRPr="008B2CFA" w:rsidRDefault="009069B4">
      <w:pPr>
        <w:pStyle w:val="FootnoteText"/>
        <w:spacing w:after="60"/>
        <w:ind w:left="567" w:firstLine="153"/>
        <w:contextualSpacing/>
        <w:jc w:val="both"/>
        <w:rPr>
          <w:rFonts w:asciiTheme="minorBidi" w:hAnsiTheme="minorBidi"/>
          <w:sz w:val="18"/>
          <w:szCs w:val="18"/>
          <w:lang w:val="fr-FR"/>
        </w:rPr>
      </w:pPr>
      <w:r w:rsidRPr="008B2CFA">
        <w:rPr>
          <w:rFonts w:asciiTheme="minorBidi" w:hAnsiTheme="minorBidi"/>
          <w:sz w:val="18"/>
          <w:szCs w:val="18"/>
          <w:lang w:val="fr-FR"/>
        </w:rPr>
        <w:t>Réunion d'experts (catégorie VI) dans le cadre de la réflexion globale sur les mécanismes d'inscription de la Convention de 2003, Online, 7</w:t>
      </w:r>
      <w:r w:rsidR="00FB5FDB" w:rsidRPr="008B2CFA">
        <w:rPr>
          <w:rFonts w:asciiTheme="minorBidi" w:hAnsiTheme="minorBidi"/>
          <w:sz w:val="18"/>
          <w:szCs w:val="18"/>
          <w:lang w:val="fr-FR"/>
        </w:rPr>
        <w:t xml:space="preserve">, 26 et </w:t>
      </w:r>
      <w:r w:rsidRPr="008B2CFA">
        <w:rPr>
          <w:rFonts w:asciiTheme="minorBidi" w:hAnsiTheme="minorBidi"/>
          <w:sz w:val="18"/>
          <w:szCs w:val="18"/>
          <w:lang w:val="fr-FR"/>
        </w:rPr>
        <w:t xml:space="preserve">27 mai 2021 </w:t>
      </w:r>
      <w:r w:rsidR="00913B63" w:rsidRPr="008B2CFA">
        <w:rPr>
          <w:rFonts w:asciiTheme="minorBidi" w:hAnsiTheme="minorBidi"/>
          <w:sz w:val="18"/>
          <w:szCs w:val="18"/>
          <w:lang w:val="fr-FR"/>
        </w:rPr>
        <w:t>;</w:t>
      </w:r>
    </w:p>
    <w:p w14:paraId="7D623F78" w14:textId="77777777" w:rsidR="001578FB" w:rsidRPr="008B2CFA" w:rsidRDefault="009069B4">
      <w:pPr>
        <w:pStyle w:val="FootnoteText"/>
        <w:spacing w:after="60"/>
        <w:ind w:left="709" w:firstLine="11"/>
        <w:contextualSpacing/>
        <w:jc w:val="both"/>
        <w:rPr>
          <w:rFonts w:asciiTheme="minorBidi" w:hAnsiTheme="minorBidi"/>
          <w:sz w:val="18"/>
          <w:szCs w:val="18"/>
          <w:lang w:val="fr-FR"/>
        </w:rPr>
      </w:pPr>
      <w:r w:rsidRPr="008B2CFA">
        <w:rPr>
          <w:rFonts w:asciiTheme="minorBidi" w:hAnsiTheme="minorBidi"/>
          <w:sz w:val="18"/>
          <w:szCs w:val="18"/>
          <w:lang w:val="fr-FR"/>
        </w:rPr>
        <w:t>Réunion du groupe de travail intergouvernemental à composition non limitée dans le cadre de la réflexion globale sur les mécanismes d'inscription de la Convention de 2003</w:t>
      </w:r>
      <w:r w:rsidR="00535393" w:rsidRPr="008B2CFA">
        <w:rPr>
          <w:rFonts w:asciiTheme="minorBidi" w:hAnsiTheme="minorBidi"/>
          <w:sz w:val="18"/>
          <w:szCs w:val="18"/>
          <w:lang w:val="fr-FR"/>
        </w:rPr>
        <w:t xml:space="preserve">, </w:t>
      </w:r>
      <w:r w:rsidRPr="008B2CFA">
        <w:rPr>
          <w:rFonts w:asciiTheme="minorBidi" w:hAnsiTheme="minorBidi"/>
          <w:sz w:val="18"/>
          <w:szCs w:val="18"/>
          <w:lang w:val="fr-FR"/>
        </w:rPr>
        <w:t>partie I (en ligne), 8-9 juillet 2021, et partie II (en ligne), 9-10 septembre 2021 ;</w:t>
      </w:r>
    </w:p>
    <w:p w14:paraId="3D29D355" w14:textId="7AF05A0C" w:rsidR="001578FB" w:rsidRPr="008B2CFA" w:rsidRDefault="008B2CFA">
      <w:pPr>
        <w:pStyle w:val="FootnoteText"/>
        <w:spacing w:after="60"/>
        <w:ind w:left="567" w:firstLine="153"/>
        <w:contextualSpacing/>
        <w:jc w:val="both"/>
        <w:rPr>
          <w:rFonts w:asciiTheme="minorBidi" w:hAnsiTheme="minorBidi"/>
          <w:sz w:val="18"/>
          <w:szCs w:val="18"/>
          <w:lang w:val="fr-FR"/>
        </w:rPr>
      </w:pPr>
      <w:r>
        <w:rPr>
          <w:rFonts w:asciiTheme="minorBidi" w:hAnsiTheme="minorBidi"/>
          <w:sz w:val="18"/>
          <w:szCs w:val="18"/>
          <w:lang w:val="fr-FR"/>
        </w:rPr>
        <w:t>Seizième</w:t>
      </w:r>
      <w:r w:rsidR="009069B4" w:rsidRPr="008B2CFA">
        <w:rPr>
          <w:rFonts w:asciiTheme="minorBidi" w:hAnsiTheme="minorBidi"/>
          <w:sz w:val="18"/>
          <w:szCs w:val="18"/>
          <w:lang w:val="fr-FR"/>
        </w:rPr>
        <w:t xml:space="preserve"> session du Comité intergouvernemental, en ligne, 13-18 décembre 2021.</w:t>
      </w:r>
    </w:p>
    <w:p w14:paraId="26C4E771" w14:textId="77777777" w:rsidR="00913B63" w:rsidRPr="00BB4589" w:rsidRDefault="00913B63" w:rsidP="00A268C4">
      <w:pPr>
        <w:pStyle w:val="FootnoteText"/>
        <w:spacing w:after="60"/>
        <w:ind w:left="567" w:firstLine="153"/>
        <w:contextualSpacing/>
        <w:jc w:val="both"/>
        <w:rPr>
          <w:rFonts w:asciiTheme="minorBidi" w:hAnsiTheme="minorBidi"/>
          <w:lang w:val="fr-FR"/>
        </w:rPr>
      </w:pPr>
    </w:p>
  </w:footnote>
  <w:footnote w:id="17">
    <w:p w14:paraId="089D3DB9" w14:textId="77777777" w:rsidR="001578FB" w:rsidRPr="008B2CFA" w:rsidRDefault="009069B4">
      <w:pPr>
        <w:pStyle w:val="FootnoteText"/>
        <w:tabs>
          <w:tab w:val="left" w:pos="567"/>
        </w:tabs>
        <w:spacing w:after="60"/>
        <w:ind w:left="567" w:hanging="567"/>
        <w:contextualSpacing/>
        <w:jc w:val="both"/>
        <w:rPr>
          <w:rFonts w:asciiTheme="minorBidi" w:hAnsiTheme="minorBidi"/>
          <w:sz w:val="18"/>
          <w:szCs w:val="18"/>
          <w:highlight w:val="yellow"/>
          <w:lang w:val="fr-FR"/>
        </w:rPr>
      </w:pPr>
      <w:r w:rsidRPr="008B2CFA">
        <w:rPr>
          <w:rFonts w:asciiTheme="minorBidi" w:eastAsia="Times New Roman" w:hAnsiTheme="minorBidi"/>
          <w:vertAlign w:val="superscript"/>
          <w:lang w:eastAsia="fr-FR"/>
        </w:rPr>
        <w:footnoteRef/>
      </w:r>
      <w:r w:rsidRPr="008B2CFA">
        <w:rPr>
          <w:rFonts w:asciiTheme="minorBidi" w:eastAsia="Times New Roman" w:hAnsiTheme="minorBidi"/>
          <w:vertAlign w:val="superscript"/>
          <w:lang w:val="fr-FR" w:eastAsia="fr-FR"/>
        </w:rPr>
        <w:t>.</w:t>
      </w:r>
      <w:r w:rsidRPr="00BB4589">
        <w:rPr>
          <w:rFonts w:asciiTheme="minorBidi" w:hAnsiTheme="minorBidi"/>
          <w:lang w:val="fr-FR"/>
        </w:rPr>
        <w:tab/>
      </w:r>
      <w:bookmarkStart w:id="5" w:name="_Hlk106219719"/>
      <w:r w:rsidRPr="008B2CFA">
        <w:rPr>
          <w:rFonts w:asciiTheme="minorBidi" w:hAnsiTheme="minorBidi"/>
          <w:sz w:val="18"/>
          <w:szCs w:val="18"/>
          <w:lang w:val="fr-FR"/>
        </w:rPr>
        <w:t xml:space="preserve">Formation de points focaux </w:t>
      </w:r>
      <w:r w:rsidR="002708FF" w:rsidRPr="008B2CFA">
        <w:rPr>
          <w:rFonts w:asciiTheme="minorBidi" w:hAnsiTheme="minorBidi"/>
          <w:sz w:val="18"/>
          <w:szCs w:val="18"/>
          <w:lang w:val="fr-FR"/>
        </w:rPr>
        <w:t xml:space="preserve">nationaux </w:t>
      </w:r>
      <w:r w:rsidRPr="008B2CFA">
        <w:rPr>
          <w:rFonts w:asciiTheme="minorBidi" w:hAnsiTheme="minorBidi"/>
          <w:sz w:val="18"/>
          <w:szCs w:val="18"/>
          <w:lang w:val="fr-FR"/>
        </w:rPr>
        <w:t xml:space="preserve">pour le processus réformé de présentation de rapports périodiques en Amérique latine et dans les Caraïbes - En ligne (19 mai-23 juin 2020), Formation de formateurs sur le </w:t>
      </w:r>
      <w:r w:rsidR="002708FF" w:rsidRPr="008B2CFA">
        <w:rPr>
          <w:rFonts w:asciiTheme="minorBidi" w:hAnsiTheme="minorBidi"/>
          <w:sz w:val="18"/>
          <w:szCs w:val="18"/>
          <w:lang w:val="fr-FR"/>
        </w:rPr>
        <w:t xml:space="preserve">patrimoine culturel immatériel </w:t>
      </w:r>
      <w:r w:rsidRPr="008B2CFA">
        <w:rPr>
          <w:rFonts w:asciiTheme="minorBidi" w:hAnsiTheme="minorBidi"/>
          <w:sz w:val="18"/>
          <w:szCs w:val="18"/>
          <w:lang w:val="fr-FR"/>
        </w:rPr>
        <w:t xml:space="preserve">pour l'Asie centrale - En ligne (24-28 août 2020), Formation de </w:t>
      </w:r>
      <w:r w:rsidR="00105D6E" w:rsidRPr="008B2CFA">
        <w:rPr>
          <w:rFonts w:asciiTheme="minorBidi" w:hAnsiTheme="minorBidi"/>
          <w:sz w:val="18"/>
          <w:szCs w:val="18"/>
          <w:lang w:val="fr-FR"/>
        </w:rPr>
        <w:t xml:space="preserve">formateurs pour la conduite du </w:t>
      </w:r>
      <w:r w:rsidRPr="008B2CFA">
        <w:rPr>
          <w:rFonts w:asciiTheme="minorBidi" w:hAnsiTheme="minorBidi"/>
          <w:sz w:val="18"/>
          <w:szCs w:val="18"/>
          <w:lang w:val="fr-FR"/>
        </w:rPr>
        <w:t>processus réformé de présentation de rapports périodiques dans la région Europe - En ligne (</w:t>
      </w:r>
      <w:r w:rsidR="00C00105" w:rsidRPr="008B2CFA">
        <w:rPr>
          <w:rFonts w:asciiTheme="minorBidi" w:hAnsiTheme="minorBidi"/>
          <w:sz w:val="18"/>
          <w:szCs w:val="18"/>
          <w:lang w:val="fr-FR"/>
        </w:rPr>
        <w:t>25 janvier-24 février 2021</w:t>
      </w:r>
      <w:r w:rsidRPr="008B2CFA">
        <w:rPr>
          <w:rFonts w:asciiTheme="minorBidi" w:hAnsiTheme="minorBidi"/>
          <w:sz w:val="18"/>
          <w:szCs w:val="18"/>
          <w:lang w:val="fr-FR"/>
        </w:rPr>
        <w:t>)</w:t>
      </w:r>
      <w:r w:rsidR="00295F24" w:rsidRPr="008B2CFA">
        <w:rPr>
          <w:rFonts w:asciiTheme="minorBidi" w:hAnsiTheme="minorBidi"/>
          <w:sz w:val="18"/>
          <w:szCs w:val="18"/>
          <w:lang w:val="fr-FR"/>
        </w:rPr>
        <w:t xml:space="preserve">, </w:t>
      </w:r>
      <w:r w:rsidR="00105D6E" w:rsidRPr="008B2CFA">
        <w:rPr>
          <w:rFonts w:asciiTheme="minorBidi" w:hAnsiTheme="minorBidi"/>
          <w:sz w:val="18"/>
          <w:szCs w:val="18"/>
          <w:lang w:val="fr-FR"/>
        </w:rPr>
        <w:t xml:space="preserve">Formation de formateurs pour le Pacifique (octobre 2021) - En ligne, </w:t>
      </w:r>
      <w:r w:rsidR="00295F24" w:rsidRPr="008B2CFA">
        <w:rPr>
          <w:rFonts w:asciiTheme="minorBidi" w:hAnsiTheme="minorBidi"/>
          <w:sz w:val="18"/>
          <w:szCs w:val="18"/>
          <w:lang w:val="fr-FR"/>
        </w:rPr>
        <w:t>Formation de formateurs sur la présentation de rapports périodiques pour le chapitre des États arabes du réseau de facilitateurs - En ligne (25-27 octobre 2021).</w:t>
      </w:r>
    </w:p>
    <w:bookmarkEnd w:id="5"/>
  </w:footnote>
  <w:footnote w:id="18">
    <w:p w14:paraId="13558D85" w14:textId="77777777" w:rsidR="001578FB" w:rsidRPr="008B2CFA" w:rsidRDefault="009069B4">
      <w:pPr>
        <w:tabs>
          <w:tab w:val="left" w:pos="540"/>
        </w:tabs>
        <w:spacing w:after="60"/>
        <w:ind w:left="567" w:hanging="567"/>
        <w:contextualSpacing/>
        <w:jc w:val="both"/>
        <w:rPr>
          <w:rFonts w:asciiTheme="minorBidi" w:hAnsiTheme="minorBidi" w:cstheme="minorBidi"/>
          <w:sz w:val="18"/>
          <w:szCs w:val="18"/>
        </w:rPr>
      </w:pPr>
      <w:r w:rsidRPr="008B2CFA">
        <w:rPr>
          <w:rFonts w:asciiTheme="minorBidi" w:hAnsiTheme="minorBidi" w:cstheme="minorBidi"/>
          <w:sz w:val="18"/>
          <w:szCs w:val="18"/>
          <w:vertAlign w:val="superscript"/>
          <w:lang w:val="en-GB"/>
        </w:rPr>
        <w:footnoteRef/>
      </w:r>
      <w:r w:rsidRPr="008B2CFA">
        <w:rPr>
          <w:rFonts w:asciiTheme="minorBidi" w:hAnsiTheme="minorBidi" w:cstheme="minorBidi"/>
          <w:sz w:val="18"/>
          <w:szCs w:val="18"/>
          <w:vertAlign w:val="superscript"/>
        </w:rPr>
        <w:t>.</w:t>
      </w:r>
      <w:r w:rsidRPr="008B2CFA">
        <w:rPr>
          <w:rFonts w:asciiTheme="minorBidi" w:hAnsiTheme="minorBidi" w:cstheme="minorBidi"/>
          <w:sz w:val="18"/>
          <w:szCs w:val="18"/>
        </w:rPr>
        <w:tab/>
      </w:r>
      <w:bookmarkStart w:id="6" w:name="_Hlk106220221"/>
      <w:r w:rsidRPr="008B2CFA">
        <w:rPr>
          <w:rFonts w:asciiTheme="minorBidi" w:hAnsiTheme="minorBidi" w:cstheme="minorBidi"/>
          <w:sz w:val="18"/>
          <w:szCs w:val="18"/>
        </w:rPr>
        <w:t xml:space="preserve">Centre régional pour la sauvegarde du patrimoine culturel immatériel en Amérique latine (CRESPIAL), Centre international de formation pour le patrimoine culturel immatériel dans la </w:t>
      </w:r>
      <w:r w:rsidRPr="008B2CFA">
        <w:rPr>
          <w:rFonts w:asciiTheme="minorBidi" w:hAnsiTheme="minorBidi" w:cstheme="minorBidi"/>
          <w:sz w:val="18"/>
          <w:szCs w:val="18"/>
        </w:rPr>
        <w:noBreakHyphen/>
        <w:t xml:space="preserve">région Asie-Pacifique </w:t>
      </w:r>
      <w:r w:rsidRPr="008B2CFA">
        <w:rPr>
          <w:rFonts w:asciiTheme="minorBidi" w:hAnsiTheme="minorBidi" w:cstheme="minorBidi"/>
          <w:sz w:val="18"/>
          <w:szCs w:val="18"/>
        </w:rPr>
        <w:noBreakHyphen/>
        <w:t xml:space="preserve">(CRIHAP) </w:t>
      </w:r>
      <w:r w:rsidR="00C00105" w:rsidRPr="008B2CFA">
        <w:rPr>
          <w:rFonts w:asciiTheme="minorBidi" w:hAnsiTheme="minorBidi" w:cstheme="minorBidi"/>
          <w:sz w:val="18"/>
          <w:szCs w:val="18"/>
        </w:rPr>
        <w:t>et Centre régional pour la sauvegarde du patrimoine culturel immatériel en Europe du Sud-Est.</w:t>
      </w:r>
      <w:bookmarkEnd w:id="6"/>
    </w:p>
  </w:footnote>
  <w:footnote w:id="19">
    <w:p w14:paraId="5422DA57" w14:textId="77777777" w:rsidR="001578FB" w:rsidRPr="008D77DF" w:rsidRDefault="009069B4">
      <w:pPr>
        <w:pStyle w:val="FootnoteText"/>
        <w:rPr>
          <w:sz w:val="18"/>
          <w:szCs w:val="18"/>
        </w:rPr>
      </w:pPr>
      <w:r>
        <w:rPr>
          <w:rStyle w:val="FootnoteReference"/>
        </w:rPr>
        <w:footnoteRef/>
      </w:r>
      <w:r w:rsidR="0001763F">
        <w:t xml:space="preserve"> </w:t>
      </w:r>
      <w:r w:rsidR="0001763F" w:rsidRPr="008D77DF">
        <w:rPr>
          <w:sz w:val="18"/>
          <w:szCs w:val="18"/>
        </w:rPr>
        <w:t xml:space="preserve">Sur 34 </w:t>
      </w:r>
      <w:proofErr w:type="spellStart"/>
      <w:r w:rsidR="0001763F" w:rsidRPr="008D77DF">
        <w:rPr>
          <w:sz w:val="18"/>
          <w:szCs w:val="18"/>
        </w:rPr>
        <w:t>demandes</w:t>
      </w:r>
      <w:proofErr w:type="spellEnd"/>
      <w:r w:rsidR="0001763F" w:rsidRPr="008D77DF">
        <w:rPr>
          <w:sz w:val="18"/>
          <w:szCs w:val="18"/>
        </w:rPr>
        <w:t xml:space="preserve"> </w:t>
      </w:r>
      <w:proofErr w:type="spellStart"/>
      <w:r w:rsidR="0001763F" w:rsidRPr="008D77DF">
        <w:rPr>
          <w:sz w:val="18"/>
          <w:szCs w:val="18"/>
        </w:rPr>
        <w:t>d'assistance</w:t>
      </w:r>
      <w:proofErr w:type="spellEnd"/>
      <w:r w:rsidR="0001763F" w:rsidRPr="008D77DF">
        <w:rPr>
          <w:sz w:val="18"/>
          <w:szCs w:val="18"/>
        </w:rPr>
        <w:t xml:space="preserve"> </w:t>
      </w:r>
      <w:proofErr w:type="spellStart"/>
      <w:r w:rsidR="0001763F" w:rsidRPr="008D77DF">
        <w:rPr>
          <w:sz w:val="18"/>
          <w:szCs w:val="18"/>
        </w:rPr>
        <w:t>internationale</w:t>
      </w:r>
      <w:proofErr w:type="spellEnd"/>
      <w:r w:rsidR="0001763F" w:rsidRPr="008D77DF">
        <w:rPr>
          <w:sz w:val="18"/>
          <w:szCs w:val="18"/>
        </w:rPr>
        <w:t xml:space="preserve"> :</w:t>
      </w:r>
    </w:p>
    <w:p w14:paraId="581F3031" w14:textId="77777777" w:rsidR="001578FB" w:rsidRPr="008D77DF" w:rsidRDefault="0011139C">
      <w:pPr>
        <w:pStyle w:val="FootnoteText"/>
        <w:numPr>
          <w:ilvl w:val="0"/>
          <w:numId w:val="70"/>
        </w:numPr>
        <w:rPr>
          <w:sz w:val="18"/>
          <w:szCs w:val="18"/>
          <w:lang w:val="fr-FR"/>
        </w:rPr>
      </w:pPr>
      <w:r w:rsidRPr="008D77DF">
        <w:rPr>
          <w:sz w:val="18"/>
          <w:szCs w:val="18"/>
          <w:lang w:val="fr-FR"/>
        </w:rPr>
        <w:t>six ont été renvoyés : trois par la commission et trois par le Bureau</w:t>
      </w:r>
    </w:p>
    <w:p w14:paraId="3F88B9EB" w14:textId="77777777" w:rsidR="001578FB" w:rsidRPr="008D77DF" w:rsidRDefault="0011139C">
      <w:pPr>
        <w:pStyle w:val="FootnoteText"/>
        <w:numPr>
          <w:ilvl w:val="0"/>
          <w:numId w:val="70"/>
        </w:numPr>
        <w:rPr>
          <w:sz w:val="18"/>
          <w:szCs w:val="18"/>
          <w:lang w:val="fr-FR"/>
        </w:rPr>
      </w:pPr>
      <w:r w:rsidRPr="008D77DF">
        <w:rPr>
          <w:sz w:val="18"/>
          <w:szCs w:val="18"/>
          <w:lang w:val="fr-FR"/>
        </w:rPr>
        <w:t>deux ont bénéficié d'une assistance technique mais n'ont pas encore été examinées par le Bureau</w:t>
      </w:r>
    </w:p>
    <w:p w14:paraId="7B513858" w14:textId="77777777" w:rsidR="001578FB" w:rsidRPr="008D77DF" w:rsidRDefault="0011139C">
      <w:pPr>
        <w:pStyle w:val="FootnoteText"/>
        <w:numPr>
          <w:ilvl w:val="0"/>
          <w:numId w:val="70"/>
        </w:numPr>
        <w:rPr>
          <w:sz w:val="18"/>
          <w:szCs w:val="18"/>
          <w:lang w:val="fr-FR"/>
        </w:rPr>
      </w:pPr>
      <w:r w:rsidRPr="008D77DF">
        <w:rPr>
          <w:sz w:val="18"/>
          <w:szCs w:val="18"/>
          <w:lang w:val="fr-FR"/>
        </w:rPr>
        <w:t>six ont été considérés comme hors champ et n'ont pas été traités, en accord avec les États soumissionnaires</w:t>
      </w:r>
    </w:p>
    <w:p w14:paraId="75EB8F36" w14:textId="77777777" w:rsidR="001578FB" w:rsidRPr="008D77DF" w:rsidRDefault="0011139C">
      <w:pPr>
        <w:pStyle w:val="FootnoteText"/>
        <w:numPr>
          <w:ilvl w:val="0"/>
          <w:numId w:val="70"/>
        </w:numPr>
        <w:rPr>
          <w:sz w:val="18"/>
          <w:szCs w:val="18"/>
          <w:lang w:val="fr-FR"/>
        </w:rPr>
      </w:pPr>
      <w:r w:rsidRPr="008D77DF">
        <w:rPr>
          <w:sz w:val="18"/>
          <w:szCs w:val="18"/>
          <w:lang w:val="fr-FR"/>
        </w:rPr>
        <w:t>quatre ont été retirées par les États soumissionnaires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9BB4" w14:textId="77777777" w:rsidR="001578FB" w:rsidRDefault="009069B4">
    <w:pPr>
      <w:pStyle w:val="Header"/>
      <w:rPr>
        <w:rFonts w:ascii="Arial" w:hAnsi="Arial" w:cs="Arial"/>
        <w:lang w:val="en-GB"/>
      </w:rPr>
    </w:pPr>
    <w:r>
      <w:rPr>
        <w:rFonts w:ascii="Arial" w:hAnsi="Arial" w:cs="Arial"/>
        <w:sz w:val="20"/>
        <w:szCs w:val="20"/>
        <w:lang w:val="en-GB"/>
      </w:rPr>
      <w:t>LHE/22/9</w:t>
    </w:r>
    <w:r w:rsidR="00BB04AF" w:rsidRPr="00C23A97">
      <w:rPr>
        <w:rFonts w:ascii="Arial" w:hAnsi="Arial" w:cs="Arial"/>
        <w:sz w:val="20"/>
        <w:szCs w:val="20"/>
        <w:lang w:val="en-GB"/>
      </w:rPr>
      <w:t xml:space="preserve">.GA/6 </w:t>
    </w:r>
    <w:r w:rsidR="00D95C4C" w:rsidRPr="00C23A97">
      <w:rPr>
        <w:rFonts w:ascii="Arial" w:hAnsi="Arial" w:cs="Arial"/>
        <w:sz w:val="20"/>
        <w:szCs w:val="20"/>
        <w:lang w:val="en-GB"/>
      </w:rPr>
      <w:t xml:space="preserve">-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F010E0">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F3CB" w14:textId="77777777" w:rsidR="001578FB" w:rsidRDefault="009069B4">
    <w:pPr>
      <w:pStyle w:val="Header"/>
      <w:jc w:val="right"/>
      <w:rPr>
        <w:rFonts w:ascii="Arial" w:hAnsi="Arial" w:cs="Arial"/>
        <w:lang w:val="en-GB"/>
      </w:rPr>
    </w:pPr>
    <w:r>
      <w:rPr>
        <w:rFonts w:ascii="Arial" w:hAnsi="Arial" w:cs="Arial"/>
        <w:sz w:val="20"/>
        <w:szCs w:val="20"/>
      </w:rPr>
      <w:t xml:space="preserve">LHE/22/9.GA/6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8A1ED4">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ACD2" w14:textId="51A7C9F1" w:rsidR="001578FB" w:rsidRDefault="00013D17">
    <w:pPr>
      <w:pStyle w:val="Header"/>
    </w:pPr>
    <w:r>
      <w:rPr>
        <w:noProof/>
      </w:rPr>
      <w:drawing>
        <wp:anchor distT="0" distB="0" distL="114300" distR="114300" simplePos="0" relativeHeight="251659264" behindDoc="1" locked="0" layoutInCell="1" allowOverlap="1" wp14:anchorId="2CFB089B" wp14:editId="3585E4EC">
          <wp:simplePos x="0" y="0"/>
          <wp:positionH relativeFrom="column">
            <wp:posOffset>0</wp:posOffset>
          </wp:positionH>
          <wp:positionV relativeFrom="paragraph">
            <wp:posOffset>0</wp:posOffset>
          </wp:positionV>
          <wp:extent cx="1657350" cy="1391920"/>
          <wp:effectExtent l="0" t="0" r="0" b="0"/>
          <wp:wrapNone/>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4FF7C895" w14:textId="77777777" w:rsidR="001578FB" w:rsidRPr="00013D17" w:rsidRDefault="009069B4">
    <w:pPr>
      <w:pStyle w:val="Header"/>
      <w:spacing w:after="520"/>
      <w:jc w:val="right"/>
      <w:rPr>
        <w:rFonts w:ascii="Arial" w:hAnsi="Arial" w:cs="Arial"/>
        <w:b/>
        <w:sz w:val="44"/>
        <w:szCs w:val="44"/>
      </w:rPr>
    </w:pPr>
    <w:r w:rsidRPr="00013D17">
      <w:rPr>
        <w:rFonts w:ascii="Arial" w:hAnsi="Arial" w:cs="Arial"/>
        <w:b/>
        <w:sz w:val="44"/>
        <w:szCs w:val="44"/>
      </w:rPr>
      <w:t xml:space="preserve">9 </w:t>
    </w:r>
    <w:r w:rsidR="00D95C4C" w:rsidRPr="00013D17">
      <w:rPr>
        <w:rFonts w:ascii="Arial" w:hAnsi="Arial" w:cs="Arial"/>
        <w:b/>
        <w:sz w:val="44"/>
        <w:szCs w:val="44"/>
      </w:rPr>
      <w:t>GA</w:t>
    </w:r>
  </w:p>
  <w:p w14:paraId="6FD6E33A" w14:textId="77777777" w:rsidR="001578FB" w:rsidRPr="00013D17" w:rsidRDefault="009069B4">
    <w:pPr>
      <w:jc w:val="right"/>
      <w:rPr>
        <w:rFonts w:ascii="Arial" w:hAnsi="Arial" w:cs="Arial"/>
        <w:b/>
        <w:sz w:val="22"/>
        <w:szCs w:val="22"/>
      </w:rPr>
    </w:pPr>
    <w:r w:rsidRPr="00013D17">
      <w:rPr>
        <w:rFonts w:ascii="Arial" w:hAnsi="Arial" w:cs="Arial"/>
        <w:b/>
        <w:sz w:val="22"/>
        <w:szCs w:val="22"/>
      </w:rPr>
      <w:t>LHE/22/9</w:t>
    </w:r>
    <w:r w:rsidR="003265D0" w:rsidRPr="00013D17">
      <w:rPr>
        <w:rFonts w:ascii="Arial" w:hAnsi="Arial" w:cs="Arial"/>
        <w:b/>
        <w:sz w:val="22"/>
        <w:szCs w:val="22"/>
      </w:rPr>
      <w:t>.</w:t>
    </w:r>
    <w:r w:rsidR="00BB04AF" w:rsidRPr="00013D17">
      <w:rPr>
        <w:rFonts w:ascii="Arial" w:hAnsi="Arial" w:cs="Arial"/>
        <w:b/>
        <w:sz w:val="22"/>
        <w:szCs w:val="22"/>
      </w:rPr>
      <w:t>GA/6</w:t>
    </w:r>
  </w:p>
  <w:p w14:paraId="21D825E1" w14:textId="361D322E" w:rsidR="001578FB" w:rsidRPr="00013D17" w:rsidRDefault="009069B4">
    <w:pPr>
      <w:jc w:val="right"/>
      <w:rPr>
        <w:rFonts w:ascii="Arial" w:hAnsi="Arial" w:cs="Arial"/>
        <w:b/>
        <w:sz w:val="22"/>
        <w:szCs w:val="22"/>
      </w:rPr>
    </w:pPr>
    <w:r w:rsidRPr="00013D17">
      <w:rPr>
        <w:rFonts w:ascii="Arial" w:hAnsi="Arial" w:cs="Arial"/>
        <w:b/>
        <w:sz w:val="22"/>
        <w:szCs w:val="22"/>
      </w:rPr>
      <w:t xml:space="preserve">Paris, </w:t>
    </w:r>
    <w:r w:rsidR="00013D17" w:rsidRPr="00013D17">
      <w:rPr>
        <w:rFonts w:ascii="Arial" w:hAnsi="Arial" w:cs="Arial"/>
        <w:b/>
        <w:sz w:val="22"/>
        <w:szCs w:val="22"/>
      </w:rPr>
      <w:t xml:space="preserve">le </w:t>
    </w:r>
    <w:r w:rsidR="000B1D75" w:rsidRPr="00013D17">
      <w:rPr>
        <w:rFonts w:ascii="Arial" w:hAnsi="Arial" w:cs="Arial"/>
        <w:b/>
        <w:sz w:val="22"/>
        <w:szCs w:val="22"/>
      </w:rPr>
      <w:t>21 juin</w:t>
    </w:r>
    <w:r w:rsidR="00013D17" w:rsidRPr="00013D17">
      <w:rPr>
        <w:rFonts w:ascii="Arial" w:hAnsi="Arial" w:cs="Arial"/>
        <w:b/>
        <w:sz w:val="22"/>
        <w:szCs w:val="22"/>
      </w:rPr>
      <w:t xml:space="preserve"> </w:t>
    </w:r>
    <w:r w:rsidR="006F41B4" w:rsidRPr="00013D17">
      <w:rPr>
        <w:rFonts w:ascii="Arial" w:hAnsi="Arial" w:cs="Arial"/>
        <w:b/>
        <w:sz w:val="22"/>
        <w:szCs w:val="22"/>
      </w:rPr>
      <w:t>2022</w:t>
    </w:r>
  </w:p>
  <w:p w14:paraId="7C31DB50" w14:textId="1C7F1021" w:rsidR="001578FB" w:rsidRPr="00BB4589" w:rsidRDefault="009069B4">
    <w:pPr>
      <w:jc w:val="right"/>
      <w:rPr>
        <w:rFonts w:ascii="Arial" w:hAnsi="Arial" w:cs="Arial"/>
        <w:b/>
        <w:sz w:val="22"/>
        <w:szCs w:val="22"/>
      </w:rPr>
    </w:pPr>
    <w:r w:rsidRPr="00BB4589">
      <w:rPr>
        <w:rFonts w:ascii="Arial" w:hAnsi="Arial" w:cs="Arial"/>
        <w:b/>
        <w:sz w:val="22"/>
        <w:szCs w:val="22"/>
      </w:rPr>
      <w:t xml:space="preserve">Original : </w:t>
    </w:r>
    <w:r w:rsidR="00FA2EFB">
      <w:rPr>
        <w:rFonts w:ascii="Arial" w:hAnsi="Arial" w:cs="Arial"/>
        <w:b/>
        <w:sz w:val="22"/>
        <w:szCs w:val="22"/>
      </w:rPr>
      <w:t>a</w:t>
    </w:r>
    <w:r w:rsidR="00FA2EFB" w:rsidRPr="00BB4589">
      <w:rPr>
        <w:rFonts w:ascii="Arial" w:hAnsi="Arial" w:cs="Arial"/>
        <w:b/>
        <w:sz w:val="22"/>
        <w:szCs w:val="22"/>
      </w:rPr>
      <w:t>nglais</w:t>
    </w:r>
  </w:p>
  <w:p w14:paraId="7FB1132E" w14:textId="77777777" w:rsidR="00540FE0" w:rsidRPr="00BB4589" w:rsidRDefault="00540FE0" w:rsidP="00540F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4918" w14:textId="77777777" w:rsidR="001578FB" w:rsidRDefault="009069B4">
    <w:pPr>
      <w:pStyle w:val="Header"/>
      <w:jc w:val="right"/>
      <w:rPr>
        <w:rFonts w:ascii="Arial" w:hAnsi="Arial" w:cs="Arial"/>
        <w:lang w:val="en-GB"/>
      </w:rPr>
    </w:pPr>
    <w:r>
      <w:rPr>
        <w:rFonts w:ascii="Arial" w:hAnsi="Arial" w:cs="Arial"/>
        <w:sz w:val="20"/>
        <w:szCs w:val="20"/>
        <w:lang w:val="en-GB"/>
      </w:rPr>
      <w:t>LHE/22/9</w:t>
    </w:r>
    <w:r w:rsidRPr="00C23A97">
      <w:rPr>
        <w:rFonts w:ascii="Arial" w:hAnsi="Arial" w:cs="Arial"/>
        <w:sz w:val="20"/>
        <w:szCs w:val="20"/>
        <w:lang w:val="en-GB"/>
      </w:rPr>
      <w:t xml:space="preserve">.GA/6 </w:t>
    </w:r>
    <w:r w:rsidR="00A268C4" w:rsidRPr="00C23A97">
      <w:rPr>
        <w:rFonts w:ascii="Arial" w:hAnsi="Arial" w:cs="Arial"/>
        <w:sz w:val="20"/>
        <w:szCs w:val="20"/>
        <w:lang w:val="en-GB"/>
      </w:rPr>
      <w:t xml:space="preserve">- page </w:t>
    </w:r>
    <w:r w:rsidR="00A268C4" w:rsidRPr="00C23A97">
      <w:rPr>
        <w:rStyle w:val="PageNumber"/>
        <w:rFonts w:ascii="Arial" w:hAnsi="Arial" w:cs="Arial"/>
        <w:sz w:val="20"/>
        <w:szCs w:val="20"/>
      </w:rPr>
      <w:fldChar w:fldCharType="begin"/>
    </w:r>
    <w:r w:rsidR="00A268C4" w:rsidRPr="00C23A97">
      <w:rPr>
        <w:rStyle w:val="PageNumber"/>
        <w:rFonts w:ascii="Arial" w:hAnsi="Arial" w:cs="Arial"/>
        <w:sz w:val="20"/>
        <w:szCs w:val="20"/>
      </w:rPr>
      <w:instrText xml:space="preserve"> PAGE </w:instrText>
    </w:r>
    <w:r w:rsidR="00A268C4" w:rsidRPr="00C23A97">
      <w:rPr>
        <w:rStyle w:val="PageNumber"/>
        <w:rFonts w:ascii="Arial" w:hAnsi="Arial" w:cs="Arial"/>
        <w:sz w:val="20"/>
        <w:szCs w:val="20"/>
      </w:rPr>
      <w:fldChar w:fldCharType="separate"/>
    </w:r>
    <w:r w:rsidR="00A268C4">
      <w:rPr>
        <w:rStyle w:val="PageNumber"/>
        <w:rFonts w:ascii="Arial" w:hAnsi="Arial" w:cs="Arial"/>
        <w:noProof/>
        <w:sz w:val="20"/>
        <w:szCs w:val="20"/>
      </w:rPr>
      <w:t>17</w:t>
    </w:r>
    <w:r w:rsidR="00A268C4" w:rsidRPr="00C23A97">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811"/>
    <w:multiLevelType w:val="hybridMultilevel"/>
    <w:tmpl w:val="8CDE9418"/>
    <w:lvl w:ilvl="0" w:tplc="0409000F">
      <w:start w:val="1"/>
      <w:numFmt w:val="decimal"/>
      <w:lvlText w:val="%1."/>
      <w:lvlJc w:val="left"/>
      <w:pPr>
        <w:ind w:left="720" w:hanging="360"/>
      </w:pPr>
      <w:rPr>
        <w:rFonts w:hint="default"/>
      </w:rPr>
    </w:lvl>
    <w:lvl w:ilvl="1" w:tplc="2116C6DA">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2DCE"/>
    <w:multiLevelType w:val="hybridMultilevel"/>
    <w:tmpl w:val="93FA8C60"/>
    <w:lvl w:ilvl="0" w:tplc="2D3A91D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807A4"/>
    <w:multiLevelType w:val="hybridMultilevel"/>
    <w:tmpl w:val="B8A29CAC"/>
    <w:lvl w:ilvl="0" w:tplc="0409000F">
      <w:start w:val="1"/>
      <w:numFmt w:val="decimal"/>
      <w:lvlText w:val="%1."/>
      <w:lvlJc w:val="left"/>
      <w:pPr>
        <w:ind w:left="63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B70AB"/>
    <w:multiLevelType w:val="hybridMultilevel"/>
    <w:tmpl w:val="D40A30F4"/>
    <w:lvl w:ilvl="0" w:tplc="8B9673E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76F"/>
    <w:multiLevelType w:val="hybridMultilevel"/>
    <w:tmpl w:val="2634EA06"/>
    <w:lvl w:ilvl="0" w:tplc="85E65BB8">
      <w:start w:val="1"/>
      <w:numFmt w:val="decimal"/>
      <w:lvlText w:val="%1."/>
      <w:lvlJc w:val="left"/>
      <w:pPr>
        <w:ind w:left="930" w:hanging="57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3B67"/>
    <w:multiLevelType w:val="hybridMultilevel"/>
    <w:tmpl w:val="59E2B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C35FE0"/>
    <w:multiLevelType w:val="hybridMultilevel"/>
    <w:tmpl w:val="68EC7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8C16684"/>
    <w:multiLevelType w:val="hybridMultilevel"/>
    <w:tmpl w:val="D962FE12"/>
    <w:lvl w:ilvl="0" w:tplc="0F940FB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C786D46"/>
    <w:multiLevelType w:val="hybridMultilevel"/>
    <w:tmpl w:val="C6483E08"/>
    <w:lvl w:ilvl="0" w:tplc="86807812">
      <w:start w:val="1"/>
      <w:numFmt w:val="decimal"/>
      <w:lvlText w:val="%1."/>
      <w:lvlJc w:val="left"/>
      <w:pPr>
        <w:ind w:left="1080" w:hanging="360"/>
      </w:pPr>
      <w:rPr>
        <w:b w:val="0"/>
      </w:rPr>
    </w:lvl>
    <w:lvl w:ilvl="1" w:tplc="0409000F">
      <w:start w:val="1"/>
      <w:numFmt w:val="decimal"/>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5994573A"/>
    <w:multiLevelType w:val="hybridMultilevel"/>
    <w:tmpl w:val="57CC9DD4"/>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12921"/>
    <w:multiLevelType w:val="hybridMultilevel"/>
    <w:tmpl w:val="0B8A0C5C"/>
    <w:lvl w:ilvl="0" w:tplc="6E4616FA">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78756812"/>
    <w:multiLevelType w:val="multilevel"/>
    <w:tmpl w:val="88E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2"/>
  </w:num>
  <w:num w:numId="3">
    <w:abstractNumId w:val="7"/>
  </w:num>
  <w:num w:numId="4">
    <w:abstractNumId w:val="28"/>
  </w:num>
  <w:num w:numId="5">
    <w:abstractNumId w:val="24"/>
  </w:num>
  <w:num w:numId="6">
    <w:abstractNumId w:val="5"/>
  </w:num>
  <w:num w:numId="7">
    <w:abstractNumId w:val="8"/>
  </w:num>
  <w:num w:numId="8">
    <w:abstractNumId w:val="16"/>
  </w:num>
  <w:num w:numId="9">
    <w:abstractNumId w:val="11"/>
  </w:num>
  <w:num w:numId="10">
    <w:abstractNumId w:val="13"/>
  </w:num>
  <w:num w:numId="11">
    <w:abstractNumId w:val="15"/>
  </w:num>
  <w:num w:numId="12">
    <w:abstractNumId w:val="14"/>
  </w:num>
  <w:num w:numId="13">
    <w:abstractNumId w:val="25"/>
  </w:num>
  <w:num w:numId="14">
    <w:abstractNumId w:val="19"/>
  </w:num>
  <w:num w:numId="15">
    <w:abstractNumId w:val="20"/>
  </w:num>
  <w:num w:numId="16">
    <w:abstractNumId w:val="13"/>
  </w:num>
  <w:num w:numId="17">
    <w:abstractNumId w:val="13"/>
  </w:num>
  <w:num w:numId="18">
    <w:abstractNumId w:val="13"/>
  </w:num>
  <w:num w:numId="19">
    <w:abstractNumId w:val="2"/>
  </w:num>
  <w:num w:numId="20">
    <w:abstractNumId w:val="26"/>
  </w:num>
  <w:num w:numId="21">
    <w:abstractNumId w:val="22"/>
  </w:num>
  <w:num w:numId="22">
    <w:abstractNumId w:val="11"/>
  </w:num>
  <w:num w:numId="23">
    <w:abstractNumId w:val="3"/>
  </w:num>
  <w:num w:numId="24">
    <w:abstractNumId w:val="11"/>
  </w:num>
  <w:num w:numId="25">
    <w:abstractNumId w:val="11"/>
  </w:num>
  <w:num w:numId="26">
    <w:abstractNumId w:val="11"/>
  </w:num>
  <w:num w:numId="27">
    <w:abstractNumId w:val="11"/>
  </w:num>
  <w:num w:numId="28">
    <w:abstractNumId w:val="11"/>
  </w:num>
  <w:num w:numId="29">
    <w:abstractNumId w:val="10"/>
  </w:num>
  <w:num w:numId="30">
    <w:abstractNumId w:val="11"/>
  </w:num>
  <w:num w:numId="31">
    <w:abstractNumId w:val="11"/>
  </w:num>
  <w:num w:numId="32">
    <w:abstractNumId w:val="13"/>
    <w:lvlOverride w:ilvl="0">
      <w:startOverride w:val="1"/>
    </w:lvlOverride>
  </w:num>
  <w:num w:numId="33">
    <w:abstractNumId w:val="13"/>
    <w:lvlOverride w:ilvl="0">
      <w:startOverride w:val="1"/>
    </w:lvlOverride>
  </w:num>
  <w:num w:numId="34">
    <w:abstractNumId w:val="11"/>
  </w:num>
  <w:num w:numId="35">
    <w:abstractNumId w:val="11"/>
  </w:num>
  <w:num w:numId="36">
    <w:abstractNumId w:val="11"/>
  </w:num>
  <w:num w:numId="37">
    <w:abstractNumId w:val="11"/>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1"/>
  </w:num>
  <w:num w:numId="42">
    <w:abstractNumId w:val="0"/>
  </w:num>
  <w:num w:numId="43">
    <w:abstractNumId w:val="11"/>
  </w:num>
  <w:num w:numId="44">
    <w:abstractNumId w:val="2"/>
  </w:num>
  <w:num w:numId="45">
    <w:abstractNumId w:val="11"/>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1"/>
  </w:num>
  <w:num w:numId="49">
    <w:abstractNumId w:val="11"/>
  </w:num>
  <w:num w:numId="50">
    <w:abstractNumId w:val="4"/>
  </w:num>
  <w:num w:numId="51">
    <w:abstractNumId w:val="21"/>
  </w:num>
  <w:num w:numId="52">
    <w:abstractNumId w:val="11"/>
  </w:num>
  <w:num w:numId="53">
    <w:abstractNumId w:val="11"/>
  </w:num>
  <w:num w:numId="54">
    <w:abstractNumId w:val="11"/>
  </w:num>
  <w:num w:numId="55">
    <w:abstractNumId w:val="11"/>
  </w:num>
  <w:num w:numId="56">
    <w:abstractNumId w:val="11"/>
  </w:num>
  <w:num w:numId="57">
    <w:abstractNumId w:val="27"/>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8"/>
  </w:num>
  <w:num w:numId="68">
    <w:abstractNumId w:val="6"/>
  </w:num>
  <w:num w:numId="69">
    <w:abstractNumId w:val="1"/>
  </w:num>
  <w:num w:numId="70">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1965"/>
    <w:rsid w:val="00001990"/>
    <w:rsid w:val="00004318"/>
    <w:rsid w:val="000048ED"/>
    <w:rsid w:val="00010FF3"/>
    <w:rsid w:val="000127C9"/>
    <w:rsid w:val="00013D17"/>
    <w:rsid w:val="00016F20"/>
    <w:rsid w:val="0001763F"/>
    <w:rsid w:val="0002074F"/>
    <w:rsid w:val="00024673"/>
    <w:rsid w:val="00032804"/>
    <w:rsid w:val="00036DAC"/>
    <w:rsid w:val="000403A5"/>
    <w:rsid w:val="00041A66"/>
    <w:rsid w:val="00042A0C"/>
    <w:rsid w:val="00045C27"/>
    <w:rsid w:val="0005176E"/>
    <w:rsid w:val="0005412F"/>
    <w:rsid w:val="00060987"/>
    <w:rsid w:val="0006129E"/>
    <w:rsid w:val="00064417"/>
    <w:rsid w:val="00066BA3"/>
    <w:rsid w:val="00067353"/>
    <w:rsid w:val="00070DC0"/>
    <w:rsid w:val="0007499B"/>
    <w:rsid w:val="000765F7"/>
    <w:rsid w:val="00077AB7"/>
    <w:rsid w:val="00081CD8"/>
    <w:rsid w:val="00083A25"/>
    <w:rsid w:val="00095C6A"/>
    <w:rsid w:val="000A57E9"/>
    <w:rsid w:val="000A60EE"/>
    <w:rsid w:val="000A75DA"/>
    <w:rsid w:val="000A78E3"/>
    <w:rsid w:val="000A7F0E"/>
    <w:rsid w:val="000B1D75"/>
    <w:rsid w:val="000B6998"/>
    <w:rsid w:val="000C0BBA"/>
    <w:rsid w:val="000C0D61"/>
    <w:rsid w:val="000D3E63"/>
    <w:rsid w:val="000E0193"/>
    <w:rsid w:val="000E096B"/>
    <w:rsid w:val="000E20E6"/>
    <w:rsid w:val="000E2976"/>
    <w:rsid w:val="000F174B"/>
    <w:rsid w:val="000F3A3F"/>
    <w:rsid w:val="000F50E8"/>
    <w:rsid w:val="000F6465"/>
    <w:rsid w:val="00101A6C"/>
    <w:rsid w:val="00102557"/>
    <w:rsid w:val="00105D6E"/>
    <w:rsid w:val="001068FD"/>
    <w:rsid w:val="00107F57"/>
    <w:rsid w:val="0011139C"/>
    <w:rsid w:val="0011293E"/>
    <w:rsid w:val="00112CAB"/>
    <w:rsid w:val="00114BBF"/>
    <w:rsid w:val="00121C4A"/>
    <w:rsid w:val="00125598"/>
    <w:rsid w:val="001314DE"/>
    <w:rsid w:val="00136BA3"/>
    <w:rsid w:val="00141275"/>
    <w:rsid w:val="001472F9"/>
    <w:rsid w:val="001578FB"/>
    <w:rsid w:val="00157E09"/>
    <w:rsid w:val="00164D56"/>
    <w:rsid w:val="00167B10"/>
    <w:rsid w:val="0017402F"/>
    <w:rsid w:val="00176720"/>
    <w:rsid w:val="0018082A"/>
    <w:rsid w:val="00180E5B"/>
    <w:rsid w:val="00181284"/>
    <w:rsid w:val="00182973"/>
    <w:rsid w:val="00191ADC"/>
    <w:rsid w:val="00195153"/>
    <w:rsid w:val="00195E6F"/>
    <w:rsid w:val="00196C1B"/>
    <w:rsid w:val="001A16D0"/>
    <w:rsid w:val="001A1CD5"/>
    <w:rsid w:val="001B0F73"/>
    <w:rsid w:val="001C3700"/>
    <w:rsid w:val="001C69DD"/>
    <w:rsid w:val="001D3E1A"/>
    <w:rsid w:val="001D5447"/>
    <w:rsid w:val="001D5C04"/>
    <w:rsid w:val="001D5F08"/>
    <w:rsid w:val="001E2C08"/>
    <w:rsid w:val="001E432A"/>
    <w:rsid w:val="001F4030"/>
    <w:rsid w:val="00204DA8"/>
    <w:rsid w:val="00206388"/>
    <w:rsid w:val="00207F3D"/>
    <w:rsid w:val="00214B96"/>
    <w:rsid w:val="00222A2D"/>
    <w:rsid w:val="00223029"/>
    <w:rsid w:val="0022400C"/>
    <w:rsid w:val="002250E5"/>
    <w:rsid w:val="00233063"/>
    <w:rsid w:val="00233310"/>
    <w:rsid w:val="00234745"/>
    <w:rsid w:val="00236508"/>
    <w:rsid w:val="00237CB1"/>
    <w:rsid w:val="002406BD"/>
    <w:rsid w:val="002407AF"/>
    <w:rsid w:val="00253E81"/>
    <w:rsid w:val="00254221"/>
    <w:rsid w:val="00254264"/>
    <w:rsid w:val="00260DED"/>
    <w:rsid w:val="002636F7"/>
    <w:rsid w:val="00266CD9"/>
    <w:rsid w:val="002708FF"/>
    <w:rsid w:val="00270E9B"/>
    <w:rsid w:val="0027186B"/>
    <w:rsid w:val="002722C8"/>
    <w:rsid w:val="00274F58"/>
    <w:rsid w:val="00287B22"/>
    <w:rsid w:val="002946E2"/>
    <w:rsid w:val="00295F24"/>
    <w:rsid w:val="002961DA"/>
    <w:rsid w:val="00297DC7"/>
    <w:rsid w:val="002A6131"/>
    <w:rsid w:val="002B0EDD"/>
    <w:rsid w:val="002B5F3F"/>
    <w:rsid w:val="002B6F29"/>
    <w:rsid w:val="002C00BB"/>
    <w:rsid w:val="002C09E3"/>
    <w:rsid w:val="002C5D7C"/>
    <w:rsid w:val="002C7B33"/>
    <w:rsid w:val="002D24BD"/>
    <w:rsid w:val="002D265A"/>
    <w:rsid w:val="002D325D"/>
    <w:rsid w:val="002D494A"/>
    <w:rsid w:val="002E064E"/>
    <w:rsid w:val="002E1C7F"/>
    <w:rsid w:val="002E3396"/>
    <w:rsid w:val="002E44A5"/>
    <w:rsid w:val="002E54AF"/>
    <w:rsid w:val="002F002E"/>
    <w:rsid w:val="002F312A"/>
    <w:rsid w:val="002F6FF8"/>
    <w:rsid w:val="00314276"/>
    <w:rsid w:val="00316962"/>
    <w:rsid w:val="003205C0"/>
    <w:rsid w:val="0032326C"/>
    <w:rsid w:val="00325090"/>
    <w:rsid w:val="003258AE"/>
    <w:rsid w:val="003260FA"/>
    <w:rsid w:val="003265D0"/>
    <w:rsid w:val="00327A8B"/>
    <w:rsid w:val="00332E93"/>
    <w:rsid w:val="00335173"/>
    <w:rsid w:val="003362AA"/>
    <w:rsid w:val="00336378"/>
    <w:rsid w:val="003378DE"/>
    <w:rsid w:val="00342A07"/>
    <w:rsid w:val="00345CB4"/>
    <w:rsid w:val="003505FB"/>
    <w:rsid w:val="00352837"/>
    <w:rsid w:val="003549B8"/>
    <w:rsid w:val="00360E2F"/>
    <w:rsid w:val="00361963"/>
    <w:rsid w:val="003706DC"/>
    <w:rsid w:val="00374153"/>
    <w:rsid w:val="00377FC2"/>
    <w:rsid w:val="003807AF"/>
    <w:rsid w:val="00382C90"/>
    <w:rsid w:val="00386F82"/>
    <w:rsid w:val="003952C5"/>
    <w:rsid w:val="003A2CEE"/>
    <w:rsid w:val="003A4D73"/>
    <w:rsid w:val="003A4F0D"/>
    <w:rsid w:val="003A78F8"/>
    <w:rsid w:val="003B0EF9"/>
    <w:rsid w:val="003B54B9"/>
    <w:rsid w:val="003C3B21"/>
    <w:rsid w:val="003C591E"/>
    <w:rsid w:val="003D069C"/>
    <w:rsid w:val="003D7646"/>
    <w:rsid w:val="003D7695"/>
    <w:rsid w:val="003E084C"/>
    <w:rsid w:val="003E1FF4"/>
    <w:rsid w:val="003E23AE"/>
    <w:rsid w:val="003F113A"/>
    <w:rsid w:val="003F32F2"/>
    <w:rsid w:val="003F5759"/>
    <w:rsid w:val="00400264"/>
    <w:rsid w:val="00401FB2"/>
    <w:rsid w:val="00402135"/>
    <w:rsid w:val="0041003D"/>
    <w:rsid w:val="00414643"/>
    <w:rsid w:val="00421289"/>
    <w:rsid w:val="00427CC9"/>
    <w:rsid w:val="004313DE"/>
    <w:rsid w:val="00435BE2"/>
    <w:rsid w:val="00441989"/>
    <w:rsid w:val="004421E5"/>
    <w:rsid w:val="00442949"/>
    <w:rsid w:val="00442B7E"/>
    <w:rsid w:val="0044643C"/>
    <w:rsid w:val="00452284"/>
    <w:rsid w:val="004537EC"/>
    <w:rsid w:val="00471D40"/>
    <w:rsid w:val="0047262B"/>
    <w:rsid w:val="00473DBE"/>
    <w:rsid w:val="00476916"/>
    <w:rsid w:val="00480854"/>
    <w:rsid w:val="00481756"/>
    <w:rsid w:val="004842BF"/>
    <w:rsid w:val="004856CA"/>
    <w:rsid w:val="004858B5"/>
    <w:rsid w:val="00490B62"/>
    <w:rsid w:val="004943F1"/>
    <w:rsid w:val="0049705E"/>
    <w:rsid w:val="004A1247"/>
    <w:rsid w:val="004A34A0"/>
    <w:rsid w:val="004A45BE"/>
    <w:rsid w:val="004A4B42"/>
    <w:rsid w:val="004B3463"/>
    <w:rsid w:val="004C5321"/>
    <w:rsid w:val="004D44A6"/>
    <w:rsid w:val="004E26B8"/>
    <w:rsid w:val="004E6096"/>
    <w:rsid w:val="004E63B0"/>
    <w:rsid w:val="004F1E39"/>
    <w:rsid w:val="004F3DF6"/>
    <w:rsid w:val="00502D44"/>
    <w:rsid w:val="00504163"/>
    <w:rsid w:val="005046BF"/>
    <w:rsid w:val="00505897"/>
    <w:rsid w:val="00510407"/>
    <w:rsid w:val="00510597"/>
    <w:rsid w:val="00520457"/>
    <w:rsid w:val="0052179C"/>
    <w:rsid w:val="00526B4F"/>
    <w:rsid w:val="00526B7B"/>
    <w:rsid w:val="00527E2A"/>
    <w:rsid w:val="005308CE"/>
    <w:rsid w:val="0053106B"/>
    <w:rsid w:val="00535393"/>
    <w:rsid w:val="00536149"/>
    <w:rsid w:val="00540C07"/>
    <w:rsid w:val="00540FE0"/>
    <w:rsid w:val="00542D13"/>
    <w:rsid w:val="0054389A"/>
    <w:rsid w:val="00545169"/>
    <w:rsid w:val="00562BD3"/>
    <w:rsid w:val="005631B0"/>
    <w:rsid w:val="005650FD"/>
    <w:rsid w:val="00565274"/>
    <w:rsid w:val="0057011E"/>
    <w:rsid w:val="00573109"/>
    <w:rsid w:val="005737D9"/>
    <w:rsid w:val="0057439C"/>
    <w:rsid w:val="00574996"/>
    <w:rsid w:val="005828EC"/>
    <w:rsid w:val="005908BD"/>
    <w:rsid w:val="005A584E"/>
    <w:rsid w:val="005B0127"/>
    <w:rsid w:val="005B0710"/>
    <w:rsid w:val="005B3A5A"/>
    <w:rsid w:val="005B7A35"/>
    <w:rsid w:val="005C30BF"/>
    <w:rsid w:val="005C3701"/>
    <w:rsid w:val="005C3D1C"/>
    <w:rsid w:val="005C4B73"/>
    <w:rsid w:val="005C6D24"/>
    <w:rsid w:val="005C7002"/>
    <w:rsid w:val="005D2C55"/>
    <w:rsid w:val="005D5701"/>
    <w:rsid w:val="005E1D2B"/>
    <w:rsid w:val="005E5B36"/>
    <w:rsid w:val="005F1037"/>
    <w:rsid w:val="005F28EE"/>
    <w:rsid w:val="00600D93"/>
    <w:rsid w:val="006071EA"/>
    <w:rsid w:val="006105BD"/>
    <w:rsid w:val="006142CF"/>
    <w:rsid w:val="006250C0"/>
    <w:rsid w:val="0062614E"/>
    <w:rsid w:val="0063300C"/>
    <w:rsid w:val="006337EF"/>
    <w:rsid w:val="00643CA5"/>
    <w:rsid w:val="006460C4"/>
    <w:rsid w:val="00651A58"/>
    <w:rsid w:val="00653660"/>
    <w:rsid w:val="00655736"/>
    <w:rsid w:val="0066235E"/>
    <w:rsid w:val="0066307B"/>
    <w:rsid w:val="00663171"/>
    <w:rsid w:val="00663B8D"/>
    <w:rsid w:val="006640BF"/>
    <w:rsid w:val="0066658F"/>
    <w:rsid w:val="00672129"/>
    <w:rsid w:val="00676625"/>
    <w:rsid w:val="00681799"/>
    <w:rsid w:val="00684344"/>
    <w:rsid w:val="006852E4"/>
    <w:rsid w:val="0068560C"/>
    <w:rsid w:val="00696C8D"/>
    <w:rsid w:val="006A2AC2"/>
    <w:rsid w:val="006A3617"/>
    <w:rsid w:val="006B01F3"/>
    <w:rsid w:val="006B462D"/>
    <w:rsid w:val="006B70DE"/>
    <w:rsid w:val="006C2DEF"/>
    <w:rsid w:val="006D13FE"/>
    <w:rsid w:val="006D200F"/>
    <w:rsid w:val="006D2D5A"/>
    <w:rsid w:val="006D3E54"/>
    <w:rsid w:val="006E0806"/>
    <w:rsid w:val="006E13F0"/>
    <w:rsid w:val="006E2048"/>
    <w:rsid w:val="006E247A"/>
    <w:rsid w:val="006E46E4"/>
    <w:rsid w:val="006E5D5B"/>
    <w:rsid w:val="006F1E7E"/>
    <w:rsid w:val="006F3790"/>
    <w:rsid w:val="006F41B4"/>
    <w:rsid w:val="00703F04"/>
    <w:rsid w:val="00703FBF"/>
    <w:rsid w:val="00712214"/>
    <w:rsid w:val="00712884"/>
    <w:rsid w:val="00717D90"/>
    <w:rsid w:val="00717DA5"/>
    <w:rsid w:val="00717EB4"/>
    <w:rsid w:val="00722AD5"/>
    <w:rsid w:val="0073710C"/>
    <w:rsid w:val="00740D1E"/>
    <w:rsid w:val="0074199E"/>
    <w:rsid w:val="00742A91"/>
    <w:rsid w:val="00744484"/>
    <w:rsid w:val="00750062"/>
    <w:rsid w:val="007530A6"/>
    <w:rsid w:val="007549B7"/>
    <w:rsid w:val="0075577D"/>
    <w:rsid w:val="007559F8"/>
    <w:rsid w:val="00755E17"/>
    <w:rsid w:val="00763A0D"/>
    <w:rsid w:val="00772940"/>
    <w:rsid w:val="00773188"/>
    <w:rsid w:val="00773CE5"/>
    <w:rsid w:val="00773EA1"/>
    <w:rsid w:val="007744B4"/>
    <w:rsid w:val="00783782"/>
    <w:rsid w:val="00784B8C"/>
    <w:rsid w:val="00785A3F"/>
    <w:rsid w:val="0079350E"/>
    <w:rsid w:val="007A11D1"/>
    <w:rsid w:val="007A26FB"/>
    <w:rsid w:val="007B079C"/>
    <w:rsid w:val="007B3904"/>
    <w:rsid w:val="007B5559"/>
    <w:rsid w:val="007B5785"/>
    <w:rsid w:val="007B5992"/>
    <w:rsid w:val="007B6AF0"/>
    <w:rsid w:val="007C3A56"/>
    <w:rsid w:val="007D144B"/>
    <w:rsid w:val="007D293F"/>
    <w:rsid w:val="007D3B45"/>
    <w:rsid w:val="007F1D25"/>
    <w:rsid w:val="00807CB3"/>
    <w:rsid w:val="008131F5"/>
    <w:rsid w:val="00815F92"/>
    <w:rsid w:val="0081717C"/>
    <w:rsid w:val="00817639"/>
    <w:rsid w:val="00823A11"/>
    <w:rsid w:val="00837355"/>
    <w:rsid w:val="00842D2C"/>
    <w:rsid w:val="00844B63"/>
    <w:rsid w:val="00844BCD"/>
    <w:rsid w:val="00844D51"/>
    <w:rsid w:val="00846A76"/>
    <w:rsid w:val="0085188A"/>
    <w:rsid w:val="00852866"/>
    <w:rsid w:val="0085414A"/>
    <w:rsid w:val="00856B15"/>
    <w:rsid w:val="0086024E"/>
    <w:rsid w:val="0086269D"/>
    <w:rsid w:val="0086543A"/>
    <w:rsid w:val="008724E5"/>
    <w:rsid w:val="00872953"/>
    <w:rsid w:val="00873DF0"/>
    <w:rsid w:val="00874FEA"/>
    <w:rsid w:val="00875803"/>
    <w:rsid w:val="00877164"/>
    <w:rsid w:val="00880CD9"/>
    <w:rsid w:val="00884A9D"/>
    <w:rsid w:val="0088512B"/>
    <w:rsid w:val="008863D2"/>
    <w:rsid w:val="008911D1"/>
    <w:rsid w:val="00892B18"/>
    <w:rsid w:val="008948AA"/>
    <w:rsid w:val="00895560"/>
    <w:rsid w:val="0089642C"/>
    <w:rsid w:val="008A1ED4"/>
    <w:rsid w:val="008A1F90"/>
    <w:rsid w:val="008A2B2D"/>
    <w:rsid w:val="008A3BDF"/>
    <w:rsid w:val="008A4E1E"/>
    <w:rsid w:val="008B2CFA"/>
    <w:rsid w:val="008B4CC6"/>
    <w:rsid w:val="008C296C"/>
    <w:rsid w:val="008C39E7"/>
    <w:rsid w:val="008D4305"/>
    <w:rsid w:val="008D774C"/>
    <w:rsid w:val="008D77DF"/>
    <w:rsid w:val="008D7CAA"/>
    <w:rsid w:val="008E1ADF"/>
    <w:rsid w:val="008F18CB"/>
    <w:rsid w:val="008F18F8"/>
    <w:rsid w:val="00903B99"/>
    <w:rsid w:val="00905548"/>
    <w:rsid w:val="009064D3"/>
    <w:rsid w:val="009069B4"/>
    <w:rsid w:val="00913B63"/>
    <w:rsid w:val="009163A7"/>
    <w:rsid w:val="00920665"/>
    <w:rsid w:val="00926DE0"/>
    <w:rsid w:val="00932744"/>
    <w:rsid w:val="0093358E"/>
    <w:rsid w:val="00934822"/>
    <w:rsid w:val="00935DBB"/>
    <w:rsid w:val="009467EB"/>
    <w:rsid w:val="00946D0B"/>
    <w:rsid w:val="00947E5C"/>
    <w:rsid w:val="00952105"/>
    <w:rsid w:val="00955F1F"/>
    <w:rsid w:val="009604EE"/>
    <w:rsid w:val="00963736"/>
    <w:rsid w:val="00975E5A"/>
    <w:rsid w:val="00984D5E"/>
    <w:rsid w:val="009861AF"/>
    <w:rsid w:val="00990474"/>
    <w:rsid w:val="0099076C"/>
    <w:rsid w:val="00991D6F"/>
    <w:rsid w:val="00993DB0"/>
    <w:rsid w:val="00995AC8"/>
    <w:rsid w:val="009A12D2"/>
    <w:rsid w:val="009A18CD"/>
    <w:rsid w:val="009A54AE"/>
    <w:rsid w:val="009B08D2"/>
    <w:rsid w:val="009B2F0E"/>
    <w:rsid w:val="009B410F"/>
    <w:rsid w:val="009B7E90"/>
    <w:rsid w:val="009C0118"/>
    <w:rsid w:val="009C10D3"/>
    <w:rsid w:val="009C4886"/>
    <w:rsid w:val="009D0647"/>
    <w:rsid w:val="009D2098"/>
    <w:rsid w:val="009D23E9"/>
    <w:rsid w:val="009D47C4"/>
    <w:rsid w:val="009E3A00"/>
    <w:rsid w:val="009F046C"/>
    <w:rsid w:val="009F7C5C"/>
    <w:rsid w:val="00A02BCC"/>
    <w:rsid w:val="00A12558"/>
    <w:rsid w:val="00A13903"/>
    <w:rsid w:val="00A13C93"/>
    <w:rsid w:val="00A14DBC"/>
    <w:rsid w:val="00A177C0"/>
    <w:rsid w:val="00A21C7D"/>
    <w:rsid w:val="00A268C4"/>
    <w:rsid w:val="00A275AB"/>
    <w:rsid w:val="00A30458"/>
    <w:rsid w:val="00A3238D"/>
    <w:rsid w:val="00A34ED5"/>
    <w:rsid w:val="00A3771D"/>
    <w:rsid w:val="00A401E9"/>
    <w:rsid w:val="00A43848"/>
    <w:rsid w:val="00A4415A"/>
    <w:rsid w:val="00A45DBF"/>
    <w:rsid w:val="00A50368"/>
    <w:rsid w:val="00A60D38"/>
    <w:rsid w:val="00A61E0D"/>
    <w:rsid w:val="00A645DF"/>
    <w:rsid w:val="00A65C29"/>
    <w:rsid w:val="00A65E6D"/>
    <w:rsid w:val="00A67B1F"/>
    <w:rsid w:val="00A755A2"/>
    <w:rsid w:val="00A81916"/>
    <w:rsid w:val="00A9491E"/>
    <w:rsid w:val="00A96506"/>
    <w:rsid w:val="00A97B84"/>
    <w:rsid w:val="00AA4842"/>
    <w:rsid w:val="00AA4D1F"/>
    <w:rsid w:val="00AA6660"/>
    <w:rsid w:val="00AB2C36"/>
    <w:rsid w:val="00AB2C73"/>
    <w:rsid w:val="00AB5E12"/>
    <w:rsid w:val="00AB70B6"/>
    <w:rsid w:val="00AC0694"/>
    <w:rsid w:val="00AD1A86"/>
    <w:rsid w:val="00AD1B3B"/>
    <w:rsid w:val="00AD4E49"/>
    <w:rsid w:val="00AD4E56"/>
    <w:rsid w:val="00AD6495"/>
    <w:rsid w:val="00AE103E"/>
    <w:rsid w:val="00AE1DDC"/>
    <w:rsid w:val="00AE539A"/>
    <w:rsid w:val="00AE741B"/>
    <w:rsid w:val="00AF0A07"/>
    <w:rsid w:val="00AF4AEC"/>
    <w:rsid w:val="00AF625E"/>
    <w:rsid w:val="00AF6997"/>
    <w:rsid w:val="00B03C03"/>
    <w:rsid w:val="00B0493C"/>
    <w:rsid w:val="00B1038A"/>
    <w:rsid w:val="00B17AC8"/>
    <w:rsid w:val="00B20454"/>
    <w:rsid w:val="00B20A5A"/>
    <w:rsid w:val="00B34A7F"/>
    <w:rsid w:val="00B361F6"/>
    <w:rsid w:val="00B368CC"/>
    <w:rsid w:val="00B5062A"/>
    <w:rsid w:val="00B53629"/>
    <w:rsid w:val="00B53C0F"/>
    <w:rsid w:val="00B61E5F"/>
    <w:rsid w:val="00B62F48"/>
    <w:rsid w:val="00B72504"/>
    <w:rsid w:val="00B767CA"/>
    <w:rsid w:val="00B8100E"/>
    <w:rsid w:val="00B86DC7"/>
    <w:rsid w:val="00B91128"/>
    <w:rsid w:val="00B91F10"/>
    <w:rsid w:val="00B939C0"/>
    <w:rsid w:val="00B93C4C"/>
    <w:rsid w:val="00B954D0"/>
    <w:rsid w:val="00B96A0F"/>
    <w:rsid w:val="00B96B09"/>
    <w:rsid w:val="00BB04AF"/>
    <w:rsid w:val="00BB4589"/>
    <w:rsid w:val="00BC1100"/>
    <w:rsid w:val="00BC2946"/>
    <w:rsid w:val="00BC3361"/>
    <w:rsid w:val="00BC4681"/>
    <w:rsid w:val="00BC6CCB"/>
    <w:rsid w:val="00BD52C9"/>
    <w:rsid w:val="00BE022A"/>
    <w:rsid w:val="00BE1594"/>
    <w:rsid w:val="00BE41B3"/>
    <w:rsid w:val="00BE6354"/>
    <w:rsid w:val="00BE6DFD"/>
    <w:rsid w:val="00BE6F52"/>
    <w:rsid w:val="00BF25F8"/>
    <w:rsid w:val="00BF3E41"/>
    <w:rsid w:val="00BF7901"/>
    <w:rsid w:val="00C00105"/>
    <w:rsid w:val="00C04006"/>
    <w:rsid w:val="00C14245"/>
    <w:rsid w:val="00C147BE"/>
    <w:rsid w:val="00C208BF"/>
    <w:rsid w:val="00C23A97"/>
    <w:rsid w:val="00C2406B"/>
    <w:rsid w:val="00C273C2"/>
    <w:rsid w:val="00C27C58"/>
    <w:rsid w:val="00C35262"/>
    <w:rsid w:val="00C42C66"/>
    <w:rsid w:val="00C433D4"/>
    <w:rsid w:val="00C52A00"/>
    <w:rsid w:val="00C53E59"/>
    <w:rsid w:val="00C6301A"/>
    <w:rsid w:val="00C67832"/>
    <w:rsid w:val="00C70EA7"/>
    <w:rsid w:val="00C7516E"/>
    <w:rsid w:val="00C75770"/>
    <w:rsid w:val="00C8165C"/>
    <w:rsid w:val="00C86E90"/>
    <w:rsid w:val="00C9586F"/>
    <w:rsid w:val="00CA16D4"/>
    <w:rsid w:val="00CA64CA"/>
    <w:rsid w:val="00CA719A"/>
    <w:rsid w:val="00CA7F20"/>
    <w:rsid w:val="00CB0DAB"/>
    <w:rsid w:val="00CB2078"/>
    <w:rsid w:val="00CB4D53"/>
    <w:rsid w:val="00CB5650"/>
    <w:rsid w:val="00CB6516"/>
    <w:rsid w:val="00CB7AD8"/>
    <w:rsid w:val="00CC467D"/>
    <w:rsid w:val="00CD3A90"/>
    <w:rsid w:val="00CE2F57"/>
    <w:rsid w:val="00CE6727"/>
    <w:rsid w:val="00CF5C0F"/>
    <w:rsid w:val="00CF74EB"/>
    <w:rsid w:val="00D003FC"/>
    <w:rsid w:val="00D00B2B"/>
    <w:rsid w:val="00D0468B"/>
    <w:rsid w:val="00D12573"/>
    <w:rsid w:val="00D12851"/>
    <w:rsid w:val="00D16A03"/>
    <w:rsid w:val="00D218A8"/>
    <w:rsid w:val="00D24877"/>
    <w:rsid w:val="00D25762"/>
    <w:rsid w:val="00D40BA5"/>
    <w:rsid w:val="00D445EC"/>
    <w:rsid w:val="00D474DC"/>
    <w:rsid w:val="00D503BE"/>
    <w:rsid w:val="00D5042F"/>
    <w:rsid w:val="00D55CC8"/>
    <w:rsid w:val="00D6080E"/>
    <w:rsid w:val="00D62AB2"/>
    <w:rsid w:val="00D63C89"/>
    <w:rsid w:val="00D64752"/>
    <w:rsid w:val="00D67266"/>
    <w:rsid w:val="00D72BEC"/>
    <w:rsid w:val="00D73B51"/>
    <w:rsid w:val="00D76284"/>
    <w:rsid w:val="00D83B10"/>
    <w:rsid w:val="00D854AC"/>
    <w:rsid w:val="00D86C3D"/>
    <w:rsid w:val="00D95A17"/>
    <w:rsid w:val="00D95C4C"/>
    <w:rsid w:val="00DA36ED"/>
    <w:rsid w:val="00DA696E"/>
    <w:rsid w:val="00DB2857"/>
    <w:rsid w:val="00DB3CC3"/>
    <w:rsid w:val="00DB4D51"/>
    <w:rsid w:val="00DD167B"/>
    <w:rsid w:val="00DD471E"/>
    <w:rsid w:val="00DD5CE7"/>
    <w:rsid w:val="00DE07FA"/>
    <w:rsid w:val="00DE34F1"/>
    <w:rsid w:val="00DE3C7B"/>
    <w:rsid w:val="00DE4A71"/>
    <w:rsid w:val="00DE6A7F"/>
    <w:rsid w:val="00DF1512"/>
    <w:rsid w:val="00DF4942"/>
    <w:rsid w:val="00E02F06"/>
    <w:rsid w:val="00E03602"/>
    <w:rsid w:val="00E0376A"/>
    <w:rsid w:val="00E0443E"/>
    <w:rsid w:val="00E062E5"/>
    <w:rsid w:val="00E16CD8"/>
    <w:rsid w:val="00E174F0"/>
    <w:rsid w:val="00E26A4F"/>
    <w:rsid w:val="00E270D3"/>
    <w:rsid w:val="00E300FE"/>
    <w:rsid w:val="00E31002"/>
    <w:rsid w:val="00E31DD8"/>
    <w:rsid w:val="00E36702"/>
    <w:rsid w:val="00E3702E"/>
    <w:rsid w:val="00E40D3D"/>
    <w:rsid w:val="00E532FE"/>
    <w:rsid w:val="00E54CE9"/>
    <w:rsid w:val="00E5650E"/>
    <w:rsid w:val="00E60656"/>
    <w:rsid w:val="00E613A4"/>
    <w:rsid w:val="00E61CAD"/>
    <w:rsid w:val="00E627B1"/>
    <w:rsid w:val="00E63FC3"/>
    <w:rsid w:val="00E83AB2"/>
    <w:rsid w:val="00E92298"/>
    <w:rsid w:val="00E92EE8"/>
    <w:rsid w:val="00E9376C"/>
    <w:rsid w:val="00E96422"/>
    <w:rsid w:val="00EA0B0A"/>
    <w:rsid w:val="00EA0DDE"/>
    <w:rsid w:val="00EA1C1A"/>
    <w:rsid w:val="00EA245B"/>
    <w:rsid w:val="00EA335E"/>
    <w:rsid w:val="00EA51AA"/>
    <w:rsid w:val="00EA528C"/>
    <w:rsid w:val="00EB1787"/>
    <w:rsid w:val="00EB2E6F"/>
    <w:rsid w:val="00EB5F9B"/>
    <w:rsid w:val="00EC199B"/>
    <w:rsid w:val="00EC7561"/>
    <w:rsid w:val="00EC75D0"/>
    <w:rsid w:val="00ED01EA"/>
    <w:rsid w:val="00ED6B87"/>
    <w:rsid w:val="00EE0C4F"/>
    <w:rsid w:val="00EF1506"/>
    <w:rsid w:val="00EF175F"/>
    <w:rsid w:val="00EF19A6"/>
    <w:rsid w:val="00EF34E2"/>
    <w:rsid w:val="00EF3C1F"/>
    <w:rsid w:val="00EF4F1F"/>
    <w:rsid w:val="00EF69E3"/>
    <w:rsid w:val="00EF7D7F"/>
    <w:rsid w:val="00F010E0"/>
    <w:rsid w:val="00F14195"/>
    <w:rsid w:val="00F14506"/>
    <w:rsid w:val="00F219EA"/>
    <w:rsid w:val="00F21D3E"/>
    <w:rsid w:val="00F31EA6"/>
    <w:rsid w:val="00F32056"/>
    <w:rsid w:val="00F32411"/>
    <w:rsid w:val="00F33777"/>
    <w:rsid w:val="00F347A7"/>
    <w:rsid w:val="00F37656"/>
    <w:rsid w:val="00F41EEC"/>
    <w:rsid w:val="00F46262"/>
    <w:rsid w:val="00F53DE9"/>
    <w:rsid w:val="00F576CB"/>
    <w:rsid w:val="00F6072A"/>
    <w:rsid w:val="00F6160F"/>
    <w:rsid w:val="00F62FE1"/>
    <w:rsid w:val="00F65666"/>
    <w:rsid w:val="00F71A02"/>
    <w:rsid w:val="00F730BE"/>
    <w:rsid w:val="00F7370E"/>
    <w:rsid w:val="00F74156"/>
    <w:rsid w:val="00F84FFE"/>
    <w:rsid w:val="00F8644D"/>
    <w:rsid w:val="00F953B9"/>
    <w:rsid w:val="00F9588E"/>
    <w:rsid w:val="00FA0E1D"/>
    <w:rsid w:val="00FA1163"/>
    <w:rsid w:val="00FA2EFB"/>
    <w:rsid w:val="00FA7342"/>
    <w:rsid w:val="00FA745F"/>
    <w:rsid w:val="00FA7A54"/>
    <w:rsid w:val="00FB5FDB"/>
    <w:rsid w:val="00FB6630"/>
    <w:rsid w:val="00FC2250"/>
    <w:rsid w:val="00FC2E37"/>
    <w:rsid w:val="00FC3B53"/>
    <w:rsid w:val="00FC4A5F"/>
    <w:rsid w:val="00FD0F59"/>
    <w:rsid w:val="00FD11C1"/>
    <w:rsid w:val="00FD1226"/>
    <w:rsid w:val="00FE0968"/>
    <w:rsid w:val="00FE1176"/>
    <w:rsid w:val="00FE6A0D"/>
    <w:rsid w:val="00FF422F"/>
    <w:rsid w:val="00FF4830"/>
    <w:rsid w:val="00FF606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FF42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ListParagraphChar"/>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uiPriority w:val="59"/>
    <w:rsid w:val="00191ADC"/>
    <w:rPr>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A268C4"/>
    <w:rPr>
      <w:rFonts w:cs="Times New Roman"/>
      <w:color w:val="0000FF"/>
      <w:u w:val="single"/>
    </w:rPr>
  </w:style>
  <w:style w:type="paragraph" w:styleId="FootnoteText">
    <w:name w:val="footnote text"/>
    <w:basedOn w:val="Normal"/>
    <w:link w:val="FootnoteTextChar"/>
    <w:uiPriority w:val="99"/>
    <w:semiHidden/>
    <w:unhideWhenUsed/>
    <w:rsid w:val="00A268C4"/>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A268C4"/>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A268C4"/>
    <w:rPr>
      <w:vertAlign w:val="superscript"/>
    </w:rPr>
  </w:style>
  <w:style w:type="character" w:customStyle="1" w:styleId="textview">
    <w:name w:val="textview"/>
    <w:basedOn w:val="DefaultParagraphFont"/>
    <w:rsid w:val="00A268C4"/>
  </w:style>
  <w:style w:type="table" w:customStyle="1" w:styleId="TableGrid2">
    <w:name w:val="Table Grid2"/>
    <w:basedOn w:val="TableNormal"/>
    <w:next w:val="TableGrid"/>
    <w:uiPriority w:val="59"/>
    <w:rsid w:val="00A268C4"/>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basedOn w:val="DefaultParagraphFont"/>
    <w:link w:val="ListParagraph"/>
    <w:uiPriority w:val="34"/>
    <w:qFormat/>
    <w:locked/>
    <w:rsid w:val="00A268C4"/>
    <w:rPr>
      <w:rFonts w:ascii="Times New Roman" w:eastAsia="Times New Roman" w:hAnsi="Times New Roman"/>
      <w:sz w:val="24"/>
      <w:szCs w:val="24"/>
      <w:lang w:val="fr-FR" w:eastAsia="fr-FR"/>
    </w:rPr>
  </w:style>
  <w:style w:type="paragraph" w:customStyle="1" w:styleId="COMPara">
    <w:name w:val="COM Para"/>
    <w:qFormat/>
    <w:rsid w:val="002E1C7F"/>
    <w:pPr>
      <w:spacing w:after="120"/>
      <w:ind w:left="720" w:hanging="360"/>
    </w:pPr>
    <w:rPr>
      <w:rFonts w:ascii="Arial" w:eastAsia="Times New Roman" w:hAnsi="Arial" w:cs="Arial"/>
      <w:snapToGrid w:val="0"/>
      <w:sz w:val="22"/>
      <w:szCs w:val="22"/>
      <w:lang w:eastAsia="en-US"/>
    </w:rPr>
  </w:style>
  <w:style w:type="character" w:styleId="CommentReference">
    <w:name w:val="annotation reference"/>
    <w:basedOn w:val="DefaultParagraphFont"/>
    <w:uiPriority w:val="99"/>
    <w:semiHidden/>
    <w:unhideWhenUsed/>
    <w:rsid w:val="002E1C7F"/>
    <w:rPr>
      <w:sz w:val="16"/>
      <w:szCs w:val="16"/>
    </w:rPr>
  </w:style>
  <w:style w:type="paragraph" w:styleId="CommentText">
    <w:name w:val="annotation text"/>
    <w:basedOn w:val="Normal"/>
    <w:link w:val="CommentTextChar"/>
    <w:uiPriority w:val="99"/>
    <w:semiHidden/>
    <w:unhideWhenUsed/>
    <w:rsid w:val="002E1C7F"/>
    <w:pPr>
      <w:spacing w:after="160"/>
    </w:pPr>
    <w:rPr>
      <w:rFonts w:asciiTheme="minorHAnsi" w:eastAsiaTheme="minorEastAsia" w:hAnsiTheme="minorHAnsi" w:cstheme="minorBidi"/>
      <w:sz w:val="20"/>
      <w:szCs w:val="20"/>
      <w:lang w:val="en-GB" w:eastAsia="zh-CN"/>
    </w:rPr>
  </w:style>
  <w:style w:type="character" w:customStyle="1" w:styleId="CommentTextChar">
    <w:name w:val="Comment Text Char"/>
    <w:basedOn w:val="DefaultParagraphFont"/>
    <w:link w:val="CommentText"/>
    <w:uiPriority w:val="99"/>
    <w:semiHidden/>
    <w:rsid w:val="002E1C7F"/>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uiPriority w:val="99"/>
    <w:semiHidden/>
    <w:unhideWhenUsed/>
    <w:rsid w:val="00F32411"/>
    <w:pPr>
      <w:spacing w:after="0"/>
    </w:pPr>
    <w:rPr>
      <w:rFonts w:ascii="Times New Roman" w:eastAsia="Times New Roman" w:hAnsi="Times New Roman" w:cs="Times New Roman"/>
      <w:b/>
      <w:bCs/>
      <w:lang w:val="fr-FR" w:eastAsia="fr-FR"/>
    </w:rPr>
  </w:style>
  <w:style w:type="character" w:customStyle="1" w:styleId="CommentSubjectChar">
    <w:name w:val="Comment Subject Char"/>
    <w:basedOn w:val="CommentTextChar"/>
    <w:link w:val="CommentSubject"/>
    <w:uiPriority w:val="99"/>
    <w:semiHidden/>
    <w:rsid w:val="00F32411"/>
    <w:rPr>
      <w:rFonts w:ascii="Times New Roman" w:eastAsia="Times New Roman" w:hAnsi="Times New Roman" w:cstheme="minorBidi"/>
      <w:b/>
      <w:bCs/>
      <w:lang w:val="fr-FR" w:eastAsia="fr-FR"/>
    </w:rPr>
  </w:style>
  <w:style w:type="paragraph" w:customStyle="1" w:styleId="COMTitleDecision">
    <w:name w:val="COM Title Decision"/>
    <w:basedOn w:val="Normal"/>
    <w:qFormat/>
    <w:rsid w:val="00BF7901"/>
    <w:pPr>
      <w:keepNext/>
      <w:spacing w:before="240" w:after="120"/>
      <w:ind w:left="567"/>
      <w:jc w:val="both"/>
    </w:pPr>
    <w:rPr>
      <w:rFonts w:ascii="Arial" w:hAnsi="Arial" w:cs="Arial"/>
      <w:b/>
      <w:sz w:val="22"/>
      <w:szCs w:val="22"/>
    </w:rPr>
  </w:style>
  <w:style w:type="table" w:styleId="TableGridLight">
    <w:name w:val="Grid Table Light"/>
    <w:basedOn w:val="TableNormal"/>
    <w:uiPriority w:val="40"/>
    <w:rsid w:val="00BF79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_1"/>
    <w:basedOn w:val="Marge"/>
    <w:link w:val="Bullet1Char"/>
    <w:qFormat/>
    <w:rsid w:val="00D503BE"/>
    <w:pPr>
      <w:numPr>
        <w:numId w:val="51"/>
      </w:numPr>
      <w:tabs>
        <w:tab w:val="clear" w:pos="567"/>
      </w:tabs>
      <w:spacing w:before="240" w:line="360" w:lineRule="auto"/>
    </w:pPr>
    <w:rPr>
      <w:rFonts w:eastAsia="SimSun" w:cs="Arial"/>
      <w:sz w:val="28"/>
      <w:szCs w:val="28"/>
      <w:lang w:val="en-GB" w:eastAsia="zh-CN"/>
    </w:rPr>
  </w:style>
  <w:style w:type="paragraph" w:customStyle="1" w:styleId="Bullet2">
    <w:name w:val="Bullet_2"/>
    <w:basedOn w:val="Marge"/>
    <w:qFormat/>
    <w:rsid w:val="00D503BE"/>
    <w:pPr>
      <w:numPr>
        <w:ilvl w:val="1"/>
        <w:numId w:val="51"/>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D503BE"/>
    <w:rPr>
      <w:rFonts w:ascii="Arial" w:hAnsi="Arial" w:cs="Arial"/>
      <w:snapToGrid w:val="0"/>
      <w:sz w:val="28"/>
      <w:szCs w:val="28"/>
      <w:lang w:eastAsia="zh-CN"/>
    </w:rPr>
  </w:style>
  <w:style w:type="paragraph" w:styleId="Revision">
    <w:name w:val="Revision"/>
    <w:hidden/>
    <w:uiPriority w:val="99"/>
    <w:semiHidden/>
    <w:rsid w:val="00BC3361"/>
    <w:rPr>
      <w:rFonts w:ascii="Times New Roman" w:eastAsia="Times New Roman" w:hAnsi="Times New Roman"/>
      <w:sz w:val="24"/>
      <w:szCs w:val="24"/>
      <w:lang w:val="fr-FR" w:eastAsia="fr-FR"/>
    </w:rPr>
  </w:style>
  <w:style w:type="character" w:styleId="FollowedHyperlink">
    <w:name w:val="FollowedHyperlink"/>
    <w:basedOn w:val="DefaultParagraphFont"/>
    <w:uiPriority w:val="99"/>
    <w:semiHidden/>
    <w:unhideWhenUsed/>
    <w:rsid w:val="005B0710"/>
    <w:rPr>
      <w:color w:val="954F72" w:themeColor="followedHyperlink"/>
      <w:u w:val="single"/>
    </w:rPr>
  </w:style>
  <w:style w:type="paragraph" w:customStyle="1" w:styleId="decisionelement">
    <w:name w:val="decision_element"/>
    <w:basedOn w:val="Normal"/>
    <w:rsid w:val="00AB2C73"/>
    <w:pPr>
      <w:spacing w:before="100" w:beforeAutospacing="1" w:after="100" w:afterAutospacing="1"/>
    </w:pPr>
    <w:rPr>
      <w:lang w:val="en-US" w:eastAsia="zh-CN"/>
    </w:rPr>
  </w:style>
  <w:style w:type="character" w:styleId="UnresolvedMention">
    <w:name w:val="Unresolved Mention"/>
    <w:basedOn w:val="DefaultParagraphFont"/>
    <w:uiPriority w:val="99"/>
    <w:semiHidden/>
    <w:unhideWhenUsed/>
    <w:rsid w:val="00BC4681"/>
    <w:rPr>
      <w:color w:val="605E5C"/>
      <w:shd w:val="clear" w:color="auto" w:fill="E1DFDD"/>
    </w:rPr>
  </w:style>
  <w:style w:type="paragraph" w:styleId="EndnoteText">
    <w:name w:val="endnote text"/>
    <w:basedOn w:val="Normal"/>
    <w:link w:val="EndnoteTextChar"/>
    <w:uiPriority w:val="99"/>
    <w:semiHidden/>
    <w:unhideWhenUsed/>
    <w:rsid w:val="0022400C"/>
    <w:rPr>
      <w:sz w:val="20"/>
      <w:szCs w:val="20"/>
    </w:rPr>
  </w:style>
  <w:style w:type="character" w:customStyle="1" w:styleId="EndnoteTextChar">
    <w:name w:val="Endnote Text Char"/>
    <w:basedOn w:val="DefaultParagraphFont"/>
    <w:link w:val="EndnoteText"/>
    <w:uiPriority w:val="99"/>
    <w:semiHidden/>
    <w:rsid w:val="0022400C"/>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22400C"/>
    <w:rPr>
      <w:vertAlign w:val="superscript"/>
    </w:rPr>
  </w:style>
  <w:style w:type="character" w:customStyle="1" w:styleId="Heading1Char">
    <w:name w:val="Heading 1 Char"/>
    <w:basedOn w:val="DefaultParagraphFont"/>
    <w:link w:val="Heading1"/>
    <w:uiPriority w:val="9"/>
    <w:rsid w:val="00FF422F"/>
    <w:rPr>
      <w:rFonts w:asciiTheme="majorHAnsi" w:eastAsiaTheme="majorEastAsia" w:hAnsiTheme="majorHAnsi" w:cstheme="majorBidi"/>
      <w:color w:val="2E74B5"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1231">
      <w:bodyDiv w:val="1"/>
      <w:marLeft w:val="0"/>
      <w:marRight w:val="0"/>
      <w:marTop w:val="0"/>
      <w:marBottom w:val="0"/>
      <w:divBdr>
        <w:top w:val="none" w:sz="0" w:space="0" w:color="auto"/>
        <w:left w:val="none" w:sz="0" w:space="0" w:color="auto"/>
        <w:bottom w:val="none" w:sz="0" w:space="0" w:color="auto"/>
        <w:right w:val="none" w:sz="0" w:space="0" w:color="auto"/>
      </w:divBdr>
    </w:div>
    <w:div w:id="350958325">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16954965">
      <w:bodyDiv w:val="1"/>
      <w:marLeft w:val="0"/>
      <w:marRight w:val="0"/>
      <w:marTop w:val="0"/>
      <w:marBottom w:val="0"/>
      <w:divBdr>
        <w:top w:val="none" w:sz="0" w:space="0" w:color="auto"/>
        <w:left w:val="none" w:sz="0" w:space="0" w:color="auto"/>
        <w:bottom w:val="none" w:sz="0" w:space="0" w:color="auto"/>
        <w:right w:val="none" w:sz="0" w:space="0" w:color="auto"/>
      </w:divBdr>
    </w:div>
    <w:div w:id="1317682913">
      <w:bodyDiv w:val="1"/>
      <w:marLeft w:val="0"/>
      <w:marRight w:val="0"/>
      <w:marTop w:val="0"/>
      <w:marBottom w:val="0"/>
      <w:divBdr>
        <w:top w:val="none" w:sz="0" w:space="0" w:color="auto"/>
        <w:left w:val="none" w:sz="0" w:space="0" w:color="auto"/>
        <w:bottom w:val="none" w:sz="0" w:space="0" w:color="auto"/>
        <w:right w:val="none" w:sz="0" w:space="0" w:color="auto"/>
      </w:divBdr>
    </w:div>
    <w:div w:id="150793856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0769563">
      <w:bodyDiv w:val="1"/>
      <w:marLeft w:val="0"/>
      <w:marRight w:val="0"/>
      <w:marTop w:val="0"/>
      <w:marBottom w:val="0"/>
      <w:divBdr>
        <w:top w:val="none" w:sz="0" w:space="0" w:color="auto"/>
        <w:left w:val="none" w:sz="0" w:space="0" w:color="auto"/>
        <w:bottom w:val="none" w:sz="0" w:space="0" w:color="auto"/>
        <w:right w:val="none" w:sz="0" w:space="0" w:color="auto"/>
      </w:divBdr>
    </w:div>
    <w:div w:id="17104536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92701445">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10-FR.docx" TargetMode="External"/><Relationship Id="rId13" Type="http://schemas.openxmlformats.org/officeDocument/2006/relationships/hyperlink" Target="https://ich.unesco.org/doc/src/LHE-22-9.GA-8-FR.docx" TargetMode="External"/><Relationship Id="rId18" Type="http://schemas.openxmlformats.org/officeDocument/2006/relationships/hyperlink" Target="https://ich.unesco.org/fr/reflection-on-the-role-of-ngos-01037" TargetMode="External"/><Relationship Id="rId26" Type="http://schemas.openxmlformats.org/officeDocument/2006/relationships/hyperlink" Target="https://ich.unesco.org/fr/projets/-00423?projectID=004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doc/src/LHE-22-9.GA-INF.10-FR.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fr/living-heritage-and-the-covid-19-pandemic-01179" TargetMode="External"/><Relationship Id="rId17" Type="http://schemas.openxmlformats.org/officeDocument/2006/relationships/hyperlink" Target="https://ich.unesco.org/doc/src/LHE-22-9.GA-7-FR.docx" TargetMode="External"/><Relationship Id="rId25" Type="http://schemas.openxmlformats.org/officeDocument/2006/relationships/hyperlink" Target="https://ich.unesco.org/en/clearinghouse-education"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2-9.GA-9-FR.docx" TargetMode="External"/><Relationship Id="rId20" Type="http://schemas.openxmlformats.org/officeDocument/2006/relationships/hyperlink" Target="https://ich.unesco.org/doc/src/LHE-22-9.GA-10-FR.docx" TargetMode="External"/><Relationship Id="rId29" Type="http://schemas.openxmlformats.org/officeDocument/2006/relationships/hyperlink" Target="https://ich.unesco.org/fr/emergency-situations-01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7671_fre" TargetMode="External"/><Relationship Id="rId24" Type="http://schemas.openxmlformats.org/officeDocument/2006/relationships/hyperlink" Target="https://ich.unesco.org/en/events/webinar-on-intangible-cultural-heritage-and-education-for-sustainable-development-00835" TargetMode="External"/><Relationship Id="rId32" Type="http://schemas.openxmlformats.org/officeDocument/2006/relationships/hyperlink" Target="https://ich.unesco.org/fr/Decisions/16.COM/5.b"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ch.unesco.org/fr/Decisions/16.COM/14" TargetMode="External"/><Relationship Id="rId23" Type="http://schemas.openxmlformats.org/officeDocument/2006/relationships/hyperlink" Target="https://ich.unesco.org/en/facilitator" TargetMode="External"/><Relationship Id="rId28" Type="http://schemas.openxmlformats.org/officeDocument/2006/relationships/hyperlink" Target="https://ich.unesco.org/en/dive/" TargetMode="External"/><Relationship Id="rId36" Type="http://schemas.openxmlformats.org/officeDocument/2006/relationships/hyperlink" Target="https://ich.unesco.org/fr/platform-on-living-heritage-experiences-and-covid-19-01123" TargetMode="External"/><Relationship Id="rId10" Type="http://schemas.openxmlformats.org/officeDocument/2006/relationships/hyperlink" Target="https://ich.unesco.org/doc/src/LHE-20-8.GA-6+Add.-FR.docx" TargetMode="External"/><Relationship Id="rId19" Type="http://schemas.openxmlformats.org/officeDocument/2006/relationships/hyperlink" Target="https://ich.unesco.org/doc/src/LHE-22-9.GA-INF.3.1-FR.docx" TargetMode="External"/><Relationship Id="rId31" Type="http://schemas.openxmlformats.org/officeDocument/2006/relationships/hyperlink" Target="https://ich.unesco.org/en/news/75th-anniversary-of-unesco-13351" TargetMode="External"/><Relationship Id="rId4" Type="http://schemas.openxmlformats.org/officeDocument/2006/relationships/settings" Target="settings.xml"/><Relationship Id="rId9" Type="http://schemas.openxmlformats.org/officeDocument/2006/relationships/hyperlink" Target="https://ich.unesco.org/doc/src/LHE-21-16.COM-INF.10_Rev.-FR.pdf" TargetMode="External"/><Relationship Id="rId14" Type="http://schemas.openxmlformats.org/officeDocument/2006/relationships/hyperlink" Target="https://ich.unesco.org/doc/src/LHE-22-9.GA-5-FR.docx" TargetMode="External"/><Relationship Id="rId22" Type="http://schemas.openxmlformats.org/officeDocument/2006/relationships/hyperlink" Target="https://ich.unesco.org/doc/src/53724-FR.pdf" TargetMode="External"/><Relationship Id="rId27" Type="http://schemas.openxmlformats.org/officeDocument/2006/relationships/hyperlink" Target="https://ich.unesco.org/doc/src/LHE-22-9.GA-12_FR.docx" TargetMode="External"/><Relationship Id="rId30" Type="http://schemas.openxmlformats.org/officeDocument/2006/relationships/hyperlink" Target="https://ich.unesco.org/fr/education-01017"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fr/Decisions/8.GA/10" TargetMode="External"/><Relationship Id="rId3" Type="http://schemas.openxmlformats.org/officeDocument/2006/relationships/hyperlink" Target="https://ich.unesco.org/fr/Decisions/15.COM/8" TargetMode="External"/><Relationship Id="rId7" Type="http://schemas.openxmlformats.org/officeDocument/2006/relationships/hyperlink" Target="https://ich.unesco.org/fr/D%C3%A9cisions/8.GA/9" TargetMode="External"/><Relationship Id="rId2" Type="http://schemas.openxmlformats.org/officeDocument/2006/relationships/hyperlink" Target="https://ich.unesco.org/fr/Decisions/14.COM/15" TargetMode="External"/><Relationship Id="rId1" Type="http://schemas.openxmlformats.org/officeDocument/2006/relationships/hyperlink" Target="https://ich.unesco.org/doc/src/LHE-21-16.COM-INF.10_Rev.-FR.pdf" TargetMode="External"/><Relationship Id="rId6" Type="http://schemas.openxmlformats.org/officeDocument/2006/relationships/hyperlink" Target="https://unesdoc.unesco.org/ark:/48223/pf0000379571_fre" TargetMode="External"/><Relationship Id="rId5" Type="http://schemas.openxmlformats.org/officeDocument/2006/relationships/hyperlink" Target="https://ich.unesco.org/en/Decisions/14.COM/10" TargetMode="External"/><Relationship Id="rId4" Type="http://schemas.openxmlformats.org/officeDocument/2006/relationships/hyperlink" Target="https://ich.unesco.org/fr/Decisions/15.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4FDC-A5C7-477D-91CA-C3567963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70</TotalTime>
  <Pages>17</Pages>
  <Words>7298</Words>
  <Characters>41605</Characters>
  <Application>Microsoft Office Word</Application>
  <DocSecurity>0</DocSecurity>
  <Lines>346</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docId:6DE7026871C9D83D58B4859C044CACD6</cp:keywords>
  <cp:lastModifiedBy>Nakata, Julien</cp:lastModifiedBy>
  <cp:revision>17</cp:revision>
  <cp:lastPrinted>2022-06-21T07:46:00Z</cp:lastPrinted>
  <dcterms:created xsi:type="dcterms:W3CDTF">2022-06-21T12:42:00Z</dcterms:created>
  <dcterms:modified xsi:type="dcterms:W3CDTF">2022-06-26T16:58:00Z</dcterms:modified>
</cp:coreProperties>
</file>