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E7FBCB" w14:textId="77777777" w:rsidR="00EC6F8D" w:rsidRPr="00293C60" w:rsidRDefault="00EC6F8D" w:rsidP="00EC6F8D">
      <w:pPr>
        <w:spacing w:before="1440"/>
        <w:jc w:val="center"/>
        <w:rPr>
          <w:rFonts w:ascii="Arial" w:hAnsi="Arial" w:cs="Arial"/>
          <w:b/>
          <w:sz w:val="22"/>
          <w:szCs w:val="22"/>
          <w:lang w:val="en-GB"/>
        </w:rPr>
      </w:pPr>
      <w:r w:rsidRPr="00293C60">
        <w:rPr>
          <w:rFonts w:ascii="Arial" w:hAnsi="Arial" w:cs="Arial"/>
          <w:b/>
          <w:sz w:val="22"/>
          <w:szCs w:val="22"/>
          <w:lang w:val="en-GB"/>
        </w:rPr>
        <w:t xml:space="preserve">CONVENTION FOR THE SAFEGUARDING OF THE </w:t>
      </w:r>
      <w:bookmarkStart w:id="0" w:name="_GoBack"/>
      <w:bookmarkEnd w:id="0"/>
      <w:r w:rsidRPr="00293C60">
        <w:rPr>
          <w:rFonts w:ascii="Arial" w:hAnsi="Arial" w:cs="Arial"/>
          <w:b/>
          <w:sz w:val="22"/>
          <w:szCs w:val="22"/>
          <w:lang w:val="en-GB"/>
        </w:rPr>
        <w:br/>
        <w:t>INTANGIBLE CULTURAL HERITAGE</w:t>
      </w:r>
    </w:p>
    <w:p w14:paraId="60B38E5C" w14:textId="77777777" w:rsidR="00EC6F8D" w:rsidRPr="00293C60" w:rsidRDefault="00EC6F8D" w:rsidP="00EC6F8D">
      <w:pPr>
        <w:spacing w:before="1200"/>
        <w:jc w:val="center"/>
        <w:rPr>
          <w:rFonts w:ascii="Arial" w:hAnsi="Arial" w:cs="Arial"/>
          <w:b/>
          <w:sz w:val="22"/>
          <w:szCs w:val="22"/>
          <w:lang w:val="en-GB"/>
        </w:rPr>
      </w:pPr>
      <w:r w:rsidRPr="00293C60">
        <w:rPr>
          <w:rFonts w:ascii="Arial" w:hAnsi="Arial" w:cs="Arial"/>
          <w:b/>
          <w:sz w:val="22"/>
          <w:szCs w:val="22"/>
          <w:lang w:val="en-GB"/>
        </w:rPr>
        <w:t>INTERGOVERNMENTAL COMMITTEE FOR THE</w:t>
      </w:r>
      <w:r w:rsidRPr="00293C60">
        <w:rPr>
          <w:rFonts w:ascii="Arial" w:hAnsi="Arial" w:cs="Arial"/>
          <w:b/>
          <w:sz w:val="22"/>
          <w:szCs w:val="22"/>
          <w:lang w:val="en-GB"/>
        </w:rPr>
        <w:br/>
        <w:t>SAFEGUARDING OF THE INTANGIBLE CULTURAL HERITAGE</w:t>
      </w:r>
    </w:p>
    <w:p w14:paraId="636943C0" w14:textId="77777777" w:rsidR="00EC6F8D" w:rsidRPr="00293C60" w:rsidRDefault="00C7433F" w:rsidP="001D14FE">
      <w:pPr>
        <w:spacing w:before="840"/>
        <w:jc w:val="center"/>
        <w:rPr>
          <w:rFonts w:ascii="Arial" w:hAnsi="Arial" w:cs="Arial"/>
          <w:b/>
          <w:sz w:val="22"/>
          <w:szCs w:val="22"/>
          <w:lang w:val="en-GB"/>
        </w:rPr>
      </w:pPr>
      <w:r>
        <w:rPr>
          <w:rFonts w:ascii="Arial" w:eastAsiaTheme="minorEastAsia" w:hAnsi="Arial" w:cs="Arial" w:hint="eastAsia"/>
          <w:b/>
          <w:sz w:val="22"/>
          <w:szCs w:val="22"/>
          <w:lang w:val="en-GB" w:eastAsia="ko-KR"/>
        </w:rPr>
        <w:t>T</w:t>
      </w:r>
      <w:r w:rsidR="001D14FE">
        <w:rPr>
          <w:rFonts w:ascii="Arial" w:eastAsiaTheme="minorEastAsia" w:hAnsi="Arial" w:cs="Arial"/>
          <w:b/>
          <w:sz w:val="22"/>
          <w:szCs w:val="22"/>
          <w:lang w:val="en-GB" w:eastAsia="ko-KR"/>
        </w:rPr>
        <w:t>hirteen</w:t>
      </w:r>
      <w:r w:rsidR="00CB0542">
        <w:rPr>
          <w:rFonts w:ascii="Arial" w:hAnsi="Arial" w:cs="Arial"/>
          <w:b/>
          <w:sz w:val="22"/>
          <w:szCs w:val="22"/>
          <w:lang w:val="en-GB"/>
        </w:rPr>
        <w:t>th</w:t>
      </w:r>
      <w:r w:rsidR="00EC6F8D">
        <w:rPr>
          <w:rFonts w:ascii="Arial" w:hAnsi="Arial" w:cs="Arial"/>
          <w:b/>
          <w:sz w:val="22"/>
          <w:szCs w:val="22"/>
          <w:lang w:val="en-GB"/>
        </w:rPr>
        <w:t xml:space="preserve"> </w:t>
      </w:r>
      <w:r w:rsidR="00EC6F8D" w:rsidRPr="00293C60">
        <w:rPr>
          <w:rFonts w:ascii="Arial" w:hAnsi="Arial" w:cs="Arial"/>
          <w:b/>
          <w:sz w:val="22"/>
          <w:szCs w:val="22"/>
          <w:lang w:val="en-GB"/>
        </w:rPr>
        <w:t>session</w:t>
      </w:r>
    </w:p>
    <w:p w14:paraId="5858FEE8" w14:textId="77777777" w:rsidR="009D5428" w:rsidRPr="00337CEB" w:rsidRDefault="001D14FE" w:rsidP="001D14FE">
      <w:pPr>
        <w:jc w:val="center"/>
        <w:rPr>
          <w:rFonts w:ascii="Arial" w:eastAsiaTheme="minorEastAsia" w:hAnsi="Arial" w:cs="Arial"/>
          <w:b/>
          <w:sz w:val="22"/>
          <w:szCs w:val="22"/>
          <w:lang w:val="en-GB" w:eastAsia="ko-KR"/>
        </w:rPr>
      </w:pPr>
      <w:r>
        <w:rPr>
          <w:rFonts w:ascii="Arial" w:eastAsiaTheme="minorEastAsia" w:hAnsi="Arial" w:cs="Arial"/>
          <w:b/>
          <w:sz w:val="22"/>
          <w:szCs w:val="22"/>
          <w:lang w:val="en-GB" w:eastAsia="ko-KR"/>
        </w:rPr>
        <w:t>Port Louis</w:t>
      </w:r>
      <w:r w:rsidR="00CB0542">
        <w:rPr>
          <w:rFonts w:ascii="Arial" w:hAnsi="Arial" w:cs="Arial"/>
          <w:b/>
          <w:sz w:val="22"/>
          <w:szCs w:val="22"/>
          <w:lang w:val="en-GB"/>
        </w:rPr>
        <w:t xml:space="preserve">, </w:t>
      </w:r>
      <w:r w:rsidR="00337CEB">
        <w:rPr>
          <w:rFonts w:ascii="Arial" w:eastAsiaTheme="minorEastAsia" w:hAnsi="Arial" w:cs="Arial" w:hint="eastAsia"/>
          <w:b/>
          <w:sz w:val="22"/>
          <w:szCs w:val="22"/>
          <w:lang w:val="en-GB" w:eastAsia="ko-KR"/>
        </w:rPr>
        <w:t xml:space="preserve">Republic of </w:t>
      </w:r>
      <w:r>
        <w:rPr>
          <w:rFonts w:ascii="Arial" w:eastAsiaTheme="minorEastAsia" w:hAnsi="Arial" w:cs="Arial"/>
          <w:b/>
          <w:sz w:val="22"/>
          <w:szCs w:val="22"/>
          <w:lang w:val="en-GB" w:eastAsia="ko-KR"/>
        </w:rPr>
        <w:t>Mauritius</w:t>
      </w:r>
    </w:p>
    <w:p w14:paraId="6937E22C" w14:textId="77777777" w:rsidR="00EC6F8D" w:rsidRPr="00337CEB" w:rsidRDefault="001D14FE" w:rsidP="001D14FE">
      <w:pPr>
        <w:jc w:val="center"/>
        <w:rPr>
          <w:rFonts w:ascii="Arial" w:eastAsiaTheme="minorEastAsia" w:hAnsi="Arial" w:cs="Arial"/>
          <w:b/>
          <w:sz w:val="22"/>
          <w:szCs w:val="22"/>
          <w:lang w:val="en-GB" w:eastAsia="ko-KR"/>
        </w:rPr>
      </w:pPr>
      <w:r>
        <w:rPr>
          <w:rFonts w:ascii="Arial" w:eastAsiaTheme="minorEastAsia" w:hAnsi="Arial" w:cs="Arial"/>
          <w:b/>
          <w:sz w:val="22"/>
          <w:szCs w:val="22"/>
          <w:lang w:val="en-GB" w:eastAsia="ko-KR"/>
        </w:rPr>
        <w:t xml:space="preserve">26 November </w:t>
      </w:r>
      <w:r w:rsidR="00EC6F8D" w:rsidRPr="00EC6F8D">
        <w:rPr>
          <w:rFonts w:ascii="Arial" w:hAnsi="Arial" w:cs="Arial"/>
          <w:b/>
          <w:sz w:val="22"/>
          <w:szCs w:val="22"/>
          <w:lang w:val="en-GB"/>
        </w:rPr>
        <w:t xml:space="preserve">to </w:t>
      </w:r>
      <w:r>
        <w:rPr>
          <w:rFonts w:ascii="Arial" w:hAnsi="Arial" w:cs="Arial"/>
          <w:b/>
          <w:sz w:val="22"/>
          <w:szCs w:val="22"/>
          <w:lang w:val="en-GB"/>
        </w:rPr>
        <w:t>1</w:t>
      </w:r>
      <w:r w:rsidR="00337CEB">
        <w:rPr>
          <w:rFonts w:ascii="Arial" w:hAnsi="Arial" w:cs="Arial"/>
          <w:b/>
          <w:sz w:val="22"/>
          <w:szCs w:val="22"/>
          <w:lang w:val="en-GB"/>
        </w:rPr>
        <w:t xml:space="preserve"> December 201</w:t>
      </w:r>
      <w:r>
        <w:rPr>
          <w:rFonts w:ascii="Arial" w:eastAsiaTheme="minorEastAsia" w:hAnsi="Arial" w:cs="Arial"/>
          <w:b/>
          <w:sz w:val="22"/>
          <w:szCs w:val="22"/>
          <w:lang w:val="en-GB" w:eastAsia="ko-KR"/>
        </w:rPr>
        <w:t>8</w:t>
      </w:r>
    </w:p>
    <w:p w14:paraId="1FEC8E4C" w14:textId="758D34F2" w:rsidR="00EC6F8D" w:rsidRPr="00293C60" w:rsidRDefault="00EC6F8D">
      <w:pPr>
        <w:pStyle w:val="Sansinterligne2"/>
        <w:spacing w:before="1200"/>
        <w:jc w:val="center"/>
        <w:rPr>
          <w:rFonts w:ascii="Arial" w:hAnsi="Arial" w:cs="Arial"/>
          <w:b/>
          <w:sz w:val="22"/>
          <w:szCs w:val="22"/>
          <w:lang w:val="en-GB"/>
        </w:rPr>
      </w:pPr>
      <w:r w:rsidRPr="00293C60">
        <w:rPr>
          <w:rFonts w:ascii="Arial" w:hAnsi="Arial" w:cs="Arial"/>
          <w:b/>
          <w:sz w:val="22"/>
          <w:szCs w:val="22"/>
          <w:u w:val="single"/>
          <w:lang w:val="en-GB"/>
        </w:rPr>
        <w:t xml:space="preserve">Item </w:t>
      </w:r>
      <w:r w:rsidR="0060225B">
        <w:rPr>
          <w:rFonts w:ascii="Arial" w:hAnsi="Arial" w:cs="Arial"/>
          <w:b/>
          <w:sz w:val="22"/>
          <w:szCs w:val="22"/>
          <w:u w:val="single"/>
          <w:lang w:val="en-GB"/>
        </w:rPr>
        <w:t>6</w:t>
      </w:r>
      <w:r w:rsidRPr="00293C60">
        <w:rPr>
          <w:rFonts w:ascii="Arial" w:hAnsi="Arial" w:cs="Arial"/>
          <w:b/>
          <w:sz w:val="22"/>
          <w:szCs w:val="22"/>
          <w:u w:val="single"/>
          <w:lang w:val="en-GB"/>
        </w:rPr>
        <w:t xml:space="preserve"> of the Provisional Agenda</w:t>
      </w:r>
      <w:r w:rsidRPr="00293C60">
        <w:rPr>
          <w:rFonts w:ascii="Arial" w:hAnsi="Arial" w:cs="Arial"/>
          <w:b/>
          <w:sz w:val="22"/>
          <w:szCs w:val="22"/>
          <w:lang w:val="en-GB"/>
        </w:rPr>
        <w:t>:</w:t>
      </w:r>
    </w:p>
    <w:p w14:paraId="511BCB0E" w14:textId="77777777" w:rsidR="00EC6F8D" w:rsidRPr="00293C60" w:rsidRDefault="00DD6DA1" w:rsidP="00EC6F8D">
      <w:pPr>
        <w:pStyle w:val="Sansinterligne2"/>
        <w:spacing w:after="1200"/>
        <w:jc w:val="center"/>
        <w:rPr>
          <w:rFonts w:ascii="Arial" w:hAnsi="Arial" w:cs="Arial"/>
          <w:b/>
          <w:sz w:val="22"/>
          <w:szCs w:val="22"/>
          <w:lang w:val="en-GB"/>
        </w:rPr>
      </w:pPr>
      <w:r w:rsidRPr="00DD6DA1">
        <w:rPr>
          <w:rFonts w:ascii="Arial" w:hAnsi="Arial" w:cs="Arial"/>
          <w:b/>
          <w:sz w:val="22"/>
          <w:szCs w:val="22"/>
          <w:lang w:val="en-GB"/>
        </w:rPr>
        <w:t xml:space="preserve">Intangible Cultural Heritage Fund: </w:t>
      </w:r>
      <w:r w:rsidR="00F24622">
        <w:rPr>
          <w:rFonts w:ascii="Arial" w:hAnsi="Arial" w:cs="Arial"/>
          <w:b/>
          <w:sz w:val="22"/>
          <w:szCs w:val="22"/>
          <w:lang w:val="en-GB"/>
        </w:rPr>
        <w:br/>
      </w:r>
      <w:r w:rsidRPr="00DD6DA1">
        <w:rPr>
          <w:rFonts w:ascii="Arial" w:hAnsi="Arial" w:cs="Arial"/>
          <w:b/>
          <w:sz w:val="22"/>
          <w:szCs w:val="22"/>
          <w:lang w:val="en-GB"/>
        </w:rPr>
        <w:t>voluntary supplementary contributions and other issues</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0077AF" w14:paraId="13A0FB43" w14:textId="77777777" w:rsidTr="00EC6F8D">
        <w:trPr>
          <w:jc w:val="center"/>
        </w:trPr>
        <w:tc>
          <w:tcPr>
            <w:tcW w:w="5670" w:type="dxa"/>
            <w:vAlign w:val="center"/>
          </w:tcPr>
          <w:p w14:paraId="3249C2EF" w14:textId="77777777" w:rsidR="00EC6F8D" w:rsidRPr="00293C60" w:rsidRDefault="00EC6F8D" w:rsidP="00CA56BB">
            <w:pPr>
              <w:pStyle w:val="Sansinterligne1"/>
              <w:spacing w:before="200" w:after="200"/>
              <w:jc w:val="center"/>
              <w:rPr>
                <w:rFonts w:ascii="Arial" w:hAnsi="Arial" w:cs="Arial"/>
                <w:b/>
                <w:sz w:val="22"/>
                <w:szCs w:val="22"/>
                <w:lang w:val="en-GB"/>
              </w:rPr>
            </w:pPr>
            <w:r w:rsidRPr="00293C60">
              <w:rPr>
                <w:rFonts w:ascii="Arial" w:hAnsi="Arial" w:cs="Arial"/>
                <w:b/>
                <w:sz w:val="22"/>
                <w:szCs w:val="22"/>
                <w:lang w:val="en-GB"/>
              </w:rPr>
              <w:t>Summary</w:t>
            </w:r>
          </w:p>
          <w:p w14:paraId="52C82569" w14:textId="7160003A" w:rsidR="00125CCC" w:rsidRDefault="00125CCC" w:rsidP="00125CCC">
            <w:pPr>
              <w:pStyle w:val="Sansinterligne2"/>
              <w:spacing w:before="200" w:after="200"/>
              <w:jc w:val="both"/>
              <w:rPr>
                <w:rFonts w:ascii="Arial" w:hAnsi="Arial" w:cs="Arial"/>
                <w:sz w:val="22"/>
                <w:szCs w:val="22"/>
                <w:lang w:val="en-GB"/>
              </w:rPr>
            </w:pPr>
            <w:r w:rsidRPr="009426E5">
              <w:rPr>
                <w:rFonts w:ascii="Arial" w:hAnsi="Arial" w:cs="Arial"/>
                <w:sz w:val="22"/>
                <w:szCs w:val="22"/>
                <w:lang w:val="en-GB"/>
              </w:rPr>
              <w:t xml:space="preserve">In accordance with Article 25.5 of the Convention, the Committee may accept contributions to the </w:t>
            </w:r>
            <w:r w:rsidRPr="002316D6">
              <w:rPr>
                <w:rFonts w:ascii="Arial" w:hAnsi="Arial" w:cs="Arial"/>
                <w:sz w:val="22"/>
                <w:szCs w:val="22"/>
                <w:lang w:val="en-GB"/>
              </w:rPr>
              <w:t>Intangible Cultural Heritage Fund</w:t>
            </w:r>
            <w:r w:rsidRPr="009426E5">
              <w:rPr>
                <w:rFonts w:ascii="Arial" w:hAnsi="Arial" w:cs="Arial"/>
                <w:sz w:val="22"/>
                <w:szCs w:val="22"/>
                <w:lang w:val="en-GB"/>
              </w:rPr>
              <w:t xml:space="preserve"> for specific purposes relating to specific projects, </w:t>
            </w:r>
            <w:proofErr w:type="gramStart"/>
            <w:r w:rsidRPr="009426E5">
              <w:rPr>
                <w:rFonts w:ascii="Arial" w:hAnsi="Arial" w:cs="Arial"/>
                <w:sz w:val="22"/>
                <w:szCs w:val="22"/>
                <w:lang w:val="en-GB"/>
              </w:rPr>
              <w:t>provided that</w:t>
            </w:r>
            <w:proofErr w:type="gramEnd"/>
            <w:r w:rsidRPr="009426E5">
              <w:rPr>
                <w:rFonts w:ascii="Arial" w:hAnsi="Arial" w:cs="Arial"/>
                <w:sz w:val="22"/>
                <w:szCs w:val="22"/>
                <w:lang w:val="en-GB"/>
              </w:rPr>
              <w:t xml:space="preserve"> those projects have been approved by the Committee. The present document </w:t>
            </w:r>
            <w:r w:rsidR="00623873">
              <w:rPr>
                <w:rFonts w:ascii="Arial" w:hAnsi="Arial" w:cs="Arial"/>
                <w:sz w:val="22"/>
                <w:szCs w:val="22"/>
                <w:lang w:val="en-GB"/>
              </w:rPr>
              <w:t>(1)</w:t>
            </w:r>
            <w:r w:rsidR="00DF452F">
              <w:rPr>
                <w:rFonts w:ascii="Arial" w:hAnsi="Arial" w:cs="Arial"/>
                <w:sz w:val="22"/>
                <w:szCs w:val="22"/>
                <w:lang w:val="en-GB"/>
              </w:rPr>
              <w:t> </w:t>
            </w:r>
            <w:r w:rsidRPr="009426E5">
              <w:rPr>
                <w:rFonts w:ascii="Arial" w:hAnsi="Arial" w:cs="Arial"/>
                <w:sz w:val="22"/>
                <w:szCs w:val="22"/>
                <w:lang w:val="en-GB"/>
              </w:rPr>
              <w:t>reports on such contributions</w:t>
            </w:r>
            <w:r w:rsidR="00BD610C">
              <w:rPr>
                <w:rFonts w:ascii="Arial" w:hAnsi="Arial" w:cs="Arial"/>
                <w:sz w:val="22"/>
                <w:szCs w:val="22"/>
                <w:lang w:val="en-GB"/>
              </w:rPr>
              <w:t xml:space="preserve"> received</w:t>
            </w:r>
            <w:r w:rsidRPr="009426E5">
              <w:rPr>
                <w:rFonts w:ascii="Arial" w:hAnsi="Arial" w:cs="Arial"/>
                <w:sz w:val="22"/>
                <w:szCs w:val="22"/>
                <w:lang w:val="en-GB"/>
              </w:rPr>
              <w:t xml:space="preserve"> </w:t>
            </w:r>
            <w:r w:rsidR="00BD610C">
              <w:rPr>
                <w:rFonts w:ascii="Arial" w:hAnsi="Arial" w:cs="Arial"/>
                <w:sz w:val="22"/>
                <w:szCs w:val="22"/>
                <w:lang w:val="en-GB"/>
              </w:rPr>
              <w:t>between</w:t>
            </w:r>
            <w:r w:rsidR="00BD610C" w:rsidRPr="009426E5">
              <w:rPr>
                <w:rFonts w:ascii="Arial" w:hAnsi="Arial" w:cs="Arial"/>
                <w:sz w:val="22"/>
                <w:szCs w:val="22"/>
                <w:lang w:val="en-GB"/>
              </w:rPr>
              <w:t xml:space="preserve"> </w:t>
            </w:r>
            <w:r w:rsidRPr="009426E5">
              <w:rPr>
                <w:rFonts w:ascii="Arial" w:hAnsi="Arial" w:cs="Arial"/>
                <w:sz w:val="22"/>
                <w:szCs w:val="22"/>
                <w:lang w:val="en-GB"/>
              </w:rPr>
              <w:t xml:space="preserve">the </w:t>
            </w:r>
            <w:r>
              <w:rPr>
                <w:rFonts w:ascii="Arial" w:hAnsi="Arial" w:cs="Arial"/>
                <w:sz w:val="22"/>
                <w:szCs w:val="22"/>
                <w:lang w:val="en-GB"/>
              </w:rPr>
              <w:t>twelfth</w:t>
            </w:r>
            <w:r w:rsidRPr="007F7B0A">
              <w:rPr>
                <w:rFonts w:ascii="Arial" w:hAnsi="Arial" w:cs="Arial"/>
                <w:sz w:val="22"/>
                <w:szCs w:val="22"/>
                <w:lang w:val="en-GB"/>
              </w:rPr>
              <w:t xml:space="preserve"> session</w:t>
            </w:r>
            <w:r>
              <w:rPr>
                <w:rFonts w:ascii="Arial" w:hAnsi="Arial" w:cs="Arial"/>
                <w:sz w:val="22"/>
                <w:szCs w:val="22"/>
                <w:lang w:val="en-GB"/>
              </w:rPr>
              <w:t xml:space="preserve"> </w:t>
            </w:r>
            <w:r w:rsidR="00623873">
              <w:rPr>
                <w:rFonts w:ascii="Arial" w:hAnsi="Arial" w:cs="Arial"/>
                <w:sz w:val="22"/>
                <w:szCs w:val="22"/>
                <w:lang w:val="en-GB"/>
              </w:rPr>
              <w:t>of the Committee</w:t>
            </w:r>
            <w:r w:rsidR="00BD610C">
              <w:rPr>
                <w:rFonts w:ascii="Arial" w:hAnsi="Arial" w:cs="Arial"/>
                <w:sz w:val="22"/>
                <w:szCs w:val="22"/>
                <w:lang w:val="en-GB"/>
              </w:rPr>
              <w:t xml:space="preserve"> </w:t>
            </w:r>
            <w:r w:rsidR="00DF452F">
              <w:rPr>
                <w:rFonts w:ascii="Arial" w:hAnsi="Arial" w:cs="Arial"/>
                <w:sz w:val="22"/>
                <w:szCs w:val="22"/>
                <w:lang w:val="en-GB"/>
              </w:rPr>
              <w:t>and September</w:t>
            </w:r>
            <w:r w:rsidR="00400874">
              <w:rPr>
                <w:rFonts w:ascii="Arial" w:hAnsi="Arial" w:cs="Arial"/>
                <w:sz w:val="22"/>
                <w:szCs w:val="22"/>
                <w:lang w:val="en-GB"/>
              </w:rPr>
              <w:t xml:space="preserve"> 2018</w:t>
            </w:r>
            <w:r w:rsidR="00597FB2">
              <w:rPr>
                <w:rFonts w:ascii="Arial" w:hAnsi="Arial" w:cs="Arial"/>
                <w:sz w:val="22"/>
                <w:szCs w:val="22"/>
                <w:lang w:val="en-GB"/>
              </w:rPr>
              <w:t xml:space="preserve"> and</w:t>
            </w:r>
            <w:r w:rsidR="00773C01">
              <w:rPr>
                <w:rFonts w:ascii="Arial" w:hAnsi="Arial" w:cs="Arial"/>
                <w:sz w:val="22"/>
                <w:szCs w:val="22"/>
                <w:lang w:val="en-GB"/>
              </w:rPr>
              <w:t xml:space="preserve"> (2) </w:t>
            </w:r>
            <w:r>
              <w:rPr>
                <w:rFonts w:ascii="Arial" w:hAnsi="Arial" w:cs="Arial"/>
                <w:sz w:val="22"/>
                <w:szCs w:val="22"/>
                <w:lang w:val="en-GB"/>
              </w:rPr>
              <w:t>bring</w:t>
            </w:r>
            <w:r w:rsidR="00154EB6">
              <w:rPr>
                <w:rFonts w:ascii="Arial" w:hAnsi="Arial" w:cs="Arial"/>
                <w:sz w:val="22"/>
                <w:szCs w:val="22"/>
                <w:lang w:val="en-GB"/>
              </w:rPr>
              <w:t>s</w:t>
            </w:r>
            <w:r>
              <w:rPr>
                <w:rFonts w:ascii="Arial" w:hAnsi="Arial" w:cs="Arial"/>
                <w:sz w:val="22"/>
                <w:szCs w:val="22"/>
                <w:lang w:val="en-GB"/>
              </w:rPr>
              <w:t xml:space="preserve"> </w:t>
            </w:r>
            <w:r w:rsidR="00623873">
              <w:rPr>
                <w:rFonts w:ascii="Arial" w:hAnsi="Arial" w:cs="Arial"/>
                <w:sz w:val="22"/>
                <w:szCs w:val="22"/>
                <w:lang w:val="en-GB"/>
              </w:rPr>
              <w:t xml:space="preserve">to the attention of the Committee </w:t>
            </w:r>
            <w:r>
              <w:rPr>
                <w:rFonts w:ascii="Arial" w:hAnsi="Arial" w:cs="Arial"/>
                <w:sz w:val="22"/>
                <w:szCs w:val="22"/>
                <w:lang w:val="en-GB"/>
              </w:rPr>
              <w:t>the decision taken by the 204</w:t>
            </w:r>
            <w:r w:rsidR="00623873">
              <w:rPr>
                <w:rFonts w:ascii="Arial" w:hAnsi="Arial" w:cs="Arial"/>
                <w:sz w:val="22"/>
                <w:szCs w:val="22"/>
                <w:lang w:val="en-GB"/>
              </w:rPr>
              <w:t>th</w:t>
            </w:r>
            <w:r>
              <w:rPr>
                <w:rFonts w:ascii="Arial" w:hAnsi="Arial" w:cs="Arial"/>
                <w:sz w:val="22"/>
                <w:szCs w:val="22"/>
                <w:lang w:val="en-GB"/>
              </w:rPr>
              <w:t xml:space="preserve"> </w:t>
            </w:r>
            <w:r w:rsidR="00236360">
              <w:rPr>
                <w:rFonts w:ascii="Arial" w:hAnsi="Arial" w:cs="Arial"/>
                <w:sz w:val="22"/>
                <w:szCs w:val="22"/>
                <w:lang w:val="en-GB"/>
              </w:rPr>
              <w:t xml:space="preserve">session of the </w:t>
            </w:r>
            <w:r>
              <w:rPr>
                <w:rFonts w:ascii="Arial" w:hAnsi="Arial" w:cs="Arial"/>
                <w:sz w:val="22"/>
                <w:szCs w:val="22"/>
                <w:lang w:val="en-GB"/>
              </w:rPr>
              <w:t xml:space="preserve">Executive Board </w:t>
            </w:r>
            <w:r w:rsidR="00236360">
              <w:rPr>
                <w:rFonts w:ascii="Arial" w:hAnsi="Arial" w:cs="Arial"/>
                <w:sz w:val="22"/>
                <w:szCs w:val="22"/>
                <w:lang w:val="en-GB"/>
              </w:rPr>
              <w:t xml:space="preserve">regarding </w:t>
            </w:r>
            <w:r>
              <w:rPr>
                <w:rFonts w:ascii="Arial" w:hAnsi="Arial" w:cs="Arial"/>
                <w:sz w:val="22"/>
                <w:szCs w:val="22"/>
                <w:lang w:val="en-GB"/>
              </w:rPr>
              <w:t xml:space="preserve">the revision of the </w:t>
            </w:r>
            <w:r w:rsidRPr="00125CCC">
              <w:rPr>
                <w:rFonts w:ascii="Arial" w:hAnsi="Arial" w:cs="Arial"/>
                <w:sz w:val="22"/>
                <w:szCs w:val="22"/>
                <w:lang w:val="en-GB"/>
              </w:rPr>
              <w:t>Management Cost Rates</w:t>
            </w:r>
            <w:r>
              <w:rPr>
                <w:rFonts w:ascii="Arial" w:hAnsi="Arial" w:cs="Arial"/>
                <w:sz w:val="22"/>
                <w:szCs w:val="22"/>
                <w:lang w:val="en-GB"/>
              </w:rPr>
              <w:t>.</w:t>
            </w:r>
          </w:p>
          <w:p w14:paraId="63501E22" w14:textId="77777777" w:rsidR="00EC6F8D" w:rsidRPr="00293C60" w:rsidRDefault="00EC6F8D" w:rsidP="00125CCC">
            <w:pPr>
              <w:pStyle w:val="Sansinterligne2"/>
              <w:spacing w:before="200" w:after="200"/>
              <w:jc w:val="both"/>
              <w:rPr>
                <w:rFonts w:ascii="Arial" w:hAnsi="Arial" w:cs="Arial"/>
                <w:b/>
                <w:sz w:val="22"/>
                <w:szCs w:val="22"/>
                <w:lang w:val="en-GB"/>
              </w:rPr>
            </w:pPr>
            <w:r w:rsidRPr="00293C60">
              <w:rPr>
                <w:rFonts w:ascii="Arial" w:hAnsi="Arial" w:cs="Arial"/>
                <w:b/>
                <w:sz w:val="22"/>
                <w:szCs w:val="22"/>
                <w:lang w:val="en-GB"/>
              </w:rPr>
              <w:t xml:space="preserve">Decision required: </w:t>
            </w:r>
            <w:r w:rsidRPr="00293C60">
              <w:rPr>
                <w:rFonts w:ascii="Arial" w:hAnsi="Arial" w:cs="Arial"/>
                <w:bCs/>
                <w:sz w:val="22"/>
                <w:szCs w:val="22"/>
                <w:lang w:val="en-GB"/>
              </w:rPr>
              <w:t xml:space="preserve">paragraph </w:t>
            </w:r>
            <w:r w:rsidR="00125CCC">
              <w:rPr>
                <w:rFonts w:ascii="Arial" w:hAnsi="Arial" w:cs="Arial"/>
                <w:bCs/>
                <w:sz w:val="22"/>
                <w:szCs w:val="22"/>
                <w:lang w:val="en-GB"/>
              </w:rPr>
              <w:t>14</w:t>
            </w:r>
          </w:p>
        </w:tc>
      </w:tr>
    </w:tbl>
    <w:p w14:paraId="1F3BE27E" w14:textId="77777777" w:rsidR="0066633D" w:rsidRDefault="0066633D">
      <w:pPr>
        <w:rPr>
          <w:rFonts w:ascii="Arial" w:hAnsi="Arial" w:cs="Arial"/>
          <w:snapToGrid w:val="0"/>
          <w:sz w:val="22"/>
          <w:szCs w:val="22"/>
          <w:lang w:val="en-GB" w:eastAsia="en-US"/>
        </w:rPr>
      </w:pPr>
      <w:r>
        <w:br w:type="page"/>
      </w:r>
    </w:p>
    <w:p w14:paraId="59030D2D" w14:textId="14D1E559" w:rsidR="0057439C" w:rsidRPr="00606F5E" w:rsidRDefault="001704D6" w:rsidP="0066633D">
      <w:pPr>
        <w:pStyle w:val="COMPara"/>
        <w:numPr>
          <w:ilvl w:val="0"/>
          <w:numId w:val="15"/>
        </w:numPr>
        <w:ind w:left="567" w:hanging="567"/>
        <w:jc w:val="both"/>
      </w:pPr>
      <w:r w:rsidRPr="00BF3626">
        <w:rPr>
          <w:lang w:val="en-US"/>
        </w:rPr>
        <w:lastRenderedPageBreak/>
        <w:t xml:space="preserve">Chapter VI of the Convention, concerning the Fund </w:t>
      </w:r>
      <w:r w:rsidR="00DC3741">
        <w:rPr>
          <w:lang w:val="en-US"/>
        </w:rPr>
        <w:t xml:space="preserve">for the Safeguarding of the </w:t>
      </w:r>
      <w:r w:rsidR="00DC3741" w:rsidRPr="00BF3626">
        <w:rPr>
          <w:lang w:val="en-US"/>
        </w:rPr>
        <w:t xml:space="preserve">Intangible Cultural Heritage </w:t>
      </w:r>
      <w:r w:rsidRPr="00BF3626">
        <w:rPr>
          <w:lang w:val="en-US"/>
        </w:rPr>
        <w:t>(hereafter</w:t>
      </w:r>
      <w:r w:rsidR="00154EB6">
        <w:rPr>
          <w:lang w:val="en-US"/>
        </w:rPr>
        <w:t xml:space="preserve">, </w:t>
      </w:r>
      <w:r w:rsidRPr="00BF3626">
        <w:rPr>
          <w:lang w:val="en-US"/>
        </w:rPr>
        <w:t xml:space="preserve">the </w:t>
      </w:r>
      <w:r w:rsidR="00C43842">
        <w:rPr>
          <w:lang w:val="en-US"/>
        </w:rPr>
        <w:t xml:space="preserve">Intangible Cultural Heritage </w:t>
      </w:r>
      <w:r w:rsidRPr="00BF3626">
        <w:rPr>
          <w:lang w:val="en-US"/>
        </w:rPr>
        <w:t xml:space="preserve">Fund), states that States Parties may wish to provide voluntary supplementary contributions (Article 27) in addition to their assessed contributions </w:t>
      </w:r>
      <w:r w:rsidR="00F16B8A">
        <w:rPr>
          <w:lang w:val="en-US"/>
        </w:rPr>
        <w:t>(</w:t>
      </w:r>
      <w:r w:rsidRPr="00BF3626">
        <w:rPr>
          <w:lang w:val="en-US"/>
        </w:rPr>
        <w:t>Article 26</w:t>
      </w:r>
      <w:r w:rsidR="00F16B8A">
        <w:rPr>
          <w:lang w:val="en-US"/>
        </w:rPr>
        <w:t>)</w:t>
      </w:r>
      <w:r w:rsidRPr="00BF3626">
        <w:rPr>
          <w:lang w:val="en-US"/>
        </w:rPr>
        <w:t xml:space="preserve">. </w:t>
      </w:r>
      <w:r w:rsidR="00F16B8A">
        <w:rPr>
          <w:lang w:val="en-US"/>
        </w:rPr>
        <w:t>S</w:t>
      </w:r>
      <w:r w:rsidRPr="00BF3626">
        <w:rPr>
          <w:lang w:val="en-US"/>
        </w:rPr>
        <w:t xml:space="preserve">uch contributions </w:t>
      </w:r>
      <w:r w:rsidR="00F16B8A">
        <w:rPr>
          <w:lang w:val="en-US"/>
        </w:rPr>
        <w:t>may be</w:t>
      </w:r>
      <w:r w:rsidRPr="00BF3626">
        <w:rPr>
          <w:lang w:val="en-US"/>
        </w:rPr>
        <w:t xml:space="preserve"> made in </w:t>
      </w:r>
      <w:r w:rsidR="00E960FA" w:rsidRPr="00BF3626">
        <w:rPr>
          <w:lang w:val="en-US"/>
        </w:rPr>
        <w:t>favor</w:t>
      </w:r>
      <w:r w:rsidRPr="00BF3626">
        <w:rPr>
          <w:lang w:val="en-US"/>
        </w:rPr>
        <w:t xml:space="preserve"> of specific projects, ‘provided that those projects have been approved by the Committee’</w:t>
      </w:r>
      <w:r w:rsidR="00F16B8A">
        <w:rPr>
          <w:lang w:val="en-US"/>
        </w:rPr>
        <w:t>, according to Article 25.5</w:t>
      </w:r>
      <w:r w:rsidRPr="00BF3626">
        <w:rPr>
          <w:lang w:val="en-US"/>
        </w:rPr>
        <w:t>.</w:t>
      </w:r>
    </w:p>
    <w:p w14:paraId="415B65AC" w14:textId="52B936AC" w:rsidR="000362CF" w:rsidRPr="00670149" w:rsidRDefault="00683C87" w:rsidP="00670149">
      <w:pPr>
        <w:pStyle w:val="COMPara"/>
        <w:ind w:left="567" w:hanging="567"/>
        <w:jc w:val="both"/>
        <w:rPr>
          <w:rStyle w:val="hps"/>
        </w:rPr>
      </w:pPr>
      <w:proofErr w:type="gramStart"/>
      <w:r>
        <w:rPr>
          <w:lang w:val="en-US"/>
        </w:rPr>
        <w:t>A</w:t>
      </w:r>
      <w:r>
        <w:t xml:space="preserve">t </w:t>
      </w:r>
      <w:r w:rsidR="00606F5E">
        <w:t xml:space="preserve">its </w:t>
      </w:r>
      <w:r w:rsidR="00F16B8A">
        <w:t>twelfth session,</w:t>
      </w:r>
      <w:r w:rsidR="00606F5E">
        <w:t xml:space="preserve"> the Committee approved </w:t>
      </w:r>
      <w:r w:rsidR="00D54117">
        <w:t>two new funding priorities</w:t>
      </w:r>
      <w:r w:rsidR="00967094">
        <w:t xml:space="preserve"> for the period 2018-2021</w:t>
      </w:r>
      <w:r w:rsidR="00D54117">
        <w:t xml:space="preserve">: (1) </w:t>
      </w:r>
      <w:r w:rsidR="009D27F5">
        <w:t xml:space="preserve">‘Strengthening capacities to safeguard intangible cultural heritage and contribute to sustainable development’ </w:t>
      </w:r>
      <w:r w:rsidR="00D54117">
        <w:t xml:space="preserve">to continue efforts </w:t>
      </w:r>
      <w:r w:rsidR="00D54117" w:rsidRPr="009426E5">
        <w:t>to extend the reach and effectiveness of th</w:t>
      </w:r>
      <w:r w:rsidR="00D54117">
        <w:t>e</w:t>
      </w:r>
      <w:r w:rsidR="00D54117" w:rsidRPr="009426E5">
        <w:t xml:space="preserve"> global capacity</w:t>
      </w:r>
      <w:r w:rsidR="00D54117" w:rsidRPr="009426E5">
        <w:noBreakHyphen/>
        <w:t>building strategy</w:t>
      </w:r>
      <w:r w:rsidR="00D54117">
        <w:t xml:space="preserve">, and (2) </w:t>
      </w:r>
      <w:r w:rsidR="009D27F5">
        <w:t>‘Safeguarding intangible cultural heritage in formal and non-formal education’</w:t>
      </w:r>
      <w:r w:rsidR="0096469B">
        <w:t>,</w:t>
      </w:r>
      <w:r w:rsidR="009D27F5">
        <w:t xml:space="preserve"> which is a new initiative </w:t>
      </w:r>
      <w:r w:rsidR="00E4525D">
        <w:t>established</w:t>
      </w:r>
      <w:r w:rsidR="009D27F5">
        <w:t xml:space="preserve"> </w:t>
      </w:r>
      <w:r w:rsidR="004767D1">
        <w:t xml:space="preserve">in response to Article 2 of the Convention </w:t>
      </w:r>
      <w:r w:rsidR="00CE0263">
        <w:t xml:space="preserve">that defines </w:t>
      </w:r>
      <w:r w:rsidR="004767D1">
        <w:t>transmission through formal and non-formal education as a safeguarding measure</w:t>
      </w:r>
      <w:r w:rsidR="00D54117">
        <w:t xml:space="preserve"> (</w:t>
      </w:r>
      <w:hyperlink r:id="rId8" w:history="1">
        <w:r w:rsidR="00D54117" w:rsidRPr="00D54117">
          <w:rPr>
            <w:rStyle w:val="Hyperlink"/>
          </w:rPr>
          <w:t>Decision</w:t>
        </w:r>
        <w:r w:rsidR="00670149">
          <w:rPr>
            <w:rStyle w:val="Hyperlink"/>
          </w:rPr>
          <w:t> </w:t>
        </w:r>
        <w:r w:rsidR="00D54117" w:rsidRPr="00D54117">
          <w:rPr>
            <w:rStyle w:val="Hyperlink"/>
          </w:rPr>
          <w:t>12.</w:t>
        </w:r>
        <w:r w:rsidR="00670149">
          <w:rPr>
            <w:rStyle w:val="Hyperlink"/>
          </w:rPr>
          <w:t>COM </w:t>
        </w:r>
        <w:r w:rsidR="00D54117" w:rsidRPr="00D54117">
          <w:rPr>
            <w:rStyle w:val="Hyperlink"/>
          </w:rPr>
          <w:t>6</w:t>
        </w:r>
      </w:hyperlink>
      <w:r w:rsidR="00D54117">
        <w:t>).</w:t>
      </w:r>
      <w:proofErr w:type="gramEnd"/>
      <w:r w:rsidR="00967094">
        <w:t xml:space="preserve"> </w:t>
      </w:r>
      <w:r w:rsidR="00236360">
        <w:t>These priorities</w:t>
      </w:r>
      <w:r w:rsidR="00967094">
        <w:t xml:space="preserve"> </w:t>
      </w:r>
      <w:r w:rsidR="00967094" w:rsidRPr="00683C87">
        <w:rPr>
          <w:lang w:val="en-US"/>
        </w:rPr>
        <w:t>w</w:t>
      </w:r>
      <w:r w:rsidR="00236360" w:rsidRPr="00683C87">
        <w:rPr>
          <w:lang w:val="en-US"/>
        </w:rPr>
        <w:t>ere</w:t>
      </w:r>
      <w:r w:rsidR="00967094" w:rsidRPr="00683C87">
        <w:rPr>
          <w:lang w:val="en-US"/>
        </w:rPr>
        <w:t xml:space="preserve"> developed in line with UNESCO’s new Integrated Budget approach</w:t>
      </w:r>
      <w:r w:rsidR="00F4198C">
        <w:rPr>
          <w:lang w:val="en-US"/>
        </w:rPr>
        <w:t>,</w:t>
      </w:r>
      <w:r w:rsidR="00D84798">
        <w:rPr>
          <w:lang w:val="en-US"/>
        </w:rPr>
        <w:t xml:space="preserve"> included in the </w:t>
      </w:r>
      <w:proofErr w:type="spellStart"/>
      <w:r w:rsidR="00D84798">
        <w:rPr>
          <w:lang w:val="en-US"/>
        </w:rPr>
        <w:t>Programme</w:t>
      </w:r>
      <w:proofErr w:type="spellEnd"/>
      <w:r w:rsidR="00D84798">
        <w:rPr>
          <w:lang w:val="en-US"/>
        </w:rPr>
        <w:t xml:space="preserve"> and Budget (C/5)</w:t>
      </w:r>
      <w:r w:rsidR="00967094" w:rsidRPr="00683C87">
        <w:rPr>
          <w:lang w:val="en-US"/>
        </w:rPr>
        <w:t xml:space="preserve">, </w:t>
      </w:r>
      <w:r w:rsidR="00154EB6">
        <w:t>which</w:t>
      </w:r>
      <w:r w:rsidR="00154EB6" w:rsidRPr="00AF1CFC">
        <w:t xml:space="preserve"> </w:t>
      </w:r>
      <w:r w:rsidR="00967094">
        <w:t>sets out</w:t>
      </w:r>
      <w:r w:rsidR="00967094" w:rsidRPr="00AF1CFC">
        <w:t xml:space="preserve"> </w:t>
      </w:r>
      <w:r w:rsidR="00967094" w:rsidRPr="005E220A">
        <w:t>the organization’s</w:t>
      </w:r>
      <w:r w:rsidR="00967094" w:rsidRPr="00AF1CFC">
        <w:t xml:space="preserve"> </w:t>
      </w:r>
      <w:r w:rsidR="00967094" w:rsidRPr="005E220A">
        <w:t xml:space="preserve">overall </w:t>
      </w:r>
      <w:r w:rsidR="00967094">
        <w:t>funding requirements, providing</w:t>
      </w:r>
      <w:r w:rsidR="00967094" w:rsidRPr="00AF1CFC">
        <w:t xml:space="preserve"> </w:t>
      </w:r>
      <w:r w:rsidR="00967094" w:rsidRPr="005E220A">
        <w:t xml:space="preserve">Member States and </w:t>
      </w:r>
      <w:r w:rsidR="00967094" w:rsidRPr="00AF1CFC">
        <w:t>donor</w:t>
      </w:r>
      <w:r w:rsidR="00967094" w:rsidRPr="005E220A">
        <w:t>s</w:t>
      </w:r>
      <w:r w:rsidR="00967094" w:rsidRPr="00AF1CFC">
        <w:t xml:space="preserve"> </w:t>
      </w:r>
      <w:r w:rsidR="00967094">
        <w:t>with</w:t>
      </w:r>
      <w:r w:rsidR="00967094" w:rsidRPr="00AF1CFC">
        <w:t xml:space="preserve"> a holistic </w:t>
      </w:r>
      <w:r w:rsidR="00967094" w:rsidRPr="005E220A">
        <w:t xml:space="preserve">and </w:t>
      </w:r>
      <w:r w:rsidR="00967094" w:rsidRPr="00AF1CFC">
        <w:t>realistic notion of</w:t>
      </w:r>
      <w:r w:rsidR="00967094" w:rsidRPr="005E220A">
        <w:t xml:space="preserve"> the funding gap of each programme and thus</w:t>
      </w:r>
      <w:r w:rsidR="00967094" w:rsidRPr="00AF1CFC">
        <w:t xml:space="preserve"> </w:t>
      </w:r>
      <w:r w:rsidR="00967094">
        <w:t xml:space="preserve">of </w:t>
      </w:r>
      <w:r w:rsidR="00967094" w:rsidRPr="00AF1CFC">
        <w:t>the resource mobilization targets</w:t>
      </w:r>
      <w:r w:rsidR="00D84798">
        <w:t xml:space="preserve"> for a given biennium</w:t>
      </w:r>
      <w:r w:rsidR="00967094">
        <w:t>.</w:t>
      </w:r>
      <w:r w:rsidR="00D84798">
        <w:t xml:space="preserve"> T</w:t>
      </w:r>
      <w:r w:rsidR="00967094">
        <w:t xml:space="preserve">he resource mobilization targets set for the </w:t>
      </w:r>
      <w:r w:rsidR="0019082C">
        <w:t>two</w:t>
      </w:r>
      <w:r w:rsidR="00967094">
        <w:t xml:space="preserve"> n</w:t>
      </w:r>
      <w:r w:rsidR="00670149">
        <w:t>ew funding priorities were US$5 million and US$2 </w:t>
      </w:r>
      <w:r w:rsidR="00967094">
        <w:t>million</w:t>
      </w:r>
      <w:r w:rsidR="00154EB6">
        <w:t>,</w:t>
      </w:r>
      <w:r w:rsidR="00967094">
        <w:t xml:space="preserve"> respectively</w:t>
      </w:r>
      <w:r w:rsidR="00154EB6">
        <w:t>,</w:t>
      </w:r>
      <w:r w:rsidR="00967094">
        <w:t xml:space="preserve"> for the period 2018-2021.</w:t>
      </w:r>
    </w:p>
    <w:p w14:paraId="324A3E65" w14:textId="77C5D56A" w:rsidR="00E4525D" w:rsidRDefault="00154EB6">
      <w:pPr>
        <w:pStyle w:val="COMPara"/>
        <w:ind w:left="567" w:hanging="567"/>
        <w:jc w:val="both"/>
      </w:pPr>
      <w:r>
        <w:t>At the present session, t</w:t>
      </w:r>
      <w:r w:rsidRPr="007505D8">
        <w:t xml:space="preserve">he </w:t>
      </w:r>
      <w:r w:rsidR="001704D6" w:rsidRPr="007505D8">
        <w:t xml:space="preserve">Secretariat </w:t>
      </w:r>
      <w:proofErr w:type="gramStart"/>
      <w:r w:rsidR="00E4525D">
        <w:t>is asked</w:t>
      </w:r>
      <w:proofErr w:type="gramEnd"/>
      <w:r w:rsidR="00E4525D">
        <w:t xml:space="preserve"> to </w:t>
      </w:r>
      <w:r w:rsidR="001704D6" w:rsidRPr="007505D8">
        <w:t xml:space="preserve">report on the progress </w:t>
      </w:r>
      <w:r w:rsidR="0096469B">
        <w:t xml:space="preserve">made </w:t>
      </w:r>
      <w:r w:rsidR="001704D6" w:rsidRPr="007505D8">
        <w:t xml:space="preserve">in the implementation of any voluntary supplementary contributions it </w:t>
      </w:r>
      <w:r w:rsidRPr="007505D8">
        <w:t>ha</w:t>
      </w:r>
      <w:r>
        <w:t>s</w:t>
      </w:r>
      <w:r w:rsidRPr="007505D8">
        <w:t xml:space="preserve"> </w:t>
      </w:r>
      <w:r w:rsidR="001704D6" w:rsidRPr="007505D8">
        <w:t xml:space="preserve">received since </w:t>
      </w:r>
      <w:r w:rsidR="00E4525D">
        <w:t>the twelfth session</w:t>
      </w:r>
      <w:r w:rsidR="001704D6" w:rsidRPr="007505D8">
        <w:t>.</w:t>
      </w:r>
      <w:r w:rsidR="001704D6" w:rsidRPr="00BB4A02">
        <w:rPr>
          <w:bCs/>
        </w:rPr>
        <w:t xml:space="preserve"> </w:t>
      </w:r>
      <w:r w:rsidR="00E4525D">
        <w:rPr>
          <w:bCs/>
        </w:rPr>
        <w:t>Furthermore, t</w:t>
      </w:r>
      <w:r w:rsidR="00E4525D" w:rsidRPr="009426E5">
        <w:t>he Committee took note</w:t>
      </w:r>
      <w:r w:rsidR="00E4525D" w:rsidRPr="00E4525D">
        <w:t xml:space="preserve"> </w:t>
      </w:r>
      <w:r w:rsidR="00E4525D">
        <w:t>(</w:t>
      </w:r>
      <w:hyperlink r:id="rId9" w:history="1">
        <w:r w:rsidR="00E4525D">
          <w:rPr>
            <w:rStyle w:val="Hyperlink"/>
          </w:rPr>
          <w:t>D</w:t>
        </w:r>
        <w:r w:rsidR="00E4525D" w:rsidRPr="009426E5">
          <w:rPr>
            <w:rStyle w:val="Hyperlink"/>
          </w:rPr>
          <w:t>ecision 7.COM 20.1</w:t>
        </w:r>
      </w:hyperlink>
      <w:r w:rsidR="00E4525D" w:rsidRPr="00670149">
        <w:rPr>
          <w:rStyle w:val="Hyperlink"/>
          <w:color w:val="auto"/>
          <w:u w:val="none"/>
        </w:rPr>
        <w:t>)</w:t>
      </w:r>
      <w:r w:rsidR="00E4525D" w:rsidRPr="009426E5">
        <w:t xml:space="preserve"> that States make use of different forms of support</w:t>
      </w:r>
      <w:r>
        <w:t xml:space="preserve"> to the 2003 Convention</w:t>
      </w:r>
      <w:r w:rsidR="00E4525D" w:rsidRPr="009426E5">
        <w:t xml:space="preserve">, financial and in-kind, and not only of voluntary supplementary contributions to the </w:t>
      </w:r>
      <w:r w:rsidR="00C43842">
        <w:t xml:space="preserve">Intangible Cultural Heritage </w:t>
      </w:r>
      <w:r w:rsidR="00E4525D" w:rsidRPr="009426E5">
        <w:t>Fund. It</w:t>
      </w:r>
      <w:r w:rsidR="00E4525D">
        <w:t xml:space="preserve"> therefore</w:t>
      </w:r>
      <w:r w:rsidR="00E4525D" w:rsidRPr="009426E5">
        <w:t xml:space="preserve"> requested </w:t>
      </w:r>
      <w:r w:rsidR="00E4525D">
        <w:t xml:space="preserve">that </w:t>
      </w:r>
      <w:r w:rsidR="00E4525D" w:rsidRPr="009426E5">
        <w:t xml:space="preserve">the Secretariat report at each session of the Committee on all forms of contributions </w:t>
      </w:r>
      <w:r w:rsidR="00E4525D">
        <w:t xml:space="preserve">received </w:t>
      </w:r>
      <w:r w:rsidR="00E4525D" w:rsidRPr="009426E5">
        <w:t xml:space="preserve">since </w:t>
      </w:r>
      <w:r w:rsidR="00E4525D">
        <w:t>the</w:t>
      </w:r>
      <w:r w:rsidR="00E4525D" w:rsidRPr="009426E5">
        <w:t xml:space="preserve"> previous session. Accordingly, the list of contributions in support of the 2003 Convention </w:t>
      </w:r>
      <w:r w:rsidR="00E4525D">
        <w:t xml:space="preserve">received </w:t>
      </w:r>
      <w:r w:rsidR="00B673A2">
        <w:t>between</w:t>
      </w:r>
      <w:r w:rsidR="00B673A2" w:rsidRPr="009426E5">
        <w:t xml:space="preserve"> </w:t>
      </w:r>
      <w:r w:rsidR="00E4525D" w:rsidRPr="009426E5">
        <w:t xml:space="preserve">the </w:t>
      </w:r>
      <w:r w:rsidR="00E4525D">
        <w:t>twelfth</w:t>
      </w:r>
      <w:r w:rsidR="00E4525D" w:rsidRPr="009426E5">
        <w:t xml:space="preserve"> session of the Committee</w:t>
      </w:r>
      <w:r w:rsidR="00743B09">
        <w:t xml:space="preserve"> </w:t>
      </w:r>
      <w:r w:rsidR="00B673A2">
        <w:t>and</w:t>
      </w:r>
      <w:r w:rsidR="00743B09">
        <w:t xml:space="preserve"> September 2018</w:t>
      </w:r>
      <w:r w:rsidR="00241C1E">
        <w:t xml:space="preserve"> </w:t>
      </w:r>
      <w:proofErr w:type="gramStart"/>
      <w:r w:rsidR="00E4525D" w:rsidRPr="009426E5">
        <w:t>can be found</w:t>
      </w:r>
      <w:proofErr w:type="gramEnd"/>
      <w:r w:rsidR="00E4525D" w:rsidRPr="009426E5">
        <w:t xml:space="preserve"> </w:t>
      </w:r>
      <w:r w:rsidR="00E4525D" w:rsidRPr="00B87D2B">
        <w:t>in Annex I of</w:t>
      </w:r>
      <w:r w:rsidR="00E4525D" w:rsidRPr="009426E5">
        <w:t xml:space="preserve"> the present document.</w:t>
      </w:r>
    </w:p>
    <w:p w14:paraId="65486695" w14:textId="77777777" w:rsidR="005532A5" w:rsidRPr="005E220A" w:rsidRDefault="005532A5" w:rsidP="00D57B41">
      <w:pPr>
        <w:pStyle w:val="Paragraph"/>
        <w:numPr>
          <w:ilvl w:val="0"/>
          <w:numId w:val="0"/>
        </w:numPr>
        <w:spacing w:before="240" w:after="120"/>
        <w:ind w:left="567"/>
        <w:rPr>
          <w:b/>
        </w:rPr>
      </w:pPr>
      <w:r>
        <w:rPr>
          <w:b/>
        </w:rPr>
        <w:t>State of affairs</w:t>
      </w:r>
    </w:p>
    <w:p w14:paraId="25943D52" w14:textId="31D36962" w:rsidR="002671A0" w:rsidRDefault="003F6728" w:rsidP="00F10A0B">
      <w:pPr>
        <w:pStyle w:val="COMPara"/>
        <w:ind w:left="567" w:hanging="567"/>
        <w:jc w:val="both"/>
      </w:pPr>
      <w:r>
        <w:t xml:space="preserve">While some contributions </w:t>
      </w:r>
      <w:proofErr w:type="gramStart"/>
      <w:r>
        <w:t>were made</w:t>
      </w:r>
      <w:proofErr w:type="gramEnd"/>
      <w:r>
        <w:t xml:space="preserve"> to the sub-</w:t>
      </w:r>
      <w:r w:rsidR="00270A4D">
        <w:t>f</w:t>
      </w:r>
      <w:r>
        <w:t xml:space="preserve">und </w:t>
      </w:r>
      <w:r w:rsidR="00154EB6">
        <w:t xml:space="preserve">to </w:t>
      </w:r>
      <w:r>
        <w:t>enhanc</w:t>
      </w:r>
      <w:r w:rsidR="00154EB6">
        <w:t>e</w:t>
      </w:r>
      <w:r>
        <w:t xml:space="preserve"> the human resources of the Secretariat, </w:t>
      </w:r>
      <w:r w:rsidR="00154EB6">
        <w:t xml:space="preserve">from </w:t>
      </w:r>
      <w:r>
        <w:t xml:space="preserve">the last meeting of the Committee in December 2017 </w:t>
      </w:r>
      <w:r w:rsidR="00154EB6">
        <w:t xml:space="preserve">up </w:t>
      </w:r>
      <w:r>
        <w:t xml:space="preserve">to </w:t>
      </w:r>
      <w:r w:rsidR="00AD24E4">
        <w:t xml:space="preserve">September </w:t>
      </w:r>
      <w:r>
        <w:t xml:space="preserve">2018, no contribution has been received for earmarked activities. This situation confirms the decreasing trend in voluntary supplementary contributions that </w:t>
      </w:r>
      <w:proofErr w:type="gramStart"/>
      <w:r>
        <w:t>has been observed</w:t>
      </w:r>
      <w:proofErr w:type="gramEnd"/>
      <w:r>
        <w:t xml:space="preserve"> over recent years. </w:t>
      </w:r>
      <w:r w:rsidR="002671A0">
        <w:t>T</w:t>
      </w:r>
      <w:r w:rsidR="001937FB">
        <w:t>his section</w:t>
      </w:r>
      <w:r w:rsidR="0099724F" w:rsidRPr="00683C87">
        <w:t xml:space="preserve"> provide</w:t>
      </w:r>
      <w:r w:rsidR="001937FB">
        <w:t>s</w:t>
      </w:r>
      <w:r w:rsidR="0099724F" w:rsidRPr="00683C87">
        <w:t xml:space="preserve"> an overview of the overall evolution </w:t>
      </w:r>
      <w:r w:rsidR="001937FB">
        <w:t xml:space="preserve">of the funding received </w:t>
      </w:r>
      <w:r>
        <w:t>for the benefit of the 2003 Convention</w:t>
      </w:r>
      <w:r w:rsidR="00040490" w:rsidRPr="00683C87">
        <w:t>.</w:t>
      </w:r>
    </w:p>
    <w:p w14:paraId="43012870" w14:textId="49B82381" w:rsidR="00FF0F3C" w:rsidRPr="005D7E75" w:rsidRDefault="005D7E75" w:rsidP="002F0781">
      <w:pPr>
        <w:pStyle w:val="COMPara"/>
        <w:ind w:left="567" w:hanging="567"/>
        <w:jc w:val="both"/>
      </w:pPr>
      <w:r>
        <w:rPr>
          <w:b/>
        </w:rPr>
        <w:t>C</w:t>
      </w:r>
      <w:r w:rsidR="007C3BB5" w:rsidRPr="00F10A0B">
        <w:rPr>
          <w:b/>
        </w:rPr>
        <w:t>apacity</w:t>
      </w:r>
      <w:r w:rsidR="007C3BB5">
        <w:rPr>
          <w:b/>
        </w:rPr>
        <w:t>-b</w:t>
      </w:r>
      <w:r w:rsidR="007C3BB5" w:rsidRPr="00F10A0B">
        <w:rPr>
          <w:b/>
        </w:rPr>
        <w:t>uilding</w:t>
      </w:r>
      <w:r w:rsidR="007C3BB5">
        <w:rPr>
          <w:b/>
        </w:rPr>
        <w:t xml:space="preserve"> programme</w:t>
      </w:r>
      <w:r w:rsidR="007C3BB5" w:rsidRPr="00670149">
        <w:rPr>
          <w:bCs/>
        </w:rPr>
        <w:t xml:space="preserve">: </w:t>
      </w:r>
      <w:r>
        <w:t xml:space="preserve">As shown in </w:t>
      </w:r>
      <w:r w:rsidR="00FF0F3C">
        <w:t>Figure 1</w:t>
      </w:r>
      <w:r w:rsidR="00154EB6">
        <w:t>,</w:t>
      </w:r>
      <w:r w:rsidR="00FF0F3C">
        <w:t xml:space="preserve"> </w:t>
      </w:r>
      <w:r w:rsidR="00DB1D5E">
        <w:t>a general decline</w:t>
      </w:r>
      <w:r w:rsidR="00154EB6">
        <w:t xml:space="preserve"> has</w:t>
      </w:r>
      <w:r w:rsidR="00DB1D5E">
        <w:t xml:space="preserve"> </w:t>
      </w:r>
      <w:r>
        <w:t>mark</w:t>
      </w:r>
      <w:r w:rsidR="00154EB6">
        <w:t>ed</w:t>
      </w:r>
      <w:r>
        <w:t xml:space="preserve"> </w:t>
      </w:r>
      <w:r w:rsidR="00FF0F3C">
        <w:t xml:space="preserve">the support </w:t>
      </w:r>
      <w:r w:rsidR="007C3BB5">
        <w:t xml:space="preserve">for </w:t>
      </w:r>
      <w:r w:rsidR="00996BB4">
        <w:t xml:space="preserve">the </w:t>
      </w:r>
      <w:r w:rsidR="00996BB4" w:rsidRPr="005D7E75">
        <w:t>global capacity-building programme</w:t>
      </w:r>
      <w:r w:rsidR="00996BB4" w:rsidRPr="007505D8">
        <w:t xml:space="preserve"> since 2012</w:t>
      </w:r>
      <w:r w:rsidR="00DB1D5E">
        <w:t>.</w:t>
      </w:r>
      <w:r w:rsidR="00FF0F3C">
        <w:t xml:space="preserve"> </w:t>
      </w:r>
      <w:r w:rsidR="00DB1D5E">
        <w:t>This</w:t>
      </w:r>
      <w:r w:rsidR="00996BB4">
        <w:t xml:space="preserve"> </w:t>
      </w:r>
      <w:proofErr w:type="gramStart"/>
      <w:r w:rsidR="00996BB4">
        <w:t>is mainly explained</w:t>
      </w:r>
      <w:proofErr w:type="gramEnd"/>
      <w:r w:rsidR="00996BB4">
        <w:t xml:space="preserve"> by the drastic reduction in the earmarked contributions received</w:t>
      </w:r>
      <w:r w:rsidR="001937FB">
        <w:t xml:space="preserve"> for this purpose</w:t>
      </w:r>
      <w:r w:rsidR="00996BB4">
        <w:t xml:space="preserve">. </w:t>
      </w:r>
      <w:r w:rsidR="007C3BB5" w:rsidRPr="00047E2A">
        <w:t>D</w:t>
      </w:r>
      <w:r w:rsidR="00996BB4" w:rsidRPr="00047E2A">
        <w:t xml:space="preserve">uring the </w:t>
      </w:r>
      <w:r w:rsidR="007C3BB5" w:rsidRPr="00047E2A">
        <w:t xml:space="preserve">last </w:t>
      </w:r>
      <w:r w:rsidR="00996BB4" w:rsidRPr="00047E2A">
        <w:t>biennium (38C/5)</w:t>
      </w:r>
      <w:r w:rsidR="00154EB6" w:rsidRPr="00047E2A">
        <w:t>,</w:t>
      </w:r>
      <w:r w:rsidR="00996BB4" w:rsidRPr="00047E2A">
        <w:t xml:space="preserve"> </w:t>
      </w:r>
      <w:r w:rsidR="00DB1D5E" w:rsidRPr="00047E2A">
        <w:t xml:space="preserve">only </w:t>
      </w:r>
      <w:r w:rsidR="00F50EF4" w:rsidRPr="00047E2A">
        <w:t>two new contributions</w:t>
      </w:r>
      <w:r w:rsidR="007C3BB5" w:rsidRPr="00047E2A">
        <w:t xml:space="preserve"> </w:t>
      </w:r>
      <w:proofErr w:type="gramStart"/>
      <w:r w:rsidR="00DB1D5E" w:rsidRPr="00047E2A">
        <w:t xml:space="preserve">were </w:t>
      </w:r>
      <w:r w:rsidR="00DB1D5E" w:rsidRPr="00241C1E">
        <w:t>received</w:t>
      </w:r>
      <w:proofErr w:type="gramEnd"/>
      <w:r w:rsidR="00047E2A" w:rsidRPr="00A72D1A">
        <w:t xml:space="preserve"> specifically for capacity-building programme</w:t>
      </w:r>
      <w:r w:rsidRPr="00047E2A">
        <w:t>,</w:t>
      </w:r>
      <w:r w:rsidR="007C3BB5" w:rsidRPr="00047E2A">
        <w:t xml:space="preserve"> </w:t>
      </w:r>
      <w:r w:rsidR="00DB1D5E" w:rsidRPr="00047E2A">
        <w:t xml:space="preserve">while no contribution has been </w:t>
      </w:r>
      <w:r w:rsidR="00353ECC" w:rsidRPr="00047E2A">
        <w:t>proposed</w:t>
      </w:r>
      <w:r w:rsidR="00DB1D5E" w:rsidRPr="00047E2A">
        <w:t xml:space="preserve"> in </w:t>
      </w:r>
      <w:r w:rsidR="00154EB6" w:rsidRPr="00047E2A">
        <w:t xml:space="preserve">the </w:t>
      </w:r>
      <w:r w:rsidR="00DB1D5E" w:rsidRPr="00047E2A">
        <w:t xml:space="preserve">current biennium – neither in support of ongoing projects, nor with the objective of initiating a new one. The contributions received in the last biennium </w:t>
      </w:r>
      <w:proofErr w:type="gramStart"/>
      <w:r w:rsidR="00DB1D5E" w:rsidRPr="00047E2A">
        <w:t>were made</w:t>
      </w:r>
      <w:proofErr w:type="gramEnd"/>
      <w:r w:rsidR="00DB1D5E" w:rsidRPr="00047E2A">
        <w:t xml:space="preserve"> by</w:t>
      </w:r>
      <w:r w:rsidR="00F50EF4" w:rsidRPr="00047E2A">
        <w:t xml:space="preserve"> </w:t>
      </w:r>
      <w:r w:rsidR="002B5BFB" w:rsidRPr="00047E2A">
        <w:t xml:space="preserve">the </w:t>
      </w:r>
      <w:r w:rsidR="00F50EF4" w:rsidRPr="00047E2A">
        <w:t>same State Party</w:t>
      </w:r>
      <w:r w:rsidR="00DE26D9" w:rsidRPr="00047E2A">
        <w:t xml:space="preserve"> (Netherlands)</w:t>
      </w:r>
      <w:r w:rsidR="00F50EF4" w:rsidRPr="00047E2A">
        <w:t xml:space="preserve"> </w:t>
      </w:r>
      <w:r w:rsidRPr="00047E2A">
        <w:t>to finance</w:t>
      </w:r>
      <w:r w:rsidR="00F50EF4" w:rsidRPr="00047E2A">
        <w:t xml:space="preserve"> the project </w:t>
      </w:r>
      <w:r w:rsidR="00F24622" w:rsidRPr="00047E2A">
        <w:t>‘</w:t>
      </w:r>
      <w:r w:rsidR="00F50EF4" w:rsidRPr="00047E2A">
        <w:t>Strengthening the capacities of Suriname and Dutch Caribbean islands for implementing the 2003 Convention</w:t>
      </w:r>
      <w:r w:rsidR="00F24622" w:rsidRPr="00047E2A">
        <w:t>’</w:t>
      </w:r>
      <w:r w:rsidR="00DB1D5E">
        <w:t xml:space="preserve">. </w:t>
      </w:r>
      <w:r w:rsidR="00F50EF4">
        <w:t xml:space="preserve">This situation </w:t>
      </w:r>
      <w:r w:rsidR="00154EB6">
        <w:t>calls into</w:t>
      </w:r>
      <w:r w:rsidR="00F50EF4">
        <w:t xml:space="preserve"> question </w:t>
      </w:r>
      <w:r w:rsidR="009E01ED">
        <w:t>the quadrennial target US$</w:t>
      </w:r>
      <w:r w:rsidR="00BF6D64">
        <w:t>5M</w:t>
      </w:r>
      <w:r w:rsidR="009E01ED">
        <w:t xml:space="preserve"> for the period 2018-2021 </w:t>
      </w:r>
      <w:r w:rsidR="00D84798">
        <w:t>(</w:t>
      </w:r>
      <w:r w:rsidR="009E01ED">
        <w:t xml:space="preserve">see </w:t>
      </w:r>
      <w:hyperlink r:id="rId10" w:history="1">
        <w:r w:rsidR="009E01ED" w:rsidRPr="00670149">
          <w:rPr>
            <w:rStyle w:val="Hyperlink"/>
          </w:rPr>
          <w:t>Decision</w:t>
        </w:r>
        <w:r w:rsidR="00BF6D64" w:rsidRPr="00670149">
          <w:rPr>
            <w:rStyle w:val="Hyperlink"/>
          </w:rPr>
          <w:t> </w:t>
        </w:r>
        <w:r w:rsidR="009E01ED" w:rsidRPr="00670149">
          <w:rPr>
            <w:rStyle w:val="Hyperlink"/>
          </w:rPr>
          <w:t>12.COM</w:t>
        </w:r>
        <w:r w:rsidR="00BF6D64" w:rsidRPr="00670149">
          <w:rPr>
            <w:rStyle w:val="Hyperlink"/>
          </w:rPr>
          <w:t> </w:t>
        </w:r>
        <w:r w:rsidR="009E01ED" w:rsidRPr="00670149">
          <w:rPr>
            <w:rStyle w:val="Hyperlink"/>
          </w:rPr>
          <w:t>6</w:t>
        </w:r>
      </w:hyperlink>
      <w:r w:rsidR="009E01ED">
        <w:t xml:space="preserve">), </w:t>
      </w:r>
      <w:r w:rsidR="00154EB6">
        <w:t xml:space="preserve">which was </w:t>
      </w:r>
      <w:r w:rsidR="009E01ED">
        <w:t xml:space="preserve">set in line with UNESCO’s new </w:t>
      </w:r>
      <w:r w:rsidR="009E01ED" w:rsidRPr="00967094">
        <w:rPr>
          <w:lang w:val="en-US"/>
        </w:rPr>
        <w:t>Integrated Budget</w:t>
      </w:r>
      <w:r w:rsidR="009E01ED">
        <w:rPr>
          <w:lang w:val="en-US"/>
        </w:rPr>
        <w:t xml:space="preserve"> framework</w:t>
      </w:r>
      <w:r w:rsidR="0096469B">
        <w:rPr>
          <w:lang w:val="en-US"/>
        </w:rPr>
        <w:t>,</w:t>
      </w:r>
      <w:r w:rsidR="000674E2">
        <w:rPr>
          <w:lang w:val="en-US"/>
        </w:rPr>
        <w:t xml:space="preserve"> and </w:t>
      </w:r>
      <w:r w:rsidR="00FC70C7">
        <w:rPr>
          <w:lang w:val="en-US"/>
        </w:rPr>
        <w:t xml:space="preserve">the chances of </w:t>
      </w:r>
      <w:r w:rsidR="000674E2">
        <w:rPr>
          <w:lang w:val="en-US"/>
        </w:rPr>
        <w:t>r</w:t>
      </w:r>
      <w:r w:rsidR="00BF6D64">
        <w:rPr>
          <w:lang w:val="en-US"/>
        </w:rPr>
        <w:t xml:space="preserve">eaching </w:t>
      </w:r>
      <w:r w:rsidR="00BF6D64" w:rsidRPr="005D7E75">
        <w:rPr>
          <w:lang w:val="en-US"/>
        </w:rPr>
        <w:t>the</w:t>
      </w:r>
      <w:r w:rsidR="00D24928" w:rsidRPr="005D7E75">
        <w:rPr>
          <w:lang w:val="en-US"/>
        </w:rPr>
        <w:t xml:space="preserve"> objectives of the </w:t>
      </w:r>
      <w:r w:rsidR="00D24928" w:rsidRPr="005D7E75">
        <w:t>global capacity-building programme.</w:t>
      </w:r>
    </w:p>
    <w:p w14:paraId="1E792CA0" w14:textId="7B1B0223" w:rsidR="00C64E73" w:rsidRDefault="00C64E73" w:rsidP="00D57B41">
      <w:pPr>
        <w:pStyle w:val="COMPara"/>
        <w:numPr>
          <w:ilvl w:val="0"/>
          <w:numId w:val="9"/>
        </w:numPr>
        <w:ind w:left="567" w:hanging="567"/>
        <w:jc w:val="both"/>
        <w:rPr>
          <w:color w:val="000000"/>
        </w:rPr>
      </w:pPr>
      <w:r>
        <w:t>The sever</w:t>
      </w:r>
      <w:r w:rsidR="00FC1F83">
        <w:t>e</w:t>
      </w:r>
      <w:r>
        <w:t xml:space="preserve"> decline </w:t>
      </w:r>
      <w:r w:rsidR="00154EB6">
        <w:t>in</w:t>
      </w:r>
      <w:r>
        <w:t xml:space="preserve"> earmarked contributions </w:t>
      </w:r>
      <w:r w:rsidR="00353ECC">
        <w:t xml:space="preserve">towards </w:t>
      </w:r>
      <w:r w:rsidR="009B5238">
        <w:t xml:space="preserve">the global </w:t>
      </w:r>
      <w:r w:rsidR="009B5238" w:rsidRPr="007505D8">
        <w:t>capacity-building programme</w:t>
      </w:r>
      <w:r w:rsidR="009B5238">
        <w:t xml:space="preserve"> </w:t>
      </w:r>
      <w:proofErr w:type="gramStart"/>
      <w:r w:rsidR="009B5238">
        <w:t>has been partially compensated</w:t>
      </w:r>
      <w:proofErr w:type="gramEnd"/>
      <w:r w:rsidR="009B5238">
        <w:t xml:space="preserve"> by ris</w:t>
      </w:r>
      <w:r w:rsidR="00353ECC">
        <w:t>ing support</w:t>
      </w:r>
      <w:r w:rsidR="009B5238">
        <w:t xml:space="preserve"> through the Funds-in-Trust arrangements</w:t>
      </w:r>
      <w:r w:rsidR="000674E2">
        <w:t>.</w:t>
      </w:r>
      <w:r w:rsidR="009B5238">
        <w:t xml:space="preserve"> </w:t>
      </w:r>
      <w:r w:rsidR="00AE4634">
        <w:t>Contributions</w:t>
      </w:r>
      <w:r w:rsidR="00AE4634" w:rsidRPr="00AE4634">
        <w:t xml:space="preserve"> </w:t>
      </w:r>
      <w:r w:rsidR="00AE4634">
        <w:t>through these arrangements,</w:t>
      </w:r>
      <w:r w:rsidR="00AE4634" w:rsidDel="000674E2">
        <w:t xml:space="preserve"> </w:t>
      </w:r>
      <w:r w:rsidR="00AE4634">
        <w:t>in</w:t>
      </w:r>
      <w:r w:rsidR="009B5238">
        <w:t xml:space="preserve"> </w:t>
      </w:r>
      <w:r w:rsidR="0096469B">
        <w:t xml:space="preserve">the </w:t>
      </w:r>
      <w:r w:rsidR="009B5238">
        <w:t>38C/5</w:t>
      </w:r>
      <w:r w:rsidR="00AE4634">
        <w:t>,</w:t>
      </w:r>
      <w:r w:rsidR="009B5238">
        <w:t xml:space="preserve"> </w:t>
      </w:r>
      <w:r w:rsidR="000674E2">
        <w:t xml:space="preserve">reached US$2,150,297 </w:t>
      </w:r>
      <w:r w:rsidR="009B5238">
        <w:t xml:space="preserve">thanks to the </w:t>
      </w:r>
      <w:r w:rsidR="009B5238" w:rsidRPr="00DF24EF">
        <w:t>generous contribution</w:t>
      </w:r>
      <w:r w:rsidR="009B5238">
        <w:t>s</w:t>
      </w:r>
      <w:r w:rsidR="009B5238" w:rsidRPr="00DF24EF">
        <w:t xml:space="preserve"> </w:t>
      </w:r>
      <w:r w:rsidR="009B5238">
        <w:t xml:space="preserve">from Belgium (Flanders), </w:t>
      </w:r>
      <w:r w:rsidR="00154EB6">
        <w:t xml:space="preserve">the </w:t>
      </w:r>
      <w:r w:rsidR="009B5238">
        <w:t xml:space="preserve">Iris Foundation, Switzerland and </w:t>
      </w:r>
      <w:r w:rsidR="009B5238" w:rsidRPr="00DF24EF">
        <w:t xml:space="preserve">the </w:t>
      </w:r>
      <w:r w:rsidR="009B5238" w:rsidRPr="00701B42">
        <w:rPr>
          <w:color w:val="000000"/>
        </w:rPr>
        <w:t>Abu Dhabi Tourism &amp; Culture Authority (</w:t>
      </w:r>
      <w:r w:rsidR="009B5238">
        <w:rPr>
          <w:color w:val="000000"/>
        </w:rPr>
        <w:t xml:space="preserve">the </w:t>
      </w:r>
      <w:r w:rsidR="009B5238" w:rsidRPr="00701B42">
        <w:rPr>
          <w:color w:val="000000"/>
        </w:rPr>
        <w:t>United Arab Emirates)</w:t>
      </w:r>
      <w:r w:rsidR="009B5238">
        <w:rPr>
          <w:color w:val="000000"/>
        </w:rPr>
        <w:t xml:space="preserve">. </w:t>
      </w:r>
      <w:r w:rsidR="00353ECC">
        <w:rPr>
          <w:color w:val="000000"/>
        </w:rPr>
        <w:t xml:space="preserve">Since </w:t>
      </w:r>
      <w:r w:rsidR="009B5238">
        <w:rPr>
          <w:color w:val="000000"/>
        </w:rPr>
        <w:t xml:space="preserve">the </w:t>
      </w:r>
      <w:r w:rsidR="00353ECC">
        <w:rPr>
          <w:color w:val="000000"/>
        </w:rPr>
        <w:t xml:space="preserve">beginning of the </w:t>
      </w:r>
      <w:r w:rsidR="009B5238">
        <w:rPr>
          <w:color w:val="000000"/>
        </w:rPr>
        <w:t xml:space="preserve">current biennium, </w:t>
      </w:r>
      <w:r w:rsidR="00743B09">
        <w:rPr>
          <w:color w:val="000000"/>
        </w:rPr>
        <w:t>two</w:t>
      </w:r>
      <w:r w:rsidR="009B5238">
        <w:rPr>
          <w:color w:val="000000"/>
        </w:rPr>
        <w:t xml:space="preserve"> new project</w:t>
      </w:r>
      <w:r w:rsidR="00743B09">
        <w:rPr>
          <w:color w:val="000000"/>
        </w:rPr>
        <w:t>s</w:t>
      </w:r>
      <w:r w:rsidR="009B5238">
        <w:rPr>
          <w:color w:val="000000"/>
        </w:rPr>
        <w:t xml:space="preserve"> </w:t>
      </w:r>
      <w:proofErr w:type="gramStart"/>
      <w:r w:rsidR="009B5238">
        <w:rPr>
          <w:color w:val="000000"/>
        </w:rPr>
        <w:t>ha</w:t>
      </w:r>
      <w:r w:rsidR="00523AAF">
        <w:rPr>
          <w:color w:val="000000"/>
        </w:rPr>
        <w:t>ve</w:t>
      </w:r>
      <w:r w:rsidR="009B5238">
        <w:rPr>
          <w:color w:val="000000"/>
        </w:rPr>
        <w:t xml:space="preserve"> been initiated</w:t>
      </w:r>
      <w:proofErr w:type="gramEnd"/>
      <w:r w:rsidR="00743B09">
        <w:rPr>
          <w:color w:val="000000"/>
        </w:rPr>
        <w:t xml:space="preserve"> </w:t>
      </w:r>
      <w:r w:rsidR="00743B09">
        <w:rPr>
          <w:color w:val="000000"/>
        </w:rPr>
        <w:lastRenderedPageBreak/>
        <w:t xml:space="preserve">thanks to the generous contributions made </w:t>
      </w:r>
      <w:r w:rsidR="00AE4634">
        <w:rPr>
          <w:color w:val="000000"/>
        </w:rPr>
        <w:t>by</w:t>
      </w:r>
      <w:r w:rsidR="009B5238">
        <w:rPr>
          <w:color w:val="000000"/>
        </w:rPr>
        <w:t xml:space="preserve"> </w:t>
      </w:r>
      <w:r w:rsidR="009B5238">
        <w:t xml:space="preserve">Belgium (Flanders) </w:t>
      </w:r>
      <w:r w:rsidR="00154EB6">
        <w:t xml:space="preserve">to </w:t>
      </w:r>
      <w:r w:rsidR="00AE4634">
        <w:t>continu</w:t>
      </w:r>
      <w:r w:rsidR="00154EB6">
        <w:t>e</w:t>
      </w:r>
      <w:r w:rsidR="00AE4634">
        <w:t xml:space="preserve"> the project aimed at</w:t>
      </w:r>
      <w:r w:rsidR="009B5238">
        <w:rPr>
          <w:color w:val="000000"/>
        </w:rPr>
        <w:t xml:space="preserve"> strengthening the </w:t>
      </w:r>
      <w:r w:rsidR="009B5238" w:rsidRPr="009B5238">
        <w:rPr>
          <w:color w:val="000000"/>
        </w:rPr>
        <w:t>sub-regional cooperation and national capacities</w:t>
      </w:r>
      <w:r w:rsidR="00783788">
        <w:rPr>
          <w:color w:val="000000"/>
        </w:rPr>
        <w:t xml:space="preserve"> </w:t>
      </w:r>
      <w:r w:rsidR="009B5238" w:rsidRPr="009B5238">
        <w:rPr>
          <w:color w:val="000000"/>
        </w:rPr>
        <w:t>in seven Southern African countries</w:t>
      </w:r>
      <w:r w:rsidR="00523AAF">
        <w:rPr>
          <w:color w:val="000000"/>
        </w:rPr>
        <w:t>,</w:t>
      </w:r>
      <w:r w:rsidR="00743B09">
        <w:rPr>
          <w:color w:val="000000"/>
        </w:rPr>
        <w:t xml:space="preserve"> and</w:t>
      </w:r>
      <w:r w:rsidR="00523AAF">
        <w:rPr>
          <w:color w:val="000000"/>
        </w:rPr>
        <w:t xml:space="preserve"> Japan to</w:t>
      </w:r>
      <w:r w:rsidR="00783788">
        <w:rPr>
          <w:color w:val="000000"/>
        </w:rPr>
        <w:t xml:space="preserve"> </w:t>
      </w:r>
      <w:r w:rsidR="00523AAF">
        <w:rPr>
          <w:color w:val="000000"/>
        </w:rPr>
        <w:t xml:space="preserve">strengthen national capacities for the </w:t>
      </w:r>
      <w:r w:rsidR="00783788">
        <w:rPr>
          <w:color w:val="000000"/>
        </w:rPr>
        <w:t>effective implementation of the 2003 Convention</w:t>
      </w:r>
      <w:r w:rsidR="00523AAF">
        <w:rPr>
          <w:color w:val="000000"/>
        </w:rPr>
        <w:t xml:space="preserve"> in Lebanon</w:t>
      </w:r>
      <w:r w:rsidR="00783788">
        <w:rPr>
          <w:color w:val="000000"/>
        </w:rPr>
        <w:t>.</w:t>
      </w:r>
    </w:p>
    <w:p w14:paraId="4B085B78" w14:textId="27C979ED" w:rsidR="009B75DD" w:rsidRDefault="009B75DD" w:rsidP="00D57B41">
      <w:pPr>
        <w:pStyle w:val="COMPara"/>
        <w:numPr>
          <w:ilvl w:val="0"/>
          <w:numId w:val="0"/>
        </w:numPr>
        <w:spacing w:before="240"/>
        <w:ind w:left="567"/>
        <w:jc w:val="both"/>
      </w:pPr>
      <w:r>
        <w:rPr>
          <w:noProof/>
          <w:lang w:val="en-US" w:eastAsia="ko-KR"/>
        </w:rPr>
        <w:drawing>
          <wp:inline distT="0" distB="0" distL="0" distR="0" wp14:anchorId="454C84A9" wp14:editId="2EC343D8">
            <wp:extent cx="5760000" cy="3531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000" cy="3531600"/>
                    </a:xfrm>
                    <a:prstGeom prst="rect">
                      <a:avLst/>
                    </a:prstGeom>
                    <a:noFill/>
                  </pic:spPr>
                </pic:pic>
              </a:graphicData>
            </a:graphic>
          </wp:inline>
        </w:drawing>
      </w:r>
    </w:p>
    <w:p w14:paraId="24C930CF" w14:textId="20577715" w:rsidR="0099724F" w:rsidRPr="00D57B41" w:rsidRDefault="00996BB4" w:rsidP="00D57B41">
      <w:pPr>
        <w:pStyle w:val="Paragraph"/>
        <w:numPr>
          <w:ilvl w:val="0"/>
          <w:numId w:val="0"/>
        </w:numPr>
        <w:tabs>
          <w:tab w:val="clear" w:pos="567"/>
        </w:tabs>
        <w:ind w:left="567"/>
        <w:rPr>
          <w:sz w:val="18"/>
          <w:szCs w:val="18"/>
        </w:rPr>
      </w:pPr>
      <w:r w:rsidRPr="0027119A">
        <w:rPr>
          <w:b/>
          <w:sz w:val="18"/>
          <w:szCs w:val="18"/>
        </w:rPr>
        <w:t xml:space="preserve">Figure </w:t>
      </w:r>
      <w:r w:rsidRPr="0027119A">
        <w:rPr>
          <w:b/>
          <w:i/>
          <w:sz w:val="18"/>
          <w:szCs w:val="18"/>
        </w:rPr>
        <w:fldChar w:fldCharType="begin"/>
      </w:r>
      <w:r w:rsidRPr="0027119A">
        <w:rPr>
          <w:b/>
          <w:sz w:val="18"/>
          <w:szCs w:val="18"/>
        </w:rPr>
        <w:instrText xml:space="preserve"> SEQ Figure \* ARABIC </w:instrText>
      </w:r>
      <w:r w:rsidRPr="0027119A">
        <w:rPr>
          <w:b/>
          <w:i/>
          <w:sz w:val="18"/>
          <w:szCs w:val="18"/>
        </w:rPr>
        <w:fldChar w:fldCharType="separate"/>
      </w:r>
      <w:r w:rsidR="00100DC3">
        <w:rPr>
          <w:b/>
          <w:noProof/>
          <w:sz w:val="18"/>
          <w:szCs w:val="18"/>
        </w:rPr>
        <w:t>1</w:t>
      </w:r>
      <w:r w:rsidRPr="0027119A">
        <w:rPr>
          <w:b/>
          <w:i/>
          <w:sz w:val="18"/>
          <w:szCs w:val="18"/>
        </w:rPr>
        <w:fldChar w:fldCharType="end"/>
      </w:r>
      <w:r w:rsidRPr="0027119A">
        <w:rPr>
          <w:sz w:val="18"/>
          <w:szCs w:val="18"/>
        </w:rPr>
        <w:t xml:space="preserve">: </w:t>
      </w:r>
      <w:r w:rsidRPr="00243077">
        <w:rPr>
          <w:sz w:val="18"/>
          <w:szCs w:val="18"/>
        </w:rPr>
        <w:t>Evolution of resources mobilized in support of the global capacity-building programme</w:t>
      </w:r>
    </w:p>
    <w:p w14:paraId="55624DEA" w14:textId="6BD70D80" w:rsidR="007C3BB5" w:rsidRPr="007C3BB5" w:rsidRDefault="007C3BB5" w:rsidP="00F10A0B">
      <w:pPr>
        <w:pStyle w:val="COMPara"/>
        <w:ind w:left="567" w:hanging="567"/>
        <w:jc w:val="both"/>
      </w:pPr>
      <w:r w:rsidRPr="00F10A0B">
        <w:rPr>
          <w:b/>
        </w:rPr>
        <w:t>Intangible cultural heritage in education</w:t>
      </w:r>
      <w:r>
        <w:t>:</w:t>
      </w:r>
      <w:r w:rsidRPr="007C3BB5">
        <w:t xml:space="preserve"> </w:t>
      </w:r>
      <w:r w:rsidR="00353ECC">
        <w:t>N</w:t>
      </w:r>
      <w:r w:rsidR="00483B4C">
        <w:t xml:space="preserve">o contribution </w:t>
      </w:r>
      <w:proofErr w:type="gramStart"/>
      <w:r w:rsidR="00353ECC">
        <w:t>has</w:t>
      </w:r>
      <w:r w:rsidR="00483B4C">
        <w:t xml:space="preserve"> been received</w:t>
      </w:r>
      <w:proofErr w:type="gramEnd"/>
      <w:r w:rsidR="00483B4C" w:rsidRPr="00483B4C">
        <w:t xml:space="preserve"> </w:t>
      </w:r>
      <w:r w:rsidR="00353ECC">
        <w:t>to support</w:t>
      </w:r>
      <w:r w:rsidR="00483B4C">
        <w:t xml:space="preserve"> the </w:t>
      </w:r>
      <w:r w:rsidR="00353ECC">
        <w:t xml:space="preserve">above-mentioned </w:t>
      </w:r>
      <w:r w:rsidR="00483B4C">
        <w:t>new funding priority</w:t>
      </w:r>
      <w:r w:rsidR="00353ECC">
        <w:t>, ‘Safeguarding intangible cultural heritage in formal and non-formal education’</w:t>
      </w:r>
      <w:r w:rsidR="00483B4C">
        <w:t xml:space="preserve"> </w:t>
      </w:r>
      <w:r w:rsidR="00353ECC">
        <w:t xml:space="preserve">since its approval by the Committee in December 2017. Following </w:t>
      </w:r>
      <w:r w:rsidR="00154EB6">
        <w:t xml:space="preserve">the </w:t>
      </w:r>
      <w:r w:rsidR="00353ECC">
        <w:t xml:space="preserve">advocacy </w:t>
      </w:r>
      <w:r w:rsidR="00154EB6">
        <w:t>of</w:t>
      </w:r>
      <w:r w:rsidR="00353ECC">
        <w:t xml:space="preserve"> the Secretariat, some donors have expressed</w:t>
      </w:r>
      <w:r w:rsidR="00154EB6">
        <w:t xml:space="preserve"> an</w:t>
      </w:r>
      <w:r w:rsidR="00353ECC">
        <w:t xml:space="preserve"> informal interest</w:t>
      </w:r>
      <w:r w:rsidR="0049539B">
        <w:t>,</w:t>
      </w:r>
      <w:r w:rsidR="00D84798">
        <w:t xml:space="preserve"> which so far </w:t>
      </w:r>
      <w:r w:rsidR="00B0156F">
        <w:t>did not translate into voluntary contributions. In this regard,</w:t>
      </w:r>
      <w:r w:rsidR="0049539B">
        <w:t xml:space="preserve"> the Secretariat will be intensifying its effort</w:t>
      </w:r>
      <w:r w:rsidR="00154EB6">
        <w:t>s</w:t>
      </w:r>
      <w:r w:rsidR="0049539B">
        <w:t xml:space="preserve"> to mobili</w:t>
      </w:r>
      <w:r w:rsidR="00154EB6">
        <w:t>z</w:t>
      </w:r>
      <w:r w:rsidR="0066633D">
        <w:t>e resources.</w:t>
      </w:r>
    </w:p>
    <w:p w14:paraId="3753E63F" w14:textId="5F4E3D20" w:rsidR="00AE4634" w:rsidRDefault="00483B4C" w:rsidP="00AE4634">
      <w:pPr>
        <w:pStyle w:val="COMPara"/>
        <w:ind w:left="567" w:hanging="567"/>
        <w:jc w:val="both"/>
      </w:pPr>
      <w:r>
        <w:t>T</w:t>
      </w:r>
      <w:r w:rsidR="00AE4634" w:rsidRPr="009D6530">
        <w:t xml:space="preserve">he Committee may wish to encourage donors to support </w:t>
      </w:r>
      <w:r w:rsidR="00AE4634" w:rsidRPr="005E220A">
        <w:t>the</w:t>
      </w:r>
      <w:r w:rsidR="00AE4634" w:rsidRPr="009D6530">
        <w:t xml:space="preserve"> </w:t>
      </w:r>
      <w:r w:rsidR="00AE4634" w:rsidRPr="005E220A">
        <w:t xml:space="preserve">achievement of the goals set </w:t>
      </w:r>
      <w:r w:rsidR="00AE4634">
        <w:t>out in</w:t>
      </w:r>
      <w:r w:rsidR="00AE4634" w:rsidRPr="005E220A">
        <w:t xml:space="preserve"> the </w:t>
      </w:r>
      <w:r w:rsidR="00AE4634">
        <w:rPr>
          <w:lang w:val="en-US"/>
        </w:rPr>
        <w:t>two funding priorities</w:t>
      </w:r>
      <w:r w:rsidR="00AE4634" w:rsidRPr="005E220A">
        <w:t xml:space="preserve"> </w:t>
      </w:r>
      <w:r w:rsidR="00AE4634" w:rsidRPr="009D6530">
        <w:t xml:space="preserve">through earmarked voluntary contributions to the Fund. The modality of earmarked contributions allows the Committee </w:t>
      </w:r>
      <w:proofErr w:type="gramStart"/>
      <w:r w:rsidR="00AE4634" w:rsidRPr="009D6530">
        <w:t>to better coordinate</w:t>
      </w:r>
      <w:proofErr w:type="gramEnd"/>
      <w:r w:rsidR="00AE4634" w:rsidRPr="009D6530">
        <w:t xml:space="preserve"> international cooperation</w:t>
      </w:r>
      <w:r w:rsidR="00AE4634">
        <w:t>,</w:t>
      </w:r>
      <w:r w:rsidR="00AE4634" w:rsidRPr="009D6530">
        <w:t xml:space="preserve"> as described in Article 19 of the Convention, while permitting the Secretariat to match needs and resources responsively and </w:t>
      </w:r>
      <w:r w:rsidR="00AE4634">
        <w:t xml:space="preserve">to </w:t>
      </w:r>
      <w:r w:rsidR="00AE4634" w:rsidRPr="009D6530">
        <w:t xml:space="preserve">deliver services effectively; it also provides high visibility to the donor. In keeping with the Organization’s principle of results-based management, the Secretariat </w:t>
      </w:r>
      <w:r w:rsidR="00154EB6">
        <w:t>has a</w:t>
      </w:r>
      <w:r w:rsidR="00AE4634" w:rsidRPr="009D6530">
        <w:t xml:space="preserve"> responsib</w:t>
      </w:r>
      <w:r w:rsidR="00154EB6">
        <w:t>ility</w:t>
      </w:r>
      <w:r w:rsidR="00AE4634" w:rsidRPr="009D6530">
        <w:t xml:space="preserve"> to</w:t>
      </w:r>
      <w:r w:rsidR="00353ECC">
        <w:t>wards</w:t>
      </w:r>
      <w:r w:rsidR="00AE4634" w:rsidRPr="009D6530">
        <w:t xml:space="preserve"> the General Assembly – and to</w:t>
      </w:r>
      <w:r w:rsidR="00154EB6">
        <w:t>wards</w:t>
      </w:r>
      <w:r w:rsidR="00AE4634" w:rsidRPr="009D6530">
        <w:t xml:space="preserve"> donors – </w:t>
      </w:r>
      <w:r w:rsidR="00154EB6">
        <w:t>to</w:t>
      </w:r>
      <w:r w:rsidR="00AE4634" w:rsidRPr="009D6530">
        <w:t xml:space="preserve"> achiev</w:t>
      </w:r>
      <w:r w:rsidR="00154EB6">
        <w:t>e</w:t>
      </w:r>
      <w:r w:rsidR="00AE4634" w:rsidRPr="009D6530">
        <w:t xml:space="preserve"> concrete results.</w:t>
      </w:r>
    </w:p>
    <w:p w14:paraId="28B4C95E" w14:textId="5AC78D9E" w:rsidR="00AE4634" w:rsidRDefault="007C3BB5" w:rsidP="00AE4634">
      <w:pPr>
        <w:pStyle w:val="COMPara"/>
        <w:ind w:left="567" w:hanging="567"/>
        <w:jc w:val="both"/>
      </w:pPr>
      <w:r w:rsidRPr="00F10A0B">
        <w:rPr>
          <w:b/>
        </w:rPr>
        <w:t>Strengthening</w:t>
      </w:r>
      <w:r w:rsidR="009954FB">
        <w:rPr>
          <w:b/>
        </w:rPr>
        <w:t xml:space="preserve"> </w:t>
      </w:r>
      <w:r w:rsidRPr="00F10A0B">
        <w:rPr>
          <w:b/>
        </w:rPr>
        <w:t>the human resources of the Secretariat</w:t>
      </w:r>
      <w:r>
        <w:t>:</w:t>
      </w:r>
      <w:r w:rsidRPr="00BE5499">
        <w:t xml:space="preserve"> </w:t>
      </w:r>
      <w:r w:rsidR="008368F2" w:rsidRPr="00BE5499">
        <w:t>Recognizing that the Secretariat’s ability to provide quality services to Member States depends largely on its human resources, many and various donors have provided support by m</w:t>
      </w:r>
      <w:r w:rsidR="008368F2">
        <w:t xml:space="preserve">aking use of several modalities </w:t>
      </w:r>
      <w:r w:rsidR="009462BD">
        <w:t xml:space="preserve">over </w:t>
      </w:r>
      <w:r w:rsidR="008368F2">
        <w:t xml:space="preserve">the years. </w:t>
      </w:r>
      <w:r w:rsidR="009462BD">
        <w:t>However</w:t>
      </w:r>
      <w:r w:rsidR="008368F2">
        <w:t xml:space="preserve">, Figure 2 shows </w:t>
      </w:r>
      <w:r w:rsidR="00C82FF5">
        <w:t>a decrease</w:t>
      </w:r>
      <w:r w:rsidR="008368F2">
        <w:t xml:space="preserve"> in all kinds of contributions related to the strengthening of the human capacities of the Secretariat during </w:t>
      </w:r>
      <w:r w:rsidR="00EA0AAC">
        <w:t xml:space="preserve">the </w:t>
      </w:r>
      <w:r w:rsidR="00E63960">
        <w:t xml:space="preserve">last biennia. </w:t>
      </w:r>
      <w:r w:rsidR="00C82FF5">
        <w:t>In particular,</w:t>
      </w:r>
      <w:r w:rsidR="00C82FF5" w:rsidRPr="00BE5499">
        <w:t xml:space="preserve"> support</w:t>
      </w:r>
      <w:r w:rsidR="00C82FF5">
        <w:t xml:space="preserve"> </w:t>
      </w:r>
      <w:r w:rsidR="009462BD">
        <w:t>for</w:t>
      </w:r>
      <w:r w:rsidR="00C82FF5">
        <w:t xml:space="preserve"> the </w:t>
      </w:r>
      <w:r w:rsidR="00EA0AAC">
        <w:t>sub</w:t>
      </w:r>
      <w:r w:rsidR="00C82FF5">
        <w:t>-fund</w:t>
      </w:r>
      <w:r w:rsidR="00C82FF5" w:rsidRPr="00BE5499">
        <w:t xml:space="preserve"> of the </w:t>
      </w:r>
      <w:r w:rsidR="00C43842">
        <w:t xml:space="preserve">Intangible Cultural Heritage </w:t>
      </w:r>
      <w:r w:rsidR="00C82FF5" w:rsidRPr="00BE5499">
        <w:t>Fund</w:t>
      </w:r>
      <w:r w:rsidR="00C82FF5">
        <w:t xml:space="preserve"> </w:t>
      </w:r>
      <w:r w:rsidR="00C82FF5" w:rsidRPr="00BE5499">
        <w:t>is</w:t>
      </w:r>
      <w:r w:rsidR="00C82FF5">
        <w:t xml:space="preserve"> again</w:t>
      </w:r>
      <w:r w:rsidR="00C82FF5" w:rsidRPr="00BE5499">
        <w:t xml:space="preserve"> far from reaching the annual target of US$1.1 million set by the General Assembly (</w:t>
      </w:r>
      <w:hyperlink r:id="rId12" w:history="1">
        <w:r w:rsidR="00C82FF5" w:rsidRPr="00BE5499">
          <w:rPr>
            <w:rStyle w:val="Hyperlink"/>
          </w:rPr>
          <w:t>Resolution 3.GA 9</w:t>
        </w:r>
      </w:hyperlink>
      <w:r w:rsidR="00C82FF5" w:rsidRPr="00BE5499">
        <w:t xml:space="preserve">). </w:t>
      </w:r>
      <w:r w:rsidR="00C82FF5" w:rsidRPr="00047E2A">
        <w:t>More precisely, it is worth noting that during the 38C/5</w:t>
      </w:r>
      <w:r w:rsidR="00ED1CB8" w:rsidRPr="00047E2A">
        <w:t>,</w:t>
      </w:r>
      <w:r w:rsidR="00C82FF5" w:rsidRPr="00047E2A">
        <w:t xml:space="preserve"> the </w:t>
      </w:r>
      <w:r w:rsidR="00EA0AAC" w:rsidRPr="00047E2A">
        <w:t>s</w:t>
      </w:r>
      <w:r w:rsidR="00C82FF5" w:rsidRPr="00047E2A">
        <w:t xml:space="preserve">ub-fund received voluntary contributions totalling only a </w:t>
      </w:r>
      <w:r w:rsidR="00047E2A">
        <w:t>third</w:t>
      </w:r>
      <w:r w:rsidR="00047E2A" w:rsidRPr="00047E2A">
        <w:t xml:space="preserve"> </w:t>
      </w:r>
      <w:r w:rsidR="00C82FF5" w:rsidRPr="00047E2A">
        <w:t>of the amount received during its preced</w:t>
      </w:r>
      <w:r w:rsidR="009462BD" w:rsidRPr="00047E2A">
        <w:t>ing</w:t>
      </w:r>
      <w:r w:rsidR="00C82FF5" w:rsidRPr="00047E2A">
        <w:t xml:space="preserve"> exercise.</w:t>
      </w:r>
      <w:r w:rsidR="00C82FF5">
        <w:t xml:space="preserve"> </w:t>
      </w:r>
      <w:r w:rsidR="00B673A2">
        <w:t xml:space="preserve">Between </w:t>
      </w:r>
      <w:r w:rsidR="00ED1CB8">
        <w:t>the</w:t>
      </w:r>
      <w:r w:rsidR="00C82FF5">
        <w:t xml:space="preserve"> last session</w:t>
      </w:r>
      <w:r w:rsidR="00ED1CB8">
        <w:t xml:space="preserve"> of the Committee</w:t>
      </w:r>
      <w:r w:rsidR="00783788">
        <w:t xml:space="preserve"> </w:t>
      </w:r>
      <w:r w:rsidR="00B673A2">
        <w:t>and</w:t>
      </w:r>
      <w:r w:rsidR="00783788">
        <w:t xml:space="preserve"> September 2018</w:t>
      </w:r>
      <w:r w:rsidR="00C82FF5">
        <w:t xml:space="preserve">, the </w:t>
      </w:r>
      <w:r w:rsidR="00EA0AAC">
        <w:t>s</w:t>
      </w:r>
      <w:r w:rsidR="00C82FF5">
        <w:t xml:space="preserve">ub-fund has received voluntary contributions for a consolidated amount </w:t>
      </w:r>
      <w:r w:rsidR="00C82FF5" w:rsidRPr="00241C1E">
        <w:t xml:space="preserve">of </w:t>
      </w:r>
      <w:r w:rsidR="00C82FF5" w:rsidRPr="00A72D1A">
        <w:t>US$</w:t>
      </w:r>
      <w:r w:rsidR="00D71244">
        <w:t>64</w:t>
      </w:r>
      <w:r w:rsidR="00C82FF5" w:rsidRPr="00A72D1A">
        <w:t>,</w:t>
      </w:r>
      <w:r w:rsidR="00D71244">
        <w:t>917</w:t>
      </w:r>
      <w:r w:rsidR="00C82FF5" w:rsidRPr="00241C1E">
        <w:t>, from</w:t>
      </w:r>
      <w:r w:rsidR="00C82FF5">
        <w:t xml:space="preserve"> the governments of </w:t>
      </w:r>
      <w:r w:rsidR="00ED1CB8" w:rsidRPr="005E220A">
        <w:t xml:space="preserve">the </w:t>
      </w:r>
      <w:r w:rsidR="00ED1CB8">
        <w:t xml:space="preserve">People’s Republic of </w:t>
      </w:r>
      <w:r w:rsidR="00C82FF5">
        <w:t>China, Finland</w:t>
      </w:r>
      <w:r w:rsidR="00D71244">
        <w:t>, Kazakhstan</w:t>
      </w:r>
      <w:r w:rsidR="00C82FF5">
        <w:t xml:space="preserve"> and Montenegro.</w:t>
      </w:r>
    </w:p>
    <w:p w14:paraId="30EC2DA8" w14:textId="1A7F3F8D" w:rsidR="00F73EEE" w:rsidRDefault="00F73EEE" w:rsidP="00D57B41">
      <w:pPr>
        <w:pStyle w:val="COMPara"/>
        <w:numPr>
          <w:ilvl w:val="0"/>
          <w:numId w:val="0"/>
        </w:numPr>
        <w:spacing w:before="240"/>
        <w:ind w:left="567"/>
        <w:jc w:val="both"/>
      </w:pPr>
      <w:r>
        <w:rPr>
          <w:noProof/>
          <w:lang w:val="en-US" w:eastAsia="ko-KR"/>
        </w:rPr>
        <w:lastRenderedPageBreak/>
        <w:drawing>
          <wp:inline distT="0" distB="0" distL="0" distR="0" wp14:anchorId="4DDBF120" wp14:editId="142BAC77">
            <wp:extent cx="5760000" cy="3688142"/>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000" cy="3688142"/>
                    </a:xfrm>
                    <a:prstGeom prst="rect">
                      <a:avLst/>
                    </a:prstGeom>
                    <a:noFill/>
                  </pic:spPr>
                </pic:pic>
              </a:graphicData>
            </a:graphic>
          </wp:inline>
        </w:drawing>
      </w:r>
    </w:p>
    <w:p w14:paraId="56373D53" w14:textId="44B9845E" w:rsidR="0099724F" w:rsidRPr="008368F2" w:rsidRDefault="008368F2" w:rsidP="00D57B41">
      <w:pPr>
        <w:pStyle w:val="COMPara"/>
        <w:numPr>
          <w:ilvl w:val="0"/>
          <w:numId w:val="0"/>
        </w:numPr>
        <w:spacing w:after="240"/>
        <w:ind w:left="567"/>
        <w:jc w:val="both"/>
        <w:rPr>
          <w:sz w:val="18"/>
          <w:szCs w:val="18"/>
        </w:rPr>
      </w:pPr>
      <w:r w:rsidRPr="008368F2">
        <w:rPr>
          <w:b/>
          <w:sz w:val="18"/>
          <w:szCs w:val="18"/>
        </w:rPr>
        <w:t xml:space="preserve">Figure </w:t>
      </w:r>
      <w:r w:rsidRPr="008368F2">
        <w:rPr>
          <w:b/>
          <w:i/>
          <w:sz w:val="18"/>
          <w:szCs w:val="18"/>
        </w:rPr>
        <w:fldChar w:fldCharType="begin"/>
      </w:r>
      <w:r w:rsidRPr="008368F2">
        <w:rPr>
          <w:b/>
          <w:sz w:val="18"/>
          <w:szCs w:val="18"/>
        </w:rPr>
        <w:instrText xml:space="preserve"> SEQ Figure \* ARABIC </w:instrText>
      </w:r>
      <w:r w:rsidRPr="008368F2">
        <w:rPr>
          <w:b/>
          <w:i/>
          <w:sz w:val="18"/>
          <w:szCs w:val="18"/>
        </w:rPr>
        <w:fldChar w:fldCharType="separate"/>
      </w:r>
      <w:r w:rsidR="00100DC3">
        <w:rPr>
          <w:b/>
          <w:noProof/>
          <w:sz w:val="18"/>
          <w:szCs w:val="18"/>
        </w:rPr>
        <w:t>2</w:t>
      </w:r>
      <w:r w:rsidRPr="008368F2">
        <w:rPr>
          <w:b/>
          <w:i/>
          <w:sz w:val="18"/>
          <w:szCs w:val="18"/>
        </w:rPr>
        <w:fldChar w:fldCharType="end"/>
      </w:r>
      <w:r w:rsidRPr="008368F2">
        <w:rPr>
          <w:sz w:val="18"/>
          <w:szCs w:val="18"/>
        </w:rPr>
        <w:t>: Evolution of resources mobilized in support of human resources</w:t>
      </w:r>
    </w:p>
    <w:p w14:paraId="0ED802C8" w14:textId="1E1B1BA9" w:rsidR="00EC1F1C" w:rsidRDefault="00EC1F1C" w:rsidP="0005644B">
      <w:pPr>
        <w:pStyle w:val="COMPara"/>
        <w:ind w:left="567" w:hanging="567"/>
        <w:jc w:val="both"/>
      </w:pPr>
      <w:r w:rsidRPr="00FB260D">
        <w:rPr>
          <w:b/>
          <w:lang w:val="en-US"/>
        </w:rPr>
        <w:t>Reflection on the listing mechanisms</w:t>
      </w:r>
      <w:r>
        <w:rPr>
          <w:lang w:val="en-US"/>
        </w:rPr>
        <w:t>: In addition to the funds already received, t</w:t>
      </w:r>
      <w:r>
        <w:t xml:space="preserve">he Government of Japan has expressed its wish to </w:t>
      </w:r>
      <w:r w:rsidRPr="00A12880">
        <w:rPr>
          <w:rStyle w:val="hps"/>
        </w:rPr>
        <w:t>support the</w:t>
      </w:r>
      <w:r w:rsidR="0005644B">
        <w:rPr>
          <w:rStyle w:val="hps"/>
        </w:rPr>
        <w:t xml:space="preserve"> 2003 </w:t>
      </w:r>
      <w:r w:rsidRPr="00A12880">
        <w:rPr>
          <w:rStyle w:val="hps"/>
        </w:rPr>
        <w:t>Convention by contributing to the Intangible Cultural Heritage Fund</w:t>
      </w:r>
      <w:r>
        <w:rPr>
          <w:rStyle w:val="hps"/>
        </w:rPr>
        <w:t xml:space="preserve">. </w:t>
      </w:r>
      <w:proofErr w:type="gramStart"/>
      <w:r>
        <w:t xml:space="preserve">At its twelfth session, the </w:t>
      </w:r>
      <w:r w:rsidRPr="00307BAA">
        <w:rPr>
          <w:rStyle w:val="hps"/>
        </w:rPr>
        <w:t>Committee acknowledged the ne</w:t>
      </w:r>
      <w:r w:rsidR="0005644B">
        <w:rPr>
          <w:rStyle w:val="hps"/>
        </w:rPr>
        <w:t>ed</w:t>
      </w:r>
      <w:r w:rsidRPr="00307BAA">
        <w:rPr>
          <w:rStyle w:val="hps"/>
        </w:rPr>
        <w:t xml:space="preserve"> to convene an open-ended intergovernmental working group</w:t>
      </w:r>
      <w:r>
        <w:rPr>
          <w:rStyle w:val="hps"/>
        </w:rPr>
        <w:t>,</w:t>
      </w:r>
      <w:r w:rsidRPr="00307BAA">
        <w:rPr>
          <w:rStyle w:val="hps"/>
        </w:rPr>
        <w:t xml:space="preserve"> </w:t>
      </w:r>
      <w:r>
        <w:rPr>
          <w:rStyle w:val="hps"/>
        </w:rPr>
        <w:t>‘</w:t>
      </w:r>
      <w:r w:rsidRPr="00307BAA">
        <w:rPr>
          <w:rStyle w:val="hps"/>
        </w:rPr>
        <w:t xml:space="preserve">to reflect </w:t>
      </w:r>
      <w:r w:rsidRPr="00307BAA">
        <w:rPr>
          <w:rStyle w:val="hps"/>
          <w:i/>
        </w:rPr>
        <w:t>inter alia</w:t>
      </w:r>
      <w:r w:rsidRPr="00307BAA">
        <w:rPr>
          <w:rStyle w:val="hps"/>
        </w:rPr>
        <w:t xml:space="preserve"> on the procedures for the removal of an element from a List and the transfer from one List to the other, on the nature and purposes of the Lists and the Register established under the Convention and on the relevance of the various criteria for each of these mechanisms</w:t>
      </w:r>
      <w:r w:rsidR="00210D04">
        <w:rPr>
          <w:rStyle w:val="hps"/>
        </w:rPr>
        <w:t xml:space="preserve">’ </w:t>
      </w:r>
      <w:r>
        <w:rPr>
          <w:rStyle w:val="hps"/>
        </w:rPr>
        <w:t>(</w:t>
      </w:r>
      <w:hyperlink r:id="rId14" w:history="1">
        <w:r w:rsidRPr="007D037B">
          <w:rPr>
            <w:rStyle w:val="Hyperlink"/>
          </w:rPr>
          <w:t>Decision</w:t>
        </w:r>
        <w:r w:rsidR="00670149">
          <w:rPr>
            <w:rStyle w:val="Hyperlink"/>
          </w:rPr>
          <w:t> </w:t>
        </w:r>
        <w:r w:rsidRPr="007D037B">
          <w:rPr>
            <w:rStyle w:val="Hyperlink"/>
          </w:rPr>
          <w:t>12.CO</w:t>
        </w:r>
        <w:r w:rsidR="00670149">
          <w:rPr>
            <w:rStyle w:val="Hyperlink"/>
          </w:rPr>
          <w:t>M </w:t>
        </w:r>
        <w:r w:rsidRPr="007D037B">
          <w:rPr>
            <w:rStyle w:val="Hyperlink"/>
          </w:rPr>
          <w:t>14</w:t>
        </w:r>
      </w:hyperlink>
      <w:r>
        <w:rPr>
          <w:rStyle w:val="hps"/>
        </w:rPr>
        <w:t>).</w:t>
      </w:r>
      <w:proofErr w:type="gramEnd"/>
      <w:r>
        <w:rPr>
          <w:rStyle w:val="hps"/>
        </w:rPr>
        <w:t xml:space="preserve"> </w:t>
      </w:r>
      <w:r w:rsidRPr="00F50699">
        <w:rPr>
          <w:lang w:val="en-US"/>
        </w:rPr>
        <w:t>The</w:t>
      </w:r>
      <w:r w:rsidRPr="00307BAA">
        <w:rPr>
          <w:lang w:val="en-US"/>
        </w:rPr>
        <w:t xml:space="preserve"> importance of undertaking such a reflection </w:t>
      </w:r>
      <w:proofErr w:type="gramStart"/>
      <w:r w:rsidRPr="00307BAA">
        <w:rPr>
          <w:lang w:val="en-US"/>
        </w:rPr>
        <w:t xml:space="preserve">was </w:t>
      </w:r>
      <w:r>
        <w:rPr>
          <w:lang w:val="en-US"/>
        </w:rPr>
        <w:t xml:space="preserve">also </w:t>
      </w:r>
      <w:r w:rsidRPr="00307BAA">
        <w:rPr>
          <w:lang w:val="en-US"/>
        </w:rPr>
        <w:t>underlined</w:t>
      </w:r>
      <w:proofErr w:type="gramEnd"/>
      <w:r w:rsidRPr="00307BAA">
        <w:rPr>
          <w:lang w:val="en-US"/>
        </w:rPr>
        <w:t xml:space="preserve"> most recently by </w:t>
      </w:r>
      <w:r w:rsidRPr="00F50699">
        <w:rPr>
          <w:lang w:val="en-US"/>
        </w:rPr>
        <w:t>the</w:t>
      </w:r>
      <w:r w:rsidRPr="00307BAA">
        <w:rPr>
          <w:lang w:val="en-US"/>
        </w:rPr>
        <w:t xml:space="preserve"> seventh session of </w:t>
      </w:r>
      <w:r w:rsidRPr="00F50699">
        <w:rPr>
          <w:lang w:val="en-US"/>
        </w:rPr>
        <w:t>the</w:t>
      </w:r>
      <w:r w:rsidRPr="00307BAA">
        <w:rPr>
          <w:lang w:val="en-US"/>
        </w:rPr>
        <w:t xml:space="preserve"> </w:t>
      </w:r>
      <w:r w:rsidRPr="00F50699">
        <w:rPr>
          <w:lang w:val="en-US"/>
        </w:rPr>
        <w:t>General</w:t>
      </w:r>
      <w:r w:rsidRPr="00307BAA">
        <w:rPr>
          <w:lang w:val="en-US"/>
        </w:rPr>
        <w:t xml:space="preserve"> Assembly of </w:t>
      </w:r>
      <w:r w:rsidRPr="00F50699">
        <w:rPr>
          <w:lang w:val="en-US"/>
        </w:rPr>
        <w:t>the</w:t>
      </w:r>
      <w:r w:rsidRPr="00307BAA">
        <w:rPr>
          <w:lang w:val="en-US"/>
        </w:rPr>
        <w:t xml:space="preserve"> States Parties to</w:t>
      </w:r>
      <w:r>
        <w:rPr>
          <w:lang w:val="en-US"/>
        </w:rPr>
        <w:t xml:space="preserve"> </w:t>
      </w:r>
      <w:r w:rsidRPr="00F50699">
        <w:rPr>
          <w:lang w:val="en-US"/>
        </w:rPr>
        <w:t>the</w:t>
      </w:r>
      <w:r w:rsidRPr="00307BAA">
        <w:rPr>
          <w:lang w:val="en-US"/>
        </w:rPr>
        <w:t xml:space="preserve"> Convention, held in June this year</w:t>
      </w:r>
      <w:r>
        <w:rPr>
          <w:lang w:val="en-US"/>
        </w:rPr>
        <w:t xml:space="preserve">. </w:t>
      </w:r>
      <w:proofErr w:type="gramStart"/>
      <w:r>
        <w:rPr>
          <w:lang w:val="en-US"/>
        </w:rPr>
        <w:t xml:space="preserve">The intention of the Government of Japan is to provide an earmarked contribution to the Fund to support this reflection process on the listing mechanisms of the 2003 Convention; the </w:t>
      </w:r>
      <w:r w:rsidRPr="00307BAA">
        <w:rPr>
          <w:lang w:val="en-US"/>
        </w:rPr>
        <w:t>contr</w:t>
      </w:r>
      <w:r>
        <w:rPr>
          <w:lang w:val="en-US"/>
        </w:rPr>
        <w:t xml:space="preserve">ibution is to be used, first of all, to </w:t>
      </w:r>
      <w:r w:rsidRPr="00307BAA">
        <w:rPr>
          <w:lang w:val="en-US"/>
        </w:rPr>
        <w:t>organize a</w:t>
      </w:r>
      <w:r>
        <w:rPr>
          <w:lang w:val="en-US"/>
        </w:rPr>
        <w:t xml:space="preserve"> preliminary meeting of experts in 2019 </w:t>
      </w:r>
      <w:r w:rsidRPr="00307BAA">
        <w:rPr>
          <w:lang w:val="en-US"/>
        </w:rPr>
        <w:t>and also to support</w:t>
      </w:r>
      <w:r>
        <w:rPr>
          <w:lang w:val="en-US"/>
        </w:rPr>
        <w:t xml:space="preserve"> </w:t>
      </w:r>
      <w:r w:rsidRPr="00F50699">
        <w:rPr>
          <w:lang w:val="en-US"/>
        </w:rPr>
        <w:t>the</w:t>
      </w:r>
      <w:r w:rsidRPr="00307BAA">
        <w:rPr>
          <w:lang w:val="en-US"/>
        </w:rPr>
        <w:t xml:space="preserve"> convening of a</w:t>
      </w:r>
      <w:r>
        <w:rPr>
          <w:lang w:val="en-US"/>
        </w:rPr>
        <w:t xml:space="preserve"> </w:t>
      </w:r>
      <w:r w:rsidRPr="00307BAA">
        <w:rPr>
          <w:lang w:val="en-US"/>
        </w:rPr>
        <w:t xml:space="preserve">meeting of </w:t>
      </w:r>
      <w:r w:rsidRPr="00F50699">
        <w:rPr>
          <w:lang w:val="en-US"/>
        </w:rPr>
        <w:t>the</w:t>
      </w:r>
      <w:r w:rsidRPr="00307BAA">
        <w:rPr>
          <w:lang w:val="en-US"/>
        </w:rPr>
        <w:t xml:space="preserve"> open-ended intergovernmental working group</w:t>
      </w:r>
      <w:r>
        <w:rPr>
          <w:lang w:val="en-US"/>
        </w:rPr>
        <w:t xml:space="preserve"> (provisionally in 2021).</w:t>
      </w:r>
      <w:proofErr w:type="gramEnd"/>
      <w:r w:rsidRPr="00F50699">
        <w:t xml:space="preserve"> Therefore, the Committee </w:t>
      </w:r>
      <w:proofErr w:type="gramStart"/>
      <w:r w:rsidRPr="00F50699">
        <w:t>is asked</w:t>
      </w:r>
      <w:proofErr w:type="gramEnd"/>
      <w:r w:rsidRPr="00F50699">
        <w:t xml:space="preserve"> at the present session to approve </w:t>
      </w:r>
      <w:r>
        <w:t>Japan’s</w:t>
      </w:r>
      <w:r w:rsidRPr="00F50699">
        <w:t xml:space="preserve"> offer</w:t>
      </w:r>
      <w:r w:rsidR="00E00945">
        <w:t>,</w:t>
      </w:r>
      <w:r w:rsidRPr="00F50699">
        <w:t xml:space="preserve"> as set out in the letter from the </w:t>
      </w:r>
      <w:r>
        <w:t>Government of Japan</w:t>
      </w:r>
      <w:r w:rsidRPr="00F50699">
        <w:t xml:space="preserve"> presented in Annex I</w:t>
      </w:r>
      <w:r>
        <w:t>I</w:t>
      </w:r>
      <w:r w:rsidRPr="00F50699">
        <w:t xml:space="preserve"> of </w:t>
      </w:r>
      <w:r w:rsidR="0005644B">
        <w:t>this</w:t>
      </w:r>
      <w:r w:rsidRPr="00F50699">
        <w:t xml:space="preserve"> document</w:t>
      </w:r>
      <w:r>
        <w:t>.</w:t>
      </w:r>
    </w:p>
    <w:p w14:paraId="20388DAB" w14:textId="1AD23F6D" w:rsidR="00811D13" w:rsidRDefault="0018530A" w:rsidP="00254129">
      <w:pPr>
        <w:pStyle w:val="COMPara"/>
        <w:ind w:left="567" w:hanging="567"/>
        <w:jc w:val="both"/>
      </w:pPr>
      <w:r>
        <w:t xml:space="preserve">Finally, </w:t>
      </w:r>
      <w:r w:rsidR="00430C97">
        <w:t xml:space="preserve">the </w:t>
      </w:r>
      <w:r w:rsidR="000A01A6">
        <w:t xml:space="preserve">implementation of the </w:t>
      </w:r>
      <w:r w:rsidR="00430C97">
        <w:t>following</w:t>
      </w:r>
      <w:r>
        <w:t xml:space="preserve"> earmarked activities</w:t>
      </w:r>
      <w:r w:rsidR="00430C97">
        <w:t>, financed with voluntary supplementary contributions, continued during the reporting period:</w:t>
      </w:r>
    </w:p>
    <w:tbl>
      <w:tblPr>
        <w:tblStyle w:val="TableGrid"/>
        <w:tblW w:w="0" w:type="auto"/>
        <w:tblInd w:w="567" w:type="dxa"/>
        <w:tblLook w:val="04A0" w:firstRow="1" w:lastRow="0" w:firstColumn="1" w:lastColumn="0" w:noHBand="0" w:noVBand="1"/>
      </w:tblPr>
      <w:tblGrid>
        <w:gridCol w:w="4238"/>
        <w:gridCol w:w="2094"/>
        <w:gridCol w:w="2739"/>
      </w:tblGrid>
      <w:tr w:rsidR="00811D13" w14:paraId="0B19E16E" w14:textId="77777777" w:rsidTr="00326FD6">
        <w:trPr>
          <w:trHeight w:val="293"/>
        </w:trPr>
        <w:tc>
          <w:tcPr>
            <w:tcW w:w="4394" w:type="dxa"/>
            <w:tcBorders>
              <w:left w:val="nil"/>
              <w:right w:val="nil"/>
            </w:tcBorders>
          </w:tcPr>
          <w:p w14:paraId="349F9DE8" w14:textId="77777777" w:rsidR="00811D13" w:rsidRPr="00DF600F" w:rsidRDefault="00811D13" w:rsidP="00D57B41">
            <w:pPr>
              <w:pStyle w:val="COMPara"/>
              <w:numPr>
                <w:ilvl w:val="0"/>
                <w:numId w:val="0"/>
              </w:numPr>
              <w:spacing w:before="120"/>
              <w:jc w:val="center"/>
              <w:rPr>
                <w:b/>
              </w:rPr>
            </w:pPr>
            <w:r w:rsidRPr="00DF600F">
              <w:rPr>
                <w:b/>
              </w:rPr>
              <w:t>Project</w:t>
            </w:r>
          </w:p>
        </w:tc>
        <w:tc>
          <w:tcPr>
            <w:tcW w:w="2126" w:type="dxa"/>
            <w:tcBorders>
              <w:left w:val="nil"/>
              <w:right w:val="nil"/>
            </w:tcBorders>
          </w:tcPr>
          <w:p w14:paraId="6A799D61" w14:textId="77777777" w:rsidR="00811D13" w:rsidRPr="00DF600F" w:rsidRDefault="00811D13" w:rsidP="00D57B41">
            <w:pPr>
              <w:pStyle w:val="COMPara"/>
              <w:numPr>
                <w:ilvl w:val="0"/>
                <w:numId w:val="0"/>
              </w:numPr>
              <w:spacing w:before="120"/>
              <w:jc w:val="center"/>
              <w:rPr>
                <w:b/>
              </w:rPr>
            </w:pPr>
            <w:r w:rsidRPr="00DF600F">
              <w:rPr>
                <w:b/>
              </w:rPr>
              <w:t>Contributors</w:t>
            </w:r>
          </w:p>
        </w:tc>
        <w:tc>
          <w:tcPr>
            <w:tcW w:w="2835" w:type="dxa"/>
            <w:tcBorders>
              <w:left w:val="nil"/>
              <w:right w:val="nil"/>
            </w:tcBorders>
          </w:tcPr>
          <w:p w14:paraId="569772BF" w14:textId="77777777" w:rsidR="00811D13" w:rsidRPr="00DF600F" w:rsidRDefault="00811D13" w:rsidP="00D57B41">
            <w:pPr>
              <w:pStyle w:val="COMPara"/>
              <w:numPr>
                <w:ilvl w:val="0"/>
                <w:numId w:val="0"/>
              </w:numPr>
              <w:spacing w:before="120"/>
              <w:jc w:val="center"/>
              <w:rPr>
                <w:b/>
              </w:rPr>
            </w:pPr>
            <w:r w:rsidRPr="00DF600F">
              <w:rPr>
                <w:b/>
              </w:rPr>
              <w:t>Last report issued</w:t>
            </w:r>
          </w:p>
        </w:tc>
      </w:tr>
      <w:tr w:rsidR="00811D13" w:rsidRPr="00811D13" w14:paraId="7011D623" w14:textId="77777777" w:rsidTr="00D57B41">
        <w:tc>
          <w:tcPr>
            <w:tcW w:w="4394" w:type="dxa"/>
            <w:tcBorders>
              <w:left w:val="nil"/>
              <w:bottom w:val="nil"/>
              <w:right w:val="nil"/>
            </w:tcBorders>
          </w:tcPr>
          <w:p w14:paraId="7AE9FCD8" w14:textId="77777777" w:rsidR="00811D13" w:rsidRPr="00DF600F" w:rsidRDefault="00811D13" w:rsidP="00D57B41">
            <w:pPr>
              <w:pStyle w:val="COMPara"/>
              <w:numPr>
                <w:ilvl w:val="0"/>
                <w:numId w:val="0"/>
              </w:numPr>
              <w:spacing w:before="120"/>
              <w:jc w:val="both"/>
            </w:pPr>
            <w:r w:rsidRPr="00DF600F">
              <w:t>Improvement of the periodic reporting mechanisms under the 2003 Convention</w:t>
            </w:r>
          </w:p>
        </w:tc>
        <w:tc>
          <w:tcPr>
            <w:tcW w:w="2126" w:type="dxa"/>
            <w:tcBorders>
              <w:left w:val="nil"/>
              <w:bottom w:val="nil"/>
              <w:right w:val="nil"/>
            </w:tcBorders>
          </w:tcPr>
          <w:p w14:paraId="7D95DA09" w14:textId="732A99C1" w:rsidR="00811D13" w:rsidRPr="00DF600F" w:rsidRDefault="00DF600F" w:rsidP="00D57B41">
            <w:pPr>
              <w:pStyle w:val="COMPara"/>
              <w:numPr>
                <w:ilvl w:val="0"/>
                <w:numId w:val="0"/>
              </w:numPr>
              <w:spacing w:before="120"/>
              <w:jc w:val="both"/>
            </w:pPr>
            <w:r>
              <w:t>Republic of Korea</w:t>
            </w:r>
          </w:p>
        </w:tc>
        <w:tc>
          <w:tcPr>
            <w:tcW w:w="2835" w:type="dxa"/>
            <w:tcBorders>
              <w:left w:val="nil"/>
              <w:bottom w:val="nil"/>
              <w:right w:val="nil"/>
            </w:tcBorders>
          </w:tcPr>
          <w:p w14:paraId="78DA76F0" w14:textId="0E8DC546" w:rsidR="00811D13" w:rsidRPr="00DF600F" w:rsidRDefault="00DF600F" w:rsidP="00E56802">
            <w:pPr>
              <w:pStyle w:val="COMPara"/>
              <w:numPr>
                <w:ilvl w:val="0"/>
                <w:numId w:val="0"/>
              </w:numPr>
              <w:spacing w:before="120"/>
              <w:jc w:val="center"/>
            </w:pPr>
            <w:r w:rsidRPr="00DF600F">
              <w:t>-</w:t>
            </w:r>
          </w:p>
        </w:tc>
      </w:tr>
      <w:tr w:rsidR="00811D13" w:rsidRPr="00811D13" w14:paraId="3E1CC511" w14:textId="77777777" w:rsidTr="00D57B41">
        <w:tc>
          <w:tcPr>
            <w:tcW w:w="4394" w:type="dxa"/>
            <w:tcBorders>
              <w:top w:val="nil"/>
              <w:left w:val="nil"/>
              <w:bottom w:val="nil"/>
              <w:right w:val="nil"/>
            </w:tcBorders>
          </w:tcPr>
          <w:p w14:paraId="7750EDC7" w14:textId="77777777" w:rsidR="00811D13" w:rsidRPr="00DF600F" w:rsidRDefault="00811D13" w:rsidP="000C34D8">
            <w:pPr>
              <w:pStyle w:val="COMPara"/>
              <w:numPr>
                <w:ilvl w:val="0"/>
                <w:numId w:val="0"/>
              </w:numPr>
              <w:jc w:val="both"/>
            </w:pPr>
            <w:r w:rsidRPr="00DF600F">
              <w:t>Strengthening the capacities of Eritrea for implementing the Convention for the Safeguarding of the Intangible Cultural Heritage</w:t>
            </w:r>
          </w:p>
        </w:tc>
        <w:tc>
          <w:tcPr>
            <w:tcW w:w="2126" w:type="dxa"/>
            <w:tcBorders>
              <w:top w:val="nil"/>
              <w:left w:val="nil"/>
              <w:bottom w:val="nil"/>
              <w:right w:val="nil"/>
            </w:tcBorders>
          </w:tcPr>
          <w:p w14:paraId="76BEEF3D" w14:textId="77777777" w:rsidR="00811D13" w:rsidRPr="00DF600F" w:rsidRDefault="00811D13" w:rsidP="000C34D8">
            <w:pPr>
              <w:pStyle w:val="COMPara"/>
              <w:numPr>
                <w:ilvl w:val="0"/>
                <w:numId w:val="0"/>
              </w:numPr>
              <w:jc w:val="both"/>
            </w:pPr>
            <w:r w:rsidRPr="00DF600F">
              <w:t>Norway</w:t>
            </w:r>
          </w:p>
        </w:tc>
        <w:tc>
          <w:tcPr>
            <w:tcW w:w="2835" w:type="dxa"/>
            <w:tcBorders>
              <w:top w:val="nil"/>
              <w:left w:val="nil"/>
              <w:bottom w:val="nil"/>
              <w:right w:val="nil"/>
            </w:tcBorders>
          </w:tcPr>
          <w:p w14:paraId="15ECF26C" w14:textId="77777777" w:rsidR="00811D13" w:rsidRPr="00DF600F" w:rsidRDefault="00326FD6" w:rsidP="000C34D8">
            <w:pPr>
              <w:pStyle w:val="COMPara"/>
              <w:numPr>
                <w:ilvl w:val="0"/>
                <w:numId w:val="0"/>
              </w:numPr>
              <w:jc w:val="both"/>
            </w:pPr>
            <w:hyperlink r:id="rId15" w:history="1">
              <w:r w:rsidR="00811D13" w:rsidRPr="00DF600F">
                <w:rPr>
                  <w:rStyle w:val="Hyperlink"/>
                </w:rPr>
                <w:t>Progress report (11-2017)</w:t>
              </w:r>
            </w:hyperlink>
          </w:p>
        </w:tc>
      </w:tr>
      <w:tr w:rsidR="00811D13" w:rsidRPr="00811D13" w14:paraId="49E1B984" w14:textId="77777777" w:rsidTr="00D57B41">
        <w:tc>
          <w:tcPr>
            <w:tcW w:w="4394" w:type="dxa"/>
            <w:tcBorders>
              <w:top w:val="nil"/>
              <w:left w:val="nil"/>
              <w:bottom w:val="nil"/>
              <w:right w:val="nil"/>
            </w:tcBorders>
          </w:tcPr>
          <w:p w14:paraId="70C100FA" w14:textId="77777777" w:rsidR="00811D13" w:rsidRPr="00DF600F" w:rsidRDefault="00811D13" w:rsidP="000C34D8">
            <w:pPr>
              <w:pStyle w:val="COMPara"/>
              <w:numPr>
                <w:ilvl w:val="0"/>
                <w:numId w:val="0"/>
              </w:numPr>
              <w:jc w:val="both"/>
            </w:pPr>
            <w:r w:rsidRPr="00DF600F">
              <w:t xml:space="preserve">Strengthening National Capacities for Safeguarding Intangible Cultural Heritage </w:t>
            </w:r>
            <w:r w:rsidRPr="00DF600F">
              <w:lastRenderedPageBreak/>
              <w:t>for Sustainable Development in Bangladesh</w:t>
            </w:r>
          </w:p>
        </w:tc>
        <w:tc>
          <w:tcPr>
            <w:tcW w:w="2126" w:type="dxa"/>
            <w:tcBorders>
              <w:top w:val="nil"/>
              <w:left w:val="nil"/>
              <w:bottom w:val="nil"/>
              <w:right w:val="nil"/>
            </w:tcBorders>
          </w:tcPr>
          <w:p w14:paraId="374F74ED" w14:textId="77777777" w:rsidR="00811D13" w:rsidRPr="00DF600F" w:rsidRDefault="00811D13" w:rsidP="000C34D8">
            <w:pPr>
              <w:pStyle w:val="COMPara"/>
              <w:numPr>
                <w:ilvl w:val="0"/>
                <w:numId w:val="0"/>
              </w:numPr>
              <w:jc w:val="both"/>
            </w:pPr>
            <w:r w:rsidRPr="00DF600F">
              <w:lastRenderedPageBreak/>
              <w:t>Azerbaijan</w:t>
            </w:r>
          </w:p>
        </w:tc>
        <w:tc>
          <w:tcPr>
            <w:tcW w:w="2835" w:type="dxa"/>
            <w:tcBorders>
              <w:top w:val="nil"/>
              <w:left w:val="nil"/>
              <w:bottom w:val="nil"/>
              <w:right w:val="nil"/>
            </w:tcBorders>
          </w:tcPr>
          <w:p w14:paraId="7E45768B" w14:textId="77777777" w:rsidR="00811D13" w:rsidRPr="00DF600F" w:rsidRDefault="00326FD6" w:rsidP="000C34D8">
            <w:pPr>
              <w:pStyle w:val="COMPara"/>
              <w:numPr>
                <w:ilvl w:val="0"/>
                <w:numId w:val="0"/>
              </w:numPr>
              <w:jc w:val="both"/>
            </w:pPr>
            <w:hyperlink r:id="rId16" w:history="1">
              <w:r w:rsidR="00811D13" w:rsidRPr="00DF600F">
                <w:rPr>
                  <w:rStyle w:val="Hyperlink"/>
                </w:rPr>
                <w:t>Progress report 2017</w:t>
              </w:r>
            </w:hyperlink>
          </w:p>
        </w:tc>
      </w:tr>
      <w:tr w:rsidR="00811D13" w:rsidRPr="00CD3990" w14:paraId="1A2826A3" w14:textId="77777777" w:rsidTr="00D57B41">
        <w:tc>
          <w:tcPr>
            <w:tcW w:w="4394" w:type="dxa"/>
            <w:tcBorders>
              <w:top w:val="nil"/>
              <w:left w:val="nil"/>
              <w:bottom w:val="nil"/>
              <w:right w:val="nil"/>
            </w:tcBorders>
          </w:tcPr>
          <w:p w14:paraId="7396E314" w14:textId="77777777" w:rsidR="00811D13" w:rsidRPr="00DF600F" w:rsidRDefault="00811D13" w:rsidP="000C34D8">
            <w:pPr>
              <w:pStyle w:val="COMPara"/>
              <w:numPr>
                <w:ilvl w:val="0"/>
                <w:numId w:val="0"/>
              </w:numPr>
              <w:jc w:val="both"/>
            </w:pPr>
            <w:r w:rsidRPr="00DF600F">
              <w:t>Strengthening the capacities of Suriname and Dutch Caribbean islands for implementing the Convention for the Safeguarding of the Intangible Cultural Heritage</w:t>
            </w:r>
          </w:p>
        </w:tc>
        <w:tc>
          <w:tcPr>
            <w:tcW w:w="2126" w:type="dxa"/>
            <w:tcBorders>
              <w:top w:val="nil"/>
              <w:left w:val="nil"/>
              <w:bottom w:val="nil"/>
              <w:right w:val="nil"/>
            </w:tcBorders>
          </w:tcPr>
          <w:p w14:paraId="7E926634" w14:textId="77777777" w:rsidR="00811D13" w:rsidRPr="00DF600F" w:rsidRDefault="00811D13" w:rsidP="000C34D8">
            <w:pPr>
              <w:pStyle w:val="COMPara"/>
              <w:numPr>
                <w:ilvl w:val="0"/>
                <w:numId w:val="0"/>
              </w:numPr>
              <w:jc w:val="both"/>
            </w:pPr>
            <w:r w:rsidRPr="00DF600F">
              <w:t>Netherlands</w:t>
            </w:r>
          </w:p>
        </w:tc>
        <w:tc>
          <w:tcPr>
            <w:tcW w:w="2835" w:type="dxa"/>
            <w:tcBorders>
              <w:top w:val="nil"/>
              <w:left w:val="nil"/>
              <w:bottom w:val="nil"/>
              <w:right w:val="nil"/>
            </w:tcBorders>
          </w:tcPr>
          <w:p w14:paraId="5167E77A" w14:textId="7834A335" w:rsidR="00811D13" w:rsidRPr="00DF600F" w:rsidRDefault="00326FD6" w:rsidP="00CD3990">
            <w:pPr>
              <w:pStyle w:val="COMPara"/>
              <w:numPr>
                <w:ilvl w:val="0"/>
                <w:numId w:val="0"/>
              </w:numPr>
            </w:pPr>
            <w:hyperlink r:id="rId17" w:history="1">
              <w:r w:rsidR="00CD3990" w:rsidRPr="00DF600F">
                <w:rPr>
                  <w:rStyle w:val="Hyperlink"/>
                </w:rPr>
                <w:t>Final report phase I</w:t>
              </w:r>
              <w:r w:rsidR="00CD3990" w:rsidRPr="00DF600F">
                <w:rPr>
                  <w:rStyle w:val="Hyperlink"/>
                </w:rPr>
                <w:br/>
              </w:r>
              <w:r w:rsidR="00811D13" w:rsidRPr="00DF600F">
                <w:rPr>
                  <w:rStyle w:val="Hyperlink"/>
                </w:rPr>
                <w:t>(10-2017)</w:t>
              </w:r>
            </w:hyperlink>
          </w:p>
        </w:tc>
      </w:tr>
      <w:tr w:rsidR="00811D13" w:rsidRPr="00811D13" w14:paraId="779095A0" w14:textId="77777777" w:rsidTr="00D57B41">
        <w:tc>
          <w:tcPr>
            <w:tcW w:w="4394" w:type="dxa"/>
            <w:tcBorders>
              <w:top w:val="nil"/>
              <w:left w:val="nil"/>
              <w:bottom w:val="nil"/>
              <w:right w:val="nil"/>
            </w:tcBorders>
          </w:tcPr>
          <w:p w14:paraId="115F0399" w14:textId="77777777" w:rsidR="00811D13" w:rsidRPr="00DF600F" w:rsidRDefault="00811D13" w:rsidP="000C34D8">
            <w:pPr>
              <w:pStyle w:val="COMPara"/>
              <w:numPr>
                <w:ilvl w:val="0"/>
                <w:numId w:val="0"/>
              </w:numPr>
              <w:jc w:val="both"/>
            </w:pPr>
            <w:r w:rsidRPr="00DF600F">
              <w:rPr>
                <w:lang w:val="en"/>
              </w:rPr>
              <w:t>Safeguarding intangible cultural heritage through strengthening national capacities in Morocco, Mauritania and Tunisia</w:t>
            </w:r>
          </w:p>
        </w:tc>
        <w:tc>
          <w:tcPr>
            <w:tcW w:w="2126" w:type="dxa"/>
            <w:tcBorders>
              <w:top w:val="nil"/>
              <w:left w:val="nil"/>
              <w:bottom w:val="nil"/>
              <w:right w:val="nil"/>
            </w:tcBorders>
          </w:tcPr>
          <w:p w14:paraId="0519C9E5" w14:textId="77777777" w:rsidR="00811D13" w:rsidRPr="00DF600F" w:rsidRDefault="00DB1099" w:rsidP="0056050D">
            <w:pPr>
              <w:pStyle w:val="COMPara"/>
              <w:numPr>
                <w:ilvl w:val="0"/>
                <w:numId w:val="0"/>
              </w:numPr>
            </w:pPr>
            <w:r w:rsidRPr="00DF600F">
              <w:t>Norway and Spain (</w:t>
            </w:r>
            <w:proofErr w:type="spellStart"/>
            <w:r w:rsidRPr="00DF600F">
              <w:t>Generalitat</w:t>
            </w:r>
            <w:proofErr w:type="spellEnd"/>
            <w:r w:rsidRPr="00DF600F">
              <w:t xml:space="preserve"> de </w:t>
            </w:r>
            <w:proofErr w:type="spellStart"/>
            <w:r w:rsidRPr="00DF600F">
              <w:t>Catalunya</w:t>
            </w:r>
            <w:proofErr w:type="spellEnd"/>
            <w:r w:rsidRPr="00DF600F">
              <w:t>)</w:t>
            </w:r>
          </w:p>
        </w:tc>
        <w:tc>
          <w:tcPr>
            <w:tcW w:w="2835" w:type="dxa"/>
            <w:tcBorders>
              <w:top w:val="nil"/>
              <w:left w:val="nil"/>
              <w:bottom w:val="nil"/>
              <w:right w:val="nil"/>
            </w:tcBorders>
          </w:tcPr>
          <w:p w14:paraId="49630A57" w14:textId="77777777" w:rsidR="00811D13" w:rsidRPr="00DF600F" w:rsidRDefault="00326FD6" w:rsidP="000C34D8">
            <w:pPr>
              <w:pStyle w:val="COMPara"/>
              <w:numPr>
                <w:ilvl w:val="0"/>
                <w:numId w:val="0"/>
              </w:numPr>
              <w:jc w:val="both"/>
            </w:pPr>
            <w:hyperlink r:id="rId18" w:history="1">
              <w:r w:rsidR="00DB1099" w:rsidRPr="00DF600F">
                <w:rPr>
                  <w:rStyle w:val="Hyperlink"/>
                </w:rPr>
                <w:t>Progress report 2017</w:t>
              </w:r>
            </w:hyperlink>
          </w:p>
        </w:tc>
      </w:tr>
      <w:tr w:rsidR="00811D13" w:rsidRPr="00811D13" w14:paraId="6E84B5B7" w14:textId="77777777" w:rsidTr="00D57B41">
        <w:tc>
          <w:tcPr>
            <w:tcW w:w="4394" w:type="dxa"/>
            <w:tcBorders>
              <w:top w:val="nil"/>
              <w:left w:val="nil"/>
              <w:bottom w:val="nil"/>
              <w:right w:val="nil"/>
            </w:tcBorders>
          </w:tcPr>
          <w:p w14:paraId="00C91C28" w14:textId="77777777" w:rsidR="00811D13" w:rsidRPr="00DF600F" w:rsidRDefault="00DB1099" w:rsidP="000C34D8">
            <w:pPr>
              <w:pStyle w:val="COMPara"/>
              <w:numPr>
                <w:ilvl w:val="0"/>
                <w:numId w:val="0"/>
              </w:numPr>
              <w:jc w:val="both"/>
            </w:pPr>
            <w:r w:rsidRPr="00DF600F">
              <w:rPr>
                <w:lang w:val="en"/>
              </w:rPr>
              <w:t>Strengthening national capacities for safeguarding intangible cultural heritage in Guatemala</w:t>
            </w:r>
          </w:p>
        </w:tc>
        <w:tc>
          <w:tcPr>
            <w:tcW w:w="2126" w:type="dxa"/>
            <w:tcBorders>
              <w:top w:val="nil"/>
              <w:left w:val="nil"/>
              <w:bottom w:val="nil"/>
              <w:right w:val="nil"/>
            </w:tcBorders>
          </w:tcPr>
          <w:p w14:paraId="3E49D5EA" w14:textId="77777777" w:rsidR="00811D13" w:rsidRPr="00DF600F" w:rsidRDefault="00DB1099" w:rsidP="000C34D8">
            <w:pPr>
              <w:pStyle w:val="COMPara"/>
              <w:numPr>
                <w:ilvl w:val="0"/>
                <w:numId w:val="0"/>
              </w:numPr>
              <w:jc w:val="both"/>
            </w:pPr>
            <w:r w:rsidRPr="00DF600F">
              <w:t>Azerbaijan</w:t>
            </w:r>
          </w:p>
        </w:tc>
        <w:tc>
          <w:tcPr>
            <w:tcW w:w="2835" w:type="dxa"/>
            <w:tcBorders>
              <w:top w:val="nil"/>
              <w:left w:val="nil"/>
              <w:bottom w:val="nil"/>
              <w:right w:val="nil"/>
            </w:tcBorders>
          </w:tcPr>
          <w:p w14:paraId="31A0525E" w14:textId="77777777" w:rsidR="00811D13" w:rsidRPr="00DF600F" w:rsidRDefault="00326FD6" w:rsidP="000C34D8">
            <w:pPr>
              <w:pStyle w:val="COMPara"/>
              <w:numPr>
                <w:ilvl w:val="0"/>
                <w:numId w:val="0"/>
              </w:numPr>
              <w:jc w:val="both"/>
            </w:pPr>
            <w:hyperlink r:id="rId19" w:history="1">
              <w:r w:rsidR="00DB1099" w:rsidRPr="00DF600F">
                <w:rPr>
                  <w:rStyle w:val="Hyperlink"/>
                </w:rPr>
                <w:t>Progress report 2017</w:t>
              </w:r>
            </w:hyperlink>
          </w:p>
        </w:tc>
      </w:tr>
    </w:tbl>
    <w:p w14:paraId="743C17F3" w14:textId="77777777" w:rsidR="000077AF" w:rsidRPr="000077AF" w:rsidRDefault="004D6E2F" w:rsidP="00D57B41">
      <w:pPr>
        <w:pStyle w:val="Paragraph"/>
        <w:keepNext/>
        <w:numPr>
          <w:ilvl w:val="0"/>
          <w:numId w:val="0"/>
        </w:numPr>
        <w:spacing w:before="240" w:after="120"/>
        <w:ind w:left="567"/>
        <w:rPr>
          <w:b/>
        </w:rPr>
      </w:pPr>
      <w:r w:rsidRPr="000077AF">
        <w:rPr>
          <w:b/>
        </w:rPr>
        <w:t>Other issues</w:t>
      </w:r>
      <w:r w:rsidR="00C43842">
        <w:rPr>
          <w:b/>
        </w:rPr>
        <w:t>: management cost rates</w:t>
      </w:r>
    </w:p>
    <w:p w14:paraId="406FC9D3" w14:textId="30710C74" w:rsidR="0006218A" w:rsidRPr="00EA7525" w:rsidRDefault="000A01A6" w:rsidP="002945E3">
      <w:pPr>
        <w:pStyle w:val="COMPara"/>
        <w:ind w:left="567" w:hanging="567"/>
        <w:jc w:val="both"/>
        <w:rPr>
          <w:rFonts w:ascii="ArialMT" w:eastAsia="SimSun" w:hAnsi="ArialMT" w:cs="ArialMT" w:hint="eastAsia"/>
          <w:bCs/>
          <w:lang w:val="en-US"/>
        </w:rPr>
      </w:pPr>
      <w:r>
        <w:rPr>
          <w:rFonts w:ascii="ArialMT" w:eastAsia="SimSun" w:hAnsi="ArialMT" w:cs="ArialMT"/>
        </w:rPr>
        <w:t>At</w:t>
      </w:r>
      <w:r w:rsidR="000077AF" w:rsidRPr="00EA7525">
        <w:rPr>
          <w:rFonts w:ascii="ArialMT" w:eastAsia="SimSun" w:hAnsi="ArialMT" w:cs="ArialMT"/>
        </w:rPr>
        <w:t xml:space="preserve"> its 204th session (UNESCO, April 2018), </w:t>
      </w:r>
      <w:r>
        <w:rPr>
          <w:rFonts w:ascii="ArialMT" w:eastAsia="SimSun" w:hAnsi="ArialMT" w:cs="ArialMT"/>
        </w:rPr>
        <w:t xml:space="preserve">the Executive Board </w:t>
      </w:r>
      <w:r w:rsidR="00B31111">
        <w:rPr>
          <w:rFonts w:ascii="ArialMT" w:eastAsia="SimSun" w:hAnsi="ArialMT" w:cs="ArialMT"/>
          <w:lang w:val="en-US"/>
        </w:rPr>
        <w:t>examined</w:t>
      </w:r>
      <w:r w:rsidR="000077AF" w:rsidRPr="00EA7525">
        <w:rPr>
          <w:rFonts w:ascii="ArialMT" w:eastAsia="SimSun" w:hAnsi="ArialMT" w:cs="ArialMT"/>
          <w:bCs/>
          <w:lang w:val="en-US"/>
        </w:rPr>
        <w:t xml:space="preserve"> documents</w:t>
      </w:r>
      <w:r w:rsidR="007A5654" w:rsidRPr="00EA7525">
        <w:rPr>
          <w:rFonts w:ascii="ArialMT" w:eastAsia="SimSun" w:hAnsi="ArialMT" w:cs="ArialMT"/>
          <w:bCs/>
          <w:lang w:val="en-US"/>
        </w:rPr>
        <w:t xml:space="preserve"> </w:t>
      </w:r>
      <w:hyperlink r:id="rId20" w:history="1">
        <w:r w:rsidR="000077AF" w:rsidRPr="002945E3">
          <w:rPr>
            <w:rStyle w:val="Hyperlink"/>
            <w:rFonts w:ascii="ArialMT" w:eastAsia="SimSun" w:hAnsi="ArialMT" w:cs="ArialMT"/>
            <w:bCs/>
            <w:lang w:val="en-US"/>
          </w:rPr>
          <w:t>204</w:t>
        </w:r>
        <w:r w:rsidR="009C250E" w:rsidRPr="002945E3">
          <w:rPr>
            <w:rStyle w:val="Hyperlink"/>
            <w:rFonts w:ascii="ArialMT" w:eastAsia="SimSun" w:hAnsi="ArialMT" w:cs="ArialMT"/>
            <w:bCs/>
            <w:lang w:val="en-US"/>
          </w:rPr>
          <w:t> </w:t>
        </w:r>
        <w:r w:rsidR="000077AF" w:rsidRPr="002945E3">
          <w:rPr>
            <w:rStyle w:val="Hyperlink"/>
            <w:rFonts w:ascii="ArialMT" w:eastAsia="SimSun" w:hAnsi="ArialMT" w:cs="ArialMT"/>
            <w:bCs/>
            <w:lang w:val="en-US"/>
          </w:rPr>
          <w:t>EX/5 Part II.E and 204 EX/5 Part II.E</w:t>
        </w:r>
        <w:r w:rsidR="007A5654" w:rsidRPr="002945E3">
          <w:rPr>
            <w:rStyle w:val="Hyperlink"/>
            <w:rFonts w:ascii="ArialMT" w:eastAsia="SimSun" w:hAnsi="ArialMT" w:cs="ArialMT"/>
            <w:bCs/>
            <w:lang w:val="en-US"/>
          </w:rPr>
          <w:t xml:space="preserve"> Corr.</w:t>
        </w:r>
      </w:hyperlink>
      <w:r w:rsidR="007A5654" w:rsidRPr="00EA7525">
        <w:rPr>
          <w:rFonts w:ascii="ArialMT" w:eastAsia="SimSun" w:hAnsi="ArialMT" w:cs="ArialMT"/>
          <w:bCs/>
          <w:lang w:val="en-US"/>
        </w:rPr>
        <w:t xml:space="preserve">, </w:t>
      </w:r>
      <w:r w:rsidR="00B31111">
        <w:rPr>
          <w:rFonts w:ascii="ArialMT" w:eastAsia="SimSun" w:hAnsi="ArialMT" w:cs="ArialMT"/>
          <w:bCs/>
          <w:lang w:val="en-US"/>
        </w:rPr>
        <w:t xml:space="preserve">which contained </w:t>
      </w:r>
      <w:r w:rsidR="007A5654" w:rsidRPr="00EA7525">
        <w:rPr>
          <w:rFonts w:ascii="ArialMT" w:eastAsia="SimSun" w:hAnsi="ArialMT" w:cs="ArialMT"/>
          <w:bCs/>
          <w:lang w:val="en-US"/>
        </w:rPr>
        <w:t xml:space="preserve">three alternative proposals </w:t>
      </w:r>
      <w:r w:rsidR="007A5654" w:rsidRPr="00EA7525">
        <w:rPr>
          <w:rFonts w:eastAsia="SimSun"/>
        </w:rPr>
        <w:t xml:space="preserve">for differential </w:t>
      </w:r>
      <w:r w:rsidR="00F4198C">
        <w:rPr>
          <w:rFonts w:eastAsia="SimSun"/>
        </w:rPr>
        <w:t xml:space="preserve">Management Costs </w:t>
      </w:r>
      <w:r w:rsidR="007A5654" w:rsidRPr="00EA7525">
        <w:rPr>
          <w:rFonts w:eastAsia="SimSun"/>
        </w:rPr>
        <w:t xml:space="preserve">rates, </w:t>
      </w:r>
      <w:r w:rsidR="00F4198C">
        <w:rPr>
          <w:rFonts w:eastAsia="SimSun"/>
        </w:rPr>
        <w:t xml:space="preserve">out </w:t>
      </w:r>
      <w:r w:rsidR="00A26D48" w:rsidRPr="00EA7525">
        <w:rPr>
          <w:rFonts w:eastAsia="SimSun"/>
        </w:rPr>
        <w:t xml:space="preserve">of </w:t>
      </w:r>
      <w:r w:rsidR="007A5654" w:rsidRPr="00EA7525">
        <w:rPr>
          <w:rFonts w:eastAsia="SimSun"/>
        </w:rPr>
        <w:t>which the Boar</w:t>
      </w:r>
      <w:r w:rsidR="00ED1CB8" w:rsidRPr="00EA7525">
        <w:rPr>
          <w:rFonts w:eastAsia="SimSun"/>
        </w:rPr>
        <w:t>d decided</w:t>
      </w:r>
      <w:r w:rsidR="00F4198C">
        <w:rPr>
          <w:rFonts w:eastAsia="SimSun"/>
        </w:rPr>
        <w:t xml:space="preserve"> </w:t>
      </w:r>
      <w:r w:rsidR="0006218A" w:rsidRPr="00EA7525">
        <w:rPr>
          <w:rFonts w:eastAsia="SimSun"/>
        </w:rPr>
        <w:t>to approve Option B</w:t>
      </w:r>
      <w:r w:rsidR="00F4198C">
        <w:rPr>
          <w:rFonts w:eastAsia="SimSun"/>
        </w:rPr>
        <w:t xml:space="preserve"> (</w:t>
      </w:r>
      <w:hyperlink r:id="rId21" w:history="1">
        <w:r w:rsidR="00F4198C" w:rsidRPr="00EA7525">
          <w:rPr>
            <w:rStyle w:val="Hyperlink"/>
            <w:rFonts w:ascii="ArialMT" w:eastAsia="SimSun" w:hAnsi="ArialMT" w:cs="ArialMT"/>
            <w:bCs/>
            <w:lang w:val="en-US"/>
          </w:rPr>
          <w:t>204 EX/Decision 5.II.E</w:t>
        </w:r>
      </w:hyperlink>
      <w:r w:rsidR="00F4198C" w:rsidRPr="00E56802">
        <w:rPr>
          <w:rFonts w:eastAsia="SimSun"/>
        </w:rPr>
        <w:t>)</w:t>
      </w:r>
      <w:r w:rsidR="007A5654" w:rsidRPr="00EA7525">
        <w:rPr>
          <w:rFonts w:eastAsia="SimSun"/>
        </w:rPr>
        <w:t>. According to th</w:t>
      </w:r>
      <w:r w:rsidR="00A26D48" w:rsidRPr="00F10A0B">
        <w:rPr>
          <w:rFonts w:eastAsia="SimSun"/>
        </w:rPr>
        <w:t>is</w:t>
      </w:r>
      <w:r w:rsidR="007A5654" w:rsidRPr="00EA7525">
        <w:rPr>
          <w:rFonts w:eastAsia="SimSun"/>
        </w:rPr>
        <w:t xml:space="preserve"> </w:t>
      </w:r>
      <w:r w:rsidR="00A26D48" w:rsidRPr="00F10A0B">
        <w:rPr>
          <w:rFonts w:eastAsia="SimSun"/>
        </w:rPr>
        <w:t>outcome</w:t>
      </w:r>
      <w:r w:rsidR="007A5654" w:rsidRPr="00EA7525">
        <w:rPr>
          <w:rFonts w:eastAsia="SimSun"/>
        </w:rPr>
        <w:t xml:space="preserve">, </w:t>
      </w:r>
      <w:r>
        <w:rPr>
          <w:rFonts w:eastAsia="SimSun"/>
        </w:rPr>
        <w:t>m</w:t>
      </w:r>
      <w:r w:rsidR="007A5654" w:rsidRPr="00EA7525">
        <w:rPr>
          <w:rFonts w:eastAsia="SimSun"/>
        </w:rPr>
        <w:t xml:space="preserve">ulti-donor </w:t>
      </w:r>
      <w:r w:rsidR="0006218A" w:rsidRPr="00EA7525">
        <w:rPr>
          <w:rFonts w:eastAsia="SimSun"/>
        </w:rPr>
        <w:t xml:space="preserve">special accounts should </w:t>
      </w:r>
      <w:r w:rsidR="00A26D48" w:rsidRPr="00F10A0B">
        <w:rPr>
          <w:rFonts w:eastAsia="SimSun"/>
        </w:rPr>
        <w:t xml:space="preserve">now </w:t>
      </w:r>
      <w:r w:rsidR="00ED1CB8" w:rsidRPr="00EA7525">
        <w:rPr>
          <w:rFonts w:eastAsia="SimSun"/>
        </w:rPr>
        <w:t>be</w:t>
      </w:r>
      <w:r w:rsidR="0006218A" w:rsidRPr="00EA7525">
        <w:rPr>
          <w:rFonts w:eastAsia="SimSun"/>
        </w:rPr>
        <w:t xml:space="preserve"> subject to a new rate of 7%</w:t>
      </w:r>
      <w:r w:rsidR="00ED1CB8" w:rsidRPr="00EA7525">
        <w:rPr>
          <w:rFonts w:eastAsia="SimSun"/>
        </w:rPr>
        <w:t>, instead of the previous standard rate of 10%.</w:t>
      </w:r>
    </w:p>
    <w:p w14:paraId="1A44018D" w14:textId="7A94E122" w:rsidR="00ED6F8F" w:rsidRPr="00AC6064" w:rsidRDefault="00AE4634" w:rsidP="002945E3">
      <w:pPr>
        <w:pStyle w:val="COMPara"/>
        <w:ind w:left="567" w:hanging="567"/>
        <w:jc w:val="both"/>
        <w:rPr>
          <w:rFonts w:eastAsia="SimSun"/>
          <w:lang w:val="en-US"/>
        </w:rPr>
      </w:pPr>
      <w:r>
        <w:rPr>
          <w:rFonts w:eastAsia="SimSun"/>
          <w:lang w:val="en-US"/>
        </w:rPr>
        <w:t xml:space="preserve">The </w:t>
      </w:r>
      <w:r w:rsidRPr="0006218A">
        <w:rPr>
          <w:rFonts w:eastAsia="SimSun"/>
          <w:lang w:val="en-US"/>
        </w:rPr>
        <w:t>Intangible Cultural Heritage</w:t>
      </w:r>
      <w:r>
        <w:rPr>
          <w:rFonts w:eastAsia="SimSun"/>
          <w:lang w:val="en-US"/>
        </w:rPr>
        <w:t xml:space="preserve"> Fund, as well as other comparable multi-donor special accounts such as the World Heritage </w:t>
      </w:r>
      <w:r w:rsidR="00A26D48">
        <w:rPr>
          <w:rFonts w:eastAsia="SimSun"/>
          <w:lang w:val="en-US"/>
        </w:rPr>
        <w:t xml:space="preserve">Fund, has </w:t>
      </w:r>
      <w:r>
        <w:rPr>
          <w:rFonts w:eastAsia="SimSun"/>
        </w:rPr>
        <w:t>benefit</w:t>
      </w:r>
      <w:r w:rsidR="00A26D48">
        <w:rPr>
          <w:rFonts w:eastAsia="SimSun"/>
        </w:rPr>
        <w:t>ted</w:t>
      </w:r>
      <w:r>
        <w:rPr>
          <w:rFonts w:eastAsia="SimSun"/>
        </w:rPr>
        <w:t xml:space="preserve"> from a</w:t>
      </w:r>
      <w:r w:rsidR="0006218A">
        <w:rPr>
          <w:rFonts w:eastAsia="SimSun"/>
        </w:rPr>
        <w:t xml:space="preserve"> special </w:t>
      </w:r>
      <w:r w:rsidR="008E1D48">
        <w:rPr>
          <w:rFonts w:eastAsia="SimSun"/>
        </w:rPr>
        <w:t>M</w:t>
      </w:r>
      <w:r w:rsidR="0006218A">
        <w:rPr>
          <w:rFonts w:eastAsia="SimSun"/>
        </w:rPr>
        <w:t xml:space="preserve">anagement </w:t>
      </w:r>
      <w:r w:rsidR="008E1D48">
        <w:rPr>
          <w:rFonts w:eastAsia="SimSun"/>
        </w:rPr>
        <w:t>C</w:t>
      </w:r>
      <w:r w:rsidR="0006218A">
        <w:rPr>
          <w:rFonts w:eastAsia="SimSun"/>
        </w:rPr>
        <w:t xml:space="preserve">ost </w:t>
      </w:r>
      <w:r w:rsidR="008E1D48">
        <w:rPr>
          <w:rFonts w:eastAsia="SimSun"/>
        </w:rPr>
        <w:t>R</w:t>
      </w:r>
      <w:r w:rsidR="0006218A">
        <w:rPr>
          <w:rFonts w:eastAsia="SimSun"/>
        </w:rPr>
        <w:t>ate derogation (0%)</w:t>
      </w:r>
      <w:r w:rsidR="00ED1CB8">
        <w:rPr>
          <w:rFonts w:eastAsia="SimSun"/>
        </w:rPr>
        <w:t>,</w:t>
      </w:r>
      <w:r w:rsidR="0006218A">
        <w:rPr>
          <w:rFonts w:eastAsia="SimSun"/>
        </w:rPr>
        <w:t xml:space="preserve"> granted by the Director</w:t>
      </w:r>
      <w:r w:rsidR="00C43842">
        <w:rPr>
          <w:rFonts w:eastAsia="SimSun"/>
        </w:rPr>
        <w:t>-</w:t>
      </w:r>
      <w:r w:rsidR="0006218A">
        <w:rPr>
          <w:rFonts w:eastAsia="SimSun"/>
        </w:rPr>
        <w:t xml:space="preserve">General </w:t>
      </w:r>
      <w:r w:rsidR="008E1D48">
        <w:rPr>
          <w:rFonts w:eastAsia="SimSun"/>
        </w:rPr>
        <w:t>wi</w:t>
      </w:r>
      <w:r w:rsidR="00D936F7">
        <w:rPr>
          <w:rFonts w:eastAsia="SimSun"/>
        </w:rPr>
        <w:t>t</w:t>
      </w:r>
      <w:r w:rsidR="0006218A">
        <w:rPr>
          <w:rFonts w:eastAsia="SimSun"/>
        </w:rPr>
        <w:t>h regard to the</w:t>
      </w:r>
      <w:r w:rsidR="008E1D48">
        <w:rPr>
          <w:rFonts w:eastAsia="SimSun"/>
        </w:rPr>
        <w:t>ir</w:t>
      </w:r>
      <w:r w:rsidR="0006218A">
        <w:rPr>
          <w:rFonts w:eastAsia="SimSun"/>
        </w:rPr>
        <w:t xml:space="preserve"> </w:t>
      </w:r>
      <w:r w:rsidR="0006218A" w:rsidRPr="0006218A">
        <w:rPr>
          <w:rFonts w:eastAsia="SimSun"/>
          <w:lang w:val="en-US"/>
        </w:rPr>
        <w:t>assessed contributions</w:t>
      </w:r>
      <w:r w:rsidR="00D936F7">
        <w:rPr>
          <w:rFonts w:eastAsia="SimSun"/>
          <w:lang w:val="en-US"/>
        </w:rPr>
        <w:t xml:space="preserve">, while 10% </w:t>
      </w:r>
      <w:r w:rsidR="002B5BFB">
        <w:rPr>
          <w:rFonts w:eastAsia="SimSun"/>
          <w:lang w:val="en-US"/>
        </w:rPr>
        <w:t>was</w:t>
      </w:r>
      <w:r w:rsidR="00D936F7">
        <w:rPr>
          <w:rFonts w:eastAsia="SimSun"/>
          <w:lang w:val="en-US"/>
        </w:rPr>
        <w:t xml:space="preserve"> charged on voluntary</w:t>
      </w:r>
      <w:r w:rsidR="00C43842">
        <w:rPr>
          <w:rFonts w:eastAsia="SimSun"/>
          <w:lang w:val="en-US"/>
        </w:rPr>
        <w:t xml:space="preserve"> </w:t>
      </w:r>
      <w:r w:rsidR="00A26D48">
        <w:rPr>
          <w:rFonts w:eastAsia="SimSun"/>
          <w:lang w:val="en-US"/>
        </w:rPr>
        <w:t>contributions</w:t>
      </w:r>
      <w:r w:rsidR="00D936F7">
        <w:rPr>
          <w:rFonts w:eastAsia="SimSun"/>
          <w:lang w:val="en-US"/>
        </w:rPr>
        <w:t>. T</w:t>
      </w:r>
      <w:r w:rsidR="00ED1CB8" w:rsidRPr="00397537">
        <w:rPr>
          <w:rFonts w:eastAsia="SimSun"/>
          <w:lang w:val="en-US"/>
        </w:rPr>
        <w:t>he</w:t>
      </w:r>
      <w:r w:rsidR="0006218A" w:rsidRPr="00397537">
        <w:rPr>
          <w:rFonts w:eastAsia="SimSun"/>
          <w:lang w:val="en-US"/>
        </w:rPr>
        <w:t xml:space="preserve"> </w:t>
      </w:r>
      <w:r w:rsidR="00390BF8" w:rsidRPr="00397537">
        <w:rPr>
          <w:rFonts w:eastAsia="SimSun"/>
          <w:lang w:val="en-US"/>
        </w:rPr>
        <w:t>document</w:t>
      </w:r>
      <w:r w:rsidR="00ED1CB8" w:rsidRPr="00397537">
        <w:rPr>
          <w:rFonts w:eastAsia="SimSun"/>
          <w:lang w:val="en-US"/>
        </w:rPr>
        <w:t xml:space="preserve"> </w:t>
      </w:r>
      <w:r w:rsidR="00397537">
        <w:rPr>
          <w:rFonts w:eastAsia="SimSun"/>
          <w:lang w:val="en-US"/>
        </w:rPr>
        <w:t>presented</w:t>
      </w:r>
      <w:r w:rsidR="00ED1CB8" w:rsidRPr="00397537">
        <w:rPr>
          <w:rFonts w:eastAsia="SimSun"/>
          <w:lang w:val="en-US"/>
        </w:rPr>
        <w:t xml:space="preserve"> </w:t>
      </w:r>
      <w:r w:rsidR="00397537">
        <w:rPr>
          <w:rFonts w:eastAsia="SimSun"/>
          <w:lang w:val="en-US"/>
        </w:rPr>
        <w:t>to the 204</w:t>
      </w:r>
      <w:r w:rsidR="00C43842">
        <w:rPr>
          <w:rFonts w:eastAsia="SimSun"/>
          <w:lang w:val="en-US"/>
        </w:rPr>
        <w:t>th</w:t>
      </w:r>
      <w:r>
        <w:rPr>
          <w:rFonts w:eastAsia="SimSun"/>
          <w:vertAlign w:val="superscript"/>
          <w:lang w:val="en-US"/>
        </w:rPr>
        <w:t xml:space="preserve"> </w:t>
      </w:r>
      <w:r w:rsidRPr="00F10A0B">
        <w:rPr>
          <w:rFonts w:eastAsia="SimSun"/>
          <w:lang w:val="en-US"/>
        </w:rPr>
        <w:t>session of the</w:t>
      </w:r>
      <w:r w:rsidR="00397537">
        <w:rPr>
          <w:rFonts w:eastAsia="SimSun"/>
          <w:lang w:val="en-US"/>
        </w:rPr>
        <w:t xml:space="preserve"> </w:t>
      </w:r>
      <w:r w:rsidR="00ED1CB8" w:rsidRPr="00397537">
        <w:rPr>
          <w:rFonts w:eastAsia="SimSun"/>
          <w:lang w:val="en-US"/>
        </w:rPr>
        <w:t xml:space="preserve">Executive Board </w:t>
      </w:r>
      <w:r w:rsidR="00D936F7">
        <w:rPr>
          <w:rFonts w:eastAsia="SimSun"/>
          <w:lang w:val="en-US"/>
        </w:rPr>
        <w:t>stated</w:t>
      </w:r>
      <w:r w:rsidR="00D936F7" w:rsidRPr="00397537">
        <w:rPr>
          <w:rFonts w:eastAsia="SimSun"/>
          <w:lang w:val="en-US"/>
        </w:rPr>
        <w:t xml:space="preserve"> </w:t>
      </w:r>
      <w:r w:rsidR="00390BF8" w:rsidRPr="00397537">
        <w:rPr>
          <w:rFonts w:eastAsia="SimSun"/>
          <w:lang w:val="en-US"/>
        </w:rPr>
        <w:t xml:space="preserve">that </w:t>
      </w:r>
      <w:r w:rsidR="00D936F7">
        <w:rPr>
          <w:rFonts w:eastAsia="SimSun"/>
          <w:lang w:val="en-US"/>
        </w:rPr>
        <w:t>‘</w:t>
      </w:r>
      <w:r w:rsidR="00390BF8" w:rsidRPr="00397537">
        <w:rPr>
          <w:rFonts w:eastAsia="SimSun"/>
          <w:lang w:val="en-US"/>
        </w:rPr>
        <w:t>necessary consultations with the Governing Bodies of States Parties to the Intangible Cultural Heritage Convention and to the World Heritage Convention will take place between June 2018 and November 2019</w:t>
      </w:r>
      <w:r w:rsidR="00D936F7">
        <w:rPr>
          <w:rFonts w:eastAsia="SimSun"/>
          <w:lang w:val="en-US"/>
        </w:rPr>
        <w:t>’</w:t>
      </w:r>
      <w:r w:rsidR="00D936F7" w:rsidRPr="00D936F7">
        <w:rPr>
          <w:rFonts w:eastAsia="SimSun"/>
          <w:lang w:val="en-US"/>
        </w:rPr>
        <w:t xml:space="preserve"> </w:t>
      </w:r>
      <w:r w:rsidR="00D936F7" w:rsidRPr="00397537">
        <w:rPr>
          <w:rFonts w:eastAsia="SimSun"/>
          <w:lang w:val="en-US"/>
        </w:rPr>
        <w:t>(see document</w:t>
      </w:r>
      <w:r w:rsidR="002945E3">
        <w:rPr>
          <w:rFonts w:eastAsia="SimSun"/>
          <w:lang w:val="en-US"/>
        </w:rPr>
        <w:t> </w:t>
      </w:r>
      <w:hyperlink r:id="rId22" w:history="1">
        <w:r w:rsidR="00D936F7" w:rsidRPr="002945E3">
          <w:rPr>
            <w:rStyle w:val="Hyperlink"/>
            <w:rFonts w:eastAsia="SimSun"/>
            <w:lang w:val="en-US"/>
          </w:rPr>
          <w:t>204</w:t>
        </w:r>
        <w:r w:rsidR="002945E3">
          <w:rPr>
            <w:rStyle w:val="Hyperlink"/>
            <w:rFonts w:eastAsia="SimSun"/>
            <w:lang w:val="en-US"/>
          </w:rPr>
          <w:t> </w:t>
        </w:r>
        <w:r w:rsidR="00D936F7" w:rsidRPr="002945E3">
          <w:rPr>
            <w:rStyle w:val="Hyperlink"/>
            <w:rFonts w:eastAsia="SimSun"/>
            <w:lang w:val="en-US"/>
          </w:rPr>
          <w:t>EX/5</w:t>
        </w:r>
        <w:r w:rsidR="002945E3">
          <w:rPr>
            <w:rStyle w:val="Hyperlink"/>
            <w:rFonts w:eastAsia="SimSun"/>
            <w:lang w:val="en-US"/>
          </w:rPr>
          <w:t> </w:t>
        </w:r>
        <w:r w:rsidR="00D936F7" w:rsidRPr="002945E3">
          <w:rPr>
            <w:rStyle w:val="Hyperlink"/>
            <w:rFonts w:eastAsia="SimSun"/>
            <w:lang w:val="en-US"/>
          </w:rPr>
          <w:t>Part</w:t>
        </w:r>
        <w:r w:rsidR="002945E3">
          <w:rPr>
            <w:rStyle w:val="Hyperlink"/>
            <w:rFonts w:eastAsia="SimSun"/>
            <w:lang w:val="en-US"/>
          </w:rPr>
          <w:t> </w:t>
        </w:r>
        <w:r w:rsidR="00D936F7" w:rsidRPr="002945E3">
          <w:rPr>
            <w:rStyle w:val="Hyperlink"/>
            <w:rFonts w:eastAsia="SimSun"/>
            <w:lang w:val="en-US"/>
          </w:rPr>
          <w:t>II.E</w:t>
        </w:r>
      </w:hyperlink>
      <w:r w:rsidR="00D936F7" w:rsidRPr="00397537">
        <w:rPr>
          <w:rFonts w:eastAsia="SimSun"/>
          <w:lang w:val="en-US"/>
        </w:rPr>
        <w:t>, paragraph 14)</w:t>
      </w:r>
      <w:r w:rsidR="00390BF8" w:rsidRPr="00397537">
        <w:rPr>
          <w:rFonts w:eastAsia="SimSun"/>
          <w:lang w:val="en-US"/>
        </w:rPr>
        <w:t>.</w:t>
      </w:r>
      <w:r w:rsidR="00AC6064">
        <w:rPr>
          <w:rFonts w:eastAsia="SimSun"/>
          <w:lang w:val="en-US"/>
        </w:rPr>
        <w:t xml:space="preserve"> This means that t</w:t>
      </w:r>
      <w:r w:rsidR="00ED6F8F" w:rsidRPr="00AC6064">
        <w:rPr>
          <w:rFonts w:eastAsia="SimSun"/>
          <w:lang w:val="en-US"/>
        </w:rPr>
        <w:t>he Committee</w:t>
      </w:r>
      <w:r w:rsidR="00AC6064">
        <w:rPr>
          <w:rFonts w:eastAsia="SimSun"/>
          <w:lang w:val="en-US"/>
        </w:rPr>
        <w:t xml:space="preserve"> should make </w:t>
      </w:r>
      <w:r w:rsidR="00ED6F8F" w:rsidRPr="00AC6064">
        <w:rPr>
          <w:rFonts w:eastAsia="SimSun"/>
          <w:lang w:val="en-US"/>
        </w:rPr>
        <w:t xml:space="preserve">a recommendation to the next session of the General Assembly, to </w:t>
      </w:r>
      <w:proofErr w:type="gramStart"/>
      <w:r w:rsidR="00ED6F8F" w:rsidRPr="00AC6064">
        <w:rPr>
          <w:rFonts w:eastAsia="SimSun"/>
          <w:lang w:val="en-US"/>
        </w:rPr>
        <w:t>be held</w:t>
      </w:r>
      <w:proofErr w:type="gramEnd"/>
      <w:r w:rsidR="00ED6F8F" w:rsidRPr="00AC6064">
        <w:rPr>
          <w:rFonts w:eastAsia="SimSun"/>
          <w:lang w:val="en-US"/>
        </w:rPr>
        <w:t xml:space="preserve"> in June 2020.</w:t>
      </w:r>
    </w:p>
    <w:p w14:paraId="2095C4A8" w14:textId="77777777" w:rsidR="00D95C4C" w:rsidRPr="00EA528C" w:rsidRDefault="000B1C8F" w:rsidP="00D57B41">
      <w:pPr>
        <w:pStyle w:val="COMPara"/>
        <w:ind w:left="567" w:hanging="567"/>
        <w:jc w:val="both"/>
      </w:pPr>
      <w:r w:rsidRPr="00125CCC">
        <w:rPr>
          <w:rFonts w:eastAsia="SimSun"/>
          <w:lang w:val="en-US"/>
        </w:rPr>
        <w:t>The</w:t>
      </w:r>
      <w:r w:rsidRPr="000B1C8F">
        <w:t xml:space="preserve"> Committee may wish </w:t>
      </w:r>
      <w:r>
        <w:t>to adopt the following decision</w:t>
      </w:r>
      <w:r w:rsidR="00D95C4C" w:rsidRPr="00EA528C">
        <w:t>:</w:t>
      </w:r>
    </w:p>
    <w:p w14:paraId="2CA620B9" w14:textId="77777777" w:rsidR="00D95C4C" w:rsidRPr="00FD624F" w:rsidRDefault="004A34A0" w:rsidP="00D57B41">
      <w:pPr>
        <w:pStyle w:val="COMTitleDecision"/>
        <w:rPr>
          <w:rFonts w:eastAsia="SimSun"/>
        </w:rPr>
      </w:pPr>
      <w:r>
        <w:t xml:space="preserve">DRAFT </w:t>
      </w:r>
      <w:r w:rsidR="00CB0542">
        <w:t>DECISION 1</w:t>
      </w:r>
      <w:r w:rsidR="001D14FE">
        <w:t>3</w:t>
      </w:r>
      <w:r w:rsidR="00EC6F8D">
        <w:t>.COM</w:t>
      </w:r>
      <w:r w:rsidR="00D95C4C" w:rsidRPr="00FD624F">
        <w:t xml:space="preserve"> </w:t>
      </w:r>
      <w:r w:rsidR="00633C64">
        <w:t>6</w:t>
      </w:r>
    </w:p>
    <w:p w14:paraId="7C421BD1" w14:textId="77777777" w:rsidR="00D95C4C" w:rsidRPr="00285BB4" w:rsidRDefault="00285BB4" w:rsidP="00D57B41">
      <w:pPr>
        <w:pStyle w:val="COMPreambulaDecisions"/>
        <w:rPr>
          <w:rFonts w:eastAsia="SimSun"/>
        </w:rPr>
      </w:pPr>
      <w:r w:rsidRPr="00285BB4">
        <w:t>The Committee,</w:t>
      </w:r>
    </w:p>
    <w:p w14:paraId="0F320D20" w14:textId="77777777" w:rsidR="0057439C" w:rsidRPr="00345CB4" w:rsidRDefault="00D95C4C" w:rsidP="00D57B41">
      <w:pPr>
        <w:pStyle w:val="COMParaDecision"/>
        <w:ind w:left="1134" w:hanging="567"/>
        <w:jc w:val="left"/>
      </w:pPr>
      <w:r w:rsidRPr="00345CB4">
        <w:t>Having examined</w:t>
      </w:r>
      <w:r w:rsidRPr="00F32C23">
        <w:rPr>
          <w:u w:val="none"/>
        </w:rPr>
        <w:t xml:space="preserve"> doc</w:t>
      </w:r>
      <w:r w:rsidR="00CB0542">
        <w:rPr>
          <w:u w:val="none"/>
        </w:rPr>
        <w:t>ument ITH/1</w:t>
      </w:r>
      <w:r w:rsidR="001D14FE">
        <w:rPr>
          <w:u w:val="none"/>
        </w:rPr>
        <w:t>8</w:t>
      </w:r>
      <w:r w:rsidR="00337CEB">
        <w:rPr>
          <w:u w:val="none"/>
        </w:rPr>
        <w:t>/1</w:t>
      </w:r>
      <w:r w:rsidR="001D14FE">
        <w:rPr>
          <w:u w:val="none"/>
        </w:rPr>
        <w:t>3</w:t>
      </w:r>
      <w:r w:rsidR="00EC6F8D" w:rsidRPr="00F32C23">
        <w:rPr>
          <w:u w:val="none"/>
        </w:rPr>
        <w:t>.COM</w:t>
      </w:r>
      <w:r w:rsidR="004A34A0" w:rsidRPr="00F32C23">
        <w:rPr>
          <w:u w:val="none"/>
        </w:rPr>
        <w:t>/</w:t>
      </w:r>
      <w:r w:rsidR="006A39CB">
        <w:rPr>
          <w:u w:val="none"/>
        </w:rPr>
        <w:t>6</w:t>
      </w:r>
      <w:r w:rsidRPr="00F32C23">
        <w:rPr>
          <w:u w:val="none"/>
        </w:rPr>
        <w:t>,</w:t>
      </w:r>
    </w:p>
    <w:p w14:paraId="0E2E4332" w14:textId="77777777" w:rsidR="0057439C" w:rsidRPr="006F2760" w:rsidRDefault="0057439C" w:rsidP="00D57B41">
      <w:pPr>
        <w:pStyle w:val="COMParaDecision"/>
        <w:ind w:left="1134" w:hanging="567"/>
        <w:jc w:val="left"/>
      </w:pPr>
      <w:r w:rsidRPr="006F2760">
        <w:t>Recalling</w:t>
      </w:r>
      <w:r w:rsidR="005B7A35" w:rsidRPr="006F2760">
        <w:rPr>
          <w:u w:val="none"/>
        </w:rPr>
        <w:t xml:space="preserve"> </w:t>
      </w:r>
      <w:r w:rsidR="0056050D" w:rsidRPr="006F2760">
        <w:rPr>
          <w:u w:val="none"/>
        </w:rPr>
        <w:t>Article 25.5 of the Convention and Chapter II of the Operational Directives</w:t>
      </w:r>
      <w:r w:rsidRPr="006F2760">
        <w:rPr>
          <w:u w:val="none"/>
        </w:rPr>
        <w:t>,</w:t>
      </w:r>
    </w:p>
    <w:p w14:paraId="1FD47BFB" w14:textId="2B4003A9" w:rsidR="00D95C4C" w:rsidRPr="00670149" w:rsidRDefault="00D95C4C" w:rsidP="002945E3">
      <w:pPr>
        <w:pStyle w:val="COMParaDecision"/>
        <w:ind w:left="1134" w:hanging="567"/>
      </w:pPr>
      <w:r w:rsidRPr="006F2760">
        <w:t>Further recalling</w:t>
      </w:r>
      <w:r w:rsidR="005B7A35" w:rsidRPr="006F2760">
        <w:rPr>
          <w:u w:val="none"/>
        </w:rPr>
        <w:t xml:space="preserve"> </w:t>
      </w:r>
      <w:r w:rsidR="0056050D" w:rsidRPr="006F2760">
        <w:rPr>
          <w:u w:val="none"/>
        </w:rPr>
        <w:t>Decisions </w:t>
      </w:r>
      <w:hyperlink r:id="rId23" w:history="1">
        <w:r w:rsidR="0056050D" w:rsidRPr="006F2760">
          <w:rPr>
            <w:rStyle w:val="Hyperlink"/>
          </w:rPr>
          <w:t>8.COM 12</w:t>
        </w:r>
      </w:hyperlink>
      <w:r w:rsidR="0056050D" w:rsidRPr="006F2760">
        <w:rPr>
          <w:u w:val="none"/>
        </w:rPr>
        <w:t xml:space="preserve">, </w:t>
      </w:r>
      <w:hyperlink r:id="rId24" w:history="1">
        <w:r w:rsidR="0056050D" w:rsidRPr="006F2760">
          <w:rPr>
            <w:rStyle w:val="Hyperlink"/>
          </w:rPr>
          <w:t>9.COM 7</w:t>
        </w:r>
      </w:hyperlink>
      <w:r w:rsidR="0056050D" w:rsidRPr="006F2760">
        <w:rPr>
          <w:u w:val="none"/>
        </w:rPr>
        <w:t xml:space="preserve">, </w:t>
      </w:r>
      <w:hyperlink r:id="rId25" w:history="1">
        <w:r w:rsidR="0056050D" w:rsidRPr="006F2760">
          <w:rPr>
            <w:rStyle w:val="Hyperlink"/>
          </w:rPr>
          <w:t>10.COM 9</w:t>
        </w:r>
      </w:hyperlink>
      <w:r w:rsidR="0056050D" w:rsidRPr="006F2760">
        <w:rPr>
          <w:u w:val="none"/>
        </w:rPr>
        <w:t xml:space="preserve">, </w:t>
      </w:r>
      <w:hyperlink r:id="rId26" w:history="1">
        <w:r w:rsidR="0056050D" w:rsidRPr="006F2760">
          <w:rPr>
            <w:rStyle w:val="Hyperlink"/>
          </w:rPr>
          <w:t>11.COM 6</w:t>
        </w:r>
      </w:hyperlink>
      <w:r w:rsidR="006F2760">
        <w:rPr>
          <w:u w:val="none"/>
        </w:rPr>
        <w:t xml:space="preserve">, </w:t>
      </w:r>
      <w:hyperlink r:id="rId27" w:history="1">
        <w:r w:rsidR="0056050D" w:rsidRPr="006F2760">
          <w:rPr>
            <w:rStyle w:val="Hyperlink"/>
          </w:rPr>
          <w:t>12.COM</w:t>
        </w:r>
        <w:r w:rsidR="002945E3">
          <w:rPr>
            <w:rStyle w:val="Hyperlink"/>
          </w:rPr>
          <w:t> </w:t>
        </w:r>
        <w:r w:rsidR="0056050D" w:rsidRPr="006F2760">
          <w:rPr>
            <w:rStyle w:val="Hyperlink"/>
          </w:rPr>
          <w:t>6</w:t>
        </w:r>
      </w:hyperlink>
      <w:r w:rsidR="006F2760">
        <w:rPr>
          <w:rStyle w:val="Hyperlink"/>
          <w:u w:val="none"/>
        </w:rPr>
        <w:t xml:space="preserve"> </w:t>
      </w:r>
      <w:r w:rsidR="006F2760" w:rsidRPr="00670149">
        <w:rPr>
          <w:rStyle w:val="Hyperlink"/>
          <w:color w:val="auto"/>
          <w:u w:val="none"/>
        </w:rPr>
        <w:t>and</w:t>
      </w:r>
      <w:r w:rsidR="006F2760">
        <w:rPr>
          <w:rStyle w:val="Hyperlink"/>
          <w:color w:val="auto"/>
          <w:u w:val="none"/>
        </w:rPr>
        <w:t xml:space="preserve"> </w:t>
      </w:r>
      <w:hyperlink r:id="rId28" w:history="1">
        <w:r w:rsidR="006F2760" w:rsidRPr="006F2760">
          <w:rPr>
            <w:rStyle w:val="Hyperlink"/>
          </w:rPr>
          <w:t>12.COM 14</w:t>
        </w:r>
      </w:hyperlink>
      <w:r w:rsidR="003F275F" w:rsidRPr="006F2760">
        <w:rPr>
          <w:u w:val="none"/>
        </w:rPr>
        <w:t>,</w:t>
      </w:r>
    </w:p>
    <w:p w14:paraId="4F7B7BFB" w14:textId="2746A640" w:rsidR="00B05DDB" w:rsidRPr="00670149" w:rsidRDefault="00B05DDB" w:rsidP="007662A2">
      <w:pPr>
        <w:pStyle w:val="COMParaDecision"/>
        <w:ind w:left="1134" w:hanging="567"/>
      </w:pPr>
      <w:r w:rsidRPr="006F2760">
        <w:t>Commends</w:t>
      </w:r>
      <w:r w:rsidRPr="007662A2">
        <w:rPr>
          <w:u w:val="none"/>
        </w:rPr>
        <w:t xml:space="preserve"> Japan</w:t>
      </w:r>
      <w:r w:rsidRPr="007662A2">
        <w:rPr>
          <w:rStyle w:val="hps"/>
          <w:u w:val="none"/>
        </w:rPr>
        <w:t xml:space="preserve"> </w:t>
      </w:r>
      <w:r w:rsidRPr="007662A2">
        <w:rPr>
          <w:u w:val="none"/>
        </w:rPr>
        <w:t xml:space="preserve">for its generous offer of a voluntary supplementary contribution to the Intangible Cultural Heritage Fund to </w:t>
      </w:r>
      <w:r w:rsidR="006F2760" w:rsidRPr="00670149">
        <w:rPr>
          <w:u w:val="none"/>
        </w:rPr>
        <w:t>support the global reflection on the listing mechanisms of the 2003 Convention</w:t>
      </w:r>
      <w:r w:rsidR="00270A4D" w:rsidRPr="007662A2">
        <w:rPr>
          <w:u w:val="none"/>
        </w:rPr>
        <w:t xml:space="preserve">, notably </w:t>
      </w:r>
      <w:r w:rsidR="00270A4D">
        <w:rPr>
          <w:u w:val="none"/>
        </w:rPr>
        <w:t>to</w:t>
      </w:r>
      <w:r w:rsidR="00270A4D" w:rsidRPr="007662A2">
        <w:rPr>
          <w:u w:val="none"/>
        </w:rPr>
        <w:t xml:space="preserve"> organiz</w:t>
      </w:r>
      <w:r w:rsidR="00270A4D">
        <w:rPr>
          <w:u w:val="none"/>
        </w:rPr>
        <w:t>e</w:t>
      </w:r>
      <w:r w:rsidR="00270A4D" w:rsidRPr="007662A2">
        <w:rPr>
          <w:u w:val="none"/>
        </w:rPr>
        <w:t xml:space="preserve"> a preliminary meeting of experts in 2019 and support the convening of a meeting of the open-ended intergovernmental working group (provisionally in 2021)</w:t>
      </w:r>
      <w:r w:rsidR="00270A4D" w:rsidRPr="00670149">
        <w:rPr>
          <w:u w:val="none"/>
        </w:rPr>
        <w:t>;</w:t>
      </w:r>
    </w:p>
    <w:p w14:paraId="64AAFFFC" w14:textId="6A02E2D8" w:rsidR="00B05DDB" w:rsidRPr="006F2760" w:rsidRDefault="00B05DDB" w:rsidP="0005644B">
      <w:pPr>
        <w:pStyle w:val="COMParaDecision"/>
        <w:ind w:left="1134" w:hanging="567"/>
      </w:pPr>
      <w:r w:rsidRPr="00C75E87">
        <w:t>Accepts with gratitude</w:t>
      </w:r>
      <w:r w:rsidRPr="00C75E87">
        <w:rPr>
          <w:u w:val="none"/>
        </w:rPr>
        <w:t xml:space="preserve"> the generous contribution of </w:t>
      </w:r>
      <w:r>
        <w:rPr>
          <w:u w:val="none"/>
        </w:rPr>
        <w:t>Japan</w:t>
      </w:r>
      <w:r w:rsidRPr="00C75E87">
        <w:rPr>
          <w:u w:val="none"/>
        </w:rPr>
        <w:t xml:space="preserve">, </w:t>
      </w:r>
      <w:r w:rsidRPr="00C75E87">
        <w:t>approves</w:t>
      </w:r>
      <w:r w:rsidRPr="00C75E87">
        <w:rPr>
          <w:u w:val="none"/>
        </w:rPr>
        <w:t xml:space="preserve"> its specific purpose and </w:t>
      </w:r>
      <w:r w:rsidRPr="00C75E87">
        <w:t>requests</w:t>
      </w:r>
      <w:r w:rsidRPr="00C75E87">
        <w:rPr>
          <w:u w:val="none"/>
        </w:rPr>
        <w:t xml:space="preserve"> th</w:t>
      </w:r>
      <w:r w:rsidR="0005644B">
        <w:rPr>
          <w:u w:val="none"/>
        </w:rPr>
        <w:t>at the</w:t>
      </w:r>
      <w:r w:rsidRPr="00C75E87">
        <w:rPr>
          <w:u w:val="none"/>
        </w:rPr>
        <w:t xml:space="preserve"> Secretariat </w:t>
      </w:r>
      <w:r w:rsidRPr="00C75E87">
        <w:rPr>
          <w:rFonts w:eastAsia="Times New Roman"/>
          <w:u w:val="none"/>
        </w:rPr>
        <w:t>ensure its proper planning and implementation;</w:t>
      </w:r>
    </w:p>
    <w:p w14:paraId="35A5031B" w14:textId="03028BBD" w:rsidR="003F275F" w:rsidRDefault="003F275F" w:rsidP="0005644B">
      <w:pPr>
        <w:pStyle w:val="COMParaDecision"/>
        <w:ind w:left="1134" w:hanging="567"/>
        <w:rPr>
          <w:u w:val="none"/>
        </w:rPr>
      </w:pPr>
      <w:r>
        <w:t>T</w:t>
      </w:r>
      <w:r w:rsidRPr="005E220A">
        <w:t>akes note</w:t>
      </w:r>
      <w:r w:rsidRPr="004F7708">
        <w:rPr>
          <w:u w:val="none"/>
        </w:rPr>
        <w:t xml:space="preserve"> </w:t>
      </w:r>
      <w:r w:rsidRPr="003F275F">
        <w:rPr>
          <w:u w:val="none"/>
        </w:rPr>
        <w:t>that no supplementary voluntary contributions to the Intangible Cultural Heritage Fund have yet been received</w:t>
      </w:r>
      <w:r>
        <w:rPr>
          <w:u w:val="none"/>
        </w:rPr>
        <w:t xml:space="preserve"> in line with the two funding priorities approved for the period 2018</w:t>
      </w:r>
      <w:r w:rsidR="0005644B">
        <w:rPr>
          <w:u w:val="none"/>
        </w:rPr>
        <w:t>–</w:t>
      </w:r>
      <w:r>
        <w:rPr>
          <w:u w:val="none"/>
        </w:rPr>
        <w:t xml:space="preserve">2021, and </w:t>
      </w:r>
      <w:r w:rsidRPr="003F275F">
        <w:t>expresses its concern</w:t>
      </w:r>
      <w:r>
        <w:rPr>
          <w:u w:val="none"/>
        </w:rPr>
        <w:t xml:space="preserve"> </w:t>
      </w:r>
      <w:r w:rsidR="00EC64C1">
        <w:rPr>
          <w:u w:val="none"/>
        </w:rPr>
        <w:t>in</w:t>
      </w:r>
      <w:r w:rsidR="00D4698C">
        <w:rPr>
          <w:u w:val="none"/>
        </w:rPr>
        <w:t xml:space="preserve"> this regard;</w:t>
      </w:r>
    </w:p>
    <w:p w14:paraId="31932CA6" w14:textId="6D4E425B" w:rsidR="00B31111" w:rsidRPr="00187B8D" w:rsidRDefault="00D4698C" w:rsidP="0005644B">
      <w:pPr>
        <w:pStyle w:val="COMParaDecision"/>
        <w:ind w:left="1134" w:hanging="567"/>
        <w:rPr>
          <w:u w:val="none"/>
        </w:rPr>
      </w:pPr>
      <w:r w:rsidRPr="005E220A">
        <w:lastRenderedPageBreak/>
        <w:t>Thanks</w:t>
      </w:r>
      <w:r w:rsidRPr="004F7708">
        <w:rPr>
          <w:u w:val="none"/>
        </w:rPr>
        <w:t xml:space="preserve"> </w:t>
      </w:r>
      <w:r w:rsidRPr="00D4698C">
        <w:rPr>
          <w:u w:val="none"/>
        </w:rPr>
        <w:t xml:space="preserve">all the contributors that have generously supported the Convention and its Secretariat since its last session, namely </w:t>
      </w:r>
      <w:r>
        <w:rPr>
          <w:u w:val="none"/>
        </w:rPr>
        <w:t xml:space="preserve">Belgium (Flanders), </w:t>
      </w:r>
      <w:r w:rsidRPr="00D4698C">
        <w:rPr>
          <w:u w:val="none"/>
        </w:rPr>
        <w:t>the People’s Republic of China,</w:t>
      </w:r>
      <w:r>
        <w:rPr>
          <w:u w:val="none"/>
        </w:rPr>
        <w:t xml:space="preserve"> Finland, Japan,</w:t>
      </w:r>
      <w:r w:rsidR="00305C1E">
        <w:rPr>
          <w:u w:val="none"/>
        </w:rPr>
        <w:t xml:space="preserve"> Kazakhstan, </w:t>
      </w:r>
      <w:r>
        <w:rPr>
          <w:u w:val="none"/>
        </w:rPr>
        <w:t>Montenegro and Singapore;</w:t>
      </w:r>
    </w:p>
    <w:p w14:paraId="21DF148A" w14:textId="480EF770" w:rsidR="00D4698C" w:rsidRDefault="00D4698C" w:rsidP="0005644B">
      <w:pPr>
        <w:pStyle w:val="COMParaDecision"/>
        <w:ind w:left="1134" w:hanging="567"/>
        <w:rPr>
          <w:u w:val="none"/>
        </w:rPr>
      </w:pPr>
      <w:r w:rsidRPr="00C75E87">
        <w:t>Encourages</w:t>
      </w:r>
      <w:r w:rsidRPr="00C75E87">
        <w:rPr>
          <w:u w:val="none"/>
        </w:rPr>
        <w:t xml:space="preserve"> other contributors to consider the possibility of supporting the Convention, in particular </w:t>
      </w:r>
      <w:r w:rsidR="00C90C98" w:rsidRPr="00FB682F">
        <w:rPr>
          <w:u w:val="none"/>
        </w:rPr>
        <w:t xml:space="preserve">within </w:t>
      </w:r>
      <w:r w:rsidR="00C90C98">
        <w:rPr>
          <w:u w:val="none"/>
        </w:rPr>
        <w:t>the</w:t>
      </w:r>
      <w:r w:rsidR="00C90C98" w:rsidRPr="00FB682F">
        <w:rPr>
          <w:u w:val="none"/>
        </w:rPr>
        <w:t xml:space="preserve"> scope</w:t>
      </w:r>
      <w:r w:rsidR="00C90C98">
        <w:rPr>
          <w:u w:val="none"/>
        </w:rPr>
        <w:t xml:space="preserve"> of </w:t>
      </w:r>
      <w:r w:rsidRPr="00D4698C">
        <w:rPr>
          <w:u w:val="none"/>
        </w:rPr>
        <w:t>the</w:t>
      </w:r>
      <w:r w:rsidR="00C90C98">
        <w:rPr>
          <w:u w:val="none"/>
        </w:rPr>
        <w:t xml:space="preserve"> </w:t>
      </w:r>
      <w:r w:rsidR="00C90C98">
        <w:rPr>
          <w:rFonts w:eastAsia="Times New Roman"/>
          <w:u w:val="none"/>
        </w:rPr>
        <w:t xml:space="preserve">two </w:t>
      </w:r>
      <w:r w:rsidR="00C90C98" w:rsidRPr="00DE1B10">
        <w:rPr>
          <w:u w:val="none"/>
          <w:lang w:val="en-US"/>
        </w:rPr>
        <w:t>funding priorities</w:t>
      </w:r>
      <w:r w:rsidR="00C90C98" w:rsidRPr="00DE1B10">
        <w:rPr>
          <w:u w:val="none"/>
        </w:rPr>
        <w:t xml:space="preserve"> </w:t>
      </w:r>
      <w:r w:rsidR="00C90C98">
        <w:rPr>
          <w:u w:val="none"/>
        </w:rPr>
        <w:t xml:space="preserve">set </w:t>
      </w:r>
      <w:r w:rsidR="00C90C98" w:rsidRPr="00DE1B10">
        <w:rPr>
          <w:u w:val="none"/>
        </w:rPr>
        <w:t>for the period 2018</w:t>
      </w:r>
      <w:r w:rsidR="0005644B">
        <w:rPr>
          <w:u w:val="none"/>
        </w:rPr>
        <w:t>–</w:t>
      </w:r>
      <w:r w:rsidR="00C90C98" w:rsidRPr="00DE1B10">
        <w:rPr>
          <w:u w:val="none"/>
        </w:rPr>
        <w:t>2021</w:t>
      </w:r>
      <w:r w:rsidR="00C90C98">
        <w:rPr>
          <w:u w:val="none"/>
        </w:rPr>
        <w:t xml:space="preserve"> and</w:t>
      </w:r>
      <w:r w:rsidR="00C90C98" w:rsidRPr="00DE1B10">
        <w:rPr>
          <w:u w:val="none"/>
        </w:rPr>
        <w:t xml:space="preserve"> </w:t>
      </w:r>
      <w:r w:rsidR="00C90C98">
        <w:rPr>
          <w:u w:val="none"/>
        </w:rPr>
        <w:t xml:space="preserve">the </w:t>
      </w:r>
      <w:r w:rsidRPr="00D4698C">
        <w:rPr>
          <w:u w:val="none"/>
        </w:rPr>
        <w:t>sub-fund for enhancing the human resources of the Secretariat;</w:t>
      </w:r>
    </w:p>
    <w:p w14:paraId="0623AB3B" w14:textId="254E44B2" w:rsidR="00397537" w:rsidRPr="00D4698C" w:rsidRDefault="00A16B32" w:rsidP="00D57B41">
      <w:pPr>
        <w:pStyle w:val="COMParaDecision"/>
        <w:ind w:left="1134" w:hanging="567"/>
        <w:rPr>
          <w:u w:val="none"/>
        </w:rPr>
      </w:pPr>
      <w:r>
        <w:rPr>
          <w:lang w:val="en"/>
        </w:rPr>
        <w:t>Also t</w:t>
      </w:r>
      <w:r w:rsidR="00397537" w:rsidRPr="00397537">
        <w:rPr>
          <w:lang w:val="en"/>
        </w:rPr>
        <w:t>akes note</w:t>
      </w:r>
      <w:r w:rsidR="00397537" w:rsidRPr="00397537">
        <w:rPr>
          <w:u w:val="none"/>
          <w:lang w:val="en"/>
        </w:rPr>
        <w:t xml:space="preserve"> of Executive Board Document </w:t>
      </w:r>
      <w:hyperlink r:id="rId29" w:history="1">
        <w:r w:rsidR="00397537" w:rsidRPr="00397537">
          <w:rPr>
            <w:rStyle w:val="Hyperlink"/>
            <w:lang w:val="en"/>
          </w:rPr>
          <w:t>204 EX/5</w:t>
        </w:r>
      </w:hyperlink>
      <w:r w:rsidR="00397537" w:rsidRPr="00397537">
        <w:rPr>
          <w:u w:val="none"/>
          <w:lang w:val="en"/>
        </w:rPr>
        <w:t xml:space="preserve"> Part II.E on </w:t>
      </w:r>
      <w:r>
        <w:rPr>
          <w:u w:val="none"/>
          <w:lang w:val="en"/>
        </w:rPr>
        <w:t>‘</w:t>
      </w:r>
      <w:r w:rsidR="00397537" w:rsidRPr="00397537">
        <w:rPr>
          <w:u w:val="none"/>
          <w:lang w:val="en"/>
        </w:rPr>
        <w:t>Cost recovery policy: Revised Proposal for a differential rate policy for Management Cost Rates</w:t>
      </w:r>
      <w:r>
        <w:rPr>
          <w:u w:val="none"/>
          <w:lang w:val="en"/>
        </w:rPr>
        <w:t>’</w:t>
      </w:r>
      <w:r w:rsidR="00B31111">
        <w:rPr>
          <w:u w:val="none"/>
          <w:lang w:val="en"/>
        </w:rPr>
        <w:t xml:space="preserve"> and its related decision</w:t>
      </w:r>
      <w:r w:rsidR="00397537" w:rsidRPr="00397537">
        <w:rPr>
          <w:u w:val="none"/>
          <w:lang w:val="en"/>
        </w:rPr>
        <w:t>;</w:t>
      </w:r>
    </w:p>
    <w:p w14:paraId="631AC628" w14:textId="77777777" w:rsidR="00125CCC" w:rsidRPr="00125CCC" w:rsidRDefault="00125CCC" w:rsidP="00D57B41">
      <w:pPr>
        <w:pStyle w:val="COMParaDecision"/>
        <w:ind w:left="1134" w:hanging="567"/>
        <w:rPr>
          <w:u w:val="none"/>
        </w:rPr>
      </w:pPr>
      <w:r>
        <w:rPr>
          <w:lang w:val="en"/>
        </w:rPr>
        <w:t>Requests</w:t>
      </w:r>
      <w:r w:rsidRPr="00A42FCD">
        <w:rPr>
          <w:u w:val="none"/>
          <w:lang w:val="en"/>
        </w:rPr>
        <w:t xml:space="preserve"> </w:t>
      </w:r>
      <w:r w:rsidRPr="00125CCC">
        <w:rPr>
          <w:u w:val="none"/>
          <w:lang w:val="en-US"/>
        </w:rPr>
        <w:t xml:space="preserve">that the Secretariat report, at its </w:t>
      </w:r>
      <w:r>
        <w:rPr>
          <w:u w:val="none"/>
          <w:lang w:val="en-US"/>
        </w:rPr>
        <w:t>fourteenth</w:t>
      </w:r>
      <w:r w:rsidRPr="00125CCC">
        <w:rPr>
          <w:u w:val="none"/>
          <w:lang w:val="en-US"/>
        </w:rPr>
        <w:t xml:space="preserve"> session, on the progress</w:t>
      </w:r>
      <w:r w:rsidR="0096469B">
        <w:rPr>
          <w:u w:val="none"/>
          <w:lang w:val="en-US"/>
        </w:rPr>
        <w:t xml:space="preserve"> made</w:t>
      </w:r>
      <w:r w:rsidRPr="00125CCC">
        <w:rPr>
          <w:u w:val="none"/>
          <w:lang w:val="en-US"/>
        </w:rPr>
        <w:t xml:space="preserve"> in the implementation of any voluntary supplementary contributions it may have received since </w:t>
      </w:r>
      <w:r w:rsidR="00A16B32">
        <w:rPr>
          <w:u w:val="none"/>
          <w:lang w:val="en-US"/>
        </w:rPr>
        <w:t>the thirteenth</w:t>
      </w:r>
      <w:r w:rsidRPr="00125CCC">
        <w:rPr>
          <w:u w:val="none"/>
          <w:lang w:val="en-US"/>
        </w:rPr>
        <w:t xml:space="preserve"> session</w:t>
      </w:r>
      <w:r>
        <w:rPr>
          <w:u w:val="none"/>
          <w:lang w:val="en-US"/>
        </w:rPr>
        <w:t>.</w:t>
      </w:r>
    </w:p>
    <w:p w14:paraId="1530D6DC" w14:textId="77777777" w:rsidR="00591733" w:rsidRPr="009115B4" w:rsidRDefault="00591733" w:rsidP="00591733">
      <w:pPr>
        <w:pStyle w:val="COMParaDecision"/>
        <w:keepNext/>
        <w:pageBreakBefore/>
        <w:numPr>
          <w:ilvl w:val="0"/>
          <w:numId w:val="0"/>
        </w:numPr>
        <w:spacing w:before="240" w:after="480"/>
        <w:jc w:val="center"/>
        <w:rPr>
          <w:b/>
          <w:caps/>
          <w:snapToGrid w:val="0"/>
          <w:lang w:eastAsia="en-US"/>
        </w:rPr>
      </w:pPr>
      <w:r w:rsidRPr="005E220A">
        <w:rPr>
          <w:rFonts w:eastAsia="Times New Roman"/>
          <w:b/>
          <w:caps/>
          <w:snapToGrid w:val="0"/>
          <w:lang w:eastAsia="en-US"/>
        </w:rPr>
        <w:lastRenderedPageBreak/>
        <w:t>ANNEX I</w:t>
      </w:r>
    </w:p>
    <w:p w14:paraId="0DAF5FBC" w14:textId="618969F5" w:rsidR="00362DC5" w:rsidRDefault="00591733" w:rsidP="00591733">
      <w:pPr>
        <w:pStyle w:val="COMParaDecision"/>
        <w:keepNext/>
        <w:numPr>
          <w:ilvl w:val="0"/>
          <w:numId w:val="0"/>
        </w:numPr>
        <w:jc w:val="center"/>
        <w:rPr>
          <w:b/>
          <w:u w:val="none"/>
        </w:rPr>
      </w:pPr>
      <w:r>
        <w:rPr>
          <w:b/>
          <w:u w:val="none"/>
        </w:rPr>
        <w:t>Financial/In-kind</w:t>
      </w:r>
      <w:r w:rsidRPr="009426E5">
        <w:rPr>
          <w:b/>
          <w:u w:val="none"/>
        </w:rPr>
        <w:t xml:space="preserve"> support </w:t>
      </w:r>
      <w:r>
        <w:rPr>
          <w:b/>
          <w:u w:val="none"/>
        </w:rPr>
        <w:t>to</w:t>
      </w:r>
      <w:r w:rsidRPr="009426E5">
        <w:rPr>
          <w:b/>
          <w:u w:val="none"/>
        </w:rPr>
        <w:t xml:space="preserve"> the 2003 Convention </w:t>
      </w:r>
      <w:r w:rsidR="00B673A2">
        <w:rPr>
          <w:b/>
          <w:u w:val="none"/>
        </w:rPr>
        <w:t>between</w:t>
      </w:r>
      <w:r w:rsidR="00B673A2" w:rsidRPr="009426E5">
        <w:rPr>
          <w:b/>
          <w:u w:val="none"/>
        </w:rPr>
        <w:t xml:space="preserve"> </w:t>
      </w:r>
    </w:p>
    <w:p w14:paraId="1BF87069" w14:textId="0AC1A65F" w:rsidR="00591733" w:rsidRPr="00C44C01" w:rsidRDefault="00591733" w:rsidP="00591733">
      <w:pPr>
        <w:pStyle w:val="COMParaDecision"/>
        <w:keepNext/>
        <w:numPr>
          <w:ilvl w:val="0"/>
          <w:numId w:val="0"/>
        </w:numPr>
        <w:jc w:val="center"/>
        <w:rPr>
          <w:rFonts w:eastAsia="Times New Roman"/>
          <w:b/>
          <w:caps/>
          <w:snapToGrid w:val="0"/>
          <w:u w:val="none"/>
          <w:lang w:eastAsia="en-US"/>
        </w:rPr>
      </w:pPr>
      <w:proofErr w:type="gramStart"/>
      <w:r w:rsidRPr="009426E5">
        <w:rPr>
          <w:b/>
          <w:u w:val="none"/>
        </w:rPr>
        <w:t>the</w:t>
      </w:r>
      <w:proofErr w:type="gramEnd"/>
      <w:r w:rsidRPr="009426E5">
        <w:rPr>
          <w:b/>
          <w:u w:val="none"/>
        </w:rPr>
        <w:t xml:space="preserve"> </w:t>
      </w:r>
      <w:r>
        <w:rPr>
          <w:b/>
          <w:u w:val="none"/>
        </w:rPr>
        <w:t xml:space="preserve">twelfth </w:t>
      </w:r>
      <w:r w:rsidRPr="009426E5">
        <w:rPr>
          <w:b/>
          <w:u w:val="none"/>
        </w:rPr>
        <w:t>session of the Committee</w:t>
      </w:r>
      <w:r w:rsidR="00362DC5">
        <w:rPr>
          <w:b/>
          <w:u w:val="none"/>
        </w:rPr>
        <w:t xml:space="preserve"> (December 2017)</w:t>
      </w:r>
      <w:r>
        <w:rPr>
          <w:b/>
          <w:u w:val="none"/>
        </w:rPr>
        <w:t xml:space="preserve"> </w:t>
      </w:r>
      <w:r w:rsidR="00B673A2">
        <w:rPr>
          <w:b/>
          <w:u w:val="none"/>
        </w:rPr>
        <w:t>and</w:t>
      </w:r>
      <w:r w:rsidR="00B673A2" w:rsidRPr="009426E5">
        <w:rPr>
          <w:b/>
          <w:u w:val="none"/>
        </w:rPr>
        <w:t xml:space="preserve"> </w:t>
      </w:r>
      <w:r w:rsidR="00A8214E">
        <w:rPr>
          <w:b/>
          <w:u w:val="none"/>
        </w:rPr>
        <w:t xml:space="preserve">September </w:t>
      </w:r>
      <w:r w:rsidRPr="009426E5">
        <w:rPr>
          <w:b/>
          <w:u w:val="none"/>
        </w:rPr>
        <w:t>201</w:t>
      </w:r>
      <w:r>
        <w:rPr>
          <w:b/>
          <w:u w:val="none"/>
        </w:rPr>
        <w:t>8</w:t>
      </w:r>
    </w:p>
    <w:p w14:paraId="228F9070" w14:textId="77777777" w:rsidR="00591733" w:rsidRPr="00591733" w:rsidRDefault="00591733" w:rsidP="00DF600F">
      <w:pPr>
        <w:spacing w:before="840" w:after="60"/>
        <w:rPr>
          <w:rFonts w:ascii="Arial" w:hAnsi="Arial" w:cs="Arial"/>
          <w:b/>
          <w:smallCaps/>
          <w:color w:val="000000"/>
          <w:sz w:val="22"/>
          <w:szCs w:val="22"/>
          <w:lang w:val="en-GB"/>
        </w:rPr>
      </w:pPr>
      <w:r w:rsidRPr="009426E5">
        <w:rPr>
          <w:rFonts w:ascii="Arial" w:hAnsi="Arial" w:cs="Arial"/>
          <w:b/>
          <w:smallCaps/>
          <w:color w:val="000000"/>
          <w:sz w:val="22"/>
          <w:szCs w:val="22"/>
          <w:lang w:val="en-GB"/>
        </w:rPr>
        <w:t>Voluntary supplementary contributions to the Intangible Cultural Heritage Fund</w:t>
      </w:r>
    </w:p>
    <w:p w14:paraId="78A4DE5E" w14:textId="77777777" w:rsidR="00591733" w:rsidRPr="00DF600F" w:rsidRDefault="00591733" w:rsidP="00DF600F">
      <w:pPr>
        <w:spacing w:before="120" w:after="120"/>
        <w:ind w:left="709"/>
        <w:rPr>
          <w:rFonts w:ascii="Arial" w:hAnsi="Arial" w:cs="Arial"/>
          <w:b/>
          <w:color w:val="000000"/>
          <w:sz w:val="20"/>
          <w:szCs w:val="20"/>
          <w:lang w:val="en-GB"/>
        </w:rPr>
      </w:pPr>
      <w:r w:rsidRPr="00DF600F">
        <w:rPr>
          <w:rFonts w:ascii="Arial" w:hAnsi="Arial" w:cs="Arial"/>
          <w:b/>
          <w:color w:val="000000"/>
          <w:sz w:val="20"/>
          <w:szCs w:val="20"/>
          <w:lang w:val="en-GB"/>
        </w:rPr>
        <w:t>Sub-fund for enhancing the human capacities of the Secretariat</w:t>
      </w:r>
    </w:p>
    <w:tbl>
      <w:tblPr>
        <w:tblW w:w="8930" w:type="dxa"/>
        <w:tblInd w:w="709" w:type="dxa"/>
        <w:tblLook w:val="04A0" w:firstRow="1" w:lastRow="0" w:firstColumn="1" w:lastColumn="0" w:noHBand="0" w:noVBand="1"/>
      </w:tblPr>
      <w:tblGrid>
        <w:gridCol w:w="6603"/>
        <w:gridCol w:w="2327"/>
      </w:tblGrid>
      <w:tr w:rsidR="00591733" w:rsidRPr="00620606" w14:paraId="50F70990" w14:textId="77777777" w:rsidTr="00DF600F">
        <w:trPr>
          <w:cantSplit/>
        </w:trPr>
        <w:tc>
          <w:tcPr>
            <w:tcW w:w="6720" w:type="dxa"/>
            <w:vAlign w:val="center"/>
          </w:tcPr>
          <w:p w14:paraId="67F3B980" w14:textId="77777777" w:rsidR="00591733" w:rsidRPr="00620606" w:rsidRDefault="00591733" w:rsidP="009462BD">
            <w:pPr>
              <w:spacing w:before="60" w:after="60"/>
              <w:rPr>
                <w:rFonts w:ascii="Arial" w:hAnsi="Arial" w:cs="Arial"/>
                <w:color w:val="000000"/>
                <w:sz w:val="20"/>
                <w:szCs w:val="20"/>
                <w:lang w:val="en-GB"/>
              </w:rPr>
            </w:pPr>
            <w:r>
              <w:rPr>
                <w:rFonts w:ascii="Arial" w:hAnsi="Arial" w:cs="Arial"/>
                <w:color w:val="000000"/>
                <w:sz w:val="20"/>
                <w:szCs w:val="20"/>
                <w:lang w:val="en-GB"/>
              </w:rPr>
              <w:t>China</w:t>
            </w:r>
          </w:p>
        </w:tc>
        <w:tc>
          <w:tcPr>
            <w:tcW w:w="2352" w:type="dxa"/>
            <w:vAlign w:val="center"/>
          </w:tcPr>
          <w:p w14:paraId="0C205F5C" w14:textId="77777777" w:rsidR="00591733" w:rsidRPr="00620606" w:rsidRDefault="00591733" w:rsidP="009462BD">
            <w:pPr>
              <w:spacing w:before="60" w:after="60"/>
              <w:jc w:val="right"/>
              <w:rPr>
                <w:rFonts w:ascii="Arial" w:hAnsi="Arial" w:cs="Arial"/>
                <w:color w:val="000000"/>
                <w:sz w:val="20"/>
                <w:szCs w:val="20"/>
                <w:lang w:val="en-GB"/>
              </w:rPr>
            </w:pPr>
            <w:r>
              <w:rPr>
                <w:rFonts w:ascii="Arial" w:hAnsi="Arial" w:cs="Arial"/>
                <w:color w:val="000000"/>
                <w:sz w:val="20"/>
                <w:szCs w:val="20"/>
                <w:lang w:val="en-GB"/>
              </w:rPr>
              <w:t>US$50,000</w:t>
            </w:r>
          </w:p>
        </w:tc>
      </w:tr>
      <w:tr w:rsidR="00591733" w:rsidRPr="00A72D1A" w14:paraId="3EF25540" w14:textId="77777777" w:rsidTr="00DF600F">
        <w:trPr>
          <w:cantSplit/>
          <w:trHeight w:val="255"/>
        </w:trPr>
        <w:tc>
          <w:tcPr>
            <w:tcW w:w="6720" w:type="dxa"/>
            <w:vAlign w:val="center"/>
          </w:tcPr>
          <w:p w14:paraId="3036BB8B" w14:textId="2D648455" w:rsidR="00A72D1A" w:rsidRDefault="00591733" w:rsidP="009462BD">
            <w:pPr>
              <w:spacing w:before="60" w:after="60"/>
              <w:rPr>
                <w:rFonts w:ascii="Arial" w:hAnsi="Arial" w:cs="Arial"/>
                <w:color w:val="000000"/>
                <w:sz w:val="20"/>
                <w:szCs w:val="20"/>
                <w:lang w:val="en-GB"/>
              </w:rPr>
            </w:pPr>
            <w:r>
              <w:rPr>
                <w:rFonts w:ascii="Arial" w:hAnsi="Arial" w:cs="Arial"/>
                <w:color w:val="000000"/>
                <w:sz w:val="20"/>
                <w:szCs w:val="20"/>
                <w:lang w:val="en-GB"/>
              </w:rPr>
              <w:t>Finlan</w:t>
            </w:r>
            <w:r w:rsidR="00A72D1A">
              <w:rPr>
                <w:rFonts w:ascii="Arial" w:hAnsi="Arial" w:cs="Arial"/>
                <w:color w:val="000000"/>
                <w:sz w:val="20"/>
                <w:szCs w:val="20"/>
                <w:lang w:val="en-GB"/>
              </w:rPr>
              <w:t>d</w:t>
            </w:r>
          </w:p>
        </w:tc>
        <w:tc>
          <w:tcPr>
            <w:tcW w:w="2352" w:type="dxa"/>
            <w:vAlign w:val="center"/>
          </w:tcPr>
          <w:p w14:paraId="3EC5A25B" w14:textId="3340EBE6" w:rsidR="00591733" w:rsidRDefault="007A47E4" w:rsidP="006F2760">
            <w:pPr>
              <w:spacing w:before="60" w:after="60"/>
              <w:jc w:val="right"/>
              <w:rPr>
                <w:rFonts w:ascii="Arial" w:hAnsi="Arial" w:cs="Arial"/>
                <w:color w:val="000000"/>
                <w:sz w:val="20"/>
                <w:szCs w:val="20"/>
                <w:lang w:val="en-GB"/>
              </w:rPr>
            </w:pPr>
            <w:r>
              <w:rPr>
                <w:rFonts w:ascii="Arial" w:hAnsi="Arial" w:cs="Arial"/>
                <w:color w:val="000000"/>
                <w:sz w:val="20"/>
                <w:szCs w:val="20"/>
                <w:lang w:val="en-GB"/>
              </w:rPr>
              <w:t>US$2,628</w:t>
            </w:r>
          </w:p>
        </w:tc>
      </w:tr>
      <w:tr w:rsidR="00A72D1A" w:rsidRPr="00A72D1A" w14:paraId="17AF579D" w14:textId="77777777" w:rsidTr="00DF600F">
        <w:trPr>
          <w:cantSplit/>
        </w:trPr>
        <w:tc>
          <w:tcPr>
            <w:tcW w:w="6720" w:type="dxa"/>
            <w:vAlign w:val="center"/>
          </w:tcPr>
          <w:p w14:paraId="6582EA50" w14:textId="3FB1663A" w:rsidR="00A72D1A" w:rsidRDefault="00A72D1A" w:rsidP="009462BD">
            <w:pPr>
              <w:spacing w:before="60" w:after="60"/>
              <w:rPr>
                <w:rFonts w:ascii="Arial" w:hAnsi="Arial" w:cs="Arial"/>
                <w:color w:val="000000"/>
                <w:sz w:val="20"/>
                <w:szCs w:val="20"/>
                <w:lang w:val="en-GB"/>
              </w:rPr>
            </w:pPr>
            <w:r>
              <w:rPr>
                <w:rFonts w:ascii="Arial" w:hAnsi="Arial" w:cs="Arial"/>
                <w:color w:val="000000"/>
                <w:sz w:val="20"/>
                <w:szCs w:val="20"/>
                <w:lang w:val="en-GB"/>
              </w:rPr>
              <w:t>Kazakhstan</w:t>
            </w:r>
          </w:p>
        </w:tc>
        <w:tc>
          <w:tcPr>
            <w:tcW w:w="2352" w:type="dxa"/>
            <w:vAlign w:val="center"/>
          </w:tcPr>
          <w:p w14:paraId="6A63F4B3" w14:textId="29CAC827" w:rsidR="00A72D1A" w:rsidRDefault="00A72D1A" w:rsidP="009462BD">
            <w:pPr>
              <w:spacing w:before="60" w:after="60"/>
              <w:jc w:val="right"/>
              <w:rPr>
                <w:rFonts w:ascii="Arial" w:hAnsi="Arial" w:cs="Arial"/>
                <w:color w:val="000000"/>
                <w:sz w:val="20"/>
                <w:szCs w:val="20"/>
                <w:lang w:val="en-GB"/>
              </w:rPr>
            </w:pPr>
            <w:r>
              <w:rPr>
                <w:rFonts w:ascii="Arial" w:hAnsi="Arial" w:cs="Arial"/>
                <w:color w:val="000000"/>
                <w:sz w:val="20"/>
                <w:szCs w:val="20"/>
                <w:lang w:val="en-GB"/>
              </w:rPr>
              <w:t>US$10,000</w:t>
            </w:r>
          </w:p>
        </w:tc>
      </w:tr>
      <w:tr w:rsidR="00591733" w:rsidRPr="00591733" w14:paraId="03CFB9B6" w14:textId="77777777" w:rsidTr="00DF600F">
        <w:trPr>
          <w:cantSplit/>
        </w:trPr>
        <w:tc>
          <w:tcPr>
            <w:tcW w:w="6720" w:type="dxa"/>
            <w:vAlign w:val="center"/>
          </w:tcPr>
          <w:p w14:paraId="71BD4A12" w14:textId="77777777" w:rsidR="00591733" w:rsidRDefault="00591733" w:rsidP="009462BD">
            <w:pPr>
              <w:spacing w:before="60" w:after="60"/>
              <w:rPr>
                <w:rFonts w:ascii="Arial" w:hAnsi="Arial" w:cs="Arial"/>
                <w:color w:val="000000"/>
                <w:sz w:val="20"/>
                <w:szCs w:val="20"/>
                <w:lang w:val="en-GB"/>
              </w:rPr>
            </w:pPr>
            <w:r>
              <w:rPr>
                <w:rFonts w:ascii="Arial" w:hAnsi="Arial" w:cs="Arial"/>
                <w:color w:val="000000"/>
                <w:sz w:val="20"/>
                <w:szCs w:val="20"/>
                <w:lang w:val="en-GB"/>
              </w:rPr>
              <w:t>Montenegro</w:t>
            </w:r>
          </w:p>
        </w:tc>
        <w:tc>
          <w:tcPr>
            <w:tcW w:w="2352" w:type="dxa"/>
            <w:vAlign w:val="center"/>
          </w:tcPr>
          <w:p w14:paraId="05CF7BDE" w14:textId="11A22E5A" w:rsidR="00591733" w:rsidRPr="00591733" w:rsidRDefault="00591733" w:rsidP="009462BD">
            <w:pPr>
              <w:spacing w:before="60" w:after="60"/>
              <w:jc w:val="right"/>
              <w:rPr>
                <w:rFonts w:ascii="Arial" w:hAnsi="Arial" w:cs="Arial"/>
                <w:color w:val="000000"/>
                <w:sz w:val="20"/>
                <w:szCs w:val="20"/>
                <w:highlight w:val="yellow"/>
                <w:lang w:val="en-GB"/>
              </w:rPr>
            </w:pPr>
            <w:r w:rsidRPr="00A72D1A">
              <w:rPr>
                <w:rFonts w:ascii="Arial" w:hAnsi="Arial" w:cs="Arial"/>
                <w:color w:val="000000"/>
                <w:sz w:val="20"/>
                <w:szCs w:val="20"/>
                <w:lang w:val="en-GB"/>
              </w:rPr>
              <w:t>US$</w:t>
            </w:r>
            <w:r w:rsidR="00A72D1A">
              <w:rPr>
                <w:rFonts w:ascii="Arial" w:hAnsi="Arial" w:cs="Arial"/>
                <w:color w:val="000000"/>
                <w:sz w:val="20"/>
                <w:szCs w:val="20"/>
                <w:lang w:val="en-GB"/>
              </w:rPr>
              <w:t>2</w:t>
            </w:r>
            <w:r w:rsidRPr="00A72D1A">
              <w:rPr>
                <w:rFonts w:ascii="Arial" w:hAnsi="Arial" w:cs="Arial"/>
                <w:color w:val="000000"/>
                <w:sz w:val="20"/>
                <w:szCs w:val="20"/>
                <w:lang w:val="en-GB"/>
              </w:rPr>
              <w:t>,</w:t>
            </w:r>
            <w:r w:rsidR="00A72D1A">
              <w:rPr>
                <w:rFonts w:ascii="Arial" w:hAnsi="Arial" w:cs="Arial"/>
                <w:color w:val="000000"/>
                <w:sz w:val="20"/>
                <w:szCs w:val="20"/>
                <w:lang w:val="en-GB"/>
              </w:rPr>
              <w:t>288</w:t>
            </w:r>
          </w:p>
        </w:tc>
      </w:tr>
    </w:tbl>
    <w:p w14:paraId="53142839" w14:textId="77777777" w:rsidR="00591733" w:rsidRDefault="00591733" w:rsidP="00591733">
      <w:pPr>
        <w:spacing w:before="360" w:after="60"/>
        <w:rPr>
          <w:rFonts w:ascii="Arial" w:hAnsi="Arial" w:cs="Arial"/>
          <w:b/>
          <w:smallCaps/>
          <w:color w:val="000000"/>
          <w:sz w:val="22"/>
          <w:szCs w:val="22"/>
          <w:lang w:val="en-GB"/>
        </w:rPr>
      </w:pPr>
      <w:r>
        <w:rPr>
          <w:rFonts w:ascii="Arial" w:hAnsi="Arial" w:cs="Arial"/>
          <w:b/>
          <w:smallCaps/>
          <w:color w:val="000000"/>
          <w:sz w:val="22"/>
          <w:szCs w:val="22"/>
          <w:lang w:val="en-GB"/>
        </w:rPr>
        <w:t>Funds-in-trust</w:t>
      </w:r>
    </w:p>
    <w:tbl>
      <w:tblPr>
        <w:tblW w:w="8935" w:type="dxa"/>
        <w:tblInd w:w="709" w:type="dxa"/>
        <w:tblLook w:val="04A0" w:firstRow="1" w:lastRow="0" w:firstColumn="1" w:lastColumn="0" w:noHBand="0" w:noVBand="1"/>
      </w:tblPr>
      <w:tblGrid>
        <w:gridCol w:w="6605"/>
        <w:gridCol w:w="2330"/>
      </w:tblGrid>
      <w:tr w:rsidR="00591733" w:rsidRPr="00C75E87" w14:paraId="28EA4356" w14:textId="77777777" w:rsidTr="00DF600F">
        <w:trPr>
          <w:cantSplit/>
        </w:trPr>
        <w:tc>
          <w:tcPr>
            <w:tcW w:w="6605" w:type="dxa"/>
            <w:vAlign w:val="center"/>
          </w:tcPr>
          <w:p w14:paraId="4757F9E2" w14:textId="77777777" w:rsidR="00591733" w:rsidRPr="009426E5" w:rsidRDefault="00591733" w:rsidP="009462BD">
            <w:pPr>
              <w:spacing w:before="60" w:after="60"/>
              <w:rPr>
                <w:rFonts w:ascii="Arial" w:hAnsi="Arial" w:cs="Arial"/>
                <w:color w:val="000000"/>
                <w:sz w:val="20"/>
                <w:szCs w:val="20"/>
                <w:lang w:val="en-GB"/>
              </w:rPr>
            </w:pPr>
            <w:r>
              <w:rPr>
                <w:rFonts w:ascii="Arial" w:hAnsi="Arial" w:cs="Arial"/>
                <w:color w:val="000000"/>
                <w:sz w:val="20"/>
                <w:szCs w:val="20"/>
                <w:lang w:val="en-GB"/>
              </w:rPr>
              <w:t>Belgium (Flanders)</w:t>
            </w:r>
          </w:p>
        </w:tc>
        <w:tc>
          <w:tcPr>
            <w:tcW w:w="2330" w:type="dxa"/>
            <w:vAlign w:val="center"/>
          </w:tcPr>
          <w:p w14:paraId="151A3184" w14:textId="77777777" w:rsidR="00591733" w:rsidRPr="009426E5" w:rsidRDefault="00591733" w:rsidP="009462BD">
            <w:pPr>
              <w:spacing w:before="60" w:after="60"/>
              <w:jc w:val="right"/>
              <w:rPr>
                <w:rFonts w:ascii="Arial" w:hAnsi="Arial" w:cs="Arial"/>
                <w:color w:val="000000"/>
                <w:sz w:val="20"/>
                <w:szCs w:val="20"/>
                <w:lang w:val="en-GB"/>
              </w:rPr>
            </w:pPr>
            <w:r w:rsidRPr="009426E5">
              <w:rPr>
                <w:rFonts w:ascii="Arial" w:hAnsi="Arial" w:cs="Arial"/>
                <w:color w:val="000000"/>
                <w:sz w:val="20"/>
                <w:szCs w:val="20"/>
                <w:lang w:val="en-GB"/>
              </w:rPr>
              <w:t>US$</w:t>
            </w:r>
            <w:r>
              <w:rPr>
                <w:rFonts w:ascii="Arial" w:hAnsi="Arial" w:cs="Arial"/>
                <w:color w:val="000000"/>
                <w:sz w:val="20"/>
                <w:szCs w:val="20"/>
                <w:lang w:val="en-GB"/>
              </w:rPr>
              <w:t>117,467</w:t>
            </w:r>
          </w:p>
        </w:tc>
      </w:tr>
    </w:tbl>
    <w:p w14:paraId="3E25FE6D" w14:textId="77777777" w:rsidR="00591733" w:rsidRPr="00C75E87" w:rsidRDefault="00591733" w:rsidP="00591733">
      <w:pPr>
        <w:spacing w:before="360" w:after="60"/>
        <w:rPr>
          <w:rFonts w:ascii="Arial" w:hAnsi="Arial" w:cs="Arial"/>
          <w:b/>
          <w:smallCaps/>
          <w:color w:val="000000"/>
          <w:sz w:val="22"/>
          <w:szCs w:val="22"/>
          <w:lang w:val="en-GB"/>
        </w:rPr>
      </w:pPr>
      <w:r w:rsidRPr="00C75E87">
        <w:rPr>
          <w:rFonts w:ascii="Arial" w:hAnsi="Arial" w:cs="Arial"/>
          <w:b/>
          <w:smallCaps/>
          <w:color w:val="000000"/>
          <w:sz w:val="22"/>
          <w:szCs w:val="22"/>
          <w:lang w:val="en-GB"/>
        </w:rPr>
        <w:t>Loans and Secondments</w:t>
      </w:r>
    </w:p>
    <w:tbl>
      <w:tblPr>
        <w:tblW w:w="8935" w:type="dxa"/>
        <w:tblInd w:w="709" w:type="dxa"/>
        <w:tblLook w:val="04A0" w:firstRow="1" w:lastRow="0" w:firstColumn="1" w:lastColumn="0" w:noHBand="0" w:noVBand="1"/>
      </w:tblPr>
      <w:tblGrid>
        <w:gridCol w:w="6605"/>
        <w:gridCol w:w="2330"/>
      </w:tblGrid>
      <w:tr w:rsidR="00591733" w:rsidRPr="00C75E87" w14:paraId="1CC47D6A" w14:textId="77777777" w:rsidTr="00DF600F">
        <w:trPr>
          <w:cantSplit/>
        </w:trPr>
        <w:tc>
          <w:tcPr>
            <w:tcW w:w="6605" w:type="dxa"/>
            <w:vAlign w:val="center"/>
            <w:hideMark/>
          </w:tcPr>
          <w:p w14:paraId="529E80AD" w14:textId="77777777" w:rsidR="00591733" w:rsidRPr="00C75E87" w:rsidRDefault="00591733" w:rsidP="009462BD">
            <w:pPr>
              <w:spacing w:before="60" w:after="60"/>
              <w:rPr>
                <w:rFonts w:ascii="Arial" w:hAnsi="Arial" w:cs="Arial"/>
                <w:color w:val="000000"/>
                <w:sz w:val="20"/>
                <w:szCs w:val="20"/>
                <w:lang w:val="en-GB"/>
              </w:rPr>
            </w:pPr>
            <w:r w:rsidRPr="00C75E87">
              <w:rPr>
                <w:rFonts w:ascii="Arial" w:hAnsi="Arial" w:cs="Arial"/>
                <w:color w:val="000000"/>
                <w:sz w:val="20"/>
                <w:szCs w:val="20"/>
                <w:lang w:val="en-GB"/>
              </w:rPr>
              <w:t>China</w:t>
            </w:r>
          </w:p>
        </w:tc>
        <w:tc>
          <w:tcPr>
            <w:tcW w:w="2330" w:type="dxa"/>
            <w:vAlign w:val="center"/>
            <w:hideMark/>
          </w:tcPr>
          <w:p w14:paraId="25BB47F6" w14:textId="4218524B" w:rsidR="00591733" w:rsidRPr="00C75E87" w:rsidRDefault="00591733" w:rsidP="009462BD">
            <w:pPr>
              <w:spacing w:before="60" w:after="60"/>
              <w:jc w:val="right"/>
              <w:rPr>
                <w:rFonts w:ascii="Arial" w:hAnsi="Arial" w:cs="Arial"/>
                <w:color w:val="000000"/>
                <w:sz w:val="20"/>
                <w:szCs w:val="20"/>
                <w:lang w:val="en-GB"/>
              </w:rPr>
            </w:pPr>
            <w:r w:rsidRPr="00C75E87">
              <w:rPr>
                <w:rFonts w:ascii="Arial" w:hAnsi="Arial" w:cs="Arial"/>
                <w:color w:val="000000"/>
                <w:sz w:val="20"/>
                <w:szCs w:val="20"/>
                <w:lang w:val="en-GB"/>
              </w:rPr>
              <w:t>1</w:t>
            </w:r>
            <w:r w:rsidR="0061043A">
              <w:rPr>
                <w:rFonts w:ascii="Arial" w:hAnsi="Arial" w:cs="Arial"/>
                <w:color w:val="000000"/>
                <w:sz w:val="20"/>
                <w:szCs w:val="20"/>
                <w:lang w:val="en-GB"/>
              </w:rPr>
              <w:t>0</w:t>
            </w:r>
            <w:r w:rsidRPr="00C75E87">
              <w:rPr>
                <w:rFonts w:ascii="Arial" w:hAnsi="Arial" w:cs="Arial"/>
                <w:color w:val="000000"/>
                <w:sz w:val="20"/>
                <w:szCs w:val="20"/>
                <w:lang w:val="en-GB"/>
              </w:rPr>
              <w:t> months at P-2 level</w:t>
            </w:r>
          </w:p>
        </w:tc>
      </w:tr>
      <w:tr w:rsidR="00ED3A9D" w:rsidRPr="00C75E87" w14:paraId="665821A8" w14:textId="77777777" w:rsidTr="00DF600F">
        <w:trPr>
          <w:cantSplit/>
        </w:trPr>
        <w:tc>
          <w:tcPr>
            <w:tcW w:w="6605" w:type="dxa"/>
            <w:vAlign w:val="center"/>
          </w:tcPr>
          <w:p w14:paraId="390C0534" w14:textId="77777777" w:rsidR="00ED3A9D" w:rsidRPr="00C75E87" w:rsidRDefault="00ED3A9D" w:rsidP="009462BD">
            <w:pPr>
              <w:spacing w:before="60" w:after="60"/>
              <w:rPr>
                <w:rFonts w:ascii="Arial" w:hAnsi="Arial" w:cs="Arial"/>
                <w:color w:val="000000"/>
                <w:sz w:val="20"/>
                <w:szCs w:val="20"/>
                <w:lang w:val="en-GB"/>
              </w:rPr>
            </w:pPr>
            <w:r>
              <w:rPr>
                <w:rFonts w:ascii="Arial" w:hAnsi="Arial" w:cs="Arial"/>
                <w:color w:val="000000"/>
                <w:sz w:val="20"/>
                <w:szCs w:val="20"/>
                <w:lang w:val="en-GB"/>
              </w:rPr>
              <w:t>Japan</w:t>
            </w:r>
          </w:p>
        </w:tc>
        <w:tc>
          <w:tcPr>
            <w:tcW w:w="2330" w:type="dxa"/>
            <w:vAlign w:val="center"/>
          </w:tcPr>
          <w:p w14:paraId="1D30707D" w14:textId="77777777" w:rsidR="00ED3A9D" w:rsidRPr="00C75E87" w:rsidRDefault="00ED3A9D" w:rsidP="009462BD">
            <w:pPr>
              <w:spacing w:before="60" w:after="60"/>
              <w:jc w:val="right"/>
              <w:rPr>
                <w:rFonts w:ascii="Arial" w:hAnsi="Arial" w:cs="Arial"/>
                <w:color w:val="000000"/>
                <w:sz w:val="20"/>
                <w:szCs w:val="20"/>
                <w:lang w:val="en-GB"/>
              </w:rPr>
            </w:pPr>
            <w:r>
              <w:rPr>
                <w:rFonts w:ascii="Arial" w:hAnsi="Arial" w:cs="Arial"/>
                <w:color w:val="000000"/>
                <w:sz w:val="20"/>
                <w:szCs w:val="20"/>
                <w:lang w:val="en-GB"/>
              </w:rPr>
              <w:t>4 months at P-2 level</w:t>
            </w:r>
          </w:p>
        </w:tc>
      </w:tr>
      <w:tr w:rsidR="00591733" w:rsidRPr="00C75E87" w14:paraId="4127C589" w14:textId="77777777" w:rsidTr="00DF600F">
        <w:trPr>
          <w:cantSplit/>
        </w:trPr>
        <w:tc>
          <w:tcPr>
            <w:tcW w:w="6605" w:type="dxa"/>
            <w:vAlign w:val="center"/>
          </w:tcPr>
          <w:p w14:paraId="5E10175A" w14:textId="1CEBD1B5" w:rsidR="00591733" w:rsidRPr="00C75E87" w:rsidRDefault="00DF600F" w:rsidP="009462BD">
            <w:pPr>
              <w:spacing w:before="60" w:after="60"/>
              <w:rPr>
                <w:rFonts w:ascii="Arial" w:hAnsi="Arial" w:cs="Arial"/>
                <w:color w:val="000000"/>
                <w:sz w:val="20"/>
                <w:szCs w:val="20"/>
                <w:lang w:val="en-GB"/>
              </w:rPr>
            </w:pPr>
            <w:r>
              <w:rPr>
                <w:rFonts w:ascii="Arial" w:hAnsi="Arial" w:cs="Arial"/>
                <w:color w:val="000000"/>
                <w:sz w:val="20"/>
                <w:szCs w:val="20"/>
                <w:lang w:val="en-GB"/>
              </w:rPr>
              <w:t>Singapore</w:t>
            </w:r>
          </w:p>
        </w:tc>
        <w:tc>
          <w:tcPr>
            <w:tcW w:w="2330" w:type="dxa"/>
            <w:vAlign w:val="center"/>
          </w:tcPr>
          <w:p w14:paraId="2A5CB20F" w14:textId="3A19E189" w:rsidR="00591733" w:rsidRPr="00C75E87" w:rsidRDefault="00AD24E4" w:rsidP="009462BD">
            <w:pPr>
              <w:spacing w:before="60" w:after="60"/>
              <w:jc w:val="right"/>
              <w:rPr>
                <w:rFonts w:ascii="Arial" w:hAnsi="Arial" w:cs="Arial"/>
                <w:color w:val="000000"/>
                <w:sz w:val="20"/>
                <w:szCs w:val="20"/>
                <w:lang w:val="en-GB"/>
              </w:rPr>
            </w:pPr>
            <w:r>
              <w:rPr>
                <w:rFonts w:ascii="Arial" w:hAnsi="Arial" w:cs="Arial"/>
                <w:color w:val="000000"/>
                <w:sz w:val="20"/>
                <w:szCs w:val="20"/>
                <w:lang w:val="en-GB"/>
              </w:rPr>
              <w:t>2</w:t>
            </w:r>
            <w:r w:rsidR="00591733" w:rsidRPr="00C75E87">
              <w:rPr>
                <w:rFonts w:ascii="Arial" w:hAnsi="Arial" w:cs="Arial"/>
                <w:color w:val="000000"/>
                <w:sz w:val="20"/>
                <w:szCs w:val="20"/>
                <w:lang w:val="en-GB"/>
              </w:rPr>
              <w:t> months at P-2 level</w:t>
            </w:r>
          </w:p>
        </w:tc>
      </w:tr>
    </w:tbl>
    <w:p w14:paraId="212E077C" w14:textId="77777777" w:rsidR="00DF600F" w:rsidRDefault="00DF600F">
      <w:pPr>
        <w:rPr>
          <w:rFonts w:ascii="Arial" w:eastAsia="SimSun" w:hAnsi="Arial" w:cs="Arial"/>
          <w:b/>
          <w:sz w:val="22"/>
          <w:szCs w:val="22"/>
          <w:u w:val="single"/>
          <w:lang w:val="en-GB"/>
        </w:rPr>
      </w:pPr>
      <w:r>
        <w:rPr>
          <w:b/>
        </w:rPr>
        <w:br w:type="page"/>
      </w:r>
    </w:p>
    <w:p w14:paraId="56D49FF5" w14:textId="6490A743" w:rsidR="00F074C0" w:rsidRDefault="00F074C0" w:rsidP="00DF600F">
      <w:pPr>
        <w:pStyle w:val="COMParaDecision"/>
        <w:numPr>
          <w:ilvl w:val="0"/>
          <w:numId w:val="0"/>
        </w:numPr>
        <w:spacing w:before="240" w:after="480"/>
        <w:jc w:val="center"/>
        <w:rPr>
          <w:rFonts w:eastAsia="Times New Roman"/>
          <w:b/>
          <w:caps/>
          <w:snapToGrid w:val="0"/>
          <w:lang w:eastAsia="en-US"/>
        </w:rPr>
      </w:pPr>
      <w:r w:rsidRPr="004971A7">
        <w:rPr>
          <w:rFonts w:eastAsia="Times New Roman"/>
          <w:b/>
          <w:caps/>
          <w:snapToGrid w:val="0"/>
          <w:lang w:eastAsia="en-US"/>
        </w:rPr>
        <w:lastRenderedPageBreak/>
        <w:t>Annex</w:t>
      </w:r>
      <w:r w:rsidR="00001BCE">
        <w:rPr>
          <w:rFonts w:eastAsia="Times New Roman"/>
          <w:b/>
          <w:caps/>
          <w:snapToGrid w:val="0"/>
          <w:lang w:eastAsia="en-US"/>
        </w:rPr>
        <w:t> </w:t>
      </w:r>
      <w:r w:rsidRPr="004971A7">
        <w:rPr>
          <w:rFonts w:eastAsia="Times New Roman"/>
          <w:b/>
          <w:caps/>
          <w:snapToGrid w:val="0"/>
          <w:lang w:eastAsia="en-US"/>
        </w:rPr>
        <w:t>II</w:t>
      </w:r>
    </w:p>
    <w:p w14:paraId="1488303C" w14:textId="406AA14A" w:rsidR="009C250E" w:rsidRDefault="009C250E" w:rsidP="004971A7">
      <w:pPr>
        <w:pStyle w:val="COMParaDecision"/>
        <w:numPr>
          <w:ilvl w:val="0"/>
          <w:numId w:val="0"/>
        </w:numPr>
        <w:spacing w:before="240" w:after="480"/>
        <w:jc w:val="center"/>
        <w:rPr>
          <w:bCs/>
          <w:caps/>
          <w:snapToGrid w:val="0"/>
          <w:u w:val="none"/>
          <w:lang w:eastAsia="en-US"/>
        </w:rPr>
      </w:pPr>
      <w:r>
        <w:rPr>
          <w:bCs/>
          <w:caps/>
          <w:noProof/>
          <w:u w:val="none"/>
          <w:lang w:val="en-US" w:eastAsia="ko-KR"/>
        </w:rPr>
        <w:drawing>
          <wp:inline distT="0" distB="0" distL="0" distR="0" wp14:anchorId="49ADE9EB" wp14:editId="7B461086">
            <wp:extent cx="6115050" cy="8496000"/>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isting mechanisms Japan earmarked contribution_20181022_Page_1.png"/>
                    <pic:cNvPicPr/>
                  </pic:nvPicPr>
                  <pic:blipFill rotWithShape="1">
                    <a:blip r:embed="rId30" cstate="print">
                      <a:extLst>
                        <a:ext uri="{28A0092B-C50C-407E-A947-70E740481C1C}">
                          <a14:useLocalDpi xmlns:a14="http://schemas.microsoft.com/office/drawing/2010/main" val="0"/>
                        </a:ext>
                      </a:extLst>
                    </a:blip>
                    <a:srcRect l="5848" t="3283" r="5848" b="9898"/>
                    <a:stretch/>
                  </pic:blipFill>
                  <pic:spPr bwMode="auto">
                    <a:xfrm>
                      <a:off x="0" y="0"/>
                      <a:ext cx="6120000" cy="8502877"/>
                    </a:xfrm>
                    <a:prstGeom prst="rect">
                      <a:avLst/>
                    </a:prstGeom>
                    <a:ln>
                      <a:noFill/>
                    </a:ln>
                    <a:extLst>
                      <a:ext uri="{53640926-AAD7-44D8-BBD7-CCE9431645EC}">
                        <a14:shadowObscured xmlns:a14="http://schemas.microsoft.com/office/drawing/2010/main"/>
                      </a:ext>
                    </a:extLst>
                  </pic:spPr>
                </pic:pic>
              </a:graphicData>
            </a:graphic>
          </wp:inline>
        </w:drawing>
      </w:r>
    </w:p>
    <w:p w14:paraId="55BA6FF8" w14:textId="4EC4F5DA" w:rsidR="00DD17D9" w:rsidRDefault="00DD17D9" w:rsidP="004971A7">
      <w:pPr>
        <w:pStyle w:val="COMParaDecision"/>
        <w:numPr>
          <w:ilvl w:val="0"/>
          <w:numId w:val="0"/>
        </w:numPr>
        <w:spacing w:before="240" w:after="480"/>
        <w:jc w:val="center"/>
        <w:rPr>
          <w:bCs/>
          <w:caps/>
          <w:snapToGrid w:val="0"/>
          <w:u w:val="none"/>
          <w:lang w:eastAsia="en-US"/>
        </w:rPr>
      </w:pPr>
      <w:r>
        <w:rPr>
          <w:bCs/>
          <w:caps/>
          <w:noProof/>
          <w:u w:val="none"/>
          <w:lang w:val="en-US" w:eastAsia="ko-KR"/>
        </w:rPr>
        <w:lastRenderedPageBreak/>
        <w:drawing>
          <wp:inline distT="0" distB="0" distL="0" distR="0" wp14:anchorId="762EDE03" wp14:editId="61BF3261">
            <wp:extent cx="6120000" cy="897730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isting mechanisms Japan earmarked contribution_20181022_Page_2.png"/>
                    <pic:cNvPicPr/>
                  </pic:nvPicPr>
                  <pic:blipFill rotWithShape="1">
                    <a:blip r:embed="rId31" cstate="print">
                      <a:extLst>
                        <a:ext uri="{28A0092B-C50C-407E-A947-70E740481C1C}">
                          <a14:useLocalDpi xmlns:a14="http://schemas.microsoft.com/office/drawing/2010/main" val="0"/>
                        </a:ext>
                      </a:extLst>
                    </a:blip>
                    <a:srcRect l="5883" t="4210" r="5883" b="4210"/>
                    <a:stretch/>
                  </pic:blipFill>
                  <pic:spPr bwMode="auto">
                    <a:xfrm>
                      <a:off x="0" y="0"/>
                      <a:ext cx="6120000" cy="8977307"/>
                    </a:xfrm>
                    <a:prstGeom prst="rect">
                      <a:avLst/>
                    </a:prstGeom>
                    <a:ln>
                      <a:noFill/>
                    </a:ln>
                    <a:extLst>
                      <a:ext uri="{53640926-AAD7-44D8-BBD7-CCE9431645EC}">
                        <a14:shadowObscured xmlns:a14="http://schemas.microsoft.com/office/drawing/2010/main"/>
                      </a:ext>
                    </a:extLst>
                  </pic:spPr>
                </pic:pic>
              </a:graphicData>
            </a:graphic>
          </wp:inline>
        </w:drawing>
      </w:r>
    </w:p>
    <w:p w14:paraId="75187F83" w14:textId="71465ED9" w:rsidR="00DD17D9" w:rsidRDefault="00DD17D9" w:rsidP="004971A7">
      <w:pPr>
        <w:pStyle w:val="COMParaDecision"/>
        <w:numPr>
          <w:ilvl w:val="0"/>
          <w:numId w:val="0"/>
        </w:numPr>
        <w:spacing w:before="240" w:after="480"/>
        <w:jc w:val="center"/>
        <w:rPr>
          <w:bCs/>
          <w:caps/>
          <w:snapToGrid w:val="0"/>
          <w:u w:val="none"/>
          <w:lang w:eastAsia="en-US"/>
        </w:rPr>
      </w:pPr>
      <w:r>
        <w:rPr>
          <w:bCs/>
          <w:caps/>
          <w:noProof/>
          <w:u w:val="none"/>
          <w:lang w:val="en-US" w:eastAsia="ko-KR"/>
        </w:rPr>
        <w:lastRenderedPageBreak/>
        <w:drawing>
          <wp:inline distT="0" distB="0" distL="0" distR="0" wp14:anchorId="71B6865C" wp14:editId="40D0380A">
            <wp:extent cx="6120000" cy="897698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isting mechanisms Japan earmarked contribution_20181022_Page_3.png"/>
                    <pic:cNvPicPr/>
                  </pic:nvPicPr>
                  <pic:blipFill rotWithShape="1">
                    <a:blip r:embed="rId32" cstate="print">
                      <a:extLst>
                        <a:ext uri="{28A0092B-C50C-407E-A947-70E740481C1C}">
                          <a14:useLocalDpi xmlns:a14="http://schemas.microsoft.com/office/drawing/2010/main" val="0"/>
                        </a:ext>
                      </a:extLst>
                    </a:blip>
                    <a:srcRect l="5883" t="4212" r="5883" b="4212"/>
                    <a:stretch/>
                  </pic:blipFill>
                  <pic:spPr bwMode="auto">
                    <a:xfrm>
                      <a:off x="0" y="0"/>
                      <a:ext cx="6120000" cy="8976989"/>
                    </a:xfrm>
                    <a:prstGeom prst="rect">
                      <a:avLst/>
                    </a:prstGeom>
                    <a:ln>
                      <a:noFill/>
                    </a:ln>
                    <a:extLst>
                      <a:ext uri="{53640926-AAD7-44D8-BBD7-CCE9431645EC}">
                        <a14:shadowObscured xmlns:a14="http://schemas.microsoft.com/office/drawing/2010/main"/>
                      </a:ext>
                    </a:extLst>
                  </pic:spPr>
                </pic:pic>
              </a:graphicData>
            </a:graphic>
          </wp:inline>
        </w:drawing>
      </w:r>
    </w:p>
    <w:p w14:paraId="33B1B1A1" w14:textId="70ED98A8" w:rsidR="00DD17D9" w:rsidRDefault="00DD17D9" w:rsidP="004971A7">
      <w:pPr>
        <w:pStyle w:val="COMParaDecision"/>
        <w:numPr>
          <w:ilvl w:val="0"/>
          <w:numId w:val="0"/>
        </w:numPr>
        <w:spacing w:before="240" w:after="480"/>
        <w:jc w:val="center"/>
        <w:rPr>
          <w:bCs/>
          <w:caps/>
          <w:snapToGrid w:val="0"/>
          <w:u w:val="none"/>
          <w:lang w:eastAsia="en-US"/>
        </w:rPr>
      </w:pPr>
      <w:r>
        <w:rPr>
          <w:bCs/>
          <w:caps/>
          <w:noProof/>
          <w:u w:val="none"/>
          <w:lang w:val="en-US" w:eastAsia="ko-KR"/>
        </w:rPr>
        <w:lastRenderedPageBreak/>
        <w:drawing>
          <wp:inline distT="0" distB="0" distL="0" distR="0" wp14:anchorId="7C11761E" wp14:editId="1B363D70">
            <wp:extent cx="6120000" cy="897730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isting mechanisms Japan earmarked contribution_20181022_Page_4.png"/>
                    <pic:cNvPicPr/>
                  </pic:nvPicPr>
                  <pic:blipFill rotWithShape="1">
                    <a:blip r:embed="rId33" cstate="print">
                      <a:extLst>
                        <a:ext uri="{28A0092B-C50C-407E-A947-70E740481C1C}">
                          <a14:useLocalDpi xmlns:a14="http://schemas.microsoft.com/office/drawing/2010/main" val="0"/>
                        </a:ext>
                      </a:extLst>
                    </a:blip>
                    <a:srcRect l="5883" t="4210" r="5883" b="4210"/>
                    <a:stretch/>
                  </pic:blipFill>
                  <pic:spPr bwMode="auto">
                    <a:xfrm>
                      <a:off x="0" y="0"/>
                      <a:ext cx="6120000" cy="8977307"/>
                    </a:xfrm>
                    <a:prstGeom prst="rect">
                      <a:avLst/>
                    </a:prstGeom>
                    <a:ln>
                      <a:noFill/>
                    </a:ln>
                    <a:extLst>
                      <a:ext uri="{53640926-AAD7-44D8-BBD7-CCE9431645EC}">
                        <a14:shadowObscured xmlns:a14="http://schemas.microsoft.com/office/drawing/2010/main"/>
                      </a:ext>
                    </a:extLst>
                  </pic:spPr>
                </pic:pic>
              </a:graphicData>
            </a:graphic>
          </wp:inline>
        </w:drawing>
      </w:r>
    </w:p>
    <w:p w14:paraId="660669F4" w14:textId="0C289FB2" w:rsidR="00DD17D9" w:rsidRDefault="00DD17D9" w:rsidP="004971A7">
      <w:pPr>
        <w:pStyle w:val="COMParaDecision"/>
        <w:numPr>
          <w:ilvl w:val="0"/>
          <w:numId w:val="0"/>
        </w:numPr>
        <w:spacing w:before="240" w:after="480"/>
        <w:jc w:val="center"/>
        <w:rPr>
          <w:bCs/>
          <w:caps/>
          <w:snapToGrid w:val="0"/>
          <w:u w:val="none"/>
          <w:lang w:eastAsia="en-US"/>
        </w:rPr>
      </w:pPr>
      <w:r>
        <w:rPr>
          <w:bCs/>
          <w:caps/>
          <w:noProof/>
          <w:u w:val="none"/>
          <w:lang w:val="en-US" w:eastAsia="ko-KR"/>
        </w:rPr>
        <w:lastRenderedPageBreak/>
        <w:drawing>
          <wp:inline distT="0" distB="0" distL="0" distR="0" wp14:anchorId="5E9CBDAC" wp14:editId="488E6835">
            <wp:extent cx="6120000" cy="897730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sting mechanisms Japan earmarked contribution_20181022_Page_5.png"/>
                    <pic:cNvPicPr/>
                  </pic:nvPicPr>
                  <pic:blipFill rotWithShape="1">
                    <a:blip r:embed="rId34" cstate="print">
                      <a:extLst>
                        <a:ext uri="{28A0092B-C50C-407E-A947-70E740481C1C}">
                          <a14:useLocalDpi xmlns:a14="http://schemas.microsoft.com/office/drawing/2010/main" val="0"/>
                        </a:ext>
                      </a:extLst>
                    </a:blip>
                    <a:srcRect l="5883" t="4210" r="5883" b="4210"/>
                    <a:stretch/>
                  </pic:blipFill>
                  <pic:spPr bwMode="auto">
                    <a:xfrm>
                      <a:off x="0" y="0"/>
                      <a:ext cx="6120000" cy="8977307"/>
                    </a:xfrm>
                    <a:prstGeom prst="rect">
                      <a:avLst/>
                    </a:prstGeom>
                    <a:ln>
                      <a:noFill/>
                    </a:ln>
                    <a:extLst>
                      <a:ext uri="{53640926-AAD7-44D8-BBD7-CCE9431645EC}">
                        <a14:shadowObscured xmlns:a14="http://schemas.microsoft.com/office/drawing/2010/main"/>
                      </a:ext>
                    </a:extLst>
                  </pic:spPr>
                </pic:pic>
              </a:graphicData>
            </a:graphic>
          </wp:inline>
        </w:drawing>
      </w:r>
    </w:p>
    <w:p w14:paraId="0D8337E6" w14:textId="257C3D30" w:rsidR="00DD17D9" w:rsidRPr="004971A7" w:rsidRDefault="00DD17D9" w:rsidP="004971A7">
      <w:pPr>
        <w:pStyle w:val="COMParaDecision"/>
        <w:numPr>
          <w:ilvl w:val="0"/>
          <w:numId w:val="0"/>
        </w:numPr>
        <w:spacing w:before="240" w:after="480"/>
        <w:jc w:val="center"/>
        <w:rPr>
          <w:bCs/>
          <w:caps/>
          <w:snapToGrid w:val="0"/>
          <w:u w:val="none"/>
          <w:lang w:eastAsia="en-US"/>
        </w:rPr>
      </w:pPr>
      <w:r>
        <w:rPr>
          <w:bCs/>
          <w:caps/>
          <w:noProof/>
          <w:u w:val="none"/>
          <w:lang w:val="en-US" w:eastAsia="ko-KR"/>
        </w:rPr>
        <w:lastRenderedPageBreak/>
        <w:drawing>
          <wp:inline distT="0" distB="0" distL="0" distR="0" wp14:anchorId="2A4429DD" wp14:editId="275C9414">
            <wp:extent cx="6120000" cy="897730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isting mechanisms Japan earmarked contribution_20181022_Page_6.png"/>
                    <pic:cNvPicPr/>
                  </pic:nvPicPr>
                  <pic:blipFill rotWithShape="1">
                    <a:blip r:embed="rId35" cstate="print">
                      <a:extLst>
                        <a:ext uri="{28A0092B-C50C-407E-A947-70E740481C1C}">
                          <a14:useLocalDpi xmlns:a14="http://schemas.microsoft.com/office/drawing/2010/main" val="0"/>
                        </a:ext>
                      </a:extLst>
                    </a:blip>
                    <a:srcRect l="5883" t="4210" r="5883" b="4210"/>
                    <a:stretch/>
                  </pic:blipFill>
                  <pic:spPr bwMode="auto">
                    <a:xfrm>
                      <a:off x="0" y="0"/>
                      <a:ext cx="6120000" cy="8977307"/>
                    </a:xfrm>
                    <a:prstGeom prst="rect">
                      <a:avLst/>
                    </a:prstGeom>
                    <a:ln>
                      <a:noFill/>
                    </a:ln>
                    <a:extLst>
                      <a:ext uri="{53640926-AAD7-44D8-BBD7-CCE9431645EC}">
                        <a14:shadowObscured xmlns:a14="http://schemas.microsoft.com/office/drawing/2010/main"/>
                      </a:ext>
                    </a:extLst>
                  </pic:spPr>
                </pic:pic>
              </a:graphicData>
            </a:graphic>
          </wp:inline>
        </w:drawing>
      </w:r>
    </w:p>
    <w:sectPr w:rsidR="00DD17D9" w:rsidRPr="004971A7" w:rsidSect="00655736">
      <w:headerReference w:type="even" r:id="rId36"/>
      <w:headerReference w:type="default" r:id="rId37"/>
      <w:headerReference w:type="first" r:id="rId38"/>
      <w:pgSz w:w="11906" w:h="16838" w:code="9"/>
      <w:pgMar w:top="1418" w:right="1134" w:bottom="1134" w:left="1134" w:header="397" w:footer="284"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8DB124" w16cid:durableId="1F4B5A2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30BDB3" w14:textId="77777777" w:rsidR="00454A2B" w:rsidRDefault="00454A2B" w:rsidP="00655736">
      <w:r>
        <w:separator/>
      </w:r>
    </w:p>
  </w:endnote>
  <w:endnote w:type="continuationSeparator" w:id="0">
    <w:p w14:paraId="761BCECC" w14:textId="77777777" w:rsidR="00454A2B" w:rsidRDefault="00454A2B"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MT">
    <w:altName w:val="Aria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F8688B" w14:textId="77777777" w:rsidR="00454A2B" w:rsidRDefault="00454A2B" w:rsidP="00655736">
      <w:r>
        <w:separator/>
      </w:r>
    </w:p>
  </w:footnote>
  <w:footnote w:type="continuationSeparator" w:id="0">
    <w:p w14:paraId="76224D4F" w14:textId="77777777" w:rsidR="00454A2B" w:rsidRDefault="00454A2B" w:rsidP="00655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D62B2" w14:textId="6233CD6C" w:rsidR="000A01A6" w:rsidRPr="00C23A97" w:rsidRDefault="000A01A6" w:rsidP="001D14FE">
    <w:pPr>
      <w:pStyle w:val="Header"/>
      <w:rPr>
        <w:rFonts w:ascii="Arial" w:hAnsi="Arial" w:cs="Arial"/>
        <w:lang w:val="en-GB"/>
      </w:rPr>
    </w:pPr>
    <w:r>
      <w:rPr>
        <w:rFonts w:ascii="Arial" w:hAnsi="Arial" w:cs="Arial"/>
        <w:sz w:val="20"/>
        <w:szCs w:val="20"/>
        <w:lang w:val="en-GB"/>
      </w:rPr>
      <w:t>ITH/18/13.COM</w:t>
    </w:r>
    <w:r w:rsidRPr="00C23A97">
      <w:rPr>
        <w:rFonts w:ascii="Arial" w:hAnsi="Arial" w:cs="Arial"/>
        <w:sz w:val="20"/>
        <w:szCs w:val="20"/>
        <w:lang w:val="en-GB"/>
      </w:rPr>
      <w:t>/</w:t>
    </w:r>
    <w:r>
      <w:rPr>
        <w:rFonts w:ascii="Arial" w:hAnsi="Arial" w:cs="Arial"/>
        <w:sz w:val="20"/>
        <w:szCs w:val="20"/>
        <w:lang w:val="en-GB"/>
      </w:rPr>
      <w:t>6</w:t>
    </w:r>
    <w:r w:rsidRPr="00C23A97">
      <w:rPr>
        <w:rFonts w:ascii="Arial" w:hAnsi="Arial" w:cs="Arial"/>
        <w:sz w:val="20"/>
        <w:szCs w:val="20"/>
        <w:lang w:val="en-GB"/>
      </w:rPr>
      <w:t xml:space="preserve"> – page </w:t>
    </w:r>
    <w:r w:rsidRPr="00C23A97">
      <w:rPr>
        <w:rStyle w:val="PageNumber"/>
        <w:rFonts w:ascii="Arial" w:hAnsi="Arial" w:cs="Arial"/>
        <w:sz w:val="20"/>
        <w:szCs w:val="20"/>
        <w:lang w:val="en-GB"/>
      </w:rPr>
      <w:fldChar w:fldCharType="begin"/>
    </w:r>
    <w:r w:rsidRPr="00C23A97">
      <w:rPr>
        <w:rStyle w:val="PageNumber"/>
        <w:rFonts w:ascii="Arial" w:hAnsi="Arial" w:cs="Arial"/>
        <w:sz w:val="20"/>
        <w:szCs w:val="20"/>
        <w:lang w:val="en-GB"/>
      </w:rPr>
      <w:instrText xml:space="preserve"> PAGE </w:instrText>
    </w:r>
    <w:r w:rsidRPr="00C23A97">
      <w:rPr>
        <w:rStyle w:val="PageNumber"/>
        <w:rFonts w:ascii="Arial" w:hAnsi="Arial" w:cs="Arial"/>
        <w:sz w:val="20"/>
        <w:szCs w:val="20"/>
        <w:lang w:val="en-GB"/>
      </w:rPr>
      <w:fldChar w:fldCharType="separate"/>
    </w:r>
    <w:r w:rsidR="00326FD6">
      <w:rPr>
        <w:rStyle w:val="PageNumber"/>
        <w:rFonts w:ascii="Arial" w:hAnsi="Arial" w:cs="Arial"/>
        <w:noProof/>
        <w:sz w:val="20"/>
        <w:szCs w:val="20"/>
        <w:lang w:val="en-GB"/>
      </w:rPr>
      <w:t>12</w:t>
    </w:r>
    <w:r w:rsidRPr="00C23A97">
      <w:rPr>
        <w:rStyle w:val="PageNumber"/>
        <w:rFonts w:ascii="Arial" w:hAnsi="Arial" w:cs="Arial"/>
        <w:sz w:val="20"/>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922BA" w14:textId="10A91C8F" w:rsidR="000A01A6" w:rsidRPr="0063300C" w:rsidRDefault="000A01A6" w:rsidP="001D14FE">
    <w:pPr>
      <w:pStyle w:val="Header"/>
      <w:jc w:val="right"/>
      <w:rPr>
        <w:rFonts w:ascii="Arial" w:hAnsi="Arial" w:cs="Arial"/>
        <w:lang w:val="en-GB"/>
      </w:rPr>
    </w:pPr>
    <w:r>
      <w:rPr>
        <w:rFonts w:ascii="Arial" w:hAnsi="Arial" w:cs="Arial"/>
        <w:sz w:val="20"/>
        <w:szCs w:val="20"/>
        <w:lang w:val="en-GB"/>
      </w:rPr>
      <w:t>ITH/18/13.COM</w:t>
    </w:r>
    <w:r w:rsidRPr="004E40EA">
      <w:rPr>
        <w:rFonts w:ascii="Arial" w:hAnsi="Arial" w:cs="Arial"/>
        <w:sz w:val="20"/>
        <w:szCs w:val="20"/>
        <w:lang w:val="en-GB"/>
      </w:rPr>
      <w:t>/6 –</w:t>
    </w:r>
    <w:r w:rsidRPr="0063300C">
      <w:rPr>
        <w:rFonts w:ascii="Arial" w:hAnsi="Arial" w:cs="Arial"/>
        <w:sz w:val="20"/>
        <w:szCs w:val="20"/>
        <w:lang w:val="en-GB"/>
      </w:rPr>
      <w:t xml:space="preserve"> page </w:t>
    </w:r>
    <w:r w:rsidRPr="0063300C">
      <w:rPr>
        <w:rStyle w:val="PageNumber"/>
        <w:rFonts w:ascii="Arial" w:hAnsi="Arial" w:cs="Arial"/>
        <w:sz w:val="20"/>
        <w:szCs w:val="20"/>
        <w:lang w:val="en-GB"/>
      </w:rPr>
      <w:fldChar w:fldCharType="begin"/>
    </w:r>
    <w:r w:rsidRPr="0063300C">
      <w:rPr>
        <w:rStyle w:val="PageNumber"/>
        <w:rFonts w:ascii="Arial" w:hAnsi="Arial" w:cs="Arial"/>
        <w:sz w:val="20"/>
        <w:szCs w:val="20"/>
        <w:lang w:val="en-GB"/>
      </w:rPr>
      <w:instrText xml:space="preserve"> PAGE </w:instrText>
    </w:r>
    <w:r w:rsidRPr="0063300C">
      <w:rPr>
        <w:rStyle w:val="PageNumber"/>
        <w:rFonts w:ascii="Arial" w:hAnsi="Arial" w:cs="Arial"/>
        <w:sz w:val="20"/>
        <w:szCs w:val="20"/>
        <w:lang w:val="en-GB"/>
      </w:rPr>
      <w:fldChar w:fldCharType="separate"/>
    </w:r>
    <w:r w:rsidR="00326FD6">
      <w:rPr>
        <w:rStyle w:val="PageNumber"/>
        <w:rFonts w:ascii="Arial" w:hAnsi="Arial" w:cs="Arial"/>
        <w:noProof/>
        <w:sz w:val="20"/>
        <w:szCs w:val="20"/>
        <w:lang w:val="en-GB"/>
      </w:rPr>
      <w:t>13</w:t>
    </w:r>
    <w:r w:rsidRPr="0063300C">
      <w:rPr>
        <w:rStyle w:val="PageNumber"/>
        <w:rFonts w:ascii="Arial" w:hAnsi="Arial" w:cs="Arial"/>
        <w:sz w:val="20"/>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959EB" w14:textId="77777777" w:rsidR="000A01A6" w:rsidRPr="00E95AE2" w:rsidRDefault="000A01A6">
    <w:pPr>
      <w:pStyle w:val="Header"/>
      <w:rPr>
        <w:sz w:val="22"/>
        <w:szCs w:val="22"/>
        <w:lang w:val="en-GB"/>
      </w:rPr>
    </w:pPr>
    <w:r>
      <w:rPr>
        <w:noProof/>
        <w:lang w:val="en-US" w:eastAsia="ko-KR"/>
      </w:rPr>
      <w:drawing>
        <wp:anchor distT="0" distB="0" distL="114300" distR="114300" simplePos="0" relativeHeight="251657728" behindDoc="0" locked="0" layoutInCell="1" allowOverlap="1" wp14:anchorId="081B0D92" wp14:editId="10E458FB">
          <wp:simplePos x="0" y="0"/>
          <wp:positionH relativeFrom="column">
            <wp:posOffset>-567690</wp:posOffset>
          </wp:positionH>
          <wp:positionV relativeFrom="paragraph">
            <wp:posOffset>3810</wp:posOffset>
          </wp:positionV>
          <wp:extent cx="2228215" cy="1367790"/>
          <wp:effectExtent l="0" t="0" r="635" b="3810"/>
          <wp:wrapNone/>
          <wp:docPr id="1" name="Picture 6" descr="unesco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esco_logo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215" cy="1367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BB58B9" w14:textId="77777777" w:rsidR="000A01A6" w:rsidRPr="00F30DC6" w:rsidRDefault="000A01A6" w:rsidP="001D14FE">
    <w:pPr>
      <w:pStyle w:val="Header"/>
      <w:spacing w:after="520"/>
      <w:jc w:val="right"/>
      <w:rPr>
        <w:rFonts w:ascii="Arial" w:hAnsi="Arial" w:cs="Arial"/>
        <w:b/>
        <w:sz w:val="44"/>
        <w:szCs w:val="44"/>
        <w:lang w:val="en-GB"/>
      </w:rPr>
    </w:pPr>
    <w:r>
      <w:rPr>
        <w:rFonts w:ascii="Arial" w:hAnsi="Arial" w:cs="Arial"/>
        <w:b/>
        <w:sz w:val="44"/>
        <w:szCs w:val="44"/>
        <w:lang w:val="en-GB"/>
      </w:rPr>
      <w:t>13</w:t>
    </w:r>
    <w:r w:rsidRPr="00F30DC6">
      <w:rPr>
        <w:rFonts w:ascii="Arial" w:hAnsi="Arial" w:cs="Arial"/>
        <w:b/>
        <w:sz w:val="44"/>
        <w:szCs w:val="44"/>
        <w:lang w:val="en-GB"/>
      </w:rPr>
      <w:t xml:space="preserve"> COM</w:t>
    </w:r>
  </w:p>
  <w:p w14:paraId="60478E91" w14:textId="77777777" w:rsidR="000A01A6" w:rsidRPr="009D5428" w:rsidRDefault="000A01A6" w:rsidP="001D14FE">
    <w:pPr>
      <w:jc w:val="right"/>
      <w:rPr>
        <w:rFonts w:ascii="Arial" w:hAnsi="Arial" w:cs="Arial"/>
        <w:b/>
        <w:sz w:val="22"/>
        <w:szCs w:val="22"/>
        <w:lang w:val="en-GB"/>
      </w:rPr>
    </w:pPr>
    <w:r>
      <w:rPr>
        <w:rFonts w:ascii="Arial" w:hAnsi="Arial" w:cs="Arial"/>
        <w:b/>
        <w:sz w:val="22"/>
        <w:szCs w:val="22"/>
        <w:lang w:val="en-GB"/>
      </w:rPr>
      <w:t>ITH/1</w:t>
    </w:r>
    <w:r>
      <w:rPr>
        <w:rFonts w:ascii="Arial" w:eastAsiaTheme="minorEastAsia" w:hAnsi="Arial" w:cs="Arial"/>
        <w:b/>
        <w:sz w:val="22"/>
        <w:szCs w:val="22"/>
        <w:lang w:val="en-GB" w:eastAsia="ko-KR"/>
      </w:rPr>
      <w:t>8</w:t>
    </w:r>
    <w:r w:rsidRPr="009D5428">
      <w:rPr>
        <w:rFonts w:ascii="Arial" w:hAnsi="Arial" w:cs="Arial"/>
        <w:b/>
        <w:sz w:val="22"/>
        <w:szCs w:val="22"/>
        <w:lang w:val="en-GB"/>
      </w:rPr>
      <w:t>/</w:t>
    </w:r>
    <w:r>
      <w:rPr>
        <w:rFonts w:ascii="Arial" w:hAnsi="Arial" w:cs="Arial"/>
        <w:b/>
        <w:sz w:val="22"/>
        <w:szCs w:val="22"/>
        <w:lang w:val="en-GB"/>
      </w:rPr>
      <w:t>13</w:t>
    </w:r>
    <w:r w:rsidRPr="009D5428">
      <w:rPr>
        <w:rFonts w:ascii="Arial" w:hAnsi="Arial" w:cs="Arial"/>
        <w:b/>
        <w:sz w:val="22"/>
        <w:szCs w:val="22"/>
        <w:lang w:val="en-GB"/>
      </w:rPr>
      <w:t>.COM/</w:t>
    </w:r>
    <w:r w:rsidRPr="008B5508">
      <w:rPr>
        <w:rFonts w:ascii="Arial" w:hAnsi="Arial" w:cs="Arial"/>
        <w:b/>
        <w:sz w:val="22"/>
        <w:szCs w:val="22"/>
        <w:lang w:val="en-GB"/>
      </w:rPr>
      <w:t>6</w:t>
    </w:r>
  </w:p>
  <w:p w14:paraId="343536F4" w14:textId="646FC7A7" w:rsidR="000A01A6" w:rsidRPr="00337CEB" w:rsidRDefault="000A01A6" w:rsidP="0005644B">
    <w:pPr>
      <w:jc w:val="right"/>
      <w:rPr>
        <w:rFonts w:ascii="Arial" w:eastAsiaTheme="minorEastAsia" w:hAnsi="Arial" w:cs="Arial"/>
        <w:b/>
        <w:sz w:val="22"/>
        <w:szCs w:val="22"/>
        <w:lang w:val="en-GB" w:eastAsia="ko-KR"/>
      </w:rPr>
    </w:pPr>
    <w:r w:rsidRPr="009D5428">
      <w:rPr>
        <w:rFonts w:ascii="Arial" w:hAnsi="Arial" w:cs="Arial"/>
        <w:b/>
        <w:sz w:val="22"/>
        <w:szCs w:val="22"/>
        <w:lang w:val="en-GB"/>
      </w:rPr>
      <w:t xml:space="preserve">Paris, </w:t>
    </w:r>
    <w:r w:rsidR="0005644B">
      <w:rPr>
        <w:rFonts w:ascii="Arial" w:hAnsi="Arial" w:cs="Arial"/>
        <w:b/>
        <w:sz w:val="22"/>
        <w:szCs w:val="22"/>
        <w:lang w:val="en-GB"/>
      </w:rPr>
      <w:t xml:space="preserve">29 October </w:t>
    </w:r>
    <w:r>
      <w:rPr>
        <w:rFonts w:ascii="Arial" w:hAnsi="Arial" w:cs="Arial"/>
        <w:b/>
        <w:sz w:val="22"/>
        <w:szCs w:val="22"/>
        <w:lang w:val="en-GB"/>
      </w:rPr>
      <w:t>201</w:t>
    </w:r>
    <w:r>
      <w:rPr>
        <w:rFonts w:ascii="Arial" w:eastAsiaTheme="minorEastAsia" w:hAnsi="Arial" w:cs="Arial"/>
        <w:b/>
        <w:sz w:val="22"/>
        <w:szCs w:val="22"/>
        <w:lang w:val="en-GB" w:eastAsia="ko-KR"/>
      </w:rPr>
      <w:t>8</w:t>
    </w:r>
  </w:p>
  <w:p w14:paraId="788A0627" w14:textId="77777777" w:rsidR="000A01A6" w:rsidRPr="00F32C23" w:rsidRDefault="000A01A6" w:rsidP="000048ED">
    <w:pPr>
      <w:jc w:val="right"/>
      <w:rPr>
        <w:rFonts w:ascii="Arial" w:hAnsi="Arial" w:cs="Arial"/>
        <w:b/>
        <w:sz w:val="22"/>
        <w:szCs w:val="22"/>
        <w:lang w:val="en-GB"/>
      </w:rPr>
    </w:pPr>
    <w:r w:rsidRPr="00F32C23">
      <w:rPr>
        <w:rFonts w:ascii="Arial" w:hAnsi="Arial" w:cs="Arial"/>
        <w:b/>
        <w:sz w:val="22"/>
        <w:szCs w:val="22"/>
        <w:lang w:val="en-GB"/>
      </w:rPr>
      <w:t xml:space="preserve">Original: </w:t>
    </w:r>
    <w:r>
      <w:rPr>
        <w:rFonts w:ascii="Arial" w:hAnsi="Arial" w:cs="Arial"/>
        <w:b/>
        <w:sz w:val="22"/>
        <w:szCs w:val="22"/>
        <w:lang w:val="en-GB"/>
      </w:rPr>
      <w:t>English</w:t>
    </w:r>
  </w:p>
  <w:p w14:paraId="621B0C5D" w14:textId="77777777" w:rsidR="000A01A6" w:rsidRPr="00E95AE2" w:rsidRDefault="000A01A6">
    <w:pPr>
      <w:pStyle w:val="Header"/>
      <w:rPr>
        <w:sz w:val="22"/>
        <w:szCs w:val="2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A76B9"/>
    <w:multiLevelType w:val="hybridMultilevel"/>
    <w:tmpl w:val="A4F2784A"/>
    <w:lvl w:ilvl="0" w:tplc="3208CFA2">
      <w:start w:val="1"/>
      <w:numFmt w:val="decimal"/>
      <w:pStyle w:val="Paragraph"/>
      <w:lvlText w:val="%1."/>
      <w:lvlJc w:val="left"/>
      <w:pPr>
        <w:tabs>
          <w:tab w:val="num" w:pos="360"/>
        </w:tabs>
        <w:ind w:left="360" w:hanging="360"/>
      </w:pPr>
      <w:rPr>
        <w:b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15:restartNumberingAfterBreak="0">
    <w:nsid w:val="0F1258A8"/>
    <w:multiLevelType w:val="hybridMultilevel"/>
    <w:tmpl w:val="BB068D50"/>
    <w:lvl w:ilvl="0" w:tplc="CD8C2B54">
      <w:numFmt w:val="bullet"/>
      <w:lvlText w:val="-"/>
      <w:lvlJc w:val="left"/>
      <w:pPr>
        <w:ind w:left="786" w:hanging="360"/>
      </w:pPr>
      <w:rPr>
        <w:rFonts w:ascii="Arial" w:eastAsia="Times New Roman" w:hAnsi="Arial" w:cs="Aria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3"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4"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5F07BFE"/>
    <w:multiLevelType w:val="hybridMultilevel"/>
    <w:tmpl w:val="FEF6A980"/>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7" w15:restartNumberingAfterBreak="0">
    <w:nsid w:val="397A4DB1"/>
    <w:multiLevelType w:val="hybridMultilevel"/>
    <w:tmpl w:val="40CADB26"/>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8"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10"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1"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2"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8827E9B"/>
    <w:multiLevelType w:val="hybridMultilevel"/>
    <w:tmpl w:val="CACEE87E"/>
    <w:lvl w:ilvl="0" w:tplc="91BA11A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1"/>
  </w:num>
  <w:num w:numId="2">
    <w:abstractNumId w:val="6"/>
  </w:num>
  <w:num w:numId="3">
    <w:abstractNumId w:val="3"/>
  </w:num>
  <w:num w:numId="4">
    <w:abstractNumId w:val="14"/>
  </w:num>
  <w:num w:numId="5">
    <w:abstractNumId w:val="12"/>
  </w:num>
  <w:num w:numId="6">
    <w:abstractNumId w:val="2"/>
  </w:num>
  <w:num w:numId="7">
    <w:abstractNumId w:val="4"/>
  </w:num>
  <w:num w:numId="8">
    <w:abstractNumId w:val="10"/>
  </w:num>
  <w:num w:numId="9">
    <w:abstractNumId w:val="5"/>
  </w:num>
  <w:num w:numId="10">
    <w:abstractNumId w:val="7"/>
  </w:num>
  <w:num w:numId="11">
    <w:abstractNumId w:val="9"/>
  </w:num>
  <w:num w:numId="12">
    <w:abstractNumId w:val="8"/>
  </w:num>
  <w:num w:numId="13">
    <w:abstractNumId w:val="5"/>
  </w:num>
  <w:num w:numId="14">
    <w:abstractNumId w:val="0"/>
  </w:num>
  <w:num w:numId="15">
    <w:abstractNumId w:val="5"/>
    <w:lvlOverride w:ilvl="0">
      <w:startOverride w:val="1"/>
    </w:lvlOverride>
  </w:num>
  <w:num w:numId="16">
    <w:abstractNumId w:val="5"/>
  </w:num>
  <w:num w:numId="17">
    <w:abstractNumId w:val="5"/>
  </w:num>
  <w:num w:numId="18">
    <w:abstractNumId w:val="5"/>
  </w:num>
  <w:num w:numId="19">
    <w:abstractNumId w:val="1"/>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7"/>
    <w:lvlOverride w:ilvl="0">
      <w:startOverride w:val="1"/>
    </w:lvlOverride>
  </w:num>
  <w:num w:numId="31">
    <w:abstractNumId w:val="5"/>
  </w:num>
  <w:num w:numId="32">
    <w:abstractNumId w:val="5"/>
  </w:num>
  <w:num w:numId="33">
    <w:abstractNumId w:val="5"/>
  </w:num>
  <w:num w:numId="34">
    <w:abstractNumId w:val="5"/>
  </w:num>
  <w:num w:numId="35">
    <w:abstractNumId w:val="13"/>
  </w:num>
  <w:num w:numId="36">
    <w:abstractNumId w:val="5"/>
  </w:num>
  <w:num w:numId="37">
    <w:abstractNumId w:val="7"/>
  </w:num>
  <w:num w:numId="38">
    <w:abstractNumId w:val="7"/>
  </w:num>
  <w:num w:numId="39">
    <w:abstractNumId w:val="7"/>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542"/>
    <w:rsid w:val="00000D07"/>
    <w:rsid w:val="00001BCE"/>
    <w:rsid w:val="000048ED"/>
    <w:rsid w:val="00004D4B"/>
    <w:rsid w:val="000077AF"/>
    <w:rsid w:val="000254EB"/>
    <w:rsid w:val="000362CF"/>
    <w:rsid w:val="00040490"/>
    <w:rsid w:val="00041A66"/>
    <w:rsid w:val="00047E2A"/>
    <w:rsid w:val="0005176E"/>
    <w:rsid w:val="00054996"/>
    <w:rsid w:val="0005644B"/>
    <w:rsid w:val="0006218A"/>
    <w:rsid w:val="000674E2"/>
    <w:rsid w:val="000759A0"/>
    <w:rsid w:val="000765F7"/>
    <w:rsid w:val="00077AB7"/>
    <w:rsid w:val="00081CD8"/>
    <w:rsid w:val="00096D7D"/>
    <w:rsid w:val="000A01A6"/>
    <w:rsid w:val="000A7F0E"/>
    <w:rsid w:val="000B1C8F"/>
    <w:rsid w:val="000C0D61"/>
    <w:rsid w:val="000C34D8"/>
    <w:rsid w:val="000D1E42"/>
    <w:rsid w:val="000F3A3F"/>
    <w:rsid w:val="00100DC3"/>
    <w:rsid w:val="00102557"/>
    <w:rsid w:val="00114EAD"/>
    <w:rsid w:val="00125CCC"/>
    <w:rsid w:val="00134BAC"/>
    <w:rsid w:val="0014080D"/>
    <w:rsid w:val="00154EB6"/>
    <w:rsid w:val="00164D56"/>
    <w:rsid w:val="00167B10"/>
    <w:rsid w:val="001704D6"/>
    <w:rsid w:val="0017402F"/>
    <w:rsid w:val="0018530A"/>
    <w:rsid w:val="00187B8D"/>
    <w:rsid w:val="0019082C"/>
    <w:rsid w:val="001937FB"/>
    <w:rsid w:val="00196C1B"/>
    <w:rsid w:val="001B0F73"/>
    <w:rsid w:val="001C2DB7"/>
    <w:rsid w:val="001D14FE"/>
    <w:rsid w:val="001D5C04"/>
    <w:rsid w:val="001E6287"/>
    <w:rsid w:val="001F26CF"/>
    <w:rsid w:val="00210D04"/>
    <w:rsid w:val="00222A2D"/>
    <w:rsid w:val="00223029"/>
    <w:rsid w:val="002272B7"/>
    <w:rsid w:val="00234745"/>
    <w:rsid w:val="002351A6"/>
    <w:rsid w:val="00236360"/>
    <w:rsid w:val="002407AF"/>
    <w:rsid w:val="00241C1E"/>
    <w:rsid w:val="00245540"/>
    <w:rsid w:val="00254129"/>
    <w:rsid w:val="002671A0"/>
    <w:rsid w:val="00270A4D"/>
    <w:rsid w:val="0027466B"/>
    <w:rsid w:val="002838A5"/>
    <w:rsid w:val="00285BB4"/>
    <w:rsid w:val="002945E3"/>
    <w:rsid w:val="002A71E4"/>
    <w:rsid w:val="002B5BFB"/>
    <w:rsid w:val="002C09E3"/>
    <w:rsid w:val="002C0D4B"/>
    <w:rsid w:val="002F0781"/>
    <w:rsid w:val="002F1053"/>
    <w:rsid w:val="00305C1E"/>
    <w:rsid w:val="003226CA"/>
    <w:rsid w:val="00326FD6"/>
    <w:rsid w:val="00337CEB"/>
    <w:rsid w:val="00340791"/>
    <w:rsid w:val="00344B58"/>
    <w:rsid w:val="0034539A"/>
    <w:rsid w:val="00345CB4"/>
    <w:rsid w:val="00353ECC"/>
    <w:rsid w:val="00354D62"/>
    <w:rsid w:val="00362DC5"/>
    <w:rsid w:val="00372CDC"/>
    <w:rsid w:val="00375D42"/>
    <w:rsid w:val="00381CD0"/>
    <w:rsid w:val="00390BF8"/>
    <w:rsid w:val="00397537"/>
    <w:rsid w:val="003B0A69"/>
    <w:rsid w:val="003B5DA5"/>
    <w:rsid w:val="003D069C"/>
    <w:rsid w:val="003D6A25"/>
    <w:rsid w:val="003D7646"/>
    <w:rsid w:val="003F113A"/>
    <w:rsid w:val="003F275F"/>
    <w:rsid w:val="003F3E63"/>
    <w:rsid w:val="003F6728"/>
    <w:rsid w:val="00400874"/>
    <w:rsid w:val="00403651"/>
    <w:rsid w:val="00407480"/>
    <w:rsid w:val="00414643"/>
    <w:rsid w:val="00430C97"/>
    <w:rsid w:val="004421E5"/>
    <w:rsid w:val="00452284"/>
    <w:rsid w:val="00453FED"/>
    <w:rsid w:val="00454A2B"/>
    <w:rsid w:val="00457690"/>
    <w:rsid w:val="00457C8E"/>
    <w:rsid w:val="00461B68"/>
    <w:rsid w:val="004767D1"/>
    <w:rsid w:val="00483B4C"/>
    <w:rsid w:val="004856CA"/>
    <w:rsid w:val="00487E67"/>
    <w:rsid w:val="0049539B"/>
    <w:rsid w:val="0049705E"/>
    <w:rsid w:val="004971A7"/>
    <w:rsid w:val="004A34A0"/>
    <w:rsid w:val="004C0F08"/>
    <w:rsid w:val="004C213D"/>
    <w:rsid w:val="004D0924"/>
    <w:rsid w:val="004D6E2F"/>
    <w:rsid w:val="004E40EA"/>
    <w:rsid w:val="004F7708"/>
    <w:rsid w:val="005008A8"/>
    <w:rsid w:val="00502485"/>
    <w:rsid w:val="0051595B"/>
    <w:rsid w:val="00523AAF"/>
    <w:rsid w:val="00526B7B"/>
    <w:rsid w:val="005308CE"/>
    <w:rsid w:val="0053318C"/>
    <w:rsid w:val="005404E9"/>
    <w:rsid w:val="00546463"/>
    <w:rsid w:val="005532A5"/>
    <w:rsid w:val="0056050D"/>
    <w:rsid w:val="00565B4A"/>
    <w:rsid w:val="0057439C"/>
    <w:rsid w:val="00591733"/>
    <w:rsid w:val="00593FE5"/>
    <w:rsid w:val="00597FB2"/>
    <w:rsid w:val="005B0127"/>
    <w:rsid w:val="005B7A35"/>
    <w:rsid w:val="005C4B73"/>
    <w:rsid w:val="005D7E75"/>
    <w:rsid w:val="005E1D2B"/>
    <w:rsid w:val="005E7074"/>
    <w:rsid w:val="005E74CB"/>
    <w:rsid w:val="005F2BAF"/>
    <w:rsid w:val="005F3BCD"/>
    <w:rsid w:val="00600641"/>
    <w:rsid w:val="00600D93"/>
    <w:rsid w:val="0060225B"/>
    <w:rsid w:val="00606F5E"/>
    <w:rsid w:val="0061043A"/>
    <w:rsid w:val="00623873"/>
    <w:rsid w:val="0063300C"/>
    <w:rsid w:val="00633A98"/>
    <w:rsid w:val="00633C64"/>
    <w:rsid w:val="00655736"/>
    <w:rsid w:val="00663B8D"/>
    <w:rsid w:val="0066633D"/>
    <w:rsid w:val="00670149"/>
    <w:rsid w:val="00675421"/>
    <w:rsid w:val="00681730"/>
    <w:rsid w:val="00683C87"/>
    <w:rsid w:val="006962E7"/>
    <w:rsid w:val="00696C8D"/>
    <w:rsid w:val="006A2AC2"/>
    <w:rsid w:val="006A3617"/>
    <w:rsid w:val="006A39CB"/>
    <w:rsid w:val="006C0298"/>
    <w:rsid w:val="006E4596"/>
    <w:rsid w:val="006E46E4"/>
    <w:rsid w:val="006E6761"/>
    <w:rsid w:val="006F12C4"/>
    <w:rsid w:val="006F2760"/>
    <w:rsid w:val="007018EE"/>
    <w:rsid w:val="00717DA5"/>
    <w:rsid w:val="007405B4"/>
    <w:rsid w:val="00743B09"/>
    <w:rsid w:val="00744484"/>
    <w:rsid w:val="00747566"/>
    <w:rsid w:val="007662A2"/>
    <w:rsid w:val="00773188"/>
    <w:rsid w:val="00773C01"/>
    <w:rsid w:val="00783782"/>
    <w:rsid w:val="00783788"/>
    <w:rsid w:val="00784B8C"/>
    <w:rsid w:val="007879E1"/>
    <w:rsid w:val="007A47E4"/>
    <w:rsid w:val="007A5654"/>
    <w:rsid w:val="007A7431"/>
    <w:rsid w:val="007C3BB5"/>
    <w:rsid w:val="007C72BE"/>
    <w:rsid w:val="007D037B"/>
    <w:rsid w:val="00811D13"/>
    <w:rsid w:val="00823A11"/>
    <w:rsid w:val="008368F2"/>
    <w:rsid w:val="0085405E"/>
    <w:rsid w:val="0085414A"/>
    <w:rsid w:val="0086269D"/>
    <w:rsid w:val="0086543A"/>
    <w:rsid w:val="008724E5"/>
    <w:rsid w:val="00884A9D"/>
    <w:rsid w:val="0088512B"/>
    <w:rsid w:val="00886F19"/>
    <w:rsid w:val="008A2B2D"/>
    <w:rsid w:val="008A4E1E"/>
    <w:rsid w:val="008B428F"/>
    <w:rsid w:val="008B5508"/>
    <w:rsid w:val="008B66AA"/>
    <w:rsid w:val="008C296C"/>
    <w:rsid w:val="008D4305"/>
    <w:rsid w:val="008E1A85"/>
    <w:rsid w:val="008E1D48"/>
    <w:rsid w:val="00910DDF"/>
    <w:rsid w:val="00912D89"/>
    <w:rsid w:val="009163A7"/>
    <w:rsid w:val="00944DB4"/>
    <w:rsid w:val="009462BD"/>
    <w:rsid w:val="00946D0B"/>
    <w:rsid w:val="00952A7A"/>
    <w:rsid w:val="00955877"/>
    <w:rsid w:val="00964082"/>
    <w:rsid w:val="0096469B"/>
    <w:rsid w:val="00965D53"/>
    <w:rsid w:val="00967094"/>
    <w:rsid w:val="009942F0"/>
    <w:rsid w:val="009954FB"/>
    <w:rsid w:val="00996BB4"/>
    <w:rsid w:val="0099724F"/>
    <w:rsid w:val="009A18CD"/>
    <w:rsid w:val="009B5238"/>
    <w:rsid w:val="009B75DD"/>
    <w:rsid w:val="009C250E"/>
    <w:rsid w:val="009D27F5"/>
    <w:rsid w:val="009D5428"/>
    <w:rsid w:val="009E01ED"/>
    <w:rsid w:val="009E10EB"/>
    <w:rsid w:val="00A12558"/>
    <w:rsid w:val="00A13903"/>
    <w:rsid w:val="00A16B32"/>
    <w:rsid w:val="00A20EA0"/>
    <w:rsid w:val="00A249E6"/>
    <w:rsid w:val="00A26D48"/>
    <w:rsid w:val="00A27733"/>
    <w:rsid w:val="00A34ED5"/>
    <w:rsid w:val="00A42FCD"/>
    <w:rsid w:val="00A45DBF"/>
    <w:rsid w:val="00A72D1A"/>
    <w:rsid w:val="00A755A2"/>
    <w:rsid w:val="00A76A76"/>
    <w:rsid w:val="00A8214E"/>
    <w:rsid w:val="00A84CD6"/>
    <w:rsid w:val="00AA6660"/>
    <w:rsid w:val="00AA6B01"/>
    <w:rsid w:val="00AB2C36"/>
    <w:rsid w:val="00AB6DDE"/>
    <w:rsid w:val="00AB70B6"/>
    <w:rsid w:val="00AC6064"/>
    <w:rsid w:val="00AD1A86"/>
    <w:rsid w:val="00AD24E4"/>
    <w:rsid w:val="00AE103E"/>
    <w:rsid w:val="00AE4634"/>
    <w:rsid w:val="00AF0A07"/>
    <w:rsid w:val="00AF4AEC"/>
    <w:rsid w:val="00AF625E"/>
    <w:rsid w:val="00B0156F"/>
    <w:rsid w:val="00B05DDB"/>
    <w:rsid w:val="00B1737A"/>
    <w:rsid w:val="00B27326"/>
    <w:rsid w:val="00B31111"/>
    <w:rsid w:val="00B42930"/>
    <w:rsid w:val="00B62DD2"/>
    <w:rsid w:val="00B673A2"/>
    <w:rsid w:val="00B87D2B"/>
    <w:rsid w:val="00BB04AF"/>
    <w:rsid w:val="00BB1BA7"/>
    <w:rsid w:val="00BB4A02"/>
    <w:rsid w:val="00BD52C9"/>
    <w:rsid w:val="00BD610C"/>
    <w:rsid w:val="00BE613E"/>
    <w:rsid w:val="00BE6354"/>
    <w:rsid w:val="00BF3626"/>
    <w:rsid w:val="00BF6D64"/>
    <w:rsid w:val="00C138D1"/>
    <w:rsid w:val="00C23A97"/>
    <w:rsid w:val="00C43842"/>
    <w:rsid w:val="00C5488E"/>
    <w:rsid w:val="00C64855"/>
    <w:rsid w:val="00C64E73"/>
    <w:rsid w:val="00C70EA7"/>
    <w:rsid w:val="00C74122"/>
    <w:rsid w:val="00C7433F"/>
    <w:rsid w:val="00C7516E"/>
    <w:rsid w:val="00C75770"/>
    <w:rsid w:val="00C82FF5"/>
    <w:rsid w:val="00C90C98"/>
    <w:rsid w:val="00CA56BB"/>
    <w:rsid w:val="00CB0542"/>
    <w:rsid w:val="00CC339B"/>
    <w:rsid w:val="00CD3990"/>
    <w:rsid w:val="00CE0263"/>
    <w:rsid w:val="00D00B2B"/>
    <w:rsid w:val="00D23C4F"/>
    <w:rsid w:val="00D24877"/>
    <w:rsid w:val="00D24928"/>
    <w:rsid w:val="00D4698C"/>
    <w:rsid w:val="00D54117"/>
    <w:rsid w:val="00D55027"/>
    <w:rsid w:val="00D57B41"/>
    <w:rsid w:val="00D71244"/>
    <w:rsid w:val="00D8250F"/>
    <w:rsid w:val="00D84798"/>
    <w:rsid w:val="00D85DD9"/>
    <w:rsid w:val="00D936F7"/>
    <w:rsid w:val="00D95C4C"/>
    <w:rsid w:val="00DA36ED"/>
    <w:rsid w:val="00DB1099"/>
    <w:rsid w:val="00DB1D5E"/>
    <w:rsid w:val="00DC3741"/>
    <w:rsid w:val="00DC74C4"/>
    <w:rsid w:val="00DD17D9"/>
    <w:rsid w:val="00DD6DA1"/>
    <w:rsid w:val="00DE26D9"/>
    <w:rsid w:val="00DE34F1"/>
    <w:rsid w:val="00DE5861"/>
    <w:rsid w:val="00DE6160"/>
    <w:rsid w:val="00DF452F"/>
    <w:rsid w:val="00DF4942"/>
    <w:rsid w:val="00DF600F"/>
    <w:rsid w:val="00E00945"/>
    <w:rsid w:val="00E244E1"/>
    <w:rsid w:val="00E4525D"/>
    <w:rsid w:val="00E54155"/>
    <w:rsid w:val="00E54E72"/>
    <w:rsid w:val="00E56802"/>
    <w:rsid w:val="00E627B1"/>
    <w:rsid w:val="00E63960"/>
    <w:rsid w:val="00E66257"/>
    <w:rsid w:val="00E70169"/>
    <w:rsid w:val="00E9376C"/>
    <w:rsid w:val="00E93846"/>
    <w:rsid w:val="00E95AE2"/>
    <w:rsid w:val="00E960FA"/>
    <w:rsid w:val="00EA0AAC"/>
    <w:rsid w:val="00EA335E"/>
    <w:rsid w:val="00EA528C"/>
    <w:rsid w:val="00EA580C"/>
    <w:rsid w:val="00EA7525"/>
    <w:rsid w:val="00EC1F1C"/>
    <w:rsid w:val="00EC64C1"/>
    <w:rsid w:val="00EC6F8D"/>
    <w:rsid w:val="00ED1CB8"/>
    <w:rsid w:val="00ED3A9D"/>
    <w:rsid w:val="00ED6F8F"/>
    <w:rsid w:val="00EE49F4"/>
    <w:rsid w:val="00EF34E2"/>
    <w:rsid w:val="00EF3A7B"/>
    <w:rsid w:val="00F074C0"/>
    <w:rsid w:val="00F10A0B"/>
    <w:rsid w:val="00F16B8A"/>
    <w:rsid w:val="00F20F2A"/>
    <w:rsid w:val="00F24622"/>
    <w:rsid w:val="00F30DC6"/>
    <w:rsid w:val="00F32C23"/>
    <w:rsid w:val="00F4198C"/>
    <w:rsid w:val="00F50699"/>
    <w:rsid w:val="00F50EF4"/>
    <w:rsid w:val="00F53DE9"/>
    <w:rsid w:val="00F576CB"/>
    <w:rsid w:val="00F61F2E"/>
    <w:rsid w:val="00F7035D"/>
    <w:rsid w:val="00F71A02"/>
    <w:rsid w:val="00F73EEE"/>
    <w:rsid w:val="00FA0D63"/>
    <w:rsid w:val="00FC1F83"/>
    <w:rsid w:val="00FC70C7"/>
    <w:rsid w:val="00FD1226"/>
    <w:rsid w:val="00FD64F7"/>
    <w:rsid w:val="00FF0F3C"/>
    <w:rsid w:val="00FF4830"/>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27D84C4"/>
  <w15:docId w15:val="{583DBE90-1737-41AF-BFD5-4234A955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1">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5CB4"/>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13"/>
      </w:numPr>
      <w:spacing w:after="120"/>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10"/>
      </w:numPr>
      <w:autoSpaceDE w:val="0"/>
      <w:autoSpaceDN w:val="0"/>
      <w:adjustRightInd w:val="0"/>
      <w:spacing w:after="120"/>
      <w:jc w:val="both"/>
    </w:pPr>
    <w:rPr>
      <w:rFonts w:ascii="Arial" w:eastAsia="SimSun" w:hAnsi="Arial" w:cs="Arial"/>
      <w:sz w:val="22"/>
      <w:szCs w:val="22"/>
      <w:u w:val="single"/>
      <w:lang w:val="en-GB"/>
    </w:rPr>
  </w:style>
  <w:style w:type="table" w:customStyle="1" w:styleId="TableGrid1">
    <w:name w:val="Table Grid1"/>
    <w:basedOn w:val="TableNormal"/>
    <w:next w:val="TableGrid"/>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54117"/>
    <w:rPr>
      <w:color w:val="0000FF" w:themeColor="hyperlink"/>
      <w:u w:val="single"/>
    </w:rPr>
  </w:style>
  <w:style w:type="paragraph" w:customStyle="1" w:styleId="Paragraph">
    <w:name w:val="Paragraph"/>
    <w:basedOn w:val="Marge"/>
    <w:link w:val="ParagraphChar"/>
    <w:qFormat/>
    <w:rsid w:val="00967094"/>
    <w:pPr>
      <w:numPr>
        <w:numId w:val="14"/>
      </w:numPr>
    </w:pPr>
    <w:rPr>
      <w:rFonts w:cs="Arial"/>
      <w:szCs w:val="22"/>
      <w:lang w:val="en-GB"/>
    </w:rPr>
  </w:style>
  <w:style w:type="character" w:customStyle="1" w:styleId="ParagraphChar">
    <w:name w:val="Paragraph Char"/>
    <w:link w:val="Paragraph"/>
    <w:rsid w:val="00461B68"/>
    <w:rPr>
      <w:rFonts w:ascii="Arial" w:eastAsia="Times New Roman" w:hAnsi="Arial" w:cs="Arial"/>
      <w:snapToGrid w:val="0"/>
      <w:sz w:val="22"/>
      <w:szCs w:val="22"/>
      <w:lang w:val="en-GB" w:eastAsia="en-US"/>
    </w:rPr>
  </w:style>
  <w:style w:type="paragraph" w:styleId="FootnoteText">
    <w:name w:val="footnote text"/>
    <w:basedOn w:val="Normal"/>
    <w:link w:val="FootnoteTextChar"/>
    <w:uiPriority w:val="99"/>
    <w:semiHidden/>
    <w:unhideWhenUsed/>
    <w:rsid w:val="0099724F"/>
    <w:rPr>
      <w:sz w:val="20"/>
      <w:szCs w:val="20"/>
    </w:rPr>
  </w:style>
  <w:style w:type="character" w:customStyle="1" w:styleId="FootnoteTextChar">
    <w:name w:val="Footnote Text Char"/>
    <w:basedOn w:val="DefaultParagraphFont"/>
    <w:link w:val="FootnoteText"/>
    <w:uiPriority w:val="99"/>
    <w:semiHidden/>
    <w:rsid w:val="0099724F"/>
    <w:rPr>
      <w:rFonts w:ascii="Times New Roman" w:eastAsia="Times New Roman" w:hAnsi="Times New Roman"/>
    </w:rPr>
  </w:style>
  <w:style w:type="character" w:styleId="FootnoteReference">
    <w:name w:val="footnote reference"/>
    <w:basedOn w:val="DefaultParagraphFont"/>
    <w:uiPriority w:val="99"/>
    <w:semiHidden/>
    <w:unhideWhenUsed/>
    <w:rsid w:val="0099724F"/>
    <w:rPr>
      <w:vertAlign w:val="superscript"/>
    </w:rPr>
  </w:style>
  <w:style w:type="character" w:styleId="FollowedHyperlink">
    <w:name w:val="FollowedHyperlink"/>
    <w:basedOn w:val="DefaultParagraphFont"/>
    <w:uiPriority w:val="99"/>
    <w:semiHidden/>
    <w:unhideWhenUsed/>
    <w:rsid w:val="00C82FF5"/>
    <w:rPr>
      <w:color w:val="800080" w:themeColor="followedHyperlink"/>
      <w:u w:val="single"/>
    </w:rPr>
  </w:style>
  <w:style w:type="character" w:styleId="Emphasis">
    <w:name w:val="Emphasis"/>
    <w:basedOn w:val="DefaultParagraphFont"/>
    <w:uiPriority w:val="20"/>
    <w:qFormat/>
    <w:rsid w:val="00A20EA0"/>
    <w:rPr>
      <w:i/>
      <w:iCs/>
    </w:rPr>
  </w:style>
  <w:style w:type="character" w:styleId="CommentReference">
    <w:name w:val="annotation reference"/>
    <w:basedOn w:val="DefaultParagraphFont"/>
    <w:uiPriority w:val="99"/>
    <w:semiHidden/>
    <w:unhideWhenUsed/>
    <w:rsid w:val="00593FE5"/>
    <w:rPr>
      <w:sz w:val="16"/>
      <w:szCs w:val="16"/>
    </w:rPr>
  </w:style>
  <w:style w:type="paragraph" w:styleId="CommentText">
    <w:name w:val="annotation text"/>
    <w:basedOn w:val="Normal"/>
    <w:link w:val="CommentTextChar"/>
    <w:uiPriority w:val="99"/>
    <w:semiHidden/>
    <w:unhideWhenUsed/>
    <w:rsid w:val="00593FE5"/>
    <w:rPr>
      <w:sz w:val="20"/>
      <w:szCs w:val="20"/>
    </w:rPr>
  </w:style>
  <w:style w:type="character" w:customStyle="1" w:styleId="CommentTextChar">
    <w:name w:val="Comment Text Char"/>
    <w:basedOn w:val="DefaultParagraphFont"/>
    <w:link w:val="CommentText"/>
    <w:uiPriority w:val="99"/>
    <w:semiHidden/>
    <w:rsid w:val="00593FE5"/>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93FE5"/>
    <w:rPr>
      <w:b/>
      <w:bCs/>
    </w:rPr>
  </w:style>
  <w:style w:type="character" w:customStyle="1" w:styleId="CommentSubjectChar">
    <w:name w:val="Comment Subject Char"/>
    <w:basedOn w:val="CommentTextChar"/>
    <w:link w:val="CommentSubject"/>
    <w:uiPriority w:val="99"/>
    <w:semiHidden/>
    <w:rsid w:val="00593FE5"/>
    <w:rPr>
      <w:rFonts w:ascii="Times New Roman" w:eastAsia="Times New Roman" w:hAnsi="Times New Roman"/>
      <w:b/>
      <w:bCs/>
    </w:rPr>
  </w:style>
  <w:style w:type="character" w:customStyle="1" w:styleId="hps">
    <w:name w:val="hps"/>
    <w:rsid w:val="00B05D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825177">
      <w:bodyDiv w:val="1"/>
      <w:marLeft w:val="0"/>
      <w:marRight w:val="0"/>
      <w:marTop w:val="0"/>
      <w:marBottom w:val="0"/>
      <w:divBdr>
        <w:top w:val="none" w:sz="0" w:space="0" w:color="auto"/>
        <w:left w:val="none" w:sz="0" w:space="0" w:color="auto"/>
        <w:bottom w:val="none" w:sz="0" w:space="0" w:color="auto"/>
        <w:right w:val="none" w:sz="0" w:space="0" w:color="auto"/>
      </w:divBdr>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ich.unesco.org/en/projects/safeguarding-intangible-cultural-heritage-through-strengthening-national-capacities-in-morocco-mauritania-and-tunisia-00281" TargetMode="External"/><Relationship Id="rId26" Type="http://schemas.openxmlformats.org/officeDocument/2006/relationships/hyperlink" Target="https://ich.unesco.org/en/Decisions/11.COM/6" TargetMode="External"/><Relationship Id="rId39" Type="http://schemas.openxmlformats.org/officeDocument/2006/relationships/fontTable" Target="fontTable.xml"/><Relationship Id="rId21" Type="http://schemas.openxmlformats.org/officeDocument/2006/relationships/hyperlink" Target="http://unesdoc.unesco.org/images/0026/002628/262851e.pdf" TargetMode="External"/><Relationship Id="rId34" Type="http://schemas.openxmlformats.org/officeDocument/2006/relationships/image" Target="media/image7.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ch.unesco.org/en/projects/strengthening-the-capacities-of-bangladesh-for-implementing-the-2003-convention-for-the-safeguarding-of-the-intangible-cultural-heritage-00371" TargetMode="External"/><Relationship Id="rId20" Type="http://schemas.openxmlformats.org/officeDocument/2006/relationships/hyperlink" Target="http://unesdoc.unesco.org/ulis/cgi-bin/ExtractPDF.pl?catno=261576&amp;lang=e&amp;from=126&amp;to=139&amp;display=2&amp;ts=1534862511" TargetMode="External"/><Relationship Id="rId29" Type="http://schemas.openxmlformats.org/officeDocument/2006/relationships/hyperlink" Target="http://unesdoc.unesco.org/images/0026/002615/261576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ich.unesco.org/en/Decisions/9.COM/7" TargetMode="External"/><Relationship Id="rId32" Type="http://schemas.openxmlformats.org/officeDocument/2006/relationships/image" Target="media/image5.png"/><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ch.unesco.org/en/projects/strengthening-the-capacities-of-eritrea-for-implementing-the-convention-for-the-safeguarding-of-the-intangible-cultural-heritage-00272" TargetMode="External"/><Relationship Id="rId23" Type="http://schemas.openxmlformats.org/officeDocument/2006/relationships/hyperlink" Target="https://ich.unesco.org/en/Decisions/8.COM/12" TargetMode="External"/><Relationship Id="rId28" Type="http://schemas.openxmlformats.org/officeDocument/2006/relationships/hyperlink" Target="https://ich.unesco.org/en/Decisions/12.COM/14" TargetMode="External"/><Relationship Id="rId36" Type="http://schemas.openxmlformats.org/officeDocument/2006/relationships/header" Target="header1.xml"/><Relationship Id="rId10" Type="http://schemas.openxmlformats.org/officeDocument/2006/relationships/hyperlink" Target="https://ich.unesco.org/en/Decisions/12.COM/6" TargetMode="External"/><Relationship Id="rId19" Type="http://schemas.openxmlformats.org/officeDocument/2006/relationships/hyperlink" Target="https://ich.unesco.org/en/projects/strengthening-national-capacities-for-safeguarding-intangible-cultural-heritage-in-guatemala-00372" TargetMode="External"/><Relationship Id="rId31"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www.unesco.org/culture/ich/en/Decisions/7.COM/20.1" TargetMode="External"/><Relationship Id="rId14" Type="http://schemas.openxmlformats.org/officeDocument/2006/relationships/hyperlink" Target="https://ich.unesco.org/en/Decisions/12.COM/14" TargetMode="External"/><Relationship Id="rId22" Type="http://schemas.openxmlformats.org/officeDocument/2006/relationships/hyperlink" Target="http://unesdoc.unesco.org/ulis/cgi-bin/ExtractPDF.pl?catno=261576&amp;lang=e&amp;from=126&amp;to=139&amp;display=2&amp;ts=1534862511" TargetMode="External"/><Relationship Id="rId27" Type="http://schemas.openxmlformats.org/officeDocument/2006/relationships/hyperlink" Target="https://ich.unesco.org/en/Decisions/12.COM/6" TargetMode="External"/><Relationship Id="rId30" Type="http://schemas.openxmlformats.org/officeDocument/2006/relationships/image" Target="media/image3.png"/><Relationship Id="rId35" Type="http://schemas.openxmlformats.org/officeDocument/2006/relationships/image" Target="media/image8.png"/><Relationship Id="rId43" Type="http://schemas.microsoft.com/office/2016/09/relationships/commentsIds" Target="commentsIds.xml"/><Relationship Id="rId8" Type="http://schemas.openxmlformats.org/officeDocument/2006/relationships/hyperlink" Target="https://ich.unesco.org/en/Decisions/12.COM/6" TargetMode="External"/><Relationship Id="rId3" Type="http://schemas.openxmlformats.org/officeDocument/2006/relationships/styles" Target="styles.xml"/><Relationship Id="rId12" Type="http://schemas.openxmlformats.org/officeDocument/2006/relationships/hyperlink" Target="https://ich.unesco.org/en/Resolutions/3.GA/9" TargetMode="External"/><Relationship Id="rId17" Type="http://schemas.openxmlformats.org/officeDocument/2006/relationships/hyperlink" Target="https://ich.unesco.org/en/projects/strengthening-the-capacities-of-suriname-and-dutch-caribbean-islands-for-implementing-the-convention-for-the-safeguarding-of-the-intangible-cultural-heritage-00328" TargetMode="External"/><Relationship Id="rId25" Type="http://schemas.openxmlformats.org/officeDocument/2006/relationships/hyperlink" Target="https://ich.unesco.org/en/Decisions/10.COM/9" TargetMode="External"/><Relationship Id="rId33" Type="http://schemas.openxmlformats.org/officeDocument/2006/relationships/image" Target="media/image6.png"/><Relationship Id="rId38"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E8D72-CAF3-4168-9DED-9A97B719E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748</TotalTime>
  <Pages>13</Pages>
  <Words>2461</Words>
  <Characters>14028</Characters>
  <Application>Microsoft Office Word</Application>
  <DocSecurity>0</DocSecurity>
  <Lines>116</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16457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 Eunkyung</dc:creator>
  <cp:lastModifiedBy>Shin, Eunkyung</cp:lastModifiedBy>
  <cp:revision>42</cp:revision>
  <cp:lastPrinted>2018-10-23T13:10:00Z</cp:lastPrinted>
  <dcterms:created xsi:type="dcterms:W3CDTF">2018-10-15T08:54:00Z</dcterms:created>
  <dcterms:modified xsi:type="dcterms:W3CDTF">2018-10-29T18:01:00Z</dcterms:modified>
</cp:coreProperties>
</file>