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1E6E6" w14:textId="36036B4E" w:rsidR="00EC6F8D" w:rsidRPr="00293C60" w:rsidRDefault="00EC6F8D" w:rsidP="00CD0943">
      <w:pPr>
        <w:spacing w:before="1440"/>
        <w:jc w:val="center"/>
        <w:rPr>
          <w:rFonts w:ascii="Arial" w:hAnsi="Arial" w:cs="Arial"/>
          <w:b/>
          <w:sz w:val="22"/>
          <w:szCs w:val="22"/>
        </w:rPr>
      </w:pPr>
      <w:r>
        <w:rPr>
          <w:rFonts w:ascii="Arial" w:hAnsi="Arial"/>
          <w:b/>
          <w:sz w:val="22"/>
          <w:szCs w:val="22"/>
        </w:rPr>
        <w:t>CONVENTION POUR LA SAUVEGARDE</w:t>
      </w:r>
      <w:r w:rsidR="00CD0943" w:rsidRPr="00CD0943">
        <w:rPr>
          <w:rFonts w:ascii="Arial" w:hAnsi="Arial"/>
          <w:b/>
          <w:sz w:val="22"/>
          <w:szCs w:val="22"/>
        </w:rPr>
        <w:t xml:space="preserve"> </w:t>
      </w:r>
      <w:r w:rsidR="00CD0943">
        <w:rPr>
          <w:rFonts w:ascii="Arial" w:hAnsi="Arial"/>
          <w:b/>
          <w:sz w:val="22"/>
          <w:szCs w:val="22"/>
        </w:rPr>
        <w:t>DU</w:t>
      </w:r>
      <w:r>
        <w:rPr>
          <w:rFonts w:ascii="Arial" w:hAnsi="Arial"/>
          <w:b/>
          <w:sz w:val="22"/>
          <w:szCs w:val="22"/>
        </w:rPr>
        <w:br/>
        <w:t>PATRIMOIN</w:t>
      </w:r>
      <w:bookmarkStart w:id="0" w:name="_GoBack"/>
      <w:bookmarkEnd w:id="0"/>
      <w:r>
        <w:rPr>
          <w:rFonts w:ascii="Arial" w:hAnsi="Arial"/>
          <w:b/>
          <w:sz w:val="22"/>
          <w:szCs w:val="22"/>
        </w:rPr>
        <w:t>E CULTUREL IMMATÉRIEL</w:t>
      </w:r>
    </w:p>
    <w:p w14:paraId="3903E1F1" w14:textId="3C386940" w:rsidR="00EC6F8D" w:rsidRPr="00293C60" w:rsidRDefault="00EC6F8D" w:rsidP="00F457A8">
      <w:pPr>
        <w:spacing w:before="1200"/>
        <w:jc w:val="center"/>
        <w:rPr>
          <w:rFonts w:ascii="Arial" w:hAnsi="Arial" w:cs="Arial"/>
          <w:b/>
          <w:sz w:val="22"/>
          <w:szCs w:val="22"/>
        </w:rPr>
      </w:pPr>
      <w:r>
        <w:rPr>
          <w:rFonts w:ascii="Arial" w:hAnsi="Arial"/>
          <w:b/>
          <w:sz w:val="22"/>
          <w:szCs w:val="22"/>
        </w:rPr>
        <w:t xml:space="preserve">COMITÉ INTERGOUVERNEMENTAL DE </w:t>
      </w:r>
      <w:r w:rsidR="00F457A8">
        <w:rPr>
          <w:rFonts w:ascii="Arial" w:hAnsi="Arial"/>
          <w:b/>
          <w:sz w:val="22"/>
          <w:szCs w:val="22"/>
        </w:rPr>
        <w:t>SAUVEGARDE</w:t>
      </w:r>
      <w:r>
        <w:rPr>
          <w:rFonts w:ascii="Arial" w:hAnsi="Arial"/>
          <w:b/>
          <w:sz w:val="22"/>
          <w:szCs w:val="22"/>
        </w:rPr>
        <w:br/>
        <w:t>DU PATRIMOINE CULTUREL IMMATÉRIEL</w:t>
      </w:r>
    </w:p>
    <w:p w14:paraId="64FFB2F7" w14:textId="77777777" w:rsidR="00EC6F8D" w:rsidRPr="00293C60" w:rsidRDefault="00C7433F" w:rsidP="009E1FBF">
      <w:pPr>
        <w:spacing w:before="840"/>
        <w:jc w:val="center"/>
        <w:rPr>
          <w:rFonts w:ascii="Arial" w:hAnsi="Arial" w:cs="Arial"/>
          <w:b/>
          <w:sz w:val="22"/>
          <w:szCs w:val="22"/>
        </w:rPr>
      </w:pPr>
      <w:r>
        <w:rPr>
          <w:rFonts w:ascii="Arial" w:hAnsi="Arial"/>
          <w:b/>
          <w:sz w:val="22"/>
          <w:szCs w:val="22"/>
        </w:rPr>
        <w:t>Treizième session</w:t>
      </w:r>
    </w:p>
    <w:p w14:paraId="40819475" w14:textId="7EBF697D" w:rsidR="009D5428" w:rsidRPr="00337CEB" w:rsidRDefault="009E1FBF" w:rsidP="00DD18D1">
      <w:pPr>
        <w:jc w:val="center"/>
        <w:rPr>
          <w:rFonts w:ascii="Arial" w:eastAsiaTheme="minorEastAsia" w:hAnsi="Arial" w:cs="Arial"/>
          <w:b/>
          <w:sz w:val="22"/>
          <w:szCs w:val="22"/>
        </w:rPr>
      </w:pPr>
      <w:r>
        <w:rPr>
          <w:rFonts w:ascii="Arial" w:hAnsi="Arial"/>
          <w:b/>
          <w:sz w:val="22"/>
          <w:szCs w:val="22"/>
        </w:rPr>
        <w:t>Port</w:t>
      </w:r>
      <w:r w:rsidR="00DD18D1">
        <w:rPr>
          <w:rFonts w:ascii="Arial" w:hAnsi="Arial"/>
          <w:b/>
          <w:sz w:val="22"/>
          <w:szCs w:val="22"/>
        </w:rPr>
        <w:t>-</w:t>
      </w:r>
      <w:r>
        <w:rPr>
          <w:rFonts w:ascii="Arial" w:hAnsi="Arial"/>
          <w:b/>
          <w:sz w:val="22"/>
          <w:szCs w:val="22"/>
        </w:rPr>
        <w:t>Louis, République de Maurice</w:t>
      </w:r>
    </w:p>
    <w:p w14:paraId="46292778" w14:textId="7706F0BA" w:rsidR="00EC6F8D" w:rsidRPr="00337CEB" w:rsidRDefault="009E1FBF" w:rsidP="00F457A8">
      <w:pPr>
        <w:jc w:val="center"/>
        <w:rPr>
          <w:rFonts w:ascii="Arial" w:eastAsiaTheme="minorEastAsia" w:hAnsi="Arial" w:cs="Arial"/>
          <w:b/>
          <w:sz w:val="22"/>
          <w:szCs w:val="22"/>
        </w:rPr>
      </w:pPr>
      <w:r>
        <w:rPr>
          <w:rFonts w:ascii="Arial" w:hAnsi="Arial"/>
          <w:b/>
          <w:sz w:val="22"/>
          <w:szCs w:val="22"/>
        </w:rPr>
        <w:t>26 novembre – 1</w:t>
      </w:r>
      <w:r w:rsidRPr="001A5155">
        <w:rPr>
          <w:rFonts w:ascii="Arial" w:hAnsi="Arial"/>
          <w:b/>
          <w:sz w:val="22"/>
          <w:szCs w:val="22"/>
          <w:vertAlign w:val="superscript"/>
        </w:rPr>
        <w:t>er</w:t>
      </w:r>
      <w:r w:rsidR="00F457A8">
        <w:rPr>
          <w:rFonts w:ascii="Arial" w:hAnsi="Arial"/>
          <w:b/>
          <w:sz w:val="22"/>
          <w:szCs w:val="22"/>
        </w:rPr>
        <w:t xml:space="preserve"> </w:t>
      </w:r>
      <w:r>
        <w:rPr>
          <w:rFonts w:ascii="Arial" w:hAnsi="Arial"/>
          <w:b/>
          <w:sz w:val="22"/>
          <w:szCs w:val="22"/>
        </w:rPr>
        <w:t>décembre 2018</w:t>
      </w:r>
    </w:p>
    <w:p w14:paraId="33DBEDB4" w14:textId="3A79F827" w:rsidR="00EC6F8D" w:rsidRPr="00293C60" w:rsidRDefault="00DD18D1" w:rsidP="00EC6F8D">
      <w:pPr>
        <w:pStyle w:val="Sansinterligne2"/>
        <w:spacing w:before="1200"/>
        <w:jc w:val="center"/>
        <w:rPr>
          <w:rFonts w:ascii="Arial" w:hAnsi="Arial" w:cs="Arial"/>
          <w:b/>
          <w:sz w:val="22"/>
          <w:szCs w:val="22"/>
        </w:rPr>
      </w:pPr>
      <w:r>
        <w:rPr>
          <w:rFonts w:ascii="Arial" w:hAnsi="Arial"/>
          <w:b/>
          <w:sz w:val="22"/>
          <w:szCs w:val="22"/>
          <w:u w:val="single"/>
        </w:rPr>
        <w:t>Point 3 de l’</w:t>
      </w:r>
      <w:r w:rsidR="00EC6F8D">
        <w:rPr>
          <w:rFonts w:ascii="Arial" w:hAnsi="Arial"/>
          <w:b/>
          <w:sz w:val="22"/>
          <w:szCs w:val="22"/>
          <w:u w:val="single"/>
        </w:rPr>
        <w:t>ordre du jour provisoire</w:t>
      </w:r>
      <w:r w:rsidR="00EC6F8D" w:rsidRPr="001A5155">
        <w:rPr>
          <w:rFonts w:ascii="Arial" w:hAnsi="Arial"/>
          <w:b/>
          <w:sz w:val="22"/>
          <w:szCs w:val="22"/>
        </w:rPr>
        <w:t> </w:t>
      </w:r>
      <w:r w:rsidR="00EC6F8D">
        <w:rPr>
          <w:rFonts w:ascii="Arial" w:hAnsi="Arial"/>
          <w:b/>
          <w:sz w:val="22"/>
          <w:szCs w:val="22"/>
        </w:rPr>
        <w:t>:</w:t>
      </w:r>
    </w:p>
    <w:p w14:paraId="173AD455" w14:textId="77777777" w:rsidR="00EC6F8D" w:rsidRPr="00293C60" w:rsidRDefault="00B37847" w:rsidP="00EC6F8D">
      <w:pPr>
        <w:pStyle w:val="Sansinterligne2"/>
        <w:spacing w:after="1200"/>
        <w:jc w:val="center"/>
        <w:rPr>
          <w:rFonts w:ascii="Arial" w:hAnsi="Arial" w:cs="Arial"/>
          <w:b/>
          <w:sz w:val="22"/>
          <w:szCs w:val="22"/>
        </w:rPr>
      </w:pPr>
      <w:r>
        <w:rPr>
          <w:rFonts w:ascii="Arial" w:hAnsi="Arial"/>
          <w:b/>
          <w:sz w:val="22"/>
          <w:szCs w:val="22"/>
        </w:rPr>
        <w:t>Observateurs</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B37847" w14:paraId="10C6A314" w14:textId="77777777" w:rsidTr="00EC6F8D">
        <w:trPr>
          <w:jc w:val="center"/>
        </w:trPr>
        <w:tc>
          <w:tcPr>
            <w:tcW w:w="5670" w:type="dxa"/>
            <w:vAlign w:val="center"/>
          </w:tcPr>
          <w:p w14:paraId="46F06E5C" w14:textId="77777777" w:rsidR="00EC6F8D" w:rsidRPr="00293C60" w:rsidRDefault="00EC6F8D" w:rsidP="0067311F">
            <w:pPr>
              <w:pStyle w:val="Sansinterligne2"/>
              <w:spacing w:before="200" w:after="200"/>
              <w:jc w:val="both"/>
              <w:rPr>
                <w:rFonts w:ascii="Arial" w:hAnsi="Arial" w:cs="Arial"/>
                <w:b/>
                <w:sz w:val="22"/>
                <w:szCs w:val="22"/>
              </w:rPr>
            </w:pPr>
            <w:r>
              <w:rPr>
                <w:rFonts w:ascii="Arial" w:hAnsi="Arial"/>
                <w:b/>
                <w:sz w:val="22"/>
                <w:szCs w:val="22"/>
              </w:rPr>
              <w:t xml:space="preserve">Décision requise : </w:t>
            </w:r>
            <w:r>
              <w:rPr>
                <w:rFonts w:ascii="Arial" w:hAnsi="Arial"/>
                <w:bCs/>
                <w:sz w:val="22"/>
                <w:szCs w:val="22"/>
              </w:rPr>
              <w:t xml:space="preserve">paragraphe </w:t>
            </w:r>
            <w:r w:rsidRPr="00DD18D1">
              <w:rPr>
                <w:rFonts w:ascii="Arial" w:hAnsi="Arial"/>
                <w:bCs/>
                <w:sz w:val="22"/>
                <w:szCs w:val="22"/>
              </w:rPr>
              <w:t>7</w:t>
            </w:r>
          </w:p>
        </w:tc>
      </w:tr>
    </w:tbl>
    <w:p w14:paraId="2F6B0012" w14:textId="77777777" w:rsidR="0057439C" w:rsidRPr="00B011B3" w:rsidRDefault="00655736" w:rsidP="00792D9A">
      <w:pPr>
        <w:pStyle w:val="COMPara"/>
        <w:jc w:val="both"/>
      </w:pPr>
      <w:r>
        <w:br w:type="page"/>
      </w:r>
      <w:r>
        <w:lastRenderedPageBreak/>
        <w:t>Conformément à l’article 8 du Règlement intérieur du Comité, les États qui ne sont pas parties à la Convention mais qui sont membres de l’UNESCO ou des Nations Unies, les membres associés de l’UNESCO, les missions permanentes d’observation auprès de l’UNESCO ainsi que des représentants de l’ONU et des institutions du système des Nations Unies peuvent participer aux sessions du Comité en qualité d’observateurs (article 8.2), en plus des États parties à la Convention qui ne sont pas membres du Comité (article 8.1).</w:t>
      </w:r>
    </w:p>
    <w:p w14:paraId="36EE8928" w14:textId="77777777" w:rsidR="00B37847" w:rsidRDefault="00B37847" w:rsidP="00792D9A">
      <w:pPr>
        <w:pStyle w:val="COMPara"/>
        <w:jc w:val="both"/>
      </w:pPr>
      <w:r>
        <w:t>Le Comité peut également autoriser des organisations intergouvernementales autres que celles mentionnées à l’article 8.2, ainsi que des organismes publics ou privés et des personnes physiques possédant des compétences avérées dans les différents domaines du patrimoine culturel immatériel, à participer à ses sessions futures en qualité d’observateurs, s’ils lui en font la demande par écrit (article 8.3).</w:t>
      </w:r>
    </w:p>
    <w:p w14:paraId="78109C78" w14:textId="5B2A94E4" w:rsidR="007B2290" w:rsidRDefault="007B2290" w:rsidP="00792D9A">
      <w:pPr>
        <w:pStyle w:val="COMPara"/>
        <w:jc w:val="both"/>
      </w:pPr>
      <w:r>
        <w:t xml:space="preserve">Le Comité a décidé, par sa </w:t>
      </w:r>
      <w:hyperlink r:id="rId8" w:history="1">
        <w:r w:rsidR="00A63C58">
          <w:rPr>
            <w:rStyle w:val="Hyperlink"/>
          </w:rPr>
          <w:t>d</w:t>
        </w:r>
        <w:r>
          <w:rPr>
            <w:rStyle w:val="Hyperlink"/>
          </w:rPr>
          <w:t>écision 10.COM 3</w:t>
        </w:r>
      </w:hyperlink>
      <w:r>
        <w:t>, d’autoriser la participation, en qualité d’observateurs, des deux organisations suivantes :</w:t>
      </w:r>
    </w:p>
    <w:p w14:paraId="304F98BD" w14:textId="77777777" w:rsidR="007B2290" w:rsidRDefault="007B2290" w:rsidP="004B024D">
      <w:pPr>
        <w:pStyle w:val="COMPara"/>
        <w:numPr>
          <w:ilvl w:val="0"/>
          <w:numId w:val="0"/>
        </w:numPr>
        <w:ind w:left="567"/>
        <w:jc w:val="both"/>
      </w:pPr>
      <w:r>
        <w:t>- l’Organisation arabe pour l’éducation, la culture et les sciences (ALECSO) à ses onzième, douzième et treizième sessions ;</w:t>
      </w:r>
    </w:p>
    <w:p w14:paraId="78A348EC" w14:textId="77777777" w:rsidR="007B2290" w:rsidRPr="00B011B3" w:rsidRDefault="00FB2F3D" w:rsidP="00792D9A">
      <w:pPr>
        <w:pStyle w:val="COMPara"/>
        <w:numPr>
          <w:ilvl w:val="0"/>
          <w:numId w:val="0"/>
        </w:numPr>
        <w:ind w:left="567"/>
        <w:jc w:val="both"/>
      </w:pPr>
      <w:r>
        <w:t>- le Centre international de recherche et de documentation sur les traditions et les langues africaines (CERDOTOLA) à ses onzième, douzième, treizième et quatorzième sessions.</w:t>
      </w:r>
    </w:p>
    <w:p w14:paraId="2B3183C4" w14:textId="0B9EC41A" w:rsidR="00B37847" w:rsidRPr="00B011B3" w:rsidRDefault="00792D9A" w:rsidP="00792D9A">
      <w:pPr>
        <w:pStyle w:val="COMPara"/>
        <w:jc w:val="both"/>
      </w:pPr>
      <w:r>
        <w:t xml:space="preserve">Par ailleurs, le Comité a décidé, par sa </w:t>
      </w:r>
      <w:hyperlink r:id="rId9" w:history="1">
        <w:r w:rsidR="00A63C58">
          <w:rPr>
            <w:rStyle w:val="Hyperlink"/>
          </w:rPr>
          <w:t>d</w:t>
        </w:r>
        <w:r>
          <w:rPr>
            <w:rStyle w:val="Hyperlink"/>
          </w:rPr>
          <w:t>écision 11.COM 3</w:t>
        </w:r>
      </w:hyperlink>
      <w:r>
        <w:t>, d’autoriser la participation, en qualité d’observateur, de l’organisation suivante :</w:t>
      </w:r>
    </w:p>
    <w:p w14:paraId="2598BDC3" w14:textId="77777777" w:rsidR="00B37847" w:rsidRDefault="00FB2F3D" w:rsidP="00792D9A">
      <w:pPr>
        <w:pStyle w:val="COMPara"/>
        <w:numPr>
          <w:ilvl w:val="0"/>
          <w:numId w:val="0"/>
        </w:numPr>
        <w:ind w:left="567"/>
        <w:jc w:val="both"/>
      </w:pPr>
      <w:r>
        <w:t>- le Conseil international de la chasse et de la conservation du gibier (CIC) à ses douzième, treizième et quatorzième sessions.</w:t>
      </w:r>
    </w:p>
    <w:p w14:paraId="6FB4A739" w14:textId="64D5C1AE" w:rsidR="00DE42A9" w:rsidRDefault="00DE42A9" w:rsidP="00FB2F3D">
      <w:pPr>
        <w:pStyle w:val="COMPara"/>
        <w:jc w:val="both"/>
      </w:pPr>
      <w:r>
        <w:t xml:space="preserve">Le Comité a également décidé, par sa </w:t>
      </w:r>
      <w:hyperlink r:id="rId10" w:history="1">
        <w:r w:rsidR="00A63C58">
          <w:rPr>
            <w:rStyle w:val="Hyperlink"/>
          </w:rPr>
          <w:t>d</w:t>
        </w:r>
        <w:r>
          <w:rPr>
            <w:rStyle w:val="Hyperlink"/>
          </w:rPr>
          <w:t>écision 12.COM 3</w:t>
        </w:r>
      </w:hyperlink>
      <w:r>
        <w:t>, d’autoriser la participation, en qualité d’observateur, de l’organisation suivante :</w:t>
      </w:r>
    </w:p>
    <w:p w14:paraId="00801731" w14:textId="6CC9686B" w:rsidR="00DE42A9" w:rsidRDefault="00DE42A9" w:rsidP="00DE42A9">
      <w:pPr>
        <w:pStyle w:val="COMPara"/>
        <w:numPr>
          <w:ilvl w:val="0"/>
          <w:numId w:val="0"/>
        </w:numPr>
        <w:ind w:left="567"/>
        <w:jc w:val="both"/>
      </w:pPr>
      <w:r>
        <w:t>- Le Centre</w:t>
      </w:r>
      <w:r w:rsidR="00B6798A">
        <w:t xml:space="preserve"> du commerce africain (ATC) à ses</w:t>
      </w:r>
      <w:r>
        <w:t xml:space="preserve"> treizième, quatorzième et quinzième sessions.</w:t>
      </w:r>
    </w:p>
    <w:p w14:paraId="4D06726A" w14:textId="49983DE4" w:rsidR="00B37847" w:rsidRPr="00FB2F3D" w:rsidRDefault="00B37847" w:rsidP="00DD18D1">
      <w:pPr>
        <w:pStyle w:val="COMPara"/>
        <w:jc w:val="both"/>
      </w:pPr>
      <w:r>
        <w:t xml:space="preserve">Conformément à l’article 8.3, le </w:t>
      </w:r>
      <w:r w:rsidR="00DD18D1">
        <w:t>Centre pour la culture noire et la compréhension internationale (CBCIU)</w:t>
      </w:r>
      <w:r>
        <w:t xml:space="preserve"> a demandé par écrit à participer </w:t>
      </w:r>
      <w:r w:rsidR="00DD18D1">
        <w:t>à la</w:t>
      </w:r>
      <w:r>
        <w:t xml:space="preserve"> </w:t>
      </w:r>
      <w:r w:rsidRPr="001A5155">
        <w:t>quatorzième</w:t>
      </w:r>
      <w:r>
        <w:t xml:space="preserve"> session du Comité en qualité d’observateur.</w:t>
      </w:r>
    </w:p>
    <w:p w14:paraId="0B602E85" w14:textId="672855AB" w:rsidR="00D95C4C" w:rsidRPr="00B011B3" w:rsidRDefault="00B37847" w:rsidP="005968B2">
      <w:pPr>
        <w:pStyle w:val="COMPara"/>
      </w:pPr>
      <w:r>
        <w:t xml:space="preserve">Le Comité souhaitera peut-être adopter </w:t>
      </w:r>
      <w:r w:rsidR="005968B2">
        <w:t xml:space="preserve">la </w:t>
      </w:r>
      <w:r>
        <w:t>décision suivante :</w:t>
      </w:r>
    </w:p>
    <w:p w14:paraId="03E55360" w14:textId="77777777" w:rsidR="00D95C4C" w:rsidRPr="00B011B3" w:rsidRDefault="004A34A0" w:rsidP="00DE42A9">
      <w:pPr>
        <w:pStyle w:val="COMTitleDecision"/>
        <w:rPr>
          <w:rFonts w:eastAsia="SimSun"/>
        </w:rPr>
      </w:pPr>
      <w:r>
        <w:t>PROJET DE DÉCISION 13.COM 3</w:t>
      </w:r>
    </w:p>
    <w:p w14:paraId="0FBC400D" w14:textId="77777777" w:rsidR="00D95C4C" w:rsidRPr="00B011B3" w:rsidRDefault="00285BB4" w:rsidP="00285BB4">
      <w:pPr>
        <w:pStyle w:val="COMPreambulaDecisions"/>
        <w:rPr>
          <w:rFonts w:eastAsia="SimSun"/>
        </w:rPr>
      </w:pPr>
      <w:r>
        <w:t>Le Comité,</w:t>
      </w:r>
    </w:p>
    <w:p w14:paraId="43F1F2B6" w14:textId="77777777" w:rsidR="0057439C" w:rsidRPr="00B011B3" w:rsidRDefault="00D95C4C" w:rsidP="00DE42A9">
      <w:pPr>
        <w:pStyle w:val="COMParaDecision"/>
        <w:jc w:val="left"/>
      </w:pPr>
      <w:r>
        <w:t>Ayant examiné</w:t>
      </w:r>
      <w:r>
        <w:rPr>
          <w:u w:val="none"/>
        </w:rPr>
        <w:t xml:space="preserve"> le document ITH/18/13.COM/3,</w:t>
      </w:r>
    </w:p>
    <w:p w14:paraId="33F90E9A" w14:textId="77777777" w:rsidR="0057439C" w:rsidRPr="00B011B3" w:rsidRDefault="0057439C" w:rsidP="00B37847">
      <w:pPr>
        <w:pStyle w:val="COMParaDecision"/>
      </w:pPr>
      <w:r>
        <w:t>Rappelant</w:t>
      </w:r>
      <w:r>
        <w:rPr>
          <w:u w:val="none"/>
        </w:rPr>
        <w:t xml:space="preserve"> les articles 8.1, 8.2 et 8.3 du Règlement intérieur du Comité intergouvernemental,</w:t>
      </w:r>
    </w:p>
    <w:p w14:paraId="74B205A8" w14:textId="77777777" w:rsidR="00D95C4C" w:rsidRPr="00B011B3" w:rsidRDefault="00D95C4C" w:rsidP="00DE42A9">
      <w:pPr>
        <w:pStyle w:val="COMParaDecision"/>
        <w:jc w:val="left"/>
      </w:pPr>
      <w:r>
        <w:t>Rappelant en outre</w:t>
      </w:r>
      <w:r>
        <w:rPr>
          <w:u w:val="none"/>
        </w:rPr>
        <w:t xml:space="preserve"> ses décisions </w:t>
      </w:r>
      <w:hyperlink r:id="rId11" w:history="1">
        <w:r>
          <w:rPr>
            <w:rStyle w:val="Hyperlink"/>
          </w:rPr>
          <w:t>10.COM 3</w:t>
        </w:r>
      </w:hyperlink>
      <w:r>
        <w:rPr>
          <w:u w:val="none"/>
        </w:rPr>
        <w:t xml:space="preserve">, </w:t>
      </w:r>
      <w:hyperlink r:id="rId12" w:history="1">
        <w:r>
          <w:rPr>
            <w:rStyle w:val="Hyperlink"/>
          </w:rPr>
          <w:t>11.COM 3</w:t>
        </w:r>
      </w:hyperlink>
      <w:r>
        <w:rPr>
          <w:u w:val="none"/>
        </w:rPr>
        <w:t xml:space="preserve"> et </w:t>
      </w:r>
      <w:hyperlink r:id="rId13" w:history="1">
        <w:r>
          <w:rPr>
            <w:rStyle w:val="Hyperlink"/>
          </w:rPr>
          <w:t>12.COM 3</w:t>
        </w:r>
      </w:hyperlink>
      <w:r>
        <w:rPr>
          <w:u w:val="none"/>
        </w:rPr>
        <w:t>,</w:t>
      </w:r>
    </w:p>
    <w:p w14:paraId="6C8FE475" w14:textId="564760D2" w:rsidR="00B37847" w:rsidRPr="00B011B3" w:rsidRDefault="00B37847" w:rsidP="00DE42A9">
      <w:pPr>
        <w:pStyle w:val="COMParaDecision"/>
      </w:pPr>
      <w:r>
        <w:t>Prend note</w:t>
      </w:r>
      <w:r>
        <w:rPr>
          <w:u w:val="none"/>
        </w:rPr>
        <w:t xml:space="preserve"> des observateurs autorisés à participer à sa treizième session en vertu des décisions susmentionnées :</w:t>
      </w:r>
    </w:p>
    <w:p w14:paraId="673C4208" w14:textId="77777777" w:rsidR="00B37847" w:rsidRPr="00A0574C" w:rsidRDefault="00B37847" w:rsidP="00B37847">
      <w:pPr>
        <w:pStyle w:val="COMParaDecision"/>
        <w:numPr>
          <w:ilvl w:val="0"/>
          <w:numId w:val="13"/>
        </w:numPr>
        <w:rPr>
          <w:u w:val="none"/>
        </w:rPr>
      </w:pPr>
      <w:r>
        <w:rPr>
          <w:u w:val="none"/>
        </w:rPr>
        <w:t>l’Organisation arabe pour l’éducation, la culture et les sciences (ALECSO) ;</w:t>
      </w:r>
    </w:p>
    <w:p w14:paraId="0DBE0B8B" w14:textId="77777777" w:rsidR="0057439C" w:rsidRPr="00A0574C" w:rsidRDefault="00B37847" w:rsidP="00B37847">
      <w:pPr>
        <w:pStyle w:val="COMParaDecision"/>
        <w:numPr>
          <w:ilvl w:val="0"/>
          <w:numId w:val="13"/>
        </w:numPr>
        <w:rPr>
          <w:u w:val="none"/>
        </w:rPr>
      </w:pPr>
      <w:r>
        <w:rPr>
          <w:u w:val="none"/>
        </w:rPr>
        <w:t>le Centre international de recherche et de documentation sur les traditions et les langues africaines (CERDOTOLA) ;</w:t>
      </w:r>
    </w:p>
    <w:p w14:paraId="4ECD96C8" w14:textId="77777777" w:rsidR="00B011B3" w:rsidRDefault="00B011B3" w:rsidP="00B37847">
      <w:pPr>
        <w:pStyle w:val="COMParaDecision"/>
        <w:numPr>
          <w:ilvl w:val="0"/>
          <w:numId w:val="13"/>
        </w:numPr>
        <w:rPr>
          <w:u w:val="none"/>
        </w:rPr>
      </w:pPr>
      <w:r>
        <w:rPr>
          <w:u w:val="none"/>
        </w:rPr>
        <w:t>le Conseil international de la chasse et de la conservation du gibier (CIC) ;</w:t>
      </w:r>
    </w:p>
    <w:p w14:paraId="401E54D7" w14:textId="77777777" w:rsidR="00DE42A9" w:rsidRPr="00A0574C" w:rsidRDefault="00DE42A9" w:rsidP="00B37847">
      <w:pPr>
        <w:pStyle w:val="COMParaDecision"/>
        <w:numPr>
          <w:ilvl w:val="0"/>
          <w:numId w:val="13"/>
        </w:numPr>
        <w:rPr>
          <w:u w:val="none"/>
        </w:rPr>
      </w:pPr>
      <w:r>
        <w:rPr>
          <w:u w:val="none"/>
        </w:rPr>
        <w:t>le Centre du commerce africain (ATC) ;</w:t>
      </w:r>
    </w:p>
    <w:p w14:paraId="66A9A24E" w14:textId="7BB2A6DB" w:rsidR="0053318C" w:rsidRDefault="002C09E3" w:rsidP="005968B2">
      <w:pPr>
        <w:pStyle w:val="COMParaDecision"/>
      </w:pPr>
      <w:r>
        <w:t>Autorise</w:t>
      </w:r>
      <w:r>
        <w:rPr>
          <w:u w:val="none"/>
        </w:rPr>
        <w:t xml:space="preserve"> la participation d</w:t>
      </w:r>
      <w:r w:rsidR="00DD18D1">
        <w:rPr>
          <w:u w:val="none"/>
        </w:rPr>
        <w:t>u</w:t>
      </w:r>
      <w:r>
        <w:rPr>
          <w:u w:val="none"/>
        </w:rPr>
        <w:t xml:space="preserve"> </w:t>
      </w:r>
      <w:r w:rsidR="00DD18D1" w:rsidRPr="00DD18D1">
        <w:rPr>
          <w:u w:val="none"/>
        </w:rPr>
        <w:t>Centre pour la culture noire et la compréhension internationale (CBCIU)</w:t>
      </w:r>
      <w:r>
        <w:rPr>
          <w:u w:val="none"/>
        </w:rPr>
        <w:t xml:space="preserve">, en qualité d’observateur, </w:t>
      </w:r>
      <w:r w:rsidR="00DD18D1" w:rsidRPr="00DD18D1">
        <w:rPr>
          <w:u w:val="none"/>
        </w:rPr>
        <w:t>à</w:t>
      </w:r>
      <w:r w:rsidR="00DD18D1">
        <w:rPr>
          <w:u w:val="none"/>
        </w:rPr>
        <w:t xml:space="preserve"> la</w:t>
      </w:r>
      <w:r>
        <w:rPr>
          <w:u w:val="none"/>
        </w:rPr>
        <w:t xml:space="preserve"> </w:t>
      </w:r>
      <w:r w:rsidRPr="001A5155">
        <w:rPr>
          <w:u w:val="none"/>
        </w:rPr>
        <w:t>quatorzième</w:t>
      </w:r>
      <w:r>
        <w:rPr>
          <w:u w:val="none"/>
        </w:rPr>
        <w:t xml:space="preserve"> session du </w:t>
      </w:r>
      <w:r w:rsidR="005968B2">
        <w:rPr>
          <w:u w:val="none"/>
        </w:rPr>
        <w:t>C</w:t>
      </w:r>
      <w:r>
        <w:rPr>
          <w:u w:val="none"/>
        </w:rPr>
        <w:t>omité.</w:t>
      </w:r>
    </w:p>
    <w:sectPr w:rsidR="0053318C" w:rsidSect="00655736">
      <w:headerReference w:type="even" r:id="rId14"/>
      <w:headerReference w:type="default" r:id="rId15"/>
      <w:headerReference w:type="first" r:id="rId16"/>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E1E01" w14:textId="77777777" w:rsidR="00CB0542" w:rsidRDefault="00CB0542" w:rsidP="00655736">
      <w:r>
        <w:separator/>
      </w:r>
    </w:p>
  </w:endnote>
  <w:endnote w:type="continuationSeparator" w:id="0">
    <w:p w14:paraId="41E77F83" w14:textId="77777777" w:rsidR="00CB0542" w:rsidRDefault="00CB0542"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6E727" w14:textId="77777777" w:rsidR="00CB0542" w:rsidRDefault="00CB0542" w:rsidP="00655736">
      <w:r>
        <w:separator/>
      </w:r>
    </w:p>
  </w:footnote>
  <w:footnote w:type="continuationSeparator" w:id="0">
    <w:p w14:paraId="0F51265E" w14:textId="77777777" w:rsidR="00CB0542" w:rsidRDefault="00CB0542"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099C5" w14:textId="5E91B390" w:rsidR="00D95C4C" w:rsidRPr="00C23A97" w:rsidRDefault="00CB0542" w:rsidP="009E1FBF">
    <w:pPr>
      <w:pStyle w:val="Header"/>
      <w:rPr>
        <w:rFonts w:ascii="Arial" w:hAnsi="Arial" w:cs="Arial"/>
      </w:rPr>
    </w:pPr>
    <w:r>
      <w:rPr>
        <w:rFonts w:ascii="Arial" w:hAnsi="Arial"/>
        <w:sz w:val="20"/>
        <w:szCs w:val="20"/>
      </w:rPr>
      <w:t xml:space="preserve">ITH/18/13.COM/3 – page </w:t>
    </w:r>
    <w:r w:rsidR="00D95C4C" w:rsidRPr="00C23A97">
      <w:rPr>
        <w:rStyle w:val="PageNumber"/>
        <w:rFonts w:ascii="Arial" w:hAnsi="Arial" w:cs="Arial"/>
        <w:sz w:val="20"/>
        <w:szCs w:val="20"/>
      </w:rPr>
      <w:fldChar w:fldCharType="begin"/>
    </w:r>
    <w:r w:rsidR="00D95C4C" w:rsidRPr="00C23A97">
      <w:rPr>
        <w:rStyle w:val="PageNumber"/>
        <w:rFonts w:ascii="Arial" w:hAnsi="Arial" w:cs="Arial"/>
        <w:sz w:val="20"/>
        <w:szCs w:val="20"/>
      </w:rPr>
      <w:instrText xml:space="preserve"> PAGE </w:instrText>
    </w:r>
    <w:r w:rsidR="00D95C4C" w:rsidRPr="00C23A97">
      <w:rPr>
        <w:rStyle w:val="PageNumber"/>
        <w:rFonts w:ascii="Arial" w:hAnsi="Arial" w:cs="Arial"/>
        <w:sz w:val="20"/>
        <w:szCs w:val="20"/>
      </w:rPr>
      <w:fldChar w:fldCharType="separate"/>
    </w:r>
    <w:r w:rsidR="00CC604B">
      <w:rPr>
        <w:rStyle w:val="PageNumber"/>
        <w:rFonts w:ascii="Arial" w:hAnsi="Arial" w:cs="Arial"/>
        <w:noProof/>
        <w:sz w:val="20"/>
        <w:szCs w:val="20"/>
      </w:rPr>
      <w:t>2</w:t>
    </w:r>
    <w:r w:rsidR="00D95C4C" w:rsidRPr="00C23A97">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DEC4E" w14:textId="77777777" w:rsidR="00D95C4C" w:rsidRPr="0063300C" w:rsidRDefault="0053318C" w:rsidP="0063300C">
    <w:pPr>
      <w:pStyle w:val="Header"/>
      <w:jc w:val="right"/>
      <w:rPr>
        <w:rFonts w:ascii="Arial" w:hAnsi="Arial" w:cs="Arial"/>
      </w:rPr>
    </w:pPr>
    <w:r>
      <w:rPr>
        <w:rFonts w:ascii="Arial" w:hAnsi="Arial"/>
        <w:sz w:val="20"/>
        <w:szCs w:val="20"/>
      </w:rPr>
      <w:t>ITH/17/12.COM/</w:t>
    </w:r>
    <w:r>
      <w:rPr>
        <w:rFonts w:ascii="Arial" w:hAnsi="Arial"/>
        <w:sz w:val="20"/>
        <w:szCs w:val="20"/>
        <w:highlight w:val="yellow"/>
      </w:rPr>
      <w:t>xxx</w:t>
    </w:r>
    <w:r>
      <w:rPr>
        <w:rFonts w:ascii="Arial" w:hAnsi="Arial"/>
        <w:sz w:val="20"/>
        <w:szCs w:val="20"/>
      </w:rPr>
      <w:t xml:space="preserve"> – page </w:t>
    </w:r>
    <w:r w:rsidR="004A34A0" w:rsidRPr="0063300C">
      <w:rPr>
        <w:rStyle w:val="PageNumber"/>
        <w:rFonts w:ascii="Arial" w:hAnsi="Arial" w:cs="Arial"/>
        <w:sz w:val="20"/>
        <w:szCs w:val="20"/>
      </w:rPr>
      <w:fldChar w:fldCharType="begin"/>
    </w:r>
    <w:r w:rsidR="004A34A0" w:rsidRPr="0063300C">
      <w:rPr>
        <w:rStyle w:val="PageNumber"/>
        <w:rFonts w:ascii="Arial" w:hAnsi="Arial" w:cs="Arial"/>
        <w:sz w:val="20"/>
        <w:szCs w:val="20"/>
      </w:rPr>
      <w:instrText xml:space="preserve"> PAGE </w:instrText>
    </w:r>
    <w:r w:rsidR="004A34A0" w:rsidRPr="0063300C">
      <w:rPr>
        <w:rStyle w:val="PageNumber"/>
        <w:rFonts w:ascii="Arial" w:hAnsi="Arial" w:cs="Arial"/>
        <w:sz w:val="20"/>
        <w:szCs w:val="20"/>
      </w:rPr>
      <w:fldChar w:fldCharType="separate"/>
    </w:r>
    <w:r>
      <w:rPr>
        <w:rStyle w:val="PageNumber"/>
        <w:rFonts w:ascii="Arial" w:hAnsi="Arial" w:cs="Arial"/>
        <w:sz w:val="20"/>
        <w:szCs w:val="20"/>
      </w:rPr>
      <w:t>3</w:t>
    </w:r>
    <w:r w:rsidR="004A34A0" w:rsidRPr="0063300C">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6AE21" w14:textId="464201F0" w:rsidR="00D95C4C" w:rsidRPr="00CC604B" w:rsidRDefault="00DD18D1">
    <w:pPr>
      <w:pStyle w:val="Header"/>
      <w:rPr>
        <w:sz w:val="22"/>
        <w:szCs w:val="22"/>
      </w:rPr>
    </w:pPr>
    <w:r w:rsidRPr="00CC604B">
      <w:rPr>
        <w:noProof/>
        <w:sz w:val="22"/>
        <w:szCs w:val="22"/>
        <w:lang w:val="en-US" w:eastAsia="ko-KR"/>
      </w:rPr>
      <w:drawing>
        <wp:anchor distT="0" distB="0" distL="114300" distR="114300" simplePos="0" relativeHeight="251659264" behindDoc="0" locked="0" layoutInCell="1" allowOverlap="1" wp14:anchorId="6D512854" wp14:editId="4EE1D9EE">
          <wp:simplePos x="0" y="0"/>
          <wp:positionH relativeFrom="page">
            <wp:posOffset>342265</wp:posOffset>
          </wp:positionH>
          <wp:positionV relativeFrom="page">
            <wp:posOffset>255905</wp:posOffset>
          </wp:positionV>
          <wp:extent cx="2037600" cy="1530000"/>
          <wp:effectExtent l="0" t="0" r="1270" b="0"/>
          <wp:wrapNone/>
          <wp:docPr id="1"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D2FFE0" w14:textId="77777777" w:rsidR="00D95C4C" w:rsidRPr="00B6798A" w:rsidRDefault="00337CEB" w:rsidP="009E1FBF">
    <w:pPr>
      <w:pStyle w:val="Header"/>
      <w:spacing w:after="520"/>
      <w:jc w:val="right"/>
      <w:rPr>
        <w:rFonts w:ascii="Arial" w:hAnsi="Arial" w:cs="Arial"/>
        <w:b/>
        <w:sz w:val="44"/>
        <w:szCs w:val="44"/>
        <w:lang w:val="en-US"/>
      </w:rPr>
    </w:pPr>
    <w:r w:rsidRPr="00B6798A">
      <w:rPr>
        <w:rFonts w:ascii="Arial" w:hAnsi="Arial"/>
        <w:b/>
        <w:sz w:val="44"/>
        <w:szCs w:val="44"/>
        <w:lang w:val="en-US"/>
      </w:rPr>
      <w:t>13 COM</w:t>
    </w:r>
  </w:p>
  <w:p w14:paraId="7FAF370C" w14:textId="77777777" w:rsidR="00D95C4C" w:rsidRPr="00B6798A" w:rsidRDefault="00337CEB" w:rsidP="009E1FBF">
    <w:pPr>
      <w:jc w:val="right"/>
      <w:rPr>
        <w:rFonts w:ascii="Arial" w:hAnsi="Arial" w:cs="Arial"/>
        <w:b/>
        <w:sz w:val="22"/>
        <w:szCs w:val="22"/>
        <w:lang w:val="en-US"/>
      </w:rPr>
    </w:pPr>
    <w:r w:rsidRPr="00B6798A">
      <w:rPr>
        <w:rFonts w:ascii="Arial" w:hAnsi="Arial"/>
        <w:b/>
        <w:sz w:val="22"/>
        <w:szCs w:val="22"/>
        <w:lang w:val="en-US"/>
      </w:rPr>
      <w:t>ITH/18/13.COM/3</w:t>
    </w:r>
  </w:p>
  <w:p w14:paraId="7FDFBF2B" w14:textId="6B8807B3" w:rsidR="00D95C4C" w:rsidRPr="00B6798A" w:rsidRDefault="00CC604B" w:rsidP="00CC604B">
    <w:pPr>
      <w:jc w:val="right"/>
      <w:rPr>
        <w:rFonts w:ascii="Arial" w:eastAsiaTheme="minorEastAsia" w:hAnsi="Arial" w:cs="Arial"/>
        <w:b/>
        <w:sz w:val="22"/>
        <w:szCs w:val="22"/>
        <w:lang w:val="en-US"/>
      </w:rPr>
    </w:pPr>
    <w:r>
      <w:rPr>
        <w:rFonts w:ascii="Arial" w:hAnsi="Arial"/>
        <w:b/>
        <w:sz w:val="22"/>
        <w:szCs w:val="22"/>
        <w:lang w:val="en-US"/>
      </w:rPr>
      <w:t>Paris, le 29</w:t>
    </w:r>
    <w:r w:rsidR="00D95C4C" w:rsidRPr="00B6798A">
      <w:rPr>
        <w:rFonts w:ascii="Arial" w:hAnsi="Arial"/>
        <w:b/>
        <w:sz w:val="22"/>
        <w:szCs w:val="22"/>
        <w:lang w:val="en-US"/>
      </w:rPr>
      <w:t xml:space="preserve"> </w:t>
    </w:r>
    <w:r w:rsidRPr="00CC604B">
      <w:rPr>
        <w:rFonts w:ascii="Arial" w:hAnsi="Arial"/>
        <w:b/>
        <w:sz w:val="22"/>
        <w:szCs w:val="22"/>
      </w:rPr>
      <w:t>octobre</w:t>
    </w:r>
    <w:r w:rsidR="00D95C4C" w:rsidRPr="00B6798A">
      <w:rPr>
        <w:rFonts w:ascii="Arial" w:hAnsi="Arial"/>
        <w:b/>
        <w:sz w:val="22"/>
        <w:szCs w:val="22"/>
        <w:lang w:val="en-US"/>
      </w:rPr>
      <w:t> 2018</w:t>
    </w:r>
  </w:p>
  <w:p w14:paraId="45B5BF8B" w14:textId="77777777" w:rsidR="00D95C4C" w:rsidRPr="00F32C23" w:rsidRDefault="00D95C4C" w:rsidP="000048ED">
    <w:pPr>
      <w:jc w:val="right"/>
      <w:rPr>
        <w:rFonts w:ascii="Arial" w:hAnsi="Arial" w:cs="Arial"/>
        <w:b/>
        <w:sz w:val="22"/>
        <w:szCs w:val="22"/>
      </w:rPr>
    </w:pPr>
    <w:r>
      <w:rPr>
        <w:rFonts w:ascii="Arial" w:hAnsi="Arial"/>
        <w:b/>
        <w:sz w:val="22"/>
        <w:szCs w:val="22"/>
      </w:rPr>
      <w:t>Original : anglais</w:t>
    </w:r>
  </w:p>
  <w:p w14:paraId="68821920" w14:textId="77777777" w:rsidR="00D95C4C" w:rsidRPr="00CC604B" w:rsidRDefault="00D95C4C">
    <w:pPr>
      <w:pStyle w:val="Header"/>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8"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9" w15:restartNumberingAfterBreak="0">
    <w:nsid w:val="520A0815"/>
    <w:multiLevelType w:val="hybridMultilevel"/>
    <w:tmpl w:val="5B7886E6"/>
    <w:lvl w:ilvl="0" w:tplc="2BB8A730">
      <w:start w:val="4"/>
      <w:numFmt w:val="bullet"/>
      <w:lvlText w:val="-"/>
      <w:lvlJc w:val="left"/>
      <w:pPr>
        <w:ind w:left="1494" w:hanging="360"/>
      </w:pPr>
      <w:rPr>
        <w:rFonts w:ascii="Arial" w:eastAsia="SimSu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0"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1"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4"/>
  </w:num>
  <w:num w:numId="3">
    <w:abstractNumId w:val="1"/>
  </w:num>
  <w:num w:numId="4">
    <w:abstractNumId w:val="12"/>
  </w:num>
  <w:num w:numId="5">
    <w:abstractNumId w:val="11"/>
  </w:num>
  <w:num w:numId="6">
    <w:abstractNumId w:val="0"/>
  </w:num>
  <w:num w:numId="7">
    <w:abstractNumId w:val="2"/>
  </w:num>
  <w:num w:numId="8">
    <w:abstractNumId w:val="8"/>
  </w:num>
  <w:num w:numId="9">
    <w:abstractNumId w:val="3"/>
  </w:num>
  <w:num w:numId="10">
    <w:abstractNumId w:val="5"/>
  </w:num>
  <w:num w:numId="11">
    <w:abstractNumId w:val="7"/>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42"/>
    <w:rsid w:val="000048ED"/>
    <w:rsid w:val="00014101"/>
    <w:rsid w:val="00041A66"/>
    <w:rsid w:val="0005176E"/>
    <w:rsid w:val="000765F7"/>
    <w:rsid w:val="00077AB7"/>
    <w:rsid w:val="00081CD8"/>
    <w:rsid w:val="000A7F0E"/>
    <w:rsid w:val="000B1C8F"/>
    <w:rsid w:val="000C0D61"/>
    <w:rsid w:val="000F3A3F"/>
    <w:rsid w:val="00102557"/>
    <w:rsid w:val="0011159E"/>
    <w:rsid w:val="00164D56"/>
    <w:rsid w:val="00167B10"/>
    <w:rsid w:val="0017402F"/>
    <w:rsid w:val="00196C1B"/>
    <w:rsid w:val="001A5155"/>
    <w:rsid w:val="001B02A8"/>
    <w:rsid w:val="001B0F73"/>
    <w:rsid w:val="001C2DB7"/>
    <w:rsid w:val="001D5C04"/>
    <w:rsid w:val="001F26CF"/>
    <w:rsid w:val="00215E4D"/>
    <w:rsid w:val="00222A2D"/>
    <w:rsid w:val="00223029"/>
    <w:rsid w:val="00234745"/>
    <w:rsid w:val="002407AF"/>
    <w:rsid w:val="0027466B"/>
    <w:rsid w:val="002838A5"/>
    <w:rsid w:val="00285BB4"/>
    <w:rsid w:val="002C09E3"/>
    <w:rsid w:val="002D1C85"/>
    <w:rsid w:val="00337CEB"/>
    <w:rsid w:val="00344B58"/>
    <w:rsid w:val="0034539A"/>
    <w:rsid w:val="00345CB4"/>
    <w:rsid w:val="00345DD7"/>
    <w:rsid w:val="00375D42"/>
    <w:rsid w:val="003B2FA2"/>
    <w:rsid w:val="003D069C"/>
    <w:rsid w:val="003D7646"/>
    <w:rsid w:val="003E297E"/>
    <w:rsid w:val="003F113A"/>
    <w:rsid w:val="003F3E63"/>
    <w:rsid w:val="00407480"/>
    <w:rsid w:val="00414643"/>
    <w:rsid w:val="00422735"/>
    <w:rsid w:val="004421E5"/>
    <w:rsid w:val="00452284"/>
    <w:rsid w:val="00457C8E"/>
    <w:rsid w:val="004856CA"/>
    <w:rsid w:val="00487E67"/>
    <w:rsid w:val="0049705E"/>
    <w:rsid w:val="004A34A0"/>
    <w:rsid w:val="004B024D"/>
    <w:rsid w:val="004F3807"/>
    <w:rsid w:val="005008A8"/>
    <w:rsid w:val="0051680B"/>
    <w:rsid w:val="00526B7B"/>
    <w:rsid w:val="005308CE"/>
    <w:rsid w:val="0053318C"/>
    <w:rsid w:val="00555E55"/>
    <w:rsid w:val="0057439C"/>
    <w:rsid w:val="005968B2"/>
    <w:rsid w:val="005B0127"/>
    <w:rsid w:val="005B7A35"/>
    <w:rsid w:val="005C4B73"/>
    <w:rsid w:val="005E1D2B"/>
    <w:rsid w:val="005E7074"/>
    <w:rsid w:val="005F2BAF"/>
    <w:rsid w:val="00600D93"/>
    <w:rsid w:val="0063300C"/>
    <w:rsid w:val="00655736"/>
    <w:rsid w:val="00663B8D"/>
    <w:rsid w:val="0067311F"/>
    <w:rsid w:val="006862D8"/>
    <w:rsid w:val="00696C8D"/>
    <w:rsid w:val="006A2AC2"/>
    <w:rsid w:val="006A3617"/>
    <w:rsid w:val="006C2A28"/>
    <w:rsid w:val="006C7589"/>
    <w:rsid w:val="006E46E4"/>
    <w:rsid w:val="00717DA5"/>
    <w:rsid w:val="00744484"/>
    <w:rsid w:val="00747566"/>
    <w:rsid w:val="00773188"/>
    <w:rsid w:val="00783782"/>
    <w:rsid w:val="00784B8C"/>
    <w:rsid w:val="007879E1"/>
    <w:rsid w:val="00792D9A"/>
    <w:rsid w:val="007B2290"/>
    <w:rsid w:val="007C112C"/>
    <w:rsid w:val="00823A11"/>
    <w:rsid w:val="0085405E"/>
    <w:rsid w:val="0085414A"/>
    <w:rsid w:val="0086269D"/>
    <w:rsid w:val="0086543A"/>
    <w:rsid w:val="008724E5"/>
    <w:rsid w:val="00884A9D"/>
    <w:rsid w:val="0088512B"/>
    <w:rsid w:val="008A2B2D"/>
    <w:rsid w:val="008A4E1E"/>
    <w:rsid w:val="008C296C"/>
    <w:rsid w:val="008D4305"/>
    <w:rsid w:val="008E1A85"/>
    <w:rsid w:val="009163A7"/>
    <w:rsid w:val="0093110F"/>
    <w:rsid w:val="00946D0B"/>
    <w:rsid w:val="00955877"/>
    <w:rsid w:val="009A18CD"/>
    <w:rsid w:val="009D5428"/>
    <w:rsid w:val="009D74A1"/>
    <w:rsid w:val="009E1FBF"/>
    <w:rsid w:val="00A0574C"/>
    <w:rsid w:val="00A12558"/>
    <w:rsid w:val="00A13903"/>
    <w:rsid w:val="00A34ED5"/>
    <w:rsid w:val="00A45DBF"/>
    <w:rsid w:val="00A63C58"/>
    <w:rsid w:val="00A755A2"/>
    <w:rsid w:val="00AA59E2"/>
    <w:rsid w:val="00AA6660"/>
    <w:rsid w:val="00AB2C36"/>
    <w:rsid w:val="00AB6DDE"/>
    <w:rsid w:val="00AB70B6"/>
    <w:rsid w:val="00AD1A86"/>
    <w:rsid w:val="00AE103E"/>
    <w:rsid w:val="00AF0A07"/>
    <w:rsid w:val="00AF4AEC"/>
    <w:rsid w:val="00AF625E"/>
    <w:rsid w:val="00B011B3"/>
    <w:rsid w:val="00B37847"/>
    <w:rsid w:val="00B6798A"/>
    <w:rsid w:val="00BB04AF"/>
    <w:rsid w:val="00BB6509"/>
    <w:rsid w:val="00BD52C9"/>
    <w:rsid w:val="00BE473C"/>
    <w:rsid w:val="00BE6354"/>
    <w:rsid w:val="00C138D1"/>
    <w:rsid w:val="00C23A97"/>
    <w:rsid w:val="00C64855"/>
    <w:rsid w:val="00C70EA7"/>
    <w:rsid w:val="00C7433F"/>
    <w:rsid w:val="00C7516E"/>
    <w:rsid w:val="00C75770"/>
    <w:rsid w:val="00CA56BB"/>
    <w:rsid w:val="00CB0542"/>
    <w:rsid w:val="00CC211D"/>
    <w:rsid w:val="00CC604B"/>
    <w:rsid w:val="00CD0943"/>
    <w:rsid w:val="00D00B2B"/>
    <w:rsid w:val="00D24877"/>
    <w:rsid w:val="00D8250F"/>
    <w:rsid w:val="00D95C4C"/>
    <w:rsid w:val="00DA36ED"/>
    <w:rsid w:val="00DD18D1"/>
    <w:rsid w:val="00DE34F1"/>
    <w:rsid w:val="00DE42A9"/>
    <w:rsid w:val="00DE6160"/>
    <w:rsid w:val="00DF4942"/>
    <w:rsid w:val="00E244E1"/>
    <w:rsid w:val="00E627B1"/>
    <w:rsid w:val="00E70169"/>
    <w:rsid w:val="00E9376C"/>
    <w:rsid w:val="00EA335E"/>
    <w:rsid w:val="00EA528C"/>
    <w:rsid w:val="00EA580C"/>
    <w:rsid w:val="00EC6F8D"/>
    <w:rsid w:val="00ED67BC"/>
    <w:rsid w:val="00EE49F4"/>
    <w:rsid w:val="00EF34E2"/>
    <w:rsid w:val="00F14292"/>
    <w:rsid w:val="00F30DC6"/>
    <w:rsid w:val="00F32C23"/>
    <w:rsid w:val="00F457A8"/>
    <w:rsid w:val="00F53DE9"/>
    <w:rsid w:val="00F57571"/>
    <w:rsid w:val="00F576CB"/>
    <w:rsid w:val="00F7035D"/>
    <w:rsid w:val="00F71A02"/>
    <w:rsid w:val="00F82E19"/>
    <w:rsid w:val="00FA0D63"/>
    <w:rsid w:val="00FB2F3D"/>
    <w:rsid w:val="00FD1226"/>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8B8A9B6"/>
  <w15:docId w15:val="{2D9AE95E-5789-4B8F-99A1-06F3B279C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fr-FR"/>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fr-FR"/>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fr-FR"/>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ind w:left="567" w:hanging="567"/>
    </w:pPr>
    <w:rPr>
      <w:rFonts w:ascii="Arial" w:eastAsia="Times New Roman" w:hAnsi="Arial" w:cs="Arial"/>
      <w:snapToGrid w:val="0"/>
      <w:sz w:val="22"/>
      <w:szCs w:val="22"/>
      <w:lang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rPr>
  </w:style>
  <w:style w:type="character" w:styleId="Hyperlink">
    <w:name w:val="Hyperlink"/>
    <w:basedOn w:val="DefaultParagraphFont"/>
    <w:uiPriority w:val="99"/>
    <w:unhideWhenUsed/>
    <w:rsid w:val="00B37847"/>
    <w:rPr>
      <w:color w:val="0000FF" w:themeColor="hyperlink"/>
      <w:u w:val="single"/>
    </w:rPr>
  </w:style>
  <w:style w:type="character" w:styleId="FollowedHyperlink">
    <w:name w:val="FollowedHyperlink"/>
    <w:basedOn w:val="DefaultParagraphFont"/>
    <w:uiPriority w:val="99"/>
    <w:semiHidden/>
    <w:unhideWhenUsed/>
    <w:rsid w:val="00B011B3"/>
    <w:rPr>
      <w:color w:val="800080" w:themeColor="followedHyperlink"/>
      <w:u w:val="single"/>
    </w:rPr>
  </w:style>
  <w:style w:type="character" w:styleId="CommentReference">
    <w:name w:val="annotation reference"/>
    <w:basedOn w:val="DefaultParagraphFont"/>
    <w:uiPriority w:val="99"/>
    <w:semiHidden/>
    <w:unhideWhenUsed/>
    <w:rsid w:val="00AA59E2"/>
    <w:rPr>
      <w:sz w:val="16"/>
      <w:szCs w:val="16"/>
    </w:rPr>
  </w:style>
  <w:style w:type="paragraph" w:styleId="CommentText">
    <w:name w:val="annotation text"/>
    <w:basedOn w:val="Normal"/>
    <w:link w:val="CommentTextChar"/>
    <w:uiPriority w:val="99"/>
    <w:semiHidden/>
    <w:unhideWhenUsed/>
    <w:rsid w:val="00AA59E2"/>
    <w:rPr>
      <w:sz w:val="20"/>
      <w:szCs w:val="20"/>
    </w:rPr>
  </w:style>
  <w:style w:type="character" w:customStyle="1" w:styleId="CommentTextChar">
    <w:name w:val="Comment Text Char"/>
    <w:basedOn w:val="DefaultParagraphFont"/>
    <w:link w:val="CommentText"/>
    <w:uiPriority w:val="99"/>
    <w:semiHidden/>
    <w:rsid w:val="00AA59E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A59E2"/>
    <w:rPr>
      <w:b/>
      <w:bCs/>
    </w:rPr>
  </w:style>
  <w:style w:type="character" w:customStyle="1" w:styleId="CommentSubjectChar">
    <w:name w:val="Comment Subject Char"/>
    <w:basedOn w:val="CommentTextChar"/>
    <w:link w:val="CommentSubject"/>
    <w:uiPriority w:val="99"/>
    <w:semiHidden/>
    <w:rsid w:val="00AA59E2"/>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decisions/10.COM/3" TargetMode="External"/><Relationship Id="rId13" Type="http://schemas.openxmlformats.org/officeDocument/2006/relationships/hyperlink" Target="https://ich.unesco.org/fr/Decisions/12.COM/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h.unesco.org/fr/Decisions/11.COM/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fr/decisions/10.COM/3"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ich.unesco.org/fr/Decisions/12.COM/3" TargetMode="External"/><Relationship Id="rId4" Type="http://schemas.openxmlformats.org/officeDocument/2006/relationships/settings" Target="settings.xml"/><Relationship Id="rId9" Type="http://schemas.openxmlformats.org/officeDocument/2006/relationships/hyperlink" Target="https://ich.unesco.org/fr/Decisions/11.COM/3"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A7EBA-4B98-4D4D-B4A0-0A0C5583F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23</TotalTime>
  <Pages>2</Pages>
  <Words>542</Words>
  <Characters>3094</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Shin, Eunkyung</cp:lastModifiedBy>
  <cp:revision>13</cp:revision>
  <cp:lastPrinted>2017-10-17T12:37:00Z</cp:lastPrinted>
  <dcterms:created xsi:type="dcterms:W3CDTF">2018-08-17T10:10:00Z</dcterms:created>
  <dcterms:modified xsi:type="dcterms:W3CDTF">2018-10-24T13:41:00Z</dcterms:modified>
</cp:coreProperties>
</file>