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E9611" w14:textId="0A96CF89"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w:t>
      </w:r>
      <w:r w:rsidR="005E778C">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184FE12C"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4B7E040A"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3C6DD02B"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5BD7E7F9"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04EB19F2" w14:textId="77777777" w:rsidR="00EC6F8D" w:rsidRPr="00293C60" w:rsidRDefault="00EC6F8D" w:rsidP="00EC6F8D">
      <w:pPr>
        <w:pStyle w:val="Sansinterligne2"/>
        <w:spacing w:before="1200"/>
        <w:jc w:val="center"/>
        <w:rPr>
          <w:rFonts w:ascii="Arial" w:hAnsi="Arial" w:cs="Arial"/>
          <w:b/>
          <w:sz w:val="22"/>
          <w:szCs w:val="22"/>
          <w:lang w:val="en-GB"/>
        </w:rPr>
      </w:pPr>
      <w:r w:rsidRPr="00992B89">
        <w:rPr>
          <w:rFonts w:ascii="Arial" w:hAnsi="Arial" w:cs="Arial"/>
          <w:b/>
          <w:sz w:val="22"/>
          <w:szCs w:val="22"/>
          <w:u w:val="single"/>
          <w:lang w:val="en-GB"/>
        </w:rPr>
        <w:t xml:space="preserve">Item </w:t>
      </w:r>
      <w:r w:rsidR="00992B89" w:rsidRPr="00992B89">
        <w:rPr>
          <w:rFonts w:ascii="Arial" w:hAnsi="Arial" w:cs="Arial"/>
          <w:b/>
          <w:sz w:val="22"/>
          <w:szCs w:val="22"/>
          <w:u w:val="single"/>
          <w:lang w:val="en-GB"/>
        </w:rPr>
        <w:t>17</w:t>
      </w:r>
      <w:r w:rsidRPr="00992B89">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4A4F0E43" w14:textId="3B1C2946" w:rsidR="00EC6F8D" w:rsidRPr="00293C60" w:rsidRDefault="00910B30" w:rsidP="00AC000C">
      <w:pPr>
        <w:pStyle w:val="Sansinterligne2"/>
        <w:spacing w:after="1200"/>
        <w:jc w:val="center"/>
        <w:rPr>
          <w:rFonts w:ascii="Arial" w:hAnsi="Arial" w:cs="Arial"/>
          <w:b/>
          <w:sz w:val="22"/>
          <w:szCs w:val="22"/>
          <w:lang w:val="en-GB"/>
        </w:rPr>
      </w:pPr>
      <w:r w:rsidRPr="00910B30">
        <w:rPr>
          <w:rFonts w:ascii="Arial" w:hAnsi="Arial" w:cs="Arial"/>
          <w:b/>
          <w:sz w:val="22"/>
          <w:szCs w:val="22"/>
          <w:lang w:val="en-GB"/>
        </w:rPr>
        <w:t xml:space="preserve">Follow-up on </w:t>
      </w:r>
      <w:r w:rsidR="00FE31A1">
        <w:rPr>
          <w:rFonts w:ascii="Arial" w:hAnsi="Arial" w:cs="Arial"/>
          <w:b/>
          <w:sz w:val="22"/>
          <w:szCs w:val="22"/>
          <w:lang w:val="en-GB"/>
        </w:rPr>
        <w:t xml:space="preserve">the </w:t>
      </w:r>
      <w:r w:rsidRPr="00910B30">
        <w:rPr>
          <w:rFonts w:ascii="Arial" w:hAnsi="Arial" w:cs="Arial"/>
          <w:b/>
          <w:sz w:val="22"/>
          <w:szCs w:val="22"/>
          <w:lang w:val="en-GB"/>
        </w:rPr>
        <w:t xml:space="preserve">implementation of </w:t>
      </w:r>
      <w:r w:rsidR="00AC000C">
        <w:rPr>
          <w:rFonts w:ascii="Arial" w:hAnsi="Arial" w:cs="Arial"/>
          <w:b/>
          <w:sz w:val="22"/>
          <w:szCs w:val="22"/>
          <w:lang w:val="en-GB"/>
        </w:rPr>
        <w:t>the relevant recommendations of</w:t>
      </w:r>
      <w:r w:rsidR="00AC000C">
        <w:rPr>
          <w:rFonts w:ascii="Arial" w:hAnsi="Arial" w:cs="Arial"/>
          <w:b/>
          <w:sz w:val="22"/>
          <w:szCs w:val="22"/>
          <w:lang w:val="en-GB"/>
        </w:rPr>
        <w:br/>
      </w:r>
      <w:r w:rsidRPr="00910B30">
        <w:rPr>
          <w:rFonts w:ascii="Arial" w:hAnsi="Arial" w:cs="Arial"/>
          <w:b/>
          <w:sz w:val="22"/>
          <w:szCs w:val="22"/>
          <w:lang w:val="en-GB"/>
        </w:rPr>
        <w:t>the Open-Ended Working Group on the Governance, Procedures and Working Methods of the Governing Bodies of UNESCO</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B7C08" w14:paraId="5D0EB090" w14:textId="77777777" w:rsidTr="00EC6F8D">
        <w:trPr>
          <w:jc w:val="center"/>
        </w:trPr>
        <w:tc>
          <w:tcPr>
            <w:tcW w:w="5670" w:type="dxa"/>
            <w:vAlign w:val="center"/>
          </w:tcPr>
          <w:p w14:paraId="55E306C4"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018772A9" w14:textId="34E375A7" w:rsidR="009B7C08" w:rsidRPr="00AC000C" w:rsidRDefault="009B7C08" w:rsidP="005E778C">
            <w:pPr>
              <w:pStyle w:val="Sansinterligne2"/>
              <w:spacing w:after="120"/>
              <w:jc w:val="both"/>
              <w:rPr>
                <w:rFonts w:ascii="Arial" w:hAnsi="Arial" w:cs="Arial"/>
                <w:bCs/>
                <w:sz w:val="22"/>
                <w:szCs w:val="22"/>
                <w:lang w:val="en-GB"/>
              </w:rPr>
            </w:pPr>
            <w:r>
              <w:rPr>
                <w:rFonts w:ascii="Arial" w:hAnsi="Arial" w:cs="Arial"/>
                <w:sz w:val="22"/>
                <w:szCs w:val="22"/>
                <w:lang w:val="en-GB"/>
              </w:rPr>
              <w:t>At its thirty-ninth session, by 39</w:t>
            </w:r>
            <w:r w:rsidRPr="007A01DE">
              <w:rPr>
                <w:rFonts w:ascii="Arial" w:hAnsi="Arial" w:cs="Arial"/>
                <w:sz w:val="22"/>
                <w:szCs w:val="22"/>
                <w:lang w:val="en-GB"/>
              </w:rPr>
              <w:t> C</w:t>
            </w:r>
            <w:r>
              <w:rPr>
                <w:rFonts w:ascii="Arial" w:hAnsi="Arial" w:cs="Arial"/>
                <w:sz w:val="22"/>
                <w:szCs w:val="22"/>
                <w:lang w:val="en-GB"/>
              </w:rPr>
              <w:t xml:space="preserve">/Resolution 87, the General Conference invited the Executive Board, the Director-General and the governing bodies of the different organs to implement </w:t>
            </w:r>
            <w:r w:rsidR="00FE0D1B">
              <w:rPr>
                <w:rFonts w:ascii="Arial" w:hAnsi="Arial" w:cs="Arial"/>
                <w:sz w:val="22"/>
                <w:szCs w:val="22"/>
                <w:lang w:val="en-GB"/>
              </w:rPr>
              <w:t>the</w:t>
            </w:r>
            <w:r>
              <w:rPr>
                <w:rFonts w:ascii="Arial" w:hAnsi="Arial" w:cs="Arial"/>
                <w:sz w:val="22"/>
                <w:szCs w:val="22"/>
                <w:lang w:val="en-GB"/>
              </w:rPr>
              <w:t xml:space="preserve"> recommendations on the </w:t>
            </w:r>
            <w:r w:rsidR="006D2AC8">
              <w:rPr>
                <w:rFonts w:ascii="Arial" w:hAnsi="Arial" w:cs="Arial"/>
                <w:sz w:val="22"/>
                <w:szCs w:val="22"/>
                <w:lang w:val="en-GB"/>
              </w:rPr>
              <w:t>g</w:t>
            </w:r>
            <w:r>
              <w:rPr>
                <w:rFonts w:ascii="Arial" w:hAnsi="Arial" w:cs="Arial"/>
                <w:sz w:val="22"/>
                <w:szCs w:val="22"/>
                <w:lang w:val="en-GB"/>
              </w:rPr>
              <w:t>overnance of UNESCO</w:t>
            </w:r>
            <w:r w:rsidR="00F0634F">
              <w:rPr>
                <w:rFonts w:ascii="Arial" w:hAnsi="Arial" w:cs="Arial"/>
                <w:sz w:val="22"/>
                <w:szCs w:val="22"/>
                <w:lang w:val="en-GB"/>
              </w:rPr>
              <w:t>, which</w:t>
            </w:r>
            <w:r>
              <w:rPr>
                <w:rFonts w:ascii="Arial" w:hAnsi="Arial" w:cs="Arial"/>
                <w:sz w:val="22"/>
                <w:szCs w:val="22"/>
                <w:lang w:val="en-GB"/>
              </w:rPr>
              <w:t xml:space="preserve"> </w:t>
            </w:r>
            <w:r w:rsidR="005B7C4E">
              <w:rPr>
                <w:rFonts w:ascii="Arial" w:hAnsi="Arial" w:cs="Arial"/>
                <w:sz w:val="22"/>
                <w:szCs w:val="22"/>
                <w:lang w:val="en-GB"/>
              </w:rPr>
              <w:t xml:space="preserve">it </w:t>
            </w:r>
            <w:r w:rsidR="00EE60E8">
              <w:rPr>
                <w:rFonts w:ascii="Arial" w:hAnsi="Arial" w:cs="Arial"/>
                <w:sz w:val="22"/>
                <w:szCs w:val="22"/>
                <w:lang w:val="en-GB"/>
              </w:rPr>
              <w:t>endorsed</w:t>
            </w:r>
            <w:r w:rsidR="005B7C4E">
              <w:rPr>
                <w:rFonts w:ascii="Arial" w:hAnsi="Arial" w:cs="Arial"/>
                <w:sz w:val="22"/>
                <w:szCs w:val="22"/>
                <w:lang w:val="en-GB"/>
              </w:rPr>
              <w:t xml:space="preserve"> by the same Resolution</w:t>
            </w:r>
            <w:r w:rsidRPr="00C21D96">
              <w:rPr>
                <w:rFonts w:ascii="Arial" w:hAnsi="Arial" w:cs="Arial"/>
                <w:sz w:val="22"/>
                <w:szCs w:val="22"/>
                <w:lang w:val="en-GB"/>
              </w:rPr>
              <w:t xml:space="preserve">. This </w:t>
            </w:r>
            <w:r w:rsidR="005B7C4E" w:rsidRPr="00C21D96">
              <w:rPr>
                <w:rFonts w:ascii="Arial" w:hAnsi="Arial" w:cs="Arial"/>
                <w:sz w:val="22"/>
                <w:szCs w:val="22"/>
                <w:lang w:val="en-GB"/>
              </w:rPr>
              <w:t>document</w:t>
            </w:r>
            <w:r w:rsidR="005B7C4E">
              <w:rPr>
                <w:rFonts w:ascii="Arial" w:hAnsi="Arial" w:cs="Arial"/>
                <w:sz w:val="22"/>
                <w:szCs w:val="22"/>
                <w:lang w:val="en-GB"/>
              </w:rPr>
              <w:t xml:space="preserve"> </w:t>
            </w:r>
            <w:r w:rsidR="0078716D">
              <w:rPr>
                <w:rFonts w:ascii="Arial" w:hAnsi="Arial" w:cs="Arial"/>
                <w:sz w:val="22"/>
                <w:szCs w:val="22"/>
                <w:lang w:val="en-GB"/>
              </w:rPr>
              <w:t>provides an update</w:t>
            </w:r>
            <w:r w:rsidR="005B7C4E">
              <w:rPr>
                <w:rFonts w:ascii="Arial" w:hAnsi="Arial" w:cs="Arial"/>
                <w:sz w:val="22"/>
                <w:szCs w:val="22"/>
                <w:lang w:val="en-GB"/>
              </w:rPr>
              <w:t xml:space="preserve"> </w:t>
            </w:r>
            <w:r w:rsidR="00FE0D1B">
              <w:rPr>
                <w:rFonts w:ascii="Arial" w:hAnsi="Arial" w:cs="Arial"/>
                <w:sz w:val="22"/>
                <w:szCs w:val="22"/>
                <w:lang w:val="en-GB"/>
              </w:rPr>
              <w:t>on the status of the implementation of those recommendations</w:t>
            </w:r>
            <w:r>
              <w:rPr>
                <w:rFonts w:ascii="Arial" w:hAnsi="Arial" w:cs="Arial"/>
                <w:sz w:val="22"/>
                <w:szCs w:val="22"/>
                <w:lang w:val="en-GB"/>
              </w:rPr>
              <w:t xml:space="preserve"> </w:t>
            </w:r>
            <w:r w:rsidR="00FE0D1B">
              <w:rPr>
                <w:rFonts w:ascii="Arial" w:hAnsi="Arial" w:cs="Arial"/>
                <w:sz w:val="22"/>
                <w:szCs w:val="22"/>
                <w:lang w:val="en-GB"/>
              </w:rPr>
              <w:t>that</w:t>
            </w:r>
            <w:r w:rsidR="00FE0D1B" w:rsidRPr="00C21D96">
              <w:rPr>
                <w:rFonts w:ascii="Arial" w:hAnsi="Arial" w:cs="Arial"/>
                <w:sz w:val="22"/>
                <w:szCs w:val="22"/>
                <w:lang w:val="en-GB"/>
              </w:rPr>
              <w:t xml:space="preserve"> are relevant to the governing bodies of the 2003</w:t>
            </w:r>
            <w:r w:rsidR="005E778C">
              <w:rPr>
                <w:rFonts w:ascii="Arial" w:hAnsi="Arial" w:cs="Arial"/>
                <w:sz w:val="22"/>
                <w:szCs w:val="22"/>
                <w:lang w:val="en-GB"/>
              </w:rPr>
              <w:t> </w:t>
            </w:r>
            <w:r w:rsidR="00FE0D1B" w:rsidRPr="00C21D96">
              <w:rPr>
                <w:rFonts w:ascii="Arial" w:hAnsi="Arial" w:cs="Arial"/>
                <w:sz w:val="22"/>
                <w:szCs w:val="22"/>
                <w:lang w:val="en-GB"/>
              </w:rPr>
              <w:t>Convention</w:t>
            </w:r>
            <w:r w:rsidR="00FE0D1B">
              <w:rPr>
                <w:rFonts w:ascii="Arial" w:hAnsi="Arial" w:cs="Arial"/>
                <w:sz w:val="22"/>
                <w:szCs w:val="22"/>
                <w:lang w:val="en-GB"/>
              </w:rPr>
              <w:t xml:space="preserve"> in relation to the status</w:t>
            </w:r>
            <w:r w:rsidR="005B7C4E">
              <w:rPr>
                <w:rFonts w:ascii="Arial" w:hAnsi="Arial" w:cs="Arial"/>
                <w:sz w:val="22"/>
                <w:szCs w:val="22"/>
                <w:lang w:val="en-GB"/>
              </w:rPr>
              <w:t xml:space="preserve"> </w:t>
            </w:r>
            <w:r w:rsidRPr="00C21D96">
              <w:rPr>
                <w:rFonts w:ascii="Arial" w:hAnsi="Arial" w:cs="Arial"/>
                <w:sz w:val="22"/>
                <w:szCs w:val="22"/>
                <w:lang w:val="en-GB"/>
              </w:rPr>
              <w:t>present</w:t>
            </w:r>
            <w:r>
              <w:rPr>
                <w:rFonts w:ascii="Arial" w:hAnsi="Arial" w:cs="Arial"/>
                <w:sz w:val="22"/>
                <w:szCs w:val="22"/>
                <w:lang w:val="en-GB"/>
              </w:rPr>
              <w:t>ed</w:t>
            </w:r>
            <w:r w:rsidR="005E778C">
              <w:rPr>
                <w:rFonts w:ascii="Arial" w:hAnsi="Arial" w:cs="Arial"/>
                <w:sz w:val="22"/>
                <w:szCs w:val="22"/>
                <w:lang w:val="en-GB"/>
              </w:rPr>
              <w:t xml:space="preserve"> </w:t>
            </w:r>
            <w:r>
              <w:rPr>
                <w:rFonts w:ascii="Arial" w:hAnsi="Arial" w:cs="Arial"/>
                <w:sz w:val="22"/>
                <w:szCs w:val="22"/>
                <w:lang w:val="en-GB"/>
              </w:rPr>
              <w:t xml:space="preserve">to the seventh </w:t>
            </w:r>
            <w:r w:rsidR="00FE0D1B">
              <w:rPr>
                <w:rFonts w:ascii="Arial" w:hAnsi="Arial" w:cs="Arial"/>
                <w:sz w:val="22"/>
                <w:szCs w:val="22"/>
                <w:lang w:val="en-GB"/>
              </w:rPr>
              <w:t>session of the General Assembly</w:t>
            </w:r>
            <w:r w:rsidRPr="00C21D96">
              <w:rPr>
                <w:rFonts w:ascii="Arial" w:hAnsi="Arial" w:cs="Arial"/>
                <w:sz w:val="22"/>
                <w:szCs w:val="22"/>
                <w:lang w:val="en-GB"/>
              </w:rPr>
              <w:t>.</w:t>
            </w:r>
          </w:p>
          <w:p w14:paraId="44466E9F" w14:textId="638136C8" w:rsidR="00EC6F8D" w:rsidRPr="009B7C08" w:rsidRDefault="009B7C08">
            <w:pPr>
              <w:pStyle w:val="Sansinterligne2"/>
              <w:spacing w:before="200" w:after="200"/>
              <w:jc w:val="both"/>
              <w:rPr>
                <w:rFonts w:ascii="Arial" w:hAnsi="Arial" w:cs="Arial"/>
                <w:bCs/>
                <w:sz w:val="22"/>
                <w:szCs w:val="22"/>
                <w:lang w:val="en-GB"/>
              </w:rPr>
            </w:pPr>
            <w:r w:rsidRPr="00C21D96">
              <w:rPr>
                <w:rFonts w:ascii="Arial" w:hAnsi="Arial" w:cs="Arial"/>
                <w:b/>
                <w:sz w:val="22"/>
                <w:szCs w:val="22"/>
                <w:lang w:val="en-GB"/>
              </w:rPr>
              <w:t xml:space="preserve">Decision required: </w:t>
            </w:r>
            <w:r w:rsidRPr="00AC000C">
              <w:rPr>
                <w:rFonts w:ascii="Arial" w:hAnsi="Arial" w:cs="Arial"/>
                <w:bCs/>
                <w:sz w:val="22"/>
                <w:szCs w:val="22"/>
                <w:lang w:val="en-GB"/>
              </w:rPr>
              <w:t xml:space="preserve">paragraph </w:t>
            </w:r>
            <w:r w:rsidR="00FB6E64" w:rsidRPr="00AC000C">
              <w:rPr>
                <w:rFonts w:ascii="Arial" w:hAnsi="Arial" w:cs="Arial"/>
                <w:bCs/>
                <w:sz w:val="22"/>
                <w:szCs w:val="22"/>
                <w:lang w:val="en-GB"/>
              </w:rPr>
              <w:t>10</w:t>
            </w:r>
          </w:p>
        </w:tc>
      </w:tr>
    </w:tbl>
    <w:p w14:paraId="150BC101" w14:textId="1EDF5F28" w:rsidR="007633B9" w:rsidRDefault="00655736" w:rsidP="00974C6E">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910B30">
        <w:rPr>
          <w:lang w:val="en-US"/>
        </w:rPr>
        <w:br w:type="page"/>
      </w:r>
      <w:r w:rsidR="009B7C08" w:rsidRPr="00D515E2">
        <w:rPr>
          <w:rFonts w:ascii="Arial" w:hAnsi="Arial" w:cs="Arial"/>
          <w:snapToGrid w:val="0"/>
          <w:sz w:val="22"/>
          <w:szCs w:val="22"/>
          <w:lang w:val="en-GB" w:eastAsia="en-US"/>
        </w:rPr>
        <w:lastRenderedPageBreak/>
        <w:t xml:space="preserve">At its thirty-ninth session in 2017, the General Conference </w:t>
      </w:r>
      <w:r w:rsidR="00EE60E8">
        <w:rPr>
          <w:rFonts w:ascii="Arial" w:hAnsi="Arial" w:cs="Arial"/>
          <w:snapToGrid w:val="0"/>
          <w:sz w:val="22"/>
          <w:szCs w:val="22"/>
          <w:lang w:val="en-GB" w:eastAsia="en-US"/>
        </w:rPr>
        <w:t>endorsed</w:t>
      </w:r>
      <w:r w:rsidR="005B4056" w:rsidRPr="00EE60E8">
        <w:rPr>
          <w:rFonts w:ascii="Arial" w:hAnsi="Arial" w:cs="Arial"/>
          <w:snapToGrid w:val="0"/>
          <w:sz w:val="22"/>
          <w:szCs w:val="22"/>
          <w:lang w:val="en-GB" w:eastAsia="en-US"/>
        </w:rPr>
        <w:t xml:space="preserve"> a set of </w:t>
      </w:r>
      <w:r w:rsidR="0061763E" w:rsidRPr="00EE60E8">
        <w:rPr>
          <w:rFonts w:ascii="Arial" w:hAnsi="Arial" w:cs="Arial"/>
          <w:snapToGrid w:val="0"/>
          <w:sz w:val="22"/>
          <w:szCs w:val="22"/>
          <w:lang w:val="en-GB" w:eastAsia="en-US"/>
        </w:rPr>
        <w:t>recommendation</w:t>
      </w:r>
      <w:r w:rsidR="00FF54B6" w:rsidRPr="00EE60E8">
        <w:rPr>
          <w:rFonts w:ascii="Arial" w:hAnsi="Arial" w:cs="Arial"/>
          <w:snapToGrid w:val="0"/>
          <w:sz w:val="22"/>
          <w:szCs w:val="22"/>
          <w:lang w:val="en-GB" w:eastAsia="en-US"/>
        </w:rPr>
        <w:t>s</w:t>
      </w:r>
      <w:r w:rsidR="0061763E" w:rsidRPr="00EE60E8">
        <w:rPr>
          <w:rFonts w:ascii="Arial" w:hAnsi="Arial" w:cs="Arial"/>
          <w:snapToGrid w:val="0"/>
          <w:sz w:val="22"/>
          <w:szCs w:val="22"/>
          <w:lang w:val="en-GB" w:eastAsia="en-US"/>
        </w:rPr>
        <w:t xml:space="preserve"> on the</w:t>
      </w:r>
      <w:r w:rsidR="0061763E" w:rsidRPr="00D515E2">
        <w:rPr>
          <w:rFonts w:ascii="Arial" w:hAnsi="Arial" w:cs="Arial"/>
          <w:sz w:val="22"/>
          <w:szCs w:val="22"/>
          <w:lang w:val="en-US"/>
        </w:rPr>
        <w:t xml:space="preserve"> </w:t>
      </w:r>
      <w:r w:rsidR="005F2A8E" w:rsidRPr="00EE60E8">
        <w:rPr>
          <w:rFonts w:ascii="Arial" w:hAnsi="Arial" w:cs="Arial"/>
          <w:snapToGrid w:val="0"/>
          <w:sz w:val="22"/>
          <w:szCs w:val="22"/>
          <w:lang w:val="en-GB" w:eastAsia="en-US"/>
        </w:rPr>
        <w:t>governance, procedures and working methods of the governing b</w:t>
      </w:r>
      <w:r w:rsidR="0061763E" w:rsidRPr="00EE60E8">
        <w:rPr>
          <w:rFonts w:ascii="Arial" w:hAnsi="Arial" w:cs="Arial"/>
          <w:snapToGrid w:val="0"/>
          <w:sz w:val="22"/>
          <w:szCs w:val="22"/>
          <w:lang w:val="en-GB" w:eastAsia="en-US"/>
        </w:rPr>
        <w:t>odies of UNESCO</w:t>
      </w:r>
      <w:r w:rsidR="004F5795" w:rsidRPr="00EE60E8">
        <w:rPr>
          <w:rFonts w:ascii="Arial" w:hAnsi="Arial" w:cs="Arial"/>
          <w:snapToGrid w:val="0"/>
          <w:sz w:val="22"/>
          <w:szCs w:val="22"/>
          <w:lang w:val="en-GB" w:eastAsia="en-US"/>
        </w:rPr>
        <w:t xml:space="preserve"> (</w:t>
      </w:r>
      <w:r w:rsidR="00FF54B6" w:rsidRPr="00D515E2">
        <w:rPr>
          <w:rFonts w:ascii="Arial" w:hAnsi="Arial" w:cs="Arial"/>
          <w:sz w:val="22"/>
          <w:szCs w:val="22"/>
          <w:lang w:val="en-US"/>
        </w:rPr>
        <w:t>39</w:t>
      </w:r>
      <w:r w:rsidR="005F2A8E" w:rsidRPr="00EE60E8">
        <w:rPr>
          <w:rFonts w:ascii="Arial" w:hAnsi="Arial" w:cs="Arial"/>
          <w:snapToGrid w:val="0"/>
          <w:sz w:val="22"/>
          <w:szCs w:val="22"/>
          <w:lang w:val="en-GB" w:eastAsia="en-US"/>
        </w:rPr>
        <w:t> </w:t>
      </w:r>
      <w:r w:rsidR="00FF54B6" w:rsidRPr="00D515E2">
        <w:rPr>
          <w:rFonts w:ascii="Arial" w:hAnsi="Arial" w:cs="Arial"/>
          <w:sz w:val="22"/>
          <w:szCs w:val="22"/>
          <w:lang w:val="en-US"/>
        </w:rPr>
        <w:t>C/Resolution 87</w:t>
      </w:r>
      <w:r w:rsidR="00FF54B6" w:rsidRPr="00EE60E8">
        <w:rPr>
          <w:rFonts w:ascii="Arial" w:hAnsi="Arial" w:cs="Arial"/>
          <w:snapToGrid w:val="0"/>
          <w:sz w:val="22"/>
          <w:szCs w:val="22"/>
          <w:lang w:val="en-GB" w:eastAsia="en-US"/>
        </w:rPr>
        <w:t xml:space="preserve">). These recommendations are based on the work of the Open-Ended Working Group </w:t>
      </w:r>
      <w:r w:rsidR="005141A0" w:rsidRPr="00EE60E8">
        <w:rPr>
          <w:rFonts w:ascii="Arial" w:hAnsi="Arial" w:cs="Arial"/>
          <w:snapToGrid w:val="0"/>
          <w:sz w:val="22"/>
          <w:szCs w:val="22"/>
          <w:lang w:val="en-GB" w:eastAsia="en-US"/>
        </w:rPr>
        <w:t xml:space="preserve">on the Governance, Procedures and Working Methods of the Governing Bodies of UNESCO </w:t>
      </w:r>
      <w:r w:rsidR="00FF54B6" w:rsidRPr="00EE60E8">
        <w:rPr>
          <w:rFonts w:ascii="Arial" w:hAnsi="Arial" w:cs="Arial"/>
          <w:snapToGrid w:val="0"/>
          <w:sz w:val="22"/>
          <w:szCs w:val="22"/>
          <w:lang w:val="en-GB" w:eastAsia="en-US"/>
        </w:rPr>
        <w:t>(</w:t>
      </w:r>
      <w:hyperlink r:id="rId8" w:history="1">
        <w:r w:rsidR="00AD1B42">
          <w:rPr>
            <w:rStyle w:val="Hyperlink"/>
            <w:rFonts w:ascii="Arial" w:hAnsi="Arial" w:cs="Arial"/>
            <w:snapToGrid w:val="0"/>
            <w:sz w:val="22"/>
            <w:szCs w:val="22"/>
            <w:lang w:val="en-GB" w:eastAsia="en-US"/>
          </w:rPr>
          <w:t>d</w:t>
        </w:r>
        <w:r w:rsidR="00FF54B6" w:rsidRPr="00EE60E8">
          <w:rPr>
            <w:rStyle w:val="Hyperlink"/>
            <w:rFonts w:ascii="Arial" w:hAnsi="Arial" w:cs="Arial"/>
            <w:snapToGrid w:val="0"/>
            <w:sz w:val="22"/>
            <w:szCs w:val="22"/>
            <w:lang w:val="en-GB" w:eastAsia="en-US"/>
          </w:rPr>
          <w:t>ocument 39 C/70</w:t>
        </w:r>
      </w:hyperlink>
      <w:r w:rsidR="00FF54B6" w:rsidRPr="00D515E2">
        <w:rPr>
          <w:rFonts w:ascii="Arial" w:hAnsi="Arial" w:cs="Arial"/>
          <w:sz w:val="22"/>
          <w:szCs w:val="22"/>
          <w:lang w:val="en-US"/>
        </w:rPr>
        <w:t>)</w:t>
      </w:r>
      <w:r w:rsidR="00173039">
        <w:rPr>
          <w:rFonts w:ascii="Arial" w:hAnsi="Arial" w:cs="Arial"/>
          <w:sz w:val="22"/>
          <w:szCs w:val="22"/>
          <w:lang w:val="en-US"/>
        </w:rPr>
        <w:t>,</w:t>
      </w:r>
      <w:r w:rsidR="002D0591">
        <w:rPr>
          <w:rFonts w:ascii="Arial" w:hAnsi="Arial" w:cs="Arial"/>
          <w:sz w:val="22"/>
          <w:szCs w:val="22"/>
          <w:lang w:val="en-US"/>
        </w:rPr>
        <w:t xml:space="preserve"> </w:t>
      </w:r>
      <w:r w:rsidR="00173039">
        <w:rPr>
          <w:rFonts w:ascii="Arial" w:hAnsi="Arial" w:cs="Arial"/>
          <w:sz w:val="22"/>
          <w:szCs w:val="22"/>
          <w:lang w:val="en-US"/>
        </w:rPr>
        <w:t>which</w:t>
      </w:r>
      <w:r w:rsidR="002D0591">
        <w:rPr>
          <w:rFonts w:ascii="Arial" w:hAnsi="Arial" w:cs="Arial"/>
          <w:sz w:val="22"/>
          <w:szCs w:val="22"/>
          <w:lang w:val="en-US"/>
        </w:rPr>
        <w:t xml:space="preserve"> </w:t>
      </w:r>
      <w:r w:rsidR="00FF54B6" w:rsidRPr="00EE60E8">
        <w:rPr>
          <w:rFonts w:ascii="Arial" w:hAnsi="Arial" w:cs="Arial"/>
          <w:snapToGrid w:val="0"/>
          <w:sz w:val="22"/>
          <w:szCs w:val="22"/>
          <w:lang w:val="en-GB" w:eastAsia="en-US"/>
        </w:rPr>
        <w:t>the General Conference created with the objective of harnessing the potential for greater synergy, harmonization, efficiency and impact.</w:t>
      </w:r>
      <w:r w:rsidR="009B7C08" w:rsidRPr="00EE60E8">
        <w:rPr>
          <w:rFonts w:ascii="Arial" w:hAnsi="Arial" w:cs="Arial"/>
          <w:snapToGrid w:val="0"/>
          <w:sz w:val="22"/>
          <w:szCs w:val="22"/>
          <w:lang w:val="en-GB" w:eastAsia="en-US"/>
        </w:rPr>
        <w:t xml:space="preserve"> </w:t>
      </w:r>
      <w:r w:rsidR="005B7C4E" w:rsidRPr="00EE60E8">
        <w:rPr>
          <w:rFonts w:ascii="Arial" w:hAnsi="Arial" w:cs="Arial"/>
          <w:snapToGrid w:val="0"/>
          <w:sz w:val="22"/>
          <w:szCs w:val="22"/>
          <w:lang w:val="en-GB" w:eastAsia="en-US"/>
        </w:rPr>
        <w:t>B</w:t>
      </w:r>
      <w:r w:rsidR="009B7C08" w:rsidRPr="00EE60E8">
        <w:rPr>
          <w:rFonts w:ascii="Arial" w:hAnsi="Arial" w:cs="Arial"/>
          <w:snapToGrid w:val="0"/>
          <w:sz w:val="22"/>
          <w:szCs w:val="22"/>
          <w:lang w:val="en-GB" w:eastAsia="en-US"/>
        </w:rPr>
        <w:t xml:space="preserve">y </w:t>
      </w:r>
      <w:r w:rsidR="002D0591">
        <w:rPr>
          <w:rFonts w:ascii="Arial" w:hAnsi="Arial" w:cs="Arial"/>
          <w:snapToGrid w:val="0"/>
          <w:sz w:val="22"/>
          <w:szCs w:val="22"/>
          <w:lang w:val="en-GB" w:eastAsia="en-US"/>
        </w:rPr>
        <w:t>that</w:t>
      </w:r>
      <w:r w:rsidR="009B7C08" w:rsidRPr="00EE60E8">
        <w:rPr>
          <w:rFonts w:ascii="Arial" w:hAnsi="Arial" w:cs="Arial"/>
          <w:snapToGrid w:val="0"/>
          <w:sz w:val="22"/>
          <w:szCs w:val="22"/>
          <w:lang w:val="en-GB" w:eastAsia="en-US"/>
        </w:rPr>
        <w:t xml:space="preserve"> same Resolution, the General Conference invited the Executive Board, the Director-General and the governing bodies of the different organs to implement</w:t>
      </w:r>
      <w:r w:rsidR="00173039">
        <w:rPr>
          <w:rFonts w:ascii="Arial" w:hAnsi="Arial" w:cs="Arial"/>
          <w:snapToGrid w:val="0"/>
          <w:sz w:val="22"/>
          <w:szCs w:val="22"/>
          <w:lang w:val="en-GB" w:eastAsia="en-US"/>
        </w:rPr>
        <w:t xml:space="preserve"> </w:t>
      </w:r>
      <w:r w:rsidR="009B7C08" w:rsidRPr="00EE60E8">
        <w:rPr>
          <w:rFonts w:ascii="Arial" w:hAnsi="Arial" w:cs="Arial"/>
          <w:snapToGrid w:val="0"/>
          <w:sz w:val="22"/>
          <w:szCs w:val="22"/>
          <w:lang w:val="en-GB" w:eastAsia="en-US"/>
        </w:rPr>
        <w:t>th</w:t>
      </w:r>
      <w:r w:rsidR="005B7C4E" w:rsidRPr="00EE60E8">
        <w:rPr>
          <w:rFonts w:ascii="Arial" w:hAnsi="Arial" w:cs="Arial"/>
          <w:snapToGrid w:val="0"/>
          <w:sz w:val="22"/>
          <w:szCs w:val="22"/>
          <w:lang w:val="en-GB" w:eastAsia="en-US"/>
        </w:rPr>
        <w:t>ose</w:t>
      </w:r>
      <w:r w:rsidR="009B7C08" w:rsidRPr="00EE60E8">
        <w:rPr>
          <w:rFonts w:ascii="Arial" w:hAnsi="Arial" w:cs="Arial"/>
          <w:snapToGrid w:val="0"/>
          <w:sz w:val="22"/>
          <w:szCs w:val="22"/>
          <w:lang w:val="en-GB" w:eastAsia="en-US"/>
        </w:rPr>
        <w:t xml:space="preserve"> recommendations, as appropriate.</w:t>
      </w:r>
    </w:p>
    <w:p w14:paraId="73F670D8" w14:textId="415E5530" w:rsidR="005F2A8E" w:rsidRPr="00D515E2" w:rsidRDefault="0078112B" w:rsidP="00C727C9">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D515E2">
        <w:rPr>
          <w:rFonts w:ascii="Arial" w:hAnsi="Arial" w:cs="Arial"/>
          <w:snapToGrid w:val="0"/>
          <w:sz w:val="22"/>
          <w:szCs w:val="22"/>
          <w:lang w:val="en-GB" w:eastAsia="en-US"/>
        </w:rPr>
        <w:t>The examination</w:t>
      </w:r>
      <w:r w:rsidR="009B7C08" w:rsidRPr="004614F2">
        <w:rPr>
          <w:rFonts w:ascii="Arial" w:hAnsi="Arial" w:cs="Arial"/>
          <w:snapToGrid w:val="0"/>
          <w:sz w:val="22"/>
          <w:szCs w:val="22"/>
          <w:lang w:val="en-GB" w:eastAsia="en-US"/>
        </w:rPr>
        <w:t xml:space="preserve"> </w:t>
      </w:r>
      <w:r w:rsidRPr="00D515E2">
        <w:rPr>
          <w:rFonts w:ascii="Arial" w:hAnsi="Arial" w:cs="Arial"/>
          <w:snapToGrid w:val="0"/>
          <w:sz w:val="22"/>
          <w:szCs w:val="22"/>
          <w:lang w:val="en-GB" w:eastAsia="en-US"/>
        </w:rPr>
        <w:t xml:space="preserve">of this </w:t>
      </w:r>
      <w:r w:rsidR="007633B9">
        <w:rPr>
          <w:rFonts w:ascii="Arial" w:hAnsi="Arial" w:cs="Arial"/>
          <w:snapToGrid w:val="0"/>
          <w:sz w:val="22"/>
          <w:szCs w:val="22"/>
          <w:lang w:val="en-GB" w:eastAsia="en-US"/>
        </w:rPr>
        <w:t>issue</w:t>
      </w:r>
      <w:r w:rsidRPr="00D515E2">
        <w:rPr>
          <w:rFonts w:ascii="Arial" w:hAnsi="Arial" w:cs="Arial"/>
          <w:snapToGrid w:val="0"/>
          <w:sz w:val="22"/>
          <w:szCs w:val="22"/>
          <w:lang w:val="en-GB" w:eastAsia="en-US"/>
        </w:rPr>
        <w:t xml:space="preserve"> </w:t>
      </w:r>
      <w:r w:rsidR="009B7C08" w:rsidRPr="004614F2">
        <w:rPr>
          <w:rFonts w:ascii="Arial" w:hAnsi="Arial" w:cs="Arial"/>
          <w:snapToGrid w:val="0"/>
          <w:sz w:val="22"/>
          <w:szCs w:val="22"/>
          <w:lang w:val="en-GB" w:eastAsia="en-US"/>
        </w:rPr>
        <w:t xml:space="preserve">by the twelfth session of the Committee </w:t>
      </w:r>
      <w:r w:rsidR="007633B9" w:rsidRPr="00EE60E8">
        <w:rPr>
          <w:rFonts w:ascii="Arial" w:hAnsi="Arial" w:cs="Arial"/>
          <w:snapToGrid w:val="0"/>
          <w:sz w:val="22"/>
          <w:szCs w:val="22"/>
          <w:lang w:val="en-GB" w:eastAsia="en-US"/>
        </w:rPr>
        <w:t xml:space="preserve">(see </w:t>
      </w:r>
      <w:r w:rsidR="007633B9" w:rsidRPr="005E778C">
        <w:rPr>
          <w:rFonts w:ascii="Arial" w:hAnsi="Arial" w:cs="Arial"/>
          <w:sz w:val="22"/>
          <w:szCs w:val="22"/>
          <w:lang w:val="en-US"/>
        </w:rPr>
        <w:t>document</w:t>
      </w:r>
      <w:r w:rsidR="009732FB" w:rsidRPr="005E778C">
        <w:rPr>
          <w:rFonts w:ascii="Arial" w:hAnsi="Arial" w:cs="Arial"/>
          <w:sz w:val="22"/>
          <w:szCs w:val="22"/>
          <w:lang w:val="en-US"/>
        </w:rPr>
        <w:t> </w:t>
      </w:r>
      <w:hyperlink r:id="rId9" w:history="1">
        <w:r w:rsidR="007633B9" w:rsidRPr="005E778C">
          <w:rPr>
            <w:rStyle w:val="Hyperlink"/>
            <w:rFonts w:ascii="Arial" w:hAnsi="Arial" w:cs="Arial"/>
            <w:snapToGrid w:val="0"/>
            <w:sz w:val="22"/>
            <w:szCs w:val="22"/>
            <w:lang w:val="en-GB" w:eastAsia="en-US"/>
          </w:rPr>
          <w:t>ITH/17/12.COM/16</w:t>
        </w:r>
      </w:hyperlink>
      <w:r w:rsidR="007633B9" w:rsidRPr="004614F2">
        <w:rPr>
          <w:rFonts w:ascii="Arial" w:hAnsi="Arial" w:cs="Arial"/>
          <w:sz w:val="22"/>
          <w:szCs w:val="22"/>
          <w:lang w:val="en-US"/>
        </w:rPr>
        <w:t>)</w:t>
      </w:r>
      <w:r w:rsidR="007633B9">
        <w:rPr>
          <w:rFonts w:ascii="Arial" w:hAnsi="Arial" w:cs="Arial"/>
          <w:sz w:val="22"/>
          <w:szCs w:val="22"/>
          <w:lang w:val="en-US"/>
        </w:rPr>
        <w:t xml:space="preserve"> </w:t>
      </w:r>
      <w:r w:rsidR="009B7C08" w:rsidRPr="004614F2">
        <w:rPr>
          <w:rFonts w:ascii="Arial" w:hAnsi="Arial" w:cs="Arial"/>
          <w:snapToGrid w:val="0"/>
          <w:sz w:val="22"/>
          <w:szCs w:val="22"/>
          <w:lang w:val="en-GB" w:eastAsia="en-US"/>
        </w:rPr>
        <w:t xml:space="preserve">was </w:t>
      </w:r>
      <w:r w:rsidR="009B7C08" w:rsidRPr="00D515E2">
        <w:rPr>
          <w:rFonts w:ascii="Arial" w:hAnsi="Arial" w:cs="Arial"/>
          <w:snapToGrid w:val="0"/>
          <w:sz w:val="22"/>
          <w:szCs w:val="22"/>
          <w:lang w:val="en-GB" w:eastAsia="en-US"/>
        </w:rPr>
        <w:t xml:space="preserve">limited to </w:t>
      </w:r>
      <w:r w:rsidR="00FC1E9A">
        <w:rPr>
          <w:rFonts w:ascii="Arial" w:hAnsi="Arial" w:cs="Arial"/>
          <w:snapToGrid w:val="0"/>
          <w:sz w:val="22"/>
          <w:szCs w:val="22"/>
          <w:lang w:val="en-GB" w:eastAsia="en-US"/>
        </w:rPr>
        <w:t>the</w:t>
      </w:r>
      <w:r w:rsidR="009B7C08" w:rsidRPr="00D515E2">
        <w:rPr>
          <w:rFonts w:ascii="Arial" w:hAnsi="Arial" w:cs="Arial"/>
          <w:snapToGrid w:val="0"/>
          <w:sz w:val="22"/>
          <w:szCs w:val="22"/>
          <w:lang w:val="en-GB" w:eastAsia="en-US"/>
        </w:rPr>
        <w:t xml:space="preserve"> recommendation that specifically mention</w:t>
      </w:r>
      <w:r w:rsidR="00A96C3E">
        <w:rPr>
          <w:rFonts w:ascii="Arial" w:hAnsi="Arial" w:cs="Arial"/>
          <w:snapToGrid w:val="0"/>
          <w:sz w:val="22"/>
          <w:szCs w:val="22"/>
          <w:lang w:val="en-GB" w:eastAsia="en-US"/>
        </w:rPr>
        <w:t>s</w:t>
      </w:r>
      <w:r w:rsidR="009B7C08" w:rsidRPr="00D515E2">
        <w:rPr>
          <w:rFonts w:ascii="Arial" w:hAnsi="Arial" w:cs="Arial"/>
          <w:snapToGrid w:val="0"/>
          <w:sz w:val="22"/>
          <w:szCs w:val="22"/>
          <w:lang w:val="en-GB" w:eastAsia="en-US"/>
        </w:rPr>
        <w:t xml:space="preserve"> the 2003</w:t>
      </w:r>
      <w:r w:rsidR="00A84746">
        <w:rPr>
          <w:rFonts w:ascii="Arial" w:hAnsi="Arial" w:cs="Arial"/>
          <w:snapToGrid w:val="0"/>
          <w:sz w:val="22"/>
          <w:szCs w:val="22"/>
          <w:lang w:val="en-GB" w:eastAsia="en-US"/>
        </w:rPr>
        <w:t> </w:t>
      </w:r>
      <w:r w:rsidR="009B7C08" w:rsidRPr="00D515E2">
        <w:rPr>
          <w:rFonts w:ascii="Arial" w:hAnsi="Arial" w:cs="Arial"/>
          <w:snapToGrid w:val="0"/>
          <w:sz w:val="22"/>
          <w:szCs w:val="22"/>
          <w:lang w:val="en-GB" w:eastAsia="en-US"/>
        </w:rPr>
        <w:t>Convention</w:t>
      </w:r>
      <w:r w:rsidR="00FC1E9A">
        <w:rPr>
          <w:rFonts w:ascii="Arial" w:hAnsi="Arial" w:cs="Arial"/>
          <w:snapToGrid w:val="0"/>
          <w:sz w:val="22"/>
          <w:szCs w:val="22"/>
          <w:lang w:val="en-GB" w:eastAsia="en-US"/>
        </w:rPr>
        <w:t xml:space="preserve"> (Recommendation 107, Annex II of </w:t>
      </w:r>
      <w:hyperlink r:id="rId10" w:history="1">
        <w:r w:rsidR="00FC1E9A" w:rsidRPr="00EE60E8">
          <w:rPr>
            <w:rStyle w:val="Hyperlink"/>
            <w:rFonts w:ascii="Arial" w:hAnsi="Arial" w:cs="Arial"/>
            <w:snapToGrid w:val="0"/>
            <w:sz w:val="22"/>
            <w:szCs w:val="22"/>
            <w:lang w:val="en-GB" w:eastAsia="en-US"/>
          </w:rPr>
          <w:t>document 39 C/70</w:t>
        </w:r>
      </w:hyperlink>
      <w:r w:rsidR="00FC1E9A">
        <w:rPr>
          <w:rFonts w:ascii="Arial" w:hAnsi="Arial" w:cs="Arial"/>
          <w:snapToGrid w:val="0"/>
          <w:sz w:val="22"/>
          <w:szCs w:val="22"/>
          <w:lang w:val="en-GB" w:eastAsia="en-US"/>
        </w:rPr>
        <w:t>)</w:t>
      </w:r>
      <w:r w:rsidRPr="00D515E2">
        <w:rPr>
          <w:rFonts w:ascii="Arial" w:hAnsi="Arial" w:cs="Arial"/>
          <w:snapToGrid w:val="0"/>
          <w:sz w:val="22"/>
          <w:szCs w:val="22"/>
          <w:lang w:val="en-GB" w:eastAsia="en-US"/>
        </w:rPr>
        <w:t>. F</w:t>
      </w:r>
      <w:r w:rsidR="005F2A8E" w:rsidRPr="00D515E2">
        <w:rPr>
          <w:rFonts w:ascii="Arial" w:hAnsi="Arial" w:cs="Arial"/>
          <w:snapToGrid w:val="0"/>
          <w:sz w:val="22"/>
          <w:szCs w:val="22"/>
          <w:lang w:val="en-GB" w:eastAsia="en-US"/>
        </w:rPr>
        <w:t>ollowing its deliberation</w:t>
      </w:r>
      <w:r w:rsidR="00830962" w:rsidRPr="00D515E2">
        <w:rPr>
          <w:rFonts w:ascii="Arial" w:hAnsi="Arial" w:cs="Arial"/>
          <w:snapToGrid w:val="0"/>
          <w:sz w:val="22"/>
          <w:szCs w:val="22"/>
          <w:lang w:val="en-GB" w:eastAsia="en-US"/>
        </w:rPr>
        <w:t>s</w:t>
      </w:r>
      <w:r w:rsidR="005F2A8E" w:rsidRPr="00D515E2">
        <w:rPr>
          <w:rFonts w:ascii="Arial" w:hAnsi="Arial" w:cs="Arial"/>
          <w:snapToGrid w:val="0"/>
          <w:sz w:val="22"/>
          <w:szCs w:val="22"/>
          <w:lang w:val="en-GB" w:eastAsia="en-US"/>
        </w:rPr>
        <w:t>,</w:t>
      </w:r>
      <w:r w:rsidRPr="00D515E2">
        <w:rPr>
          <w:rFonts w:ascii="Arial" w:hAnsi="Arial" w:cs="Arial"/>
          <w:snapToGrid w:val="0"/>
          <w:sz w:val="22"/>
          <w:szCs w:val="22"/>
          <w:lang w:val="en-GB" w:eastAsia="en-US"/>
        </w:rPr>
        <w:t xml:space="preserve"> the Committee invited the open-ended </w:t>
      </w:r>
      <w:r w:rsidR="00830962" w:rsidRPr="00D515E2">
        <w:rPr>
          <w:rFonts w:ascii="Arial" w:hAnsi="Arial" w:cs="Arial"/>
          <w:snapToGrid w:val="0"/>
          <w:sz w:val="22"/>
          <w:szCs w:val="22"/>
          <w:lang w:val="en-GB" w:eastAsia="en-US"/>
        </w:rPr>
        <w:t>informal</w:t>
      </w:r>
      <w:r w:rsidRPr="00D515E2">
        <w:rPr>
          <w:rFonts w:ascii="Arial" w:hAnsi="Arial" w:cs="Arial"/>
          <w:snapToGrid w:val="0"/>
          <w:sz w:val="22"/>
          <w:szCs w:val="22"/>
          <w:lang w:val="en-GB" w:eastAsia="en-US"/>
        </w:rPr>
        <w:t xml:space="preserve"> ad hoc working group</w:t>
      </w:r>
      <w:r w:rsidR="005F2A8E" w:rsidRPr="00D515E2">
        <w:rPr>
          <w:rFonts w:ascii="Arial" w:hAnsi="Arial" w:cs="Arial"/>
          <w:snapToGrid w:val="0"/>
          <w:sz w:val="22"/>
          <w:szCs w:val="22"/>
          <w:lang w:val="en-GB" w:eastAsia="en-US"/>
        </w:rPr>
        <w:t xml:space="preserve"> </w:t>
      </w:r>
      <w:r w:rsidR="00830962" w:rsidRPr="00D515E2">
        <w:rPr>
          <w:rFonts w:ascii="Arial" w:hAnsi="Arial" w:cs="Arial"/>
          <w:snapToGrid w:val="0"/>
          <w:sz w:val="22"/>
          <w:szCs w:val="22"/>
          <w:lang w:val="en-GB" w:eastAsia="en-US"/>
        </w:rPr>
        <w:t>of the 2003</w:t>
      </w:r>
      <w:r w:rsidR="00A84746">
        <w:rPr>
          <w:rFonts w:ascii="Arial" w:hAnsi="Arial" w:cs="Arial"/>
          <w:snapToGrid w:val="0"/>
          <w:sz w:val="22"/>
          <w:szCs w:val="22"/>
          <w:lang w:val="en-GB" w:eastAsia="en-US"/>
        </w:rPr>
        <w:t> </w:t>
      </w:r>
      <w:r w:rsidR="005F2A8E" w:rsidRPr="00D515E2">
        <w:rPr>
          <w:rFonts w:ascii="Arial" w:hAnsi="Arial" w:cs="Arial"/>
          <w:snapToGrid w:val="0"/>
          <w:sz w:val="22"/>
          <w:szCs w:val="22"/>
          <w:lang w:val="en-GB" w:eastAsia="en-US"/>
        </w:rPr>
        <w:t>Convention</w:t>
      </w:r>
      <w:r w:rsidR="00A96C3E">
        <w:rPr>
          <w:rFonts w:ascii="Arial" w:hAnsi="Arial" w:cs="Arial"/>
          <w:snapToGrid w:val="0"/>
          <w:sz w:val="22"/>
          <w:szCs w:val="22"/>
          <w:lang w:val="en-GB" w:eastAsia="en-US"/>
        </w:rPr>
        <w:t>,</w:t>
      </w:r>
      <w:r w:rsidR="00830962" w:rsidRPr="00D515E2">
        <w:rPr>
          <w:rFonts w:ascii="Arial" w:hAnsi="Arial" w:cs="Arial"/>
          <w:snapToGrid w:val="0"/>
          <w:sz w:val="22"/>
          <w:szCs w:val="22"/>
          <w:lang w:val="en-GB" w:eastAsia="en-US"/>
        </w:rPr>
        <w:t xml:space="preserve"> created by the Committee</w:t>
      </w:r>
      <w:r w:rsidR="005F2A8E" w:rsidRPr="00D515E2">
        <w:rPr>
          <w:rFonts w:ascii="Arial" w:hAnsi="Arial" w:cs="Arial"/>
          <w:snapToGrid w:val="0"/>
          <w:sz w:val="22"/>
          <w:szCs w:val="22"/>
          <w:lang w:val="en-GB" w:eastAsia="en-US"/>
        </w:rPr>
        <w:t>, to</w:t>
      </w:r>
      <w:r w:rsidR="00C860A2" w:rsidRPr="00D515E2">
        <w:rPr>
          <w:rFonts w:ascii="Arial" w:hAnsi="Arial" w:cs="Arial"/>
          <w:snapToGrid w:val="0"/>
          <w:sz w:val="22"/>
          <w:szCs w:val="22"/>
          <w:lang w:val="en-GB" w:eastAsia="en-US"/>
        </w:rPr>
        <w:t xml:space="preserve"> facilitate the implementation of</w:t>
      </w:r>
      <w:r w:rsidRPr="00D515E2">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 xml:space="preserve">the </w:t>
      </w:r>
      <w:r w:rsidRPr="00D515E2">
        <w:rPr>
          <w:rFonts w:ascii="Arial" w:hAnsi="Arial" w:cs="Arial"/>
          <w:snapToGrid w:val="0"/>
          <w:sz w:val="22"/>
          <w:szCs w:val="22"/>
          <w:lang w:val="en-GB" w:eastAsia="en-US"/>
        </w:rPr>
        <w:t xml:space="preserve">relevant recommendations </w:t>
      </w:r>
      <w:r w:rsidR="00C860A2" w:rsidRPr="00D515E2">
        <w:rPr>
          <w:rFonts w:ascii="Arial" w:hAnsi="Arial" w:cs="Arial"/>
          <w:snapToGrid w:val="0"/>
          <w:sz w:val="22"/>
          <w:szCs w:val="22"/>
          <w:lang w:val="en-GB" w:eastAsia="en-US"/>
        </w:rPr>
        <w:t xml:space="preserve">(Decisions </w:t>
      </w:r>
      <w:hyperlink r:id="rId11" w:history="1">
        <w:r w:rsidR="00C860A2" w:rsidRPr="00D515E2">
          <w:rPr>
            <w:rStyle w:val="Hyperlink"/>
            <w:rFonts w:ascii="Arial" w:hAnsi="Arial" w:cs="Arial"/>
            <w:snapToGrid w:val="0"/>
            <w:sz w:val="22"/>
            <w:szCs w:val="22"/>
            <w:lang w:val="en-GB" w:eastAsia="en-US"/>
          </w:rPr>
          <w:t>12.COM</w:t>
        </w:r>
        <w:r w:rsidR="00C727C9">
          <w:rPr>
            <w:rStyle w:val="Hyperlink"/>
            <w:rFonts w:ascii="Arial" w:hAnsi="Arial" w:cs="Arial"/>
            <w:snapToGrid w:val="0"/>
            <w:sz w:val="22"/>
            <w:szCs w:val="22"/>
            <w:lang w:val="en-GB" w:eastAsia="en-US"/>
          </w:rPr>
          <w:t> </w:t>
        </w:r>
        <w:r w:rsidR="00C860A2" w:rsidRPr="00D515E2">
          <w:rPr>
            <w:rStyle w:val="Hyperlink"/>
            <w:rFonts w:ascii="Arial" w:hAnsi="Arial" w:cs="Arial"/>
            <w:snapToGrid w:val="0"/>
            <w:sz w:val="22"/>
            <w:szCs w:val="22"/>
            <w:lang w:val="en-GB" w:eastAsia="en-US"/>
          </w:rPr>
          <w:t>16</w:t>
        </w:r>
      </w:hyperlink>
      <w:r w:rsidR="00C860A2" w:rsidRPr="00D515E2">
        <w:rPr>
          <w:rFonts w:ascii="Arial" w:hAnsi="Arial" w:cs="Arial"/>
          <w:snapToGrid w:val="0"/>
          <w:sz w:val="22"/>
          <w:szCs w:val="22"/>
          <w:lang w:val="en-GB" w:eastAsia="en-US"/>
        </w:rPr>
        <w:t xml:space="preserve"> and </w:t>
      </w:r>
      <w:hyperlink r:id="rId12" w:history="1">
        <w:r w:rsidR="00C860A2" w:rsidRPr="00D515E2">
          <w:rPr>
            <w:rStyle w:val="Hyperlink"/>
            <w:rFonts w:ascii="Arial" w:hAnsi="Arial" w:cs="Arial"/>
            <w:snapToGrid w:val="0"/>
            <w:sz w:val="22"/>
            <w:szCs w:val="22"/>
            <w:lang w:val="en-GB" w:eastAsia="en-US"/>
          </w:rPr>
          <w:t>12.COM</w:t>
        </w:r>
        <w:r w:rsidR="00C727C9">
          <w:rPr>
            <w:rStyle w:val="Hyperlink"/>
            <w:rFonts w:ascii="Arial" w:hAnsi="Arial" w:cs="Arial"/>
            <w:snapToGrid w:val="0"/>
            <w:sz w:val="22"/>
            <w:szCs w:val="22"/>
            <w:lang w:val="en-GB" w:eastAsia="en-US"/>
          </w:rPr>
          <w:t> </w:t>
        </w:r>
        <w:r w:rsidR="00C860A2" w:rsidRPr="00D515E2">
          <w:rPr>
            <w:rStyle w:val="Hyperlink"/>
            <w:rFonts w:ascii="Arial" w:hAnsi="Arial" w:cs="Arial"/>
            <w:snapToGrid w:val="0"/>
            <w:sz w:val="22"/>
            <w:szCs w:val="22"/>
            <w:lang w:val="en-GB" w:eastAsia="en-US"/>
          </w:rPr>
          <w:t>13</w:t>
        </w:r>
      </w:hyperlink>
      <w:r w:rsidR="00C860A2" w:rsidRPr="00D515E2">
        <w:rPr>
          <w:rFonts w:ascii="Arial" w:hAnsi="Arial" w:cs="Arial"/>
          <w:snapToGrid w:val="0"/>
          <w:sz w:val="22"/>
          <w:szCs w:val="22"/>
          <w:lang w:val="en-GB" w:eastAsia="en-US"/>
        </w:rPr>
        <w:t>)</w:t>
      </w:r>
      <w:r w:rsidR="005F2A8E" w:rsidRPr="00D515E2">
        <w:rPr>
          <w:rFonts w:ascii="Arial" w:hAnsi="Arial" w:cs="Arial"/>
          <w:snapToGrid w:val="0"/>
          <w:sz w:val="22"/>
          <w:szCs w:val="22"/>
          <w:lang w:val="en-GB" w:eastAsia="en-US"/>
        </w:rPr>
        <w:t xml:space="preserve">. It </w:t>
      </w:r>
      <w:proofErr w:type="gramStart"/>
      <w:r w:rsidR="000428DD">
        <w:rPr>
          <w:rFonts w:ascii="Arial" w:hAnsi="Arial" w:cs="Arial"/>
          <w:snapToGrid w:val="0"/>
          <w:sz w:val="22"/>
          <w:szCs w:val="22"/>
          <w:lang w:val="en-GB" w:eastAsia="en-US"/>
        </w:rPr>
        <w:t xml:space="preserve">was </w:t>
      </w:r>
      <w:r w:rsidR="005F2A8E" w:rsidRPr="00D515E2">
        <w:rPr>
          <w:rFonts w:ascii="Arial" w:hAnsi="Arial" w:cs="Arial"/>
          <w:snapToGrid w:val="0"/>
          <w:sz w:val="22"/>
          <w:szCs w:val="22"/>
          <w:lang w:val="en-GB" w:eastAsia="en-US"/>
        </w:rPr>
        <w:t>also decided</w:t>
      </w:r>
      <w:proofErr w:type="gramEnd"/>
      <w:r w:rsidR="005F2A8E" w:rsidRPr="00D515E2">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that</w:t>
      </w:r>
      <w:r w:rsidR="005F2A8E" w:rsidRPr="00D515E2">
        <w:rPr>
          <w:rFonts w:ascii="Arial" w:hAnsi="Arial" w:cs="Arial"/>
          <w:snapToGrid w:val="0"/>
          <w:sz w:val="22"/>
          <w:szCs w:val="22"/>
          <w:lang w:val="en-GB" w:eastAsia="en-US"/>
        </w:rPr>
        <w:t xml:space="preserve"> this item </w:t>
      </w:r>
      <w:r w:rsidR="00A96C3E">
        <w:rPr>
          <w:rFonts w:ascii="Arial" w:hAnsi="Arial" w:cs="Arial"/>
          <w:snapToGrid w:val="0"/>
          <w:sz w:val="22"/>
          <w:szCs w:val="22"/>
          <w:lang w:val="en-GB" w:eastAsia="en-US"/>
        </w:rPr>
        <w:t xml:space="preserve">would be inscribed </w:t>
      </w:r>
      <w:r w:rsidR="005F2A8E" w:rsidRPr="00D515E2">
        <w:rPr>
          <w:rFonts w:ascii="Arial" w:hAnsi="Arial" w:cs="Arial"/>
          <w:snapToGrid w:val="0"/>
          <w:sz w:val="22"/>
          <w:szCs w:val="22"/>
          <w:lang w:val="en-GB" w:eastAsia="en-US"/>
        </w:rPr>
        <w:t xml:space="preserve">on the agenda of its </w:t>
      </w:r>
      <w:r w:rsidR="00830962" w:rsidRPr="00D515E2">
        <w:rPr>
          <w:rFonts w:ascii="Arial" w:hAnsi="Arial" w:cs="Arial"/>
          <w:snapToGrid w:val="0"/>
          <w:sz w:val="22"/>
          <w:szCs w:val="22"/>
          <w:lang w:val="en-GB" w:eastAsia="en-US"/>
        </w:rPr>
        <w:t>thirteenth</w:t>
      </w:r>
      <w:r w:rsidR="005F2A8E" w:rsidRPr="00D515E2">
        <w:rPr>
          <w:rFonts w:ascii="Arial" w:hAnsi="Arial" w:cs="Arial"/>
          <w:snapToGrid w:val="0"/>
          <w:sz w:val="22"/>
          <w:szCs w:val="22"/>
          <w:lang w:val="en-GB" w:eastAsia="en-US"/>
        </w:rPr>
        <w:t xml:space="preserve"> session (</w:t>
      </w:r>
      <w:hyperlink r:id="rId13" w:history="1">
        <w:r w:rsidR="00C860A2" w:rsidRPr="00D515E2">
          <w:rPr>
            <w:rStyle w:val="Hyperlink"/>
            <w:rFonts w:ascii="Arial" w:hAnsi="Arial" w:cs="Arial"/>
            <w:snapToGrid w:val="0"/>
            <w:sz w:val="22"/>
            <w:szCs w:val="22"/>
            <w:lang w:val="en-GB" w:eastAsia="en-US"/>
          </w:rPr>
          <w:t>Decision</w:t>
        </w:r>
        <w:r w:rsidR="00C727C9">
          <w:rPr>
            <w:rStyle w:val="Hyperlink"/>
            <w:rFonts w:ascii="Arial" w:hAnsi="Arial" w:cs="Arial"/>
            <w:snapToGrid w:val="0"/>
            <w:sz w:val="22"/>
            <w:szCs w:val="22"/>
            <w:lang w:val="en-GB" w:eastAsia="en-US"/>
          </w:rPr>
          <w:t> </w:t>
        </w:r>
        <w:r w:rsidR="00C860A2" w:rsidRPr="00D515E2">
          <w:rPr>
            <w:rStyle w:val="Hyperlink"/>
            <w:rFonts w:ascii="Arial" w:hAnsi="Arial" w:cs="Arial"/>
            <w:snapToGrid w:val="0"/>
            <w:sz w:val="22"/>
            <w:szCs w:val="22"/>
            <w:lang w:val="en-GB" w:eastAsia="en-US"/>
          </w:rPr>
          <w:t>12.COM</w:t>
        </w:r>
        <w:r w:rsidR="00C727C9">
          <w:rPr>
            <w:rStyle w:val="Hyperlink"/>
            <w:rFonts w:ascii="Arial" w:hAnsi="Arial" w:cs="Arial"/>
            <w:snapToGrid w:val="0"/>
            <w:sz w:val="22"/>
            <w:szCs w:val="22"/>
            <w:lang w:val="en-GB" w:eastAsia="en-US"/>
          </w:rPr>
          <w:t> </w:t>
        </w:r>
        <w:r w:rsidR="00C860A2" w:rsidRPr="00D515E2">
          <w:rPr>
            <w:rStyle w:val="Hyperlink"/>
            <w:rFonts w:ascii="Arial" w:hAnsi="Arial" w:cs="Arial"/>
            <w:snapToGrid w:val="0"/>
            <w:sz w:val="22"/>
            <w:szCs w:val="22"/>
            <w:lang w:val="en-GB" w:eastAsia="en-US"/>
          </w:rPr>
          <w:t>1</w:t>
        </w:r>
        <w:r w:rsidR="00305AD5">
          <w:rPr>
            <w:rStyle w:val="Hyperlink"/>
            <w:rFonts w:ascii="Arial" w:hAnsi="Arial" w:cs="Arial"/>
            <w:snapToGrid w:val="0"/>
            <w:sz w:val="22"/>
            <w:szCs w:val="22"/>
            <w:lang w:val="en-GB" w:eastAsia="en-US"/>
          </w:rPr>
          <w:t>6</w:t>
        </w:r>
      </w:hyperlink>
      <w:r w:rsidR="005F2A8E" w:rsidRPr="00D515E2">
        <w:rPr>
          <w:rFonts w:ascii="Arial" w:hAnsi="Arial" w:cs="Arial"/>
          <w:snapToGrid w:val="0"/>
          <w:sz w:val="22"/>
          <w:szCs w:val="22"/>
          <w:lang w:val="en-GB" w:eastAsia="en-US"/>
        </w:rPr>
        <w:t>). Information on the discussions of the open-ended informal ad hoc working group</w:t>
      </w:r>
      <w:r w:rsidR="00830962" w:rsidRPr="00D515E2">
        <w:rPr>
          <w:rFonts w:ascii="Arial" w:hAnsi="Arial" w:cs="Arial"/>
          <w:snapToGrid w:val="0"/>
          <w:sz w:val="22"/>
          <w:szCs w:val="22"/>
          <w:lang w:val="en-GB" w:eastAsia="en-US"/>
        </w:rPr>
        <w:t xml:space="preserve"> </w:t>
      </w:r>
      <w:r w:rsidR="00C32846">
        <w:rPr>
          <w:rFonts w:ascii="Arial" w:hAnsi="Arial" w:cs="Arial"/>
          <w:snapToGrid w:val="0"/>
          <w:sz w:val="22"/>
          <w:szCs w:val="22"/>
          <w:lang w:val="en-GB" w:eastAsia="en-US"/>
        </w:rPr>
        <w:t xml:space="preserve">of the 2003 Convention </w:t>
      </w:r>
      <w:r w:rsidR="00830962" w:rsidRPr="00D515E2">
        <w:rPr>
          <w:rFonts w:ascii="Arial" w:hAnsi="Arial" w:cs="Arial"/>
          <w:snapToGrid w:val="0"/>
          <w:sz w:val="22"/>
          <w:szCs w:val="22"/>
          <w:lang w:val="en-GB" w:eastAsia="en-US"/>
        </w:rPr>
        <w:t>following the twelfth session of the Committee,</w:t>
      </w:r>
      <w:r w:rsidR="005F2A8E" w:rsidRPr="00D515E2">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concerning</w:t>
      </w:r>
      <w:r w:rsidR="005F2A8E" w:rsidRPr="00D515E2">
        <w:rPr>
          <w:rFonts w:ascii="Arial" w:hAnsi="Arial" w:cs="Arial"/>
          <w:snapToGrid w:val="0"/>
          <w:sz w:val="22"/>
          <w:szCs w:val="22"/>
          <w:lang w:val="en-GB" w:eastAsia="en-US"/>
        </w:rPr>
        <w:t xml:space="preserve"> the relevant recommendations on governance</w:t>
      </w:r>
      <w:r w:rsidR="00A96C3E">
        <w:rPr>
          <w:rFonts w:ascii="Arial" w:hAnsi="Arial" w:cs="Arial"/>
          <w:snapToGrid w:val="0"/>
          <w:sz w:val="22"/>
          <w:szCs w:val="22"/>
          <w:lang w:val="en-GB" w:eastAsia="en-US"/>
        </w:rPr>
        <w:t>,</w:t>
      </w:r>
      <w:r w:rsidR="005F2A8E" w:rsidRPr="00D515E2">
        <w:rPr>
          <w:rFonts w:ascii="Arial" w:hAnsi="Arial" w:cs="Arial"/>
          <w:snapToGrid w:val="0"/>
          <w:sz w:val="22"/>
          <w:szCs w:val="22"/>
          <w:lang w:val="en-GB" w:eastAsia="en-US"/>
        </w:rPr>
        <w:t xml:space="preserve"> can be found</w:t>
      </w:r>
      <w:r w:rsidR="005F2A8E" w:rsidRPr="004614F2">
        <w:rPr>
          <w:rFonts w:ascii="Arial" w:hAnsi="Arial" w:cs="Arial"/>
          <w:sz w:val="22"/>
          <w:szCs w:val="22"/>
          <w:lang w:val="en-US"/>
        </w:rPr>
        <w:t xml:space="preserve"> </w:t>
      </w:r>
      <w:r w:rsidR="005F2A8E" w:rsidRPr="00D515E2">
        <w:rPr>
          <w:rFonts w:ascii="Arial" w:hAnsi="Arial" w:cs="Arial"/>
          <w:snapToGrid w:val="0"/>
          <w:sz w:val="22"/>
          <w:szCs w:val="22"/>
          <w:lang w:val="en-GB" w:eastAsia="en-US"/>
        </w:rPr>
        <w:t>in the group’s report</w:t>
      </w:r>
      <w:r w:rsidR="00A96C3E">
        <w:rPr>
          <w:rFonts w:ascii="Arial" w:hAnsi="Arial" w:cs="Arial"/>
          <w:snapToGrid w:val="0"/>
          <w:sz w:val="22"/>
          <w:szCs w:val="22"/>
          <w:lang w:val="en-GB" w:eastAsia="en-US"/>
        </w:rPr>
        <w:t>, as</w:t>
      </w:r>
      <w:r w:rsidR="005F2A8E" w:rsidRPr="00D515E2">
        <w:rPr>
          <w:rFonts w:ascii="Arial" w:hAnsi="Arial" w:cs="Arial"/>
          <w:snapToGrid w:val="0"/>
          <w:sz w:val="22"/>
          <w:szCs w:val="22"/>
          <w:lang w:val="en-GB" w:eastAsia="en-US"/>
        </w:rPr>
        <w:t xml:space="preserve"> </w:t>
      </w:r>
      <w:r w:rsidR="000428DD">
        <w:rPr>
          <w:rFonts w:ascii="Arial" w:hAnsi="Arial" w:cs="Arial"/>
          <w:snapToGrid w:val="0"/>
          <w:sz w:val="22"/>
          <w:szCs w:val="22"/>
          <w:lang w:val="en-GB" w:eastAsia="en-US"/>
        </w:rPr>
        <w:t xml:space="preserve">submitted to the present session of the Committee </w:t>
      </w:r>
      <w:r w:rsidR="005F2A8E" w:rsidRPr="00D515E2">
        <w:rPr>
          <w:rFonts w:ascii="Arial" w:hAnsi="Arial" w:cs="Arial"/>
          <w:snapToGrid w:val="0"/>
          <w:sz w:val="22"/>
          <w:szCs w:val="22"/>
          <w:lang w:val="en-GB" w:eastAsia="en-US"/>
        </w:rPr>
        <w:t>(document</w:t>
      </w:r>
      <w:r w:rsidR="00830962" w:rsidRPr="00D515E2">
        <w:rPr>
          <w:rFonts w:ascii="Arial" w:hAnsi="Arial" w:cs="Arial"/>
          <w:snapToGrid w:val="0"/>
          <w:sz w:val="22"/>
          <w:szCs w:val="22"/>
          <w:lang w:val="en-GB" w:eastAsia="en-US"/>
        </w:rPr>
        <w:t> </w:t>
      </w:r>
      <w:hyperlink r:id="rId14" w:history="1">
        <w:r w:rsidR="005F2A8E" w:rsidRPr="00C727C9">
          <w:rPr>
            <w:rStyle w:val="Hyperlink"/>
            <w:rFonts w:ascii="Arial" w:hAnsi="Arial" w:cs="Arial"/>
            <w:snapToGrid w:val="0"/>
            <w:sz w:val="22"/>
            <w:szCs w:val="22"/>
            <w:lang w:val="en-GB" w:eastAsia="en-US"/>
          </w:rPr>
          <w:t>ITH/18/13.COM</w:t>
        </w:r>
        <w:r w:rsidR="00D72650" w:rsidRPr="00C727C9">
          <w:rPr>
            <w:rStyle w:val="Hyperlink"/>
            <w:rFonts w:ascii="Arial" w:hAnsi="Arial" w:cs="Arial"/>
            <w:snapToGrid w:val="0"/>
            <w:sz w:val="22"/>
            <w:szCs w:val="22"/>
            <w:lang w:val="en-GB" w:eastAsia="en-US"/>
          </w:rPr>
          <w:t>/</w:t>
        </w:r>
        <w:r w:rsidR="005F2A8E" w:rsidRPr="00C727C9">
          <w:rPr>
            <w:rStyle w:val="Hyperlink"/>
            <w:rFonts w:ascii="Arial" w:hAnsi="Arial" w:cs="Arial"/>
            <w:snapToGrid w:val="0"/>
            <w:sz w:val="22"/>
            <w:szCs w:val="22"/>
            <w:lang w:val="en-GB" w:eastAsia="en-US"/>
          </w:rPr>
          <w:t>16</w:t>
        </w:r>
      </w:hyperlink>
      <w:r w:rsidR="005F2A8E" w:rsidRPr="00D515E2">
        <w:rPr>
          <w:rFonts w:ascii="Arial" w:hAnsi="Arial" w:cs="Arial"/>
          <w:snapToGrid w:val="0"/>
          <w:sz w:val="22"/>
          <w:szCs w:val="22"/>
          <w:lang w:val="en-GB" w:eastAsia="en-US"/>
        </w:rPr>
        <w:t>).</w:t>
      </w:r>
    </w:p>
    <w:p w14:paraId="05F516C6" w14:textId="4D4B585C" w:rsidR="00880511" w:rsidRPr="00EE4900" w:rsidRDefault="00792CEB" w:rsidP="00974C6E">
      <w:pPr>
        <w:pStyle w:val="ListParagraph"/>
        <w:numPr>
          <w:ilvl w:val="0"/>
          <w:numId w:val="5"/>
        </w:numPr>
        <w:spacing w:after="120"/>
        <w:ind w:left="567" w:hanging="567"/>
        <w:contextualSpacing w:val="0"/>
        <w:jc w:val="both"/>
        <w:rPr>
          <w:rFonts w:ascii="Arial" w:hAnsi="Arial" w:cs="Arial"/>
          <w:sz w:val="22"/>
          <w:szCs w:val="22"/>
          <w:lang w:val="en-US"/>
        </w:rPr>
      </w:pPr>
      <w:proofErr w:type="gramStart"/>
      <w:r w:rsidRPr="005141A0">
        <w:rPr>
          <w:rFonts w:ascii="Arial" w:hAnsi="Arial" w:cs="Arial"/>
          <w:snapToGrid w:val="0"/>
          <w:sz w:val="22"/>
          <w:szCs w:val="22"/>
          <w:lang w:val="en-GB" w:eastAsia="en-US"/>
        </w:rPr>
        <w:t>In accordance with</w:t>
      </w:r>
      <w:r w:rsidR="009B7C08" w:rsidRPr="004614F2">
        <w:rPr>
          <w:rFonts w:ascii="Arial" w:hAnsi="Arial" w:cs="Arial"/>
          <w:snapToGrid w:val="0"/>
          <w:sz w:val="22"/>
          <w:szCs w:val="22"/>
          <w:lang w:val="en-GB" w:eastAsia="en-US"/>
        </w:rPr>
        <w:t xml:space="preserve"> the indications given during </w:t>
      </w:r>
      <w:r w:rsidR="00880511">
        <w:rPr>
          <w:rFonts w:ascii="Arial" w:hAnsi="Arial" w:cs="Arial"/>
          <w:snapToGrid w:val="0"/>
          <w:sz w:val="22"/>
          <w:szCs w:val="22"/>
          <w:lang w:val="en-GB" w:eastAsia="en-US"/>
        </w:rPr>
        <w:t xml:space="preserve">that session of </w:t>
      </w:r>
      <w:r w:rsidR="00830962" w:rsidRPr="005141A0">
        <w:rPr>
          <w:rFonts w:ascii="Arial" w:hAnsi="Arial" w:cs="Arial"/>
          <w:snapToGrid w:val="0"/>
          <w:sz w:val="22"/>
          <w:szCs w:val="22"/>
          <w:lang w:val="en-GB" w:eastAsia="en-US"/>
        </w:rPr>
        <w:t>the Committee</w:t>
      </w:r>
      <w:r w:rsidR="009B7C08" w:rsidRPr="005141A0">
        <w:rPr>
          <w:rFonts w:ascii="Arial" w:hAnsi="Arial" w:cs="Arial"/>
          <w:snapToGrid w:val="0"/>
          <w:sz w:val="22"/>
          <w:szCs w:val="22"/>
          <w:lang w:val="en-GB" w:eastAsia="en-US"/>
        </w:rPr>
        <w:t>, the</w:t>
      </w:r>
      <w:r w:rsidR="005141A0">
        <w:rPr>
          <w:rFonts w:ascii="Arial" w:hAnsi="Arial" w:cs="Arial"/>
          <w:snapToGrid w:val="0"/>
          <w:sz w:val="22"/>
          <w:szCs w:val="22"/>
          <w:lang w:val="en-GB" w:eastAsia="en-US"/>
        </w:rPr>
        <w:t xml:space="preserve"> </w:t>
      </w:r>
      <w:r w:rsidR="00880511">
        <w:rPr>
          <w:rFonts w:ascii="Arial" w:hAnsi="Arial" w:cs="Arial"/>
          <w:snapToGrid w:val="0"/>
          <w:sz w:val="22"/>
          <w:szCs w:val="22"/>
          <w:lang w:val="en-GB" w:eastAsia="en-US"/>
        </w:rPr>
        <w:t xml:space="preserve">Secretariat prepared a table for examination by the </w:t>
      </w:r>
      <w:r w:rsidR="005141A0">
        <w:rPr>
          <w:rFonts w:ascii="Arial" w:hAnsi="Arial" w:cs="Arial"/>
          <w:snapToGrid w:val="0"/>
          <w:sz w:val="22"/>
          <w:szCs w:val="22"/>
          <w:lang w:val="en-GB" w:eastAsia="en-US"/>
        </w:rPr>
        <w:t xml:space="preserve">seventh session of the </w:t>
      </w:r>
      <w:r w:rsidR="000D7530" w:rsidRPr="004614F2">
        <w:rPr>
          <w:rFonts w:ascii="Arial" w:hAnsi="Arial" w:cs="Arial"/>
          <w:snapToGrid w:val="0"/>
          <w:sz w:val="22"/>
          <w:szCs w:val="22"/>
          <w:lang w:val="en-GB" w:eastAsia="en-US"/>
        </w:rPr>
        <w:t>General Assembly</w:t>
      </w:r>
      <w:r w:rsidR="00880511">
        <w:rPr>
          <w:rFonts w:ascii="Arial" w:hAnsi="Arial" w:cs="Arial"/>
          <w:snapToGrid w:val="0"/>
          <w:sz w:val="22"/>
          <w:szCs w:val="22"/>
          <w:lang w:val="en-GB" w:eastAsia="en-US"/>
        </w:rPr>
        <w:t xml:space="preserve">, listing a set of </w:t>
      </w:r>
      <w:r w:rsidR="009B7C08" w:rsidRPr="004614F2">
        <w:rPr>
          <w:rFonts w:ascii="Arial" w:hAnsi="Arial" w:cs="Arial"/>
          <w:snapToGrid w:val="0"/>
          <w:sz w:val="22"/>
          <w:szCs w:val="22"/>
          <w:lang w:val="en-GB" w:eastAsia="en-US"/>
        </w:rPr>
        <w:t xml:space="preserve">recommendations that may be considered </w:t>
      </w:r>
      <w:r w:rsidR="00173039">
        <w:rPr>
          <w:rFonts w:ascii="Arial" w:hAnsi="Arial" w:cs="Arial"/>
          <w:snapToGrid w:val="0"/>
          <w:sz w:val="22"/>
          <w:szCs w:val="22"/>
          <w:lang w:val="en-GB" w:eastAsia="en-US"/>
        </w:rPr>
        <w:t>as</w:t>
      </w:r>
      <w:r w:rsidR="00880511">
        <w:rPr>
          <w:rFonts w:ascii="Arial" w:hAnsi="Arial" w:cs="Arial"/>
          <w:snapToGrid w:val="0"/>
          <w:sz w:val="22"/>
          <w:szCs w:val="22"/>
          <w:lang w:val="en-GB" w:eastAsia="en-US"/>
        </w:rPr>
        <w:t xml:space="preserve"> </w:t>
      </w:r>
      <w:r w:rsidR="009B7C08" w:rsidRPr="005141A0">
        <w:rPr>
          <w:rFonts w:ascii="Arial" w:hAnsi="Arial" w:cs="Arial"/>
          <w:snapToGrid w:val="0"/>
          <w:sz w:val="22"/>
          <w:szCs w:val="22"/>
          <w:lang w:val="en-GB" w:eastAsia="en-US"/>
        </w:rPr>
        <w:t>direct</w:t>
      </w:r>
      <w:r w:rsidR="00A96C3E">
        <w:rPr>
          <w:rFonts w:ascii="Arial" w:hAnsi="Arial" w:cs="Arial"/>
          <w:snapToGrid w:val="0"/>
          <w:sz w:val="22"/>
          <w:szCs w:val="22"/>
          <w:lang w:val="en-GB" w:eastAsia="en-US"/>
        </w:rPr>
        <w:t>ly relevant</w:t>
      </w:r>
      <w:r w:rsidR="00880511">
        <w:rPr>
          <w:rFonts w:ascii="Arial" w:hAnsi="Arial" w:cs="Arial"/>
          <w:snapToGrid w:val="0"/>
          <w:sz w:val="22"/>
          <w:szCs w:val="22"/>
          <w:lang w:val="en-GB" w:eastAsia="en-US"/>
        </w:rPr>
        <w:t xml:space="preserve"> </w:t>
      </w:r>
      <w:r w:rsidR="009B7C08" w:rsidRPr="005141A0">
        <w:rPr>
          <w:rFonts w:ascii="Arial" w:hAnsi="Arial" w:cs="Arial"/>
          <w:snapToGrid w:val="0"/>
          <w:sz w:val="22"/>
          <w:szCs w:val="22"/>
          <w:lang w:val="en-GB" w:eastAsia="en-US"/>
        </w:rPr>
        <w:t>to the governing bodies of the 2003 Convention</w:t>
      </w:r>
      <w:r w:rsidR="00880511">
        <w:rPr>
          <w:rFonts w:ascii="Arial" w:hAnsi="Arial" w:cs="Arial"/>
          <w:snapToGrid w:val="0"/>
          <w:sz w:val="22"/>
          <w:szCs w:val="22"/>
          <w:lang w:val="en-GB" w:eastAsia="en-US"/>
        </w:rPr>
        <w:t>; ea</w:t>
      </w:r>
      <w:r w:rsidR="009562A5">
        <w:rPr>
          <w:rFonts w:ascii="Arial" w:hAnsi="Arial" w:cs="Arial"/>
          <w:snapToGrid w:val="0"/>
          <w:sz w:val="22"/>
          <w:szCs w:val="22"/>
          <w:lang w:val="en-GB" w:eastAsia="en-US"/>
        </w:rPr>
        <w:t>ch of these recommendations was</w:t>
      </w:r>
      <w:r w:rsidR="00880511">
        <w:rPr>
          <w:rFonts w:ascii="Arial" w:hAnsi="Arial" w:cs="Arial"/>
          <w:snapToGrid w:val="0"/>
          <w:sz w:val="22"/>
          <w:szCs w:val="22"/>
          <w:lang w:val="en-GB" w:eastAsia="en-US"/>
        </w:rPr>
        <w:t xml:space="preserve"> accompanied </w:t>
      </w:r>
      <w:r w:rsidR="00A96C3E">
        <w:rPr>
          <w:rFonts w:ascii="Arial" w:hAnsi="Arial" w:cs="Arial"/>
          <w:snapToGrid w:val="0"/>
          <w:sz w:val="22"/>
          <w:szCs w:val="22"/>
          <w:lang w:val="en-GB" w:eastAsia="en-US"/>
        </w:rPr>
        <w:t>by</w:t>
      </w:r>
      <w:r w:rsidR="009B7C08" w:rsidRPr="005141A0">
        <w:rPr>
          <w:rFonts w:ascii="Arial" w:hAnsi="Arial" w:cs="Arial"/>
          <w:snapToGrid w:val="0"/>
          <w:sz w:val="22"/>
          <w:szCs w:val="22"/>
          <w:lang w:val="en-GB" w:eastAsia="en-US"/>
        </w:rPr>
        <w:t xml:space="preserve"> explanations </w:t>
      </w:r>
      <w:r w:rsidR="00880511">
        <w:rPr>
          <w:rFonts w:ascii="Arial" w:hAnsi="Arial" w:cs="Arial"/>
          <w:snapToGrid w:val="0"/>
          <w:sz w:val="22"/>
          <w:szCs w:val="22"/>
          <w:lang w:val="en-GB" w:eastAsia="en-US"/>
        </w:rPr>
        <w:t xml:space="preserve">on the </w:t>
      </w:r>
      <w:r w:rsidR="0078112B" w:rsidRPr="004614F2">
        <w:rPr>
          <w:rFonts w:ascii="Arial" w:hAnsi="Arial" w:cs="Arial"/>
          <w:snapToGrid w:val="0"/>
          <w:sz w:val="22"/>
          <w:szCs w:val="22"/>
          <w:lang w:val="en-GB" w:eastAsia="en-US"/>
        </w:rPr>
        <w:t xml:space="preserve">status of </w:t>
      </w:r>
      <w:r w:rsidR="009732FB">
        <w:rPr>
          <w:rFonts w:ascii="Arial" w:hAnsi="Arial" w:cs="Arial"/>
          <w:snapToGrid w:val="0"/>
          <w:sz w:val="22"/>
          <w:szCs w:val="22"/>
          <w:lang w:val="en-GB" w:eastAsia="en-US"/>
        </w:rPr>
        <w:t xml:space="preserve">its </w:t>
      </w:r>
      <w:r w:rsidR="0078112B" w:rsidRPr="004614F2">
        <w:rPr>
          <w:rFonts w:ascii="Arial" w:hAnsi="Arial" w:cs="Arial"/>
          <w:snapToGrid w:val="0"/>
          <w:sz w:val="22"/>
          <w:szCs w:val="22"/>
          <w:lang w:val="en-GB" w:eastAsia="en-US"/>
        </w:rPr>
        <w:t>implementation</w:t>
      </w:r>
      <w:r w:rsidR="009B7C08" w:rsidRPr="005141A0">
        <w:rPr>
          <w:rFonts w:ascii="Arial" w:hAnsi="Arial" w:cs="Arial"/>
          <w:snapToGrid w:val="0"/>
          <w:sz w:val="22"/>
          <w:szCs w:val="22"/>
          <w:lang w:val="en-GB" w:eastAsia="en-US"/>
        </w:rPr>
        <w:t>.</w:t>
      </w:r>
      <w:proofErr w:type="gramEnd"/>
      <w:r w:rsidR="006E4BA7">
        <w:rPr>
          <w:rFonts w:ascii="Arial" w:hAnsi="Arial" w:cs="Arial"/>
          <w:snapToGrid w:val="0"/>
          <w:sz w:val="22"/>
          <w:szCs w:val="22"/>
          <w:lang w:val="en-GB" w:eastAsia="en-US"/>
        </w:rPr>
        <w:t xml:space="preserve"> </w:t>
      </w:r>
      <w:r w:rsidR="009562A5">
        <w:rPr>
          <w:rFonts w:ascii="Arial" w:hAnsi="Arial" w:cs="Arial"/>
          <w:snapToGrid w:val="0"/>
          <w:sz w:val="22"/>
          <w:szCs w:val="22"/>
          <w:lang w:val="en-GB" w:eastAsia="en-US"/>
        </w:rPr>
        <w:t>Each of these selected</w:t>
      </w:r>
      <w:r w:rsidR="006E4BA7">
        <w:rPr>
          <w:rFonts w:ascii="Arial" w:hAnsi="Arial" w:cs="Arial"/>
          <w:snapToGrid w:val="0"/>
          <w:sz w:val="22"/>
          <w:szCs w:val="22"/>
          <w:lang w:val="en-GB" w:eastAsia="en-US"/>
        </w:rPr>
        <w:t xml:space="preserve"> recommendations</w:t>
      </w:r>
      <w:r w:rsidR="009562A5">
        <w:rPr>
          <w:rFonts w:ascii="Arial" w:hAnsi="Arial" w:cs="Arial"/>
          <w:snapToGrid w:val="0"/>
          <w:sz w:val="22"/>
          <w:szCs w:val="22"/>
          <w:lang w:val="en-GB" w:eastAsia="en-US"/>
        </w:rPr>
        <w:t xml:space="preserve"> </w:t>
      </w:r>
      <w:proofErr w:type="gramStart"/>
      <w:r w:rsidR="009562A5">
        <w:rPr>
          <w:rFonts w:ascii="Arial" w:hAnsi="Arial" w:cs="Arial"/>
          <w:snapToGrid w:val="0"/>
          <w:sz w:val="22"/>
          <w:szCs w:val="22"/>
          <w:lang w:val="en-GB" w:eastAsia="en-US"/>
        </w:rPr>
        <w:t>w</w:t>
      </w:r>
      <w:r w:rsidR="00A96C3E">
        <w:rPr>
          <w:rFonts w:ascii="Arial" w:hAnsi="Arial" w:cs="Arial"/>
          <w:snapToGrid w:val="0"/>
          <w:sz w:val="22"/>
          <w:szCs w:val="22"/>
          <w:lang w:val="en-GB" w:eastAsia="en-US"/>
        </w:rPr>
        <w:t>as</w:t>
      </w:r>
      <w:r w:rsidR="009562A5">
        <w:rPr>
          <w:rFonts w:ascii="Arial" w:hAnsi="Arial" w:cs="Arial"/>
          <w:snapToGrid w:val="0"/>
          <w:sz w:val="22"/>
          <w:szCs w:val="22"/>
          <w:lang w:val="en-GB" w:eastAsia="en-US"/>
        </w:rPr>
        <w:t xml:space="preserve"> presented</w:t>
      </w:r>
      <w:proofErr w:type="gramEnd"/>
      <w:r w:rsidR="009562A5">
        <w:rPr>
          <w:rFonts w:ascii="Arial" w:hAnsi="Arial" w:cs="Arial"/>
          <w:snapToGrid w:val="0"/>
          <w:sz w:val="22"/>
          <w:szCs w:val="22"/>
          <w:lang w:val="en-GB" w:eastAsia="en-US"/>
        </w:rPr>
        <w:t xml:space="preserve"> with</w:t>
      </w:r>
      <w:r w:rsidR="006E4BA7">
        <w:rPr>
          <w:rFonts w:ascii="Arial" w:hAnsi="Arial" w:cs="Arial"/>
          <w:snapToGrid w:val="0"/>
          <w:sz w:val="22"/>
          <w:szCs w:val="22"/>
          <w:lang w:val="en-GB" w:eastAsia="en-US"/>
        </w:rPr>
        <w:t xml:space="preserve"> </w:t>
      </w:r>
      <w:r w:rsidR="009562A5">
        <w:rPr>
          <w:rFonts w:ascii="Arial" w:hAnsi="Arial" w:cs="Arial"/>
          <w:snapToGrid w:val="0"/>
          <w:sz w:val="22"/>
          <w:szCs w:val="22"/>
          <w:lang w:val="en-GB" w:eastAsia="en-US"/>
        </w:rPr>
        <w:t xml:space="preserve">an indication </w:t>
      </w:r>
      <w:r w:rsidR="006E4BA7">
        <w:rPr>
          <w:rFonts w:ascii="Arial" w:hAnsi="Arial" w:cs="Arial"/>
          <w:snapToGrid w:val="0"/>
          <w:sz w:val="22"/>
          <w:szCs w:val="22"/>
          <w:lang w:val="en-GB" w:eastAsia="en-US"/>
        </w:rPr>
        <w:t>in terms of four categories</w:t>
      </w:r>
      <w:r w:rsidR="00A96C3E">
        <w:rPr>
          <w:rFonts w:ascii="Arial" w:hAnsi="Arial" w:cs="Arial"/>
          <w:snapToGrid w:val="0"/>
          <w:sz w:val="22"/>
          <w:szCs w:val="22"/>
          <w:lang w:val="en-GB" w:eastAsia="en-US"/>
        </w:rPr>
        <w:t>:</w:t>
      </w:r>
      <w:r w:rsidR="006E4BA7">
        <w:rPr>
          <w:rFonts w:ascii="Arial" w:hAnsi="Arial" w:cs="Arial"/>
          <w:snapToGrid w:val="0"/>
          <w:sz w:val="22"/>
          <w:szCs w:val="22"/>
          <w:lang w:val="en-GB" w:eastAsia="en-US"/>
        </w:rPr>
        <w:t xml:space="preserve"> ‘closed’, ‘ongoing’, ‘action proposed’</w:t>
      </w:r>
      <w:r w:rsidR="00A96C3E">
        <w:rPr>
          <w:rFonts w:ascii="Arial" w:hAnsi="Arial" w:cs="Arial"/>
          <w:snapToGrid w:val="0"/>
          <w:sz w:val="22"/>
          <w:szCs w:val="22"/>
          <w:lang w:val="en-GB" w:eastAsia="en-US"/>
        </w:rPr>
        <w:t>,</w:t>
      </w:r>
      <w:r w:rsidR="006E4BA7">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or</w:t>
      </w:r>
      <w:r w:rsidR="006E4BA7">
        <w:rPr>
          <w:rFonts w:ascii="Arial" w:hAnsi="Arial" w:cs="Arial"/>
          <w:snapToGrid w:val="0"/>
          <w:sz w:val="22"/>
          <w:szCs w:val="22"/>
          <w:lang w:val="en-GB" w:eastAsia="en-US"/>
        </w:rPr>
        <w:t xml:space="preserve"> ‘action required by States Parties’</w:t>
      </w:r>
      <w:r w:rsidR="00926610">
        <w:rPr>
          <w:rFonts w:ascii="Arial" w:hAnsi="Arial" w:cs="Arial"/>
          <w:snapToGrid w:val="0"/>
          <w:sz w:val="22"/>
          <w:szCs w:val="22"/>
          <w:lang w:val="en-GB" w:eastAsia="en-US"/>
        </w:rPr>
        <w:t xml:space="preserve"> </w:t>
      </w:r>
      <w:r w:rsidR="00926610" w:rsidRPr="00EE60E8">
        <w:rPr>
          <w:rFonts w:ascii="Arial" w:hAnsi="Arial" w:cs="Arial"/>
          <w:snapToGrid w:val="0"/>
          <w:sz w:val="22"/>
          <w:szCs w:val="22"/>
          <w:lang w:val="en-GB" w:eastAsia="en-US"/>
        </w:rPr>
        <w:t>(</w:t>
      </w:r>
      <w:r w:rsidR="00926610" w:rsidRPr="004614F2">
        <w:rPr>
          <w:rFonts w:ascii="Arial" w:hAnsi="Arial" w:cs="Arial"/>
          <w:sz w:val="22"/>
          <w:szCs w:val="22"/>
          <w:lang w:val="en-US"/>
        </w:rPr>
        <w:t xml:space="preserve">document </w:t>
      </w:r>
      <w:hyperlink r:id="rId15" w:history="1">
        <w:r w:rsidR="00926610" w:rsidRPr="004614F2">
          <w:rPr>
            <w:rStyle w:val="Hyperlink"/>
            <w:rFonts w:ascii="Arial" w:hAnsi="Arial" w:cs="Arial"/>
            <w:snapToGrid w:val="0"/>
            <w:sz w:val="22"/>
            <w:szCs w:val="22"/>
            <w:lang w:val="en-US" w:eastAsia="en-US"/>
          </w:rPr>
          <w:t>ITH/18/7.GA/12</w:t>
        </w:r>
      </w:hyperlink>
      <w:r w:rsidR="00926610" w:rsidRPr="004614F2">
        <w:rPr>
          <w:rFonts w:ascii="Arial" w:hAnsi="Arial" w:cs="Arial"/>
          <w:snapToGrid w:val="0"/>
          <w:sz w:val="22"/>
          <w:szCs w:val="22"/>
          <w:lang w:val="en-GB" w:eastAsia="en-US"/>
        </w:rPr>
        <w:t>)</w:t>
      </w:r>
      <w:r w:rsidR="00926610">
        <w:rPr>
          <w:rFonts w:ascii="Arial" w:hAnsi="Arial" w:cs="Arial"/>
          <w:snapToGrid w:val="0"/>
          <w:sz w:val="22"/>
          <w:szCs w:val="22"/>
          <w:lang w:val="en-GB" w:eastAsia="en-US"/>
        </w:rPr>
        <w:t>.</w:t>
      </w:r>
    </w:p>
    <w:p w14:paraId="54EFE4BB" w14:textId="14E0F816" w:rsidR="006300F5" w:rsidRDefault="00B07CEE" w:rsidP="00974C6E">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6300F5">
        <w:rPr>
          <w:rFonts w:ascii="Arial" w:hAnsi="Arial" w:cs="Arial"/>
          <w:snapToGrid w:val="0"/>
          <w:sz w:val="22"/>
          <w:szCs w:val="22"/>
          <w:lang w:val="en-GB" w:eastAsia="en-US"/>
        </w:rPr>
        <w:t>M</w:t>
      </w:r>
      <w:r w:rsidR="00B04CDE" w:rsidRPr="006300F5">
        <w:rPr>
          <w:rFonts w:ascii="Arial" w:hAnsi="Arial" w:cs="Arial"/>
          <w:snapToGrid w:val="0"/>
          <w:sz w:val="22"/>
          <w:szCs w:val="22"/>
          <w:lang w:val="en-GB" w:eastAsia="en-US"/>
        </w:rPr>
        <w:t>any of the recommendation</w:t>
      </w:r>
      <w:r w:rsidR="0000768A" w:rsidRPr="006300F5">
        <w:rPr>
          <w:rFonts w:ascii="Arial" w:hAnsi="Arial" w:cs="Arial"/>
          <w:snapToGrid w:val="0"/>
          <w:sz w:val="22"/>
          <w:szCs w:val="22"/>
          <w:lang w:val="en-GB" w:eastAsia="en-US"/>
        </w:rPr>
        <w:t>s</w:t>
      </w:r>
      <w:r w:rsidR="00B04CDE" w:rsidRPr="006300F5">
        <w:rPr>
          <w:rFonts w:ascii="Arial" w:hAnsi="Arial" w:cs="Arial"/>
          <w:snapToGrid w:val="0"/>
          <w:sz w:val="22"/>
          <w:szCs w:val="22"/>
          <w:lang w:val="en-GB" w:eastAsia="en-US"/>
        </w:rPr>
        <w:t xml:space="preserve"> concern</w:t>
      </w:r>
      <w:r w:rsidRPr="006300F5">
        <w:rPr>
          <w:rFonts w:ascii="Arial" w:hAnsi="Arial" w:cs="Arial"/>
          <w:snapToGrid w:val="0"/>
          <w:sz w:val="22"/>
          <w:szCs w:val="22"/>
          <w:lang w:val="en-GB" w:eastAsia="en-US"/>
        </w:rPr>
        <w:t>ed</w:t>
      </w:r>
      <w:r w:rsidR="00B04CDE" w:rsidRPr="006300F5">
        <w:rPr>
          <w:rFonts w:ascii="Arial" w:hAnsi="Arial" w:cs="Arial"/>
          <w:snapToGrid w:val="0"/>
          <w:sz w:val="22"/>
          <w:szCs w:val="22"/>
          <w:lang w:val="en-GB" w:eastAsia="en-US"/>
        </w:rPr>
        <w:t xml:space="preserve"> </w:t>
      </w:r>
      <w:r w:rsidR="00792CEB" w:rsidRPr="006300F5">
        <w:rPr>
          <w:rFonts w:ascii="Arial" w:hAnsi="Arial" w:cs="Arial"/>
          <w:snapToGrid w:val="0"/>
          <w:sz w:val="22"/>
          <w:szCs w:val="22"/>
          <w:lang w:val="en-GB" w:eastAsia="en-US"/>
        </w:rPr>
        <w:t xml:space="preserve">possible revisions to </w:t>
      </w:r>
      <w:r w:rsidR="00B04CDE" w:rsidRPr="006300F5">
        <w:rPr>
          <w:rFonts w:ascii="Arial" w:hAnsi="Arial" w:cs="Arial"/>
          <w:snapToGrid w:val="0"/>
          <w:sz w:val="22"/>
          <w:szCs w:val="22"/>
          <w:lang w:val="en-GB" w:eastAsia="en-US"/>
        </w:rPr>
        <w:t xml:space="preserve">the Rules of Procedure of </w:t>
      </w:r>
      <w:r w:rsidR="00792CEB" w:rsidRPr="006300F5">
        <w:rPr>
          <w:rFonts w:ascii="Arial" w:hAnsi="Arial" w:cs="Arial"/>
          <w:snapToGrid w:val="0"/>
          <w:sz w:val="22"/>
          <w:szCs w:val="22"/>
          <w:lang w:val="en-GB" w:eastAsia="en-US"/>
        </w:rPr>
        <w:t xml:space="preserve">the </w:t>
      </w:r>
      <w:r w:rsidR="00B04CDE" w:rsidRPr="006300F5">
        <w:rPr>
          <w:rFonts w:ascii="Arial" w:hAnsi="Arial" w:cs="Arial"/>
          <w:snapToGrid w:val="0"/>
          <w:sz w:val="22"/>
          <w:szCs w:val="22"/>
          <w:lang w:val="en-GB" w:eastAsia="en-US"/>
        </w:rPr>
        <w:t>governing bodies</w:t>
      </w:r>
      <w:r w:rsidRPr="006300F5">
        <w:rPr>
          <w:rFonts w:ascii="Arial" w:hAnsi="Arial" w:cs="Arial"/>
          <w:snapToGrid w:val="0"/>
          <w:sz w:val="22"/>
          <w:szCs w:val="22"/>
          <w:lang w:val="en-GB" w:eastAsia="en-US"/>
        </w:rPr>
        <w:t xml:space="preserve"> of the 2003 Convention</w:t>
      </w:r>
      <w:r w:rsidRPr="006300F5">
        <w:rPr>
          <w:rFonts w:ascii="Arial" w:hAnsi="Arial" w:cs="Arial"/>
          <w:snapToGrid w:val="0"/>
          <w:sz w:val="22"/>
          <w:szCs w:val="22"/>
          <w:lang w:val="en-US" w:eastAsia="en-US"/>
        </w:rPr>
        <w:t xml:space="preserve">. </w:t>
      </w:r>
      <w:r w:rsidR="00C32846">
        <w:rPr>
          <w:rFonts w:ascii="Arial" w:hAnsi="Arial" w:cs="Arial"/>
          <w:snapToGrid w:val="0"/>
          <w:sz w:val="22"/>
          <w:szCs w:val="22"/>
          <w:lang w:val="en-US" w:eastAsia="en-US"/>
        </w:rPr>
        <w:t>In this sense, they were in</w:t>
      </w:r>
      <w:r w:rsidRPr="006300F5">
        <w:rPr>
          <w:rFonts w:ascii="Arial" w:hAnsi="Arial" w:cs="Arial"/>
          <w:snapToGrid w:val="0"/>
          <w:sz w:val="22"/>
          <w:szCs w:val="22"/>
          <w:lang w:val="en-US" w:eastAsia="en-US"/>
        </w:rPr>
        <w:t xml:space="preserve"> line with the observations expressed previously and particularly by the sixth session of the General Assembly of </w:t>
      </w:r>
      <w:r w:rsidR="00EE4900">
        <w:rPr>
          <w:rFonts w:ascii="Arial" w:hAnsi="Arial" w:cs="Arial"/>
          <w:snapToGrid w:val="0"/>
          <w:sz w:val="22"/>
          <w:szCs w:val="22"/>
          <w:lang w:val="en-US" w:eastAsia="en-US"/>
        </w:rPr>
        <w:t xml:space="preserve">the </w:t>
      </w:r>
      <w:r w:rsidRPr="006300F5">
        <w:rPr>
          <w:rFonts w:ascii="Arial" w:hAnsi="Arial" w:cs="Arial"/>
          <w:snapToGrid w:val="0"/>
          <w:sz w:val="22"/>
          <w:szCs w:val="22"/>
          <w:lang w:val="en-US" w:eastAsia="en-US"/>
        </w:rPr>
        <w:t>States</w:t>
      </w:r>
      <w:r w:rsidR="00EE4900">
        <w:rPr>
          <w:rFonts w:ascii="Arial" w:hAnsi="Arial" w:cs="Arial"/>
          <w:snapToGrid w:val="0"/>
          <w:sz w:val="22"/>
          <w:szCs w:val="22"/>
          <w:lang w:val="en-US" w:eastAsia="en-US"/>
        </w:rPr>
        <w:t xml:space="preserve"> Parties</w:t>
      </w:r>
      <w:r w:rsidR="00341F12">
        <w:rPr>
          <w:rFonts w:ascii="Arial" w:hAnsi="Arial" w:cs="Arial"/>
          <w:snapToGrid w:val="0"/>
          <w:sz w:val="22"/>
          <w:szCs w:val="22"/>
          <w:lang w:val="en-US" w:eastAsia="en-US"/>
        </w:rPr>
        <w:t xml:space="preserve"> </w:t>
      </w:r>
      <w:r w:rsidRPr="006300F5">
        <w:rPr>
          <w:rFonts w:ascii="Arial" w:hAnsi="Arial" w:cs="Arial"/>
          <w:snapToGrid w:val="0"/>
          <w:sz w:val="22"/>
          <w:szCs w:val="22"/>
          <w:lang w:val="en-US" w:eastAsia="en-US"/>
        </w:rPr>
        <w:t>to the 2003 Convention</w:t>
      </w:r>
      <w:r w:rsidR="00A96C3E">
        <w:rPr>
          <w:rFonts w:ascii="Arial" w:hAnsi="Arial" w:cs="Arial"/>
          <w:snapToGrid w:val="0"/>
          <w:sz w:val="22"/>
          <w:szCs w:val="22"/>
          <w:lang w:val="en-US" w:eastAsia="en-US"/>
        </w:rPr>
        <w:t>,</w:t>
      </w:r>
      <w:r w:rsidR="008E181D" w:rsidRPr="006300F5">
        <w:rPr>
          <w:rFonts w:ascii="Arial" w:hAnsi="Arial" w:cs="Arial"/>
          <w:snapToGrid w:val="0"/>
          <w:sz w:val="22"/>
          <w:szCs w:val="22"/>
          <w:lang w:val="en-US" w:eastAsia="en-US"/>
        </w:rPr>
        <w:t xml:space="preserve"> </w:t>
      </w:r>
      <w:r w:rsidR="00A96C3E">
        <w:rPr>
          <w:rFonts w:ascii="Arial" w:hAnsi="Arial" w:cs="Arial"/>
          <w:snapToGrid w:val="0"/>
          <w:sz w:val="22"/>
          <w:szCs w:val="22"/>
          <w:lang w:val="en-US" w:eastAsia="en-US"/>
        </w:rPr>
        <w:t>which</w:t>
      </w:r>
      <w:r w:rsidR="008E181D" w:rsidRPr="006300F5">
        <w:rPr>
          <w:rFonts w:ascii="Arial" w:hAnsi="Arial" w:cs="Arial"/>
          <w:snapToGrid w:val="0"/>
          <w:sz w:val="22"/>
          <w:szCs w:val="22"/>
          <w:lang w:val="en-US" w:eastAsia="en-US"/>
        </w:rPr>
        <w:t xml:space="preserve"> noted the disparity </w:t>
      </w:r>
      <w:r w:rsidR="00A96C3E">
        <w:rPr>
          <w:rFonts w:ascii="Arial" w:hAnsi="Arial" w:cs="Arial"/>
          <w:snapToGrid w:val="0"/>
          <w:sz w:val="22"/>
          <w:szCs w:val="22"/>
          <w:lang w:val="en-US" w:eastAsia="en-US"/>
        </w:rPr>
        <w:t>between</w:t>
      </w:r>
      <w:r w:rsidR="008E181D" w:rsidRPr="006300F5">
        <w:rPr>
          <w:rFonts w:ascii="Arial" w:hAnsi="Arial" w:cs="Arial"/>
          <w:snapToGrid w:val="0"/>
          <w:sz w:val="22"/>
          <w:szCs w:val="22"/>
          <w:lang w:val="en-US" w:eastAsia="en-US"/>
        </w:rPr>
        <w:t xml:space="preserve"> the rules of procedure of the different organs of UNESCO’s conventions in the field of culture. Consequently, that session of the General Assembly invited States Parties to propose modifications to its Rules of Procedure (</w:t>
      </w:r>
      <w:hyperlink r:id="rId16" w:history="1">
        <w:r w:rsidR="00F25F99" w:rsidRPr="006300F5">
          <w:rPr>
            <w:rStyle w:val="Hyperlink"/>
            <w:rFonts w:ascii="Arial" w:hAnsi="Arial" w:cs="Arial"/>
            <w:snapToGrid w:val="0"/>
            <w:sz w:val="22"/>
            <w:szCs w:val="22"/>
            <w:lang w:val="en-GB" w:eastAsia="en-US"/>
          </w:rPr>
          <w:t>Resolution 6.GA 11</w:t>
        </w:r>
      </w:hyperlink>
      <w:r w:rsidR="008E181D" w:rsidRPr="00C727C9">
        <w:rPr>
          <w:rStyle w:val="Hyperlink"/>
          <w:rFonts w:ascii="Arial" w:hAnsi="Arial" w:cs="Arial"/>
          <w:snapToGrid w:val="0"/>
          <w:color w:val="auto"/>
          <w:sz w:val="22"/>
          <w:szCs w:val="22"/>
          <w:u w:val="none"/>
          <w:lang w:val="en-GB" w:eastAsia="en-US"/>
        </w:rPr>
        <w:t>)</w:t>
      </w:r>
      <w:r w:rsidR="00A96C3E">
        <w:rPr>
          <w:rFonts w:ascii="Arial" w:hAnsi="Arial" w:cs="Arial"/>
          <w:snapToGrid w:val="0"/>
          <w:sz w:val="22"/>
          <w:szCs w:val="22"/>
          <w:lang w:val="en-GB" w:eastAsia="en-US"/>
        </w:rPr>
        <w:t>.</w:t>
      </w:r>
      <w:r w:rsidR="00D55E04" w:rsidRPr="006300F5">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A</w:t>
      </w:r>
      <w:r w:rsidR="00D55E04" w:rsidRPr="006300F5">
        <w:rPr>
          <w:rFonts w:ascii="Arial" w:hAnsi="Arial" w:cs="Arial"/>
          <w:snapToGrid w:val="0"/>
          <w:sz w:val="22"/>
          <w:szCs w:val="22"/>
          <w:lang w:val="en-GB" w:eastAsia="en-US"/>
        </w:rPr>
        <w:t>ccordingly,</w:t>
      </w:r>
      <w:r w:rsidR="00F25F99" w:rsidRPr="006300F5">
        <w:rPr>
          <w:rFonts w:ascii="Arial" w:hAnsi="Arial" w:cs="Arial"/>
          <w:snapToGrid w:val="0"/>
          <w:sz w:val="22"/>
          <w:szCs w:val="22"/>
          <w:lang w:val="en-GB" w:eastAsia="en-US"/>
        </w:rPr>
        <w:t xml:space="preserve"> </w:t>
      </w:r>
      <w:r w:rsidR="00A96C3E">
        <w:rPr>
          <w:rFonts w:ascii="Arial" w:hAnsi="Arial" w:cs="Arial"/>
          <w:snapToGrid w:val="0"/>
          <w:sz w:val="22"/>
          <w:szCs w:val="22"/>
          <w:lang w:val="en-GB" w:eastAsia="en-US"/>
        </w:rPr>
        <w:t>at its seventh session</w:t>
      </w:r>
      <w:r w:rsidR="00F25F99" w:rsidRPr="006300F5">
        <w:rPr>
          <w:rFonts w:ascii="Arial" w:hAnsi="Arial" w:cs="Arial"/>
          <w:snapToGrid w:val="0"/>
          <w:sz w:val="22"/>
          <w:szCs w:val="22"/>
          <w:lang w:val="en-GB" w:eastAsia="en-US"/>
        </w:rPr>
        <w:t xml:space="preserve"> the General Assembly </w:t>
      </w:r>
      <w:proofErr w:type="gramStart"/>
      <w:r w:rsidR="00F25F99" w:rsidRPr="006300F5">
        <w:rPr>
          <w:rFonts w:ascii="Arial" w:hAnsi="Arial" w:cs="Arial"/>
          <w:snapToGrid w:val="0"/>
          <w:sz w:val="22"/>
          <w:szCs w:val="22"/>
          <w:lang w:val="en-GB" w:eastAsia="en-US"/>
        </w:rPr>
        <w:t>was asked</w:t>
      </w:r>
      <w:proofErr w:type="gramEnd"/>
      <w:r w:rsidR="00F25F99" w:rsidRPr="006300F5">
        <w:rPr>
          <w:rFonts w:ascii="Arial" w:hAnsi="Arial" w:cs="Arial"/>
          <w:snapToGrid w:val="0"/>
          <w:sz w:val="22"/>
          <w:szCs w:val="22"/>
          <w:lang w:val="en-GB" w:eastAsia="en-US"/>
        </w:rPr>
        <w:t xml:space="preserve"> to examine possible revisions to its Rules of Procedure</w:t>
      </w:r>
      <w:r w:rsidR="00830962" w:rsidRPr="006300F5">
        <w:rPr>
          <w:rFonts w:ascii="Arial" w:hAnsi="Arial" w:cs="Arial"/>
          <w:snapToGrid w:val="0"/>
          <w:sz w:val="22"/>
          <w:szCs w:val="22"/>
          <w:lang w:val="en-GB" w:eastAsia="en-US"/>
        </w:rPr>
        <w:t xml:space="preserve"> (see </w:t>
      </w:r>
      <w:r w:rsidR="00C22E6A" w:rsidRPr="006300F5">
        <w:rPr>
          <w:rFonts w:ascii="Arial" w:hAnsi="Arial" w:cs="Arial"/>
          <w:sz w:val="22"/>
          <w:szCs w:val="22"/>
          <w:lang w:val="en-US"/>
        </w:rPr>
        <w:t xml:space="preserve">document </w:t>
      </w:r>
      <w:hyperlink r:id="rId17" w:history="1">
        <w:r w:rsidR="00C22E6A" w:rsidRPr="006300F5">
          <w:rPr>
            <w:rStyle w:val="Hyperlink"/>
            <w:rFonts w:ascii="Arial" w:hAnsi="Arial" w:cs="Arial"/>
            <w:snapToGrid w:val="0"/>
            <w:sz w:val="22"/>
            <w:szCs w:val="22"/>
            <w:lang w:val="en-GB" w:eastAsia="en-US"/>
          </w:rPr>
          <w:t>ITH/18/7.GA/13</w:t>
        </w:r>
      </w:hyperlink>
      <w:r w:rsidR="00830962" w:rsidRPr="006300F5">
        <w:rPr>
          <w:rFonts w:ascii="Arial" w:hAnsi="Arial" w:cs="Arial"/>
          <w:snapToGrid w:val="0"/>
          <w:sz w:val="22"/>
          <w:szCs w:val="22"/>
          <w:lang w:val="en-GB" w:eastAsia="en-US"/>
        </w:rPr>
        <w:t>).</w:t>
      </w:r>
    </w:p>
    <w:p w14:paraId="0116540C" w14:textId="566B7BD7" w:rsidR="001A50F7" w:rsidRPr="009E74D0" w:rsidRDefault="00792CEB" w:rsidP="00974C6E">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9E74D0">
        <w:rPr>
          <w:rFonts w:ascii="Arial" w:hAnsi="Arial" w:cs="Arial"/>
          <w:snapToGrid w:val="0"/>
          <w:sz w:val="22"/>
          <w:szCs w:val="22"/>
          <w:lang w:val="en-GB" w:eastAsia="en-US"/>
        </w:rPr>
        <w:t xml:space="preserve">Confronted with a situation </w:t>
      </w:r>
      <w:r w:rsidR="00A96C3E" w:rsidRPr="009E74D0">
        <w:rPr>
          <w:rFonts w:ascii="Arial" w:hAnsi="Arial" w:cs="Arial"/>
          <w:snapToGrid w:val="0"/>
          <w:sz w:val="22"/>
          <w:szCs w:val="22"/>
          <w:lang w:val="en-GB" w:eastAsia="en-US"/>
        </w:rPr>
        <w:t>involving</w:t>
      </w:r>
      <w:r w:rsidRPr="009E74D0">
        <w:rPr>
          <w:rFonts w:ascii="Arial" w:hAnsi="Arial" w:cs="Arial"/>
          <w:snapToGrid w:val="0"/>
          <w:sz w:val="22"/>
          <w:szCs w:val="22"/>
          <w:lang w:val="en-GB" w:eastAsia="en-US"/>
        </w:rPr>
        <w:t xml:space="preserve"> </w:t>
      </w:r>
      <w:r w:rsidRPr="009E74D0">
        <w:rPr>
          <w:rFonts w:ascii="Arial" w:hAnsi="Arial" w:cs="Arial"/>
          <w:snapToGrid w:val="0"/>
          <w:sz w:val="22"/>
          <w:szCs w:val="22"/>
          <w:lang w:val="en-US" w:eastAsia="en-US"/>
        </w:rPr>
        <w:t>two</w:t>
      </w:r>
      <w:r w:rsidRPr="009E74D0">
        <w:rPr>
          <w:rFonts w:ascii="Arial" w:hAnsi="Arial" w:cs="Arial"/>
          <w:snapToGrid w:val="0"/>
          <w:sz w:val="22"/>
          <w:szCs w:val="22"/>
          <w:lang w:val="en-GB" w:eastAsia="en-US"/>
        </w:rPr>
        <w:t xml:space="preserve"> parallel processes</w:t>
      </w:r>
      <w:r w:rsidR="00830962" w:rsidRPr="009E74D0">
        <w:rPr>
          <w:rFonts w:ascii="Arial" w:hAnsi="Arial" w:cs="Arial"/>
          <w:snapToGrid w:val="0"/>
          <w:sz w:val="22"/>
          <w:szCs w:val="22"/>
          <w:lang w:val="en-GB" w:eastAsia="en-US"/>
        </w:rPr>
        <w:t xml:space="preserve">, </w:t>
      </w:r>
      <w:r w:rsidR="00173039" w:rsidRPr="009E74D0">
        <w:rPr>
          <w:rFonts w:ascii="Arial" w:hAnsi="Arial" w:cs="Arial"/>
          <w:snapToGrid w:val="0"/>
          <w:sz w:val="22"/>
          <w:szCs w:val="22"/>
          <w:lang w:val="en-GB" w:eastAsia="en-US"/>
        </w:rPr>
        <w:t>at its seventh session</w:t>
      </w:r>
      <w:r w:rsidR="00830962" w:rsidRPr="009E74D0">
        <w:rPr>
          <w:rFonts w:ascii="Arial" w:hAnsi="Arial" w:cs="Arial"/>
          <w:snapToGrid w:val="0"/>
          <w:sz w:val="22"/>
          <w:szCs w:val="22"/>
          <w:lang w:val="en-GB" w:eastAsia="en-US"/>
        </w:rPr>
        <w:t xml:space="preserve"> the General Assembly </w:t>
      </w:r>
      <w:r w:rsidR="00D55E04" w:rsidRPr="009E74D0">
        <w:rPr>
          <w:rFonts w:ascii="Arial" w:hAnsi="Arial" w:cs="Arial"/>
          <w:snapToGrid w:val="0"/>
          <w:sz w:val="22"/>
          <w:szCs w:val="22"/>
          <w:lang w:val="en-GB" w:eastAsia="en-US"/>
        </w:rPr>
        <w:t xml:space="preserve">considered that these two issues </w:t>
      </w:r>
      <w:proofErr w:type="gramStart"/>
      <w:r w:rsidR="00473183" w:rsidRPr="009E74D0">
        <w:rPr>
          <w:rFonts w:ascii="Arial" w:hAnsi="Arial" w:cs="Arial"/>
          <w:snapToGrid w:val="0"/>
          <w:sz w:val="22"/>
          <w:szCs w:val="22"/>
          <w:lang w:val="en-GB" w:eastAsia="en-US"/>
        </w:rPr>
        <w:t xml:space="preserve">could not </w:t>
      </w:r>
      <w:r w:rsidR="00D55E04" w:rsidRPr="009E74D0">
        <w:rPr>
          <w:rFonts w:ascii="Arial" w:hAnsi="Arial" w:cs="Arial"/>
          <w:snapToGrid w:val="0"/>
          <w:sz w:val="22"/>
          <w:szCs w:val="22"/>
          <w:lang w:val="en-GB" w:eastAsia="en-US"/>
        </w:rPr>
        <w:t>be discussed</w:t>
      </w:r>
      <w:proofErr w:type="gramEnd"/>
      <w:r w:rsidR="00D55E04" w:rsidRPr="009E74D0">
        <w:rPr>
          <w:rFonts w:ascii="Arial" w:hAnsi="Arial" w:cs="Arial"/>
          <w:snapToGrid w:val="0"/>
          <w:sz w:val="22"/>
          <w:szCs w:val="22"/>
          <w:lang w:val="en-GB" w:eastAsia="en-US"/>
        </w:rPr>
        <w:t xml:space="preserve"> in isolation</w:t>
      </w:r>
      <w:r w:rsidR="009732FB" w:rsidRPr="009E74D0">
        <w:rPr>
          <w:rFonts w:ascii="Arial" w:hAnsi="Arial" w:cs="Arial"/>
          <w:snapToGrid w:val="0"/>
          <w:sz w:val="22"/>
          <w:szCs w:val="22"/>
          <w:lang w:val="en-GB" w:eastAsia="en-US"/>
        </w:rPr>
        <w:t>.</w:t>
      </w:r>
      <w:r w:rsidR="00D55E04" w:rsidRPr="009E74D0">
        <w:rPr>
          <w:rFonts w:ascii="Arial" w:hAnsi="Arial" w:cs="Arial"/>
          <w:snapToGrid w:val="0"/>
          <w:sz w:val="22"/>
          <w:szCs w:val="22"/>
          <w:lang w:val="en-GB" w:eastAsia="en-US"/>
        </w:rPr>
        <w:t xml:space="preserve"> </w:t>
      </w:r>
      <w:r w:rsidR="009732FB" w:rsidRPr="009E74D0">
        <w:rPr>
          <w:rFonts w:ascii="Arial" w:hAnsi="Arial" w:cs="Arial"/>
          <w:snapToGrid w:val="0"/>
          <w:sz w:val="22"/>
          <w:szCs w:val="22"/>
          <w:lang w:val="en-GB" w:eastAsia="en-US"/>
        </w:rPr>
        <w:t xml:space="preserve">It therefore </w:t>
      </w:r>
      <w:r w:rsidR="00561E4C" w:rsidRPr="009E74D0">
        <w:rPr>
          <w:rFonts w:ascii="Arial" w:hAnsi="Arial" w:cs="Arial"/>
          <w:snapToGrid w:val="0"/>
          <w:sz w:val="22"/>
          <w:szCs w:val="22"/>
          <w:lang w:val="en-GB" w:eastAsia="en-US"/>
        </w:rPr>
        <w:t>decided</w:t>
      </w:r>
      <w:r w:rsidR="00C22E6A" w:rsidRPr="009E74D0">
        <w:rPr>
          <w:rFonts w:ascii="Arial" w:hAnsi="Arial" w:cs="Arial"/>
          <w:snapToGrid w:val="0"/>
          <w:sz w:val="22"/>
          <w:szCs w:val="22"/>
          <w:lang w:val="en-GB" w:eastAsia="en-US"/>
        </w:rPr>
        <w:t xml:space="preserve"> </w:t>
      </w:r>
      <w:r w:rsidR="00D55E04" w:rsidRPr="009E74D0">
        <w:rPr>
          <w:rFonts w:ascii="Arial" w:hAnsi="Arial" w:cs="Arial"/>
          <w:snapToGrid w:val="0"/>
          <w:sz w:val="22"/>
          <w:szCs w:val="22"/>
          <w:lang w:val="en-GB" w:eastAsia="en-US"/>
        </w:rPr>
        <w:t xml:space="preserve">to </w:t>
      </w:r>
      <w:r w:rsidR="0077135B" w:rsidRPr="009E74D0">
        <w:rPr>
          <w:rFonts w:ascii="Arial" w:hAnsi="Arial" w:cs="Arial"/>
          <w:snapToGrid w:val="0"/>
          <w:sz w:val="22"/>
          <w:szCs w:val="22"/>
          <w:lang w:val="en-GB" w:eastAsia="en-US"/>
        </w:rPr>
        <w:t>consider</w:t>
      </w:r>
      <w:r w:rsidR="004B19FF" w:rsidRPr="009E74D0">
        <w:rPr>
          <w:rFonts w:ascii="Arial" w:hAnsi="Arial" w:cs="Arial"/>
          <w:snapToGrid w:val="0"/>
          <w:sz w:val="22"/>
          <w:szCs w:val="22"/>
          <w:lang w:val="en-GB" w:eastAsia="en-US"/>
        </w:rPr>
        <w:t xml:space="preserve"> </w:t>
      </w:r>
      <w:r w:rsidR="00D55E04" w:rsidRPr="009E74D0">
        <w:rPr>
          <w:rFonts w:ascii="Arial" w:hAnsi="Arial" w:cs="Arial"/>
          <w:snapToGrid w:val="0"/>
          <w:sz w:val="22"/>
          <w:szCs w:val="22"/>
          <w:lang w:val="en-GB" w:eastAsia="en-US"/>
        </w:rPr>
        <w:t>the amendment</w:t>
      </w:r>
      <w:r w:rsidR="008A5C2D" w:rsidRPr="009E74D0">
        <w:rPr>
          <w:rFonts w:ascii="Arial" w:hAnsi="Arial" w:cs="Arial"/>
          <w:snapToGrid w:val="0"/>
          <w:sz w:val="22"/>
          <w:szCs w:val="22"/>
          <w:lang w:val="en-GB" w:eastAsia="en-US"/>
        </w:rPr>
        <w:t>s</w:t>
      </w:r>
      <w:r w:rsidR="00D55E04" w:rsidRPr="009E74D0">
        <w:rPr>
          <w:rFonts w:ascii="Arial" w:hAnsi="Arial" w:cs="Arial"/>
          <w:snapToGrid w:val="0"/>
          <w:sz w:val="22"/>
          <w:szCs w:val="22"/>
          <w:lang w:val="en-GB" w:eastAsia="en-US"/>
        </w:rPr>
        <w:t xml:space="preserve"> to the Rules of Procedure of the General Assembly within the framework of the recommendations of the Open-Ended Working Group, </w:t>
      </w:r>
      <w:r w:rsidR="004B19FF" w:rsidRPr="009E74D0">
        <w:rPr>
          <w:rFonts w:ascii="Arial" w:hAnsi="Arial" w:cs="Arial"/>
          <w:snapToGrid w:val="0"/>
          <w:sz w:val="22"/>
          <w:szCs w:val="22"/>
          <w:lang w:val="en-GB" w:eastAsia="en-US"/>
        </w:rPr>
        <w:t xml:space="preserve">with </w:t>
      </w:r>
      <w:r w:rsidR="00A96C3E" w:rsidRPr="009E74D0">
        <w:rPr>
          <w:rFonts w:ascii="Arial" w:hAnsi="Arial" w:cs="Arial"/>
          <w:snapToGrid w:val="0"/>
          <w:sz w:val="22"/>
          <w:szCs w:val="22"/>
          <w:lang w:val="en-GB" w:eastAsia="en-US"/>
        </w:rPr>
        <w:t>the</w:t>
      </w:r>
      <w:r w:rsidR="004B19FF" w:rsidRPr="009E74D0">
        <w:rPr>
          <w:rFonts w:ascii="Arial" w:hAnsi="Arial" w:cs="Arial"/>
          <w:snapToGrid w:val="0"/>
          <w:sz w:val="22"/>
          <w:szCs w:val="22"/>
          <w:lang w:val="en-GB" w:eastAsia="en-US"/>
        </w:rPr>
        <w:t xml:space="preserve"> aim </w:t>
      </w:r>
      <w:r w:rsidR="00A96C3E" w:rsidRPr="009E74D0">
        <w:rPr>
          <w:rFonts w:ascii="Arial" w:hAnsi="Arial" w:cs="Arial"/>
          <w:snapToGrid w:val="0"/>
          <w:sz w:val="22"/>
          <w:szCs w:val="22"/>
          <w:lang w:val="en-GB" w:eastAsia="en-US"/>
        </w:rPr>
        <w:t>of</w:t>
      </w:r>
      <w:r w:rsidR="004B19FF" w:rsidRPr="009E74D0">
        <w:rPr>
          <w:rFonts w:ascii="Arial" w:hAnsi="Arial" w:cs="Arial"/>
          <w:snapToGrid w:val="0"/>
          <w:sz w:val="22"/>
          <w:szCs w:val="22"/>
          <w:lang w:val="en-GB" w:eastAsia="en-US"/>
        </w:rPr>
        <w:t xml:space="preserve"> </w:t>
      </w:r>
      <w:r w:rsidR="00D55E04" w:rsidRPr="009E74D0">
        <w:rPr>
          <w:rFonts w:ascii="Arial" w:hAnsi="Arial" w:cs="Arial"/>
          <w:snapToGrid w:val="0"/>
          <w:sz w:val="22"/>
          <w:szCs w:val="22"/>
          <w:lang w:val="en-GB" w:eastAsia="en-US"/>
        </w:rPr>
        <w:t xml:space="preserve">producing a single set of </w:t>
      </w:r>
      <w:r w:rsidR="008A5C2D" w:rsidRPr="009E74D0">
        <w:rPr>
          <w:rFonts w:ascii="Arial" w:hAnsi="Arial" w:cs="Arial"/>
          <w:snapToGrid w:val="0"/>
          <w:sz w:val="22"/>
          <w:szCs w:val="22"/>
          <w:lang w:val="en-GB" w:eastAsia="en-US"/>
        </w:rPr>
        <w:t xml:space="preserve">consolidated </w:t>
      </w:r>
      <w:r w:rsidR="00D55E04" w:rsidRPr="009E74D0">
        <w:rPr>
          <w:rFonts w:ascii="Arial" w:hAnsi="Arial" w:cs="Arial"/>
          <w:snapToGrid w:val="0"/>
          <w:sz w:val="22"/>
          <w:szCs w:val="22"/>
          <w:lang w:val="en-GB" w:eastAsia="en-US"/>
        </w:rPr>
        <w:t>amendments (</w:t>
      </w:r>
      <w:r w:rsidR="00C22E6A" w:rsidRPr="009E74D0">
        <w:rPr>
          <w:rFonts w:ascii="Arial" w:hAnsi="Arial" w:cs="Arial"/>
          <w:snapToGrid w:val="0"/>
          <w:sz w:val="22"/>
          <w:szCs w:val="22"/>
          <w:lang w:val="en-GB" w:eastAsia="en-US"/>
        </w:rPr>
        <w:t xml:space="preserve">Resolutions </w:t>
      </w:r>
      <w:hyperlink r:id="rId18" w:history="1">
        <w:r w:rsidR="005E1D16" w:rsidRPr="009E74D0">
          <w:rPr>
            <w:rStyle w:val="Hyperlink"/>
            <w:rFonts w:ascii="Arial" w:hAnsi="Arial" w:cs="Arial"/>
            <w:sz w:val="22"/>
            <w:szCs w:val="22"/>
            <w:lang w:val="en-US"/>
          </w:rPr>
          <w:t>7.GA 12</w:t>
        </w:r>
      </w:hyperlink>
      <w:r w:rsidR="00C22E6A" w:rsidRPr="009E74D0">
        <w:rPr>
          <w:rFonts w:ascii="Arial" w:hAnsi="Arial" w:cs="Arial"/>
          <w:snapToGrid w:val="0"/>
          <w:sz w:val="22"/>
          <w:szCs w:val="22"/>
          <w:lang w:val="en-GB" w:eastAsia="en-US"/>
        </w:rPr>
        <w:t xml:space="preserve"> and </w:t>
      </w:r>
      <w:hyperlink r:id="rId19" w:history="1">
        <w:r w:rsidR="005E1D16" w:rsidRPr="009E74D0">
          <w:rPr>
            <w:rStyle w:val="Hyperlink"/>
            <w:rFonts w:ascii="Arial" w:hAnsi="Arial" w:cs="Arial"/>
            <w:sz w:val="22"/>
            <w:szCs w:val="22"/>
            <w:lang w:val="en-US"/>
          </w:rPr>
          <w:t>7.GA 13</w:t>
        </w:r>
      </w:hyperlink>
      <w:r w:rsidR="00D55E04" w:rsidRPr="009E74D0">
        <w:rPr>
          <w:rFonts w:ascii="Arial" w:hAnsi="Arial" w:cs="Arial"/>
          <w:snapToGrid w:val="0"/>
          <w:sz w:val="22"/>
          <w:szCs w:val="22"/>
          <w:lang w:val="en-GB" w:eastAsia="en-US"/>
        </w:rPr>
        <w:t>)</w:t>
      </w:r>
      <w:r w:rsidR="00561E4C" w:rsidRPr="009E74D0">
        <w:rPr>
          <w:rFonts w:ascii="Arial" w:hAnsi="Arial" w:cs="Arial"/>
          <w:snapToGrid w:val="0"/>
          <w:sz w:val="22"/>
          <w:szCs w:val="22"/>
          <w:lang w:val="en-GB" w:eastAsia="en-US"/>
        </w:rPr>
        <w:t xml:space="preserve">. </w:t>
      </w:r>
      <w:r w:rsidR="00C12926" w:rsidRPr="009E74D0">
        <w:rPr>
          <w:rFonts w:ascii="Arial" w:hAnsi="Arial" w:cs="Arial"/>
          <w:snapToGrid w:val="0"/>
          <w:sz w:val="22"/>
          <w:szCs w:val="22"/>
          <w:lang w:val="en-GB" w:eastAsia="en-US"/>
        </w:rPr>
        <w:t>Concretely</w:t>
      </w:r>
      <w:r w:rsidR="00561E4C" w:rsidRPr="009E74D0">
        <w:rPr>
          <w:rFonts w:ascii="Arial" w:hAnsi="Arial" w:cs="Arial"/>
          <w:snapToGrid w:val="0"/>
          <w:sz w:val="22"/>
          <w:szCs w:val="22"/>
          <w:lang w:val="en-GB" w:eastAsia="en-US"/>
        </w:rPr>
        <w:t xml:space="preserve">, </w:t>
      </w:r>
      <w:r w:rsidR="008A5C2D" w:rsidRPr="009E74D0">
        <w:rPr>
          <w:rFonts w:ascii="Arial" w:hAnsi="Arial" w:cs="Arial"/>
          <w:snapToGrid w:val="0"/>
          <w:sz w:val="22"/>
          <w:szCs w:val="22"/>
          <w:lang w:val="en-GB" w:eastAsia="en-US"/>
        </w:rPr>
        <w:t xml:space="preserve">the General Assembly </w:t>
      </w:r>
      <w:r w:rsidR="00561E4C" w:rsidRPr="009E74D0">
        <w:rPr>
          <w:rFonts w:ascii="Arial" w:hAnsi="Arial" w:cs="Arial"/>
          <w:snapToGrid w:val="0"/>
          <w:sz w:val="22"/>
          <w:szCs w:val="22"/>
          <w:lang w:val="en-GB" w:eastAsia="en-US"/>
        </w:rPr>
        <w:t xml:space="preserve">requested </w:t>
      </w:r>
      <w:r w:rsidR="005141A0" w:rsidRPr="009E74D0">
        <w:rPr>
          <w:rFonts w:ascii="Arial" w:hAnsi="Arial" w:cs="Arial"/>
          <w:snapToGrid w:val="0"/>
          <w:sz w:val="22"/>
          <w:szCs w:val="22"/>
          <w:lang w:val="en-GB" w:eastAsia="en-US"/>
        </w:rPr>
        <w:t xml:space="preserve">that the </w:t>
      </w:r>
      <w:r w:rsidR="00561E4C" w:rsidRPr="009E74D0">
        <w:rPr>
          <w:rFonts w:ascii="Arial" w:hAnsi="Arial" w:cs="Arial"/>
          <w:snapToGrid w:val="0"/>
          <w:sz w:val="22"/>
          <w:szCs w:val="22"/>
          <w:lang w:val="en-GB" w:eastAsia="en-US"/>
        </w:rPr>
        <w:t>Secretariat</w:t>
      </w:r>
      <w:r w:rsidR="008A5C2D" w:rsidRPr="009E74D0">
        <w:rPr>
          <w:rFonts w:ascii="Arial" w:hAnsi="Arial" w:cs="Arial"/>
          <w:snapToGrid w:val="0"/>
          <w:sz w:val="22"/>
          <w:szCs w:val="22"/>
          <w:lang w:val="en-GB" w:eastAsia="en-US"/>
        </w:rPr>
        <w:t>,</w:t>
      </w:r>
      <w:r w:rsidR="00561E4C" w:rsidRPr="009E74D0">
        <w:rPr>
          <w:rFonts w:ascii="Arial" w:hAnsi="Arial" w:cs="Arial"/>
          <w:snapToGrid w:val="0"/>
          <w:sz w:val="22"/>
          <w:szCs w:val="22"/>
          <w:lang w:val="en-GB" w:eastAsia="en-US"/>
        </w:rPr>
        <w:t xml:space="preserve"> </w:t>
      </w:r>
      <w:r w:rsidR="008A5C2D" w:rsidRPr="009E74D0">
        <w:rPr>
          <w:rFonts w:ascii="Arial" w:hAnsi="Arial" w:cs="Arial"/>
          <w:snapToGrid w:val="0"/>
          <w:sz w:val="22"/>
          <w:szCs w:val="22"/>
          <w:lang w:val="en-GB" w:eastAsia="en-US"/>
        </w:rPr>
        <w:t xml:space="preserve">in consultation with States Parties, </w:t>
      </w:r>
      <w:r w:rsidR="00A96C3E" w:rsidRPr="009E74D0">
        <w:rPr>
          <w:rFonts w:ascii="Arial" w:hAnsi="Arial" w:cs="Arial"/>
          <w:snapToGrid w:val="0"/>
          <w:sz w:val="22"/>
          <w:szCs w:val="22"/>
          <w:lang w:val="en-GB" w:eastAsia="en-US"/>
        </w:rPr>
        <w:t xml:space="preserve">propose ways </w:t>
      </w:r>
      <w:r w:rsidR="00561E4C" w:rsidRPr="009E74D0">
        <w:rPr>
          <w:rFonts w:ascii="Arial" w:hAnsi="Arial" w:cs="Arial"/>
          <w:snapToGrid w:val="0"/>
          <w:sz w:val="22"/>
          <w:szCs w:val="22"/>
          <w:lang w:val="en-GB" w:eastAsia="en-US"/>
        </w:rPr>
        <w:t xml:space="preserve">that </w:t>
      </w:r>
      <w:r w:rsidR="00A96C3E" w:rsidRPr="009E74D0">
        <w:rPr>
          <w:rFonts w:ascii="Arial" w:hAnsi="Arial" w:cs="Arial"/>
          <w:snapToGrid w:val="0"/>
          <w:sz w:val="22"/>
          <w:szCs w:val="22"/>
          <w:lang w:val="en-GB" w:eastAsia="en-US"/>
        </w:rPr>
        <w:t>would</w:t>
      </w:r>
      <w:r w:rsidR="00561E4C" w:rsidRPr="009E74D0">
        <w:rPr>
          <w:rFonts w:ascii="Arial" w:hAnsi="Arial" w:cs="Arial"/>
          <w:snapToGrid w:val="0"/>
          <w:sz w:val="22"/>
          <w:szCs w:val="22"/>
          <w:lang w:val="en-GB" w:eastAsia="en-US"/>
        </w:rPr>
        <w:t xml:space="preserve"> allow </w:t>
      </w:r>
      <w:r w:rsidR="00A96C3E" w:rsidRPr="009E74D0">
        <w:rPr>
          <w:rFonts w:ascii="Arial" w:hAnsi="Arial" w:cs="Arial"/>
          <w:snapToGrid w:val="0"/>
          <w:sz w:val="22"/>
          <w:szCs w:val="22"/>
          <w:lang w:val="en-GB" w:eastAsia="en-US"/>
        </w:rPr>
        <w:t>for</w:t>
      </w:r>
      <w:r w:rsidR="00561E4C" w:rsidRPr="009E74D0">
        <w:rPr>
          <w:rFonts w:ascii="Arial" w:hAnsi="Arial" w:cs="Arial"/>
          <w:snapToGrid w:val="0"/>
          <w:sz w:val="22"/>
          <w:szCs w:val="22"/>
          <w:lang w:val="en-GB" w:eastAsia="en-US"/>
        </w:rPr>
        <w:t xml:space="preserve"> the implementation of the recommendations</w:t>
      </w:r>
      <w:r w:rsidR="00B341EF" w:rsidRPr="009E74D0">
        <w:rPr>
          <w:rFonts w:ascii="Arial" w:hAnsi="Arial" w:cs="Arial"/>
          <w:snapToGrid w:val="0"/>
          <w:sz w:val="22"/>
          <w:szCs w:val="22"/>
          <w:lang w:val="en-GB" w:eastAsia="en-US"/>
        </w:rPr>
        <w:t xml:space="preserve"> </w:t>
      </w:r>
      <w:r w:rsidR="00730099" w:rsidRPr="009E74D0">
        <w:rPr>
          <w:rFonts w:ascii="Arial" w:hAnsi="Arial" w:cs="Arial"/>
          <w:snapToGrid w:val="0"/>
          <w:sz w:val="22"/>
          <w:szCs w:val="22"/>
          <w:lang w:val="en-GB" w:eastAsia="en-US"/>
        </w:rPr>
        <w:t>of the Open-</w:t>
      </w:r>
      <w:r w:rsidR="008A5C2D" w:rsidRPr="009E74D0">
        <w:rPr>
          <w:rFonts w:ascii="Arial" w:hAnsi="Arial" w:cs="Arial"/>
          <w:snapToGrid w:val="0"/>
          <w:sz w:val="22"/>
          <w:szCs w:val="22"/>
          <w:lang w:val="en-GB" w:eastAsia="en-US"/>
        </w:rPr>
        <w:t>Ended Working Group</w:t>
      </w:r>
      <w:r w:rsidR="00B04CDE" w:rsidRPr="009E74D0">
        <w:rPr>
          <w:rFonts w:ascii="Arial" w:hAnsi="Arial" w:cs="Arial"/>
          <w:snapToGrid w:val="0"/>
          <w:sz w:val="22"/>
          <w:szCs w:val="22"/>
          <w:lang w:val="en-GB" w:eastAsia="en-US"/>
        </w:rPr>
        <w:t>.</w:t>
      </w:r>
      <w:r w:rsidR="001039E0" w:rsidRPr="009E74D0">
        <w:rPr>
          <w:rFonts w:ascii="Arial" w:hAnsi="Arial" w:cs="Arial"/>
          <w:snapToGrid w:val="0"/>
          <w:sz w:val="22"/>
          <w:szCs w:val="22"/>
          <w:lang w:val="en-GB" w:eastAsia="en-US"/>
        </w:rPr>
        <w:t xml:space="preserve"> Reiterating the need to harmonize, where appropriate, the rules of procedure of the governing bodies of the six culture conventions, the General Assembly </w:t>
      </w:r>
      <w:r w:rsidR="00354500" w:rsidRPr="009E74D0">
        <w:rPr>
          <w:rFonts w:ascii="Arial" w:hAnsi="Arial" w:cs="Arial"/>
          <w:snapToGrid w:val="0"/>
          <w:sz w:val="22"/>
          <w:szCs w:val="22"/>
          <w:lang w:val="en-GB" w:eastAsia="en-US"/>
        </w:rPr>
        <w:t xml:space="preserve">also </w:t>
      </w:r>
      <w:r w:rsidR="001039E0" w:rsidRPr="009E74D0">
        <w:rPr>
          <w:rFonts w:ascii="Arial" w:hAnsi="Arial" w:cs="Arial"/>
          <w:snapToGrid w:val="0"/>
          <w:sz w:val="22"/>
          <w:szCs w:val="22"/>
          <w:lang w:val="en-GB" w:eastAsia="en-US"/>
        </w:rPr>
        <w:t>highlighted the crucial role of the Culture Sector in facilitating this process and in particular ‘by providing a matrix containing the consolidated amendments to the rules of procedure of the above-mentioned bodies’ (</w:t>
      </w:r>
      <w:hyperlink r:id="rId20" w:history="1">
        <w:r w:rsidR="001039E0" w:rsidRPr="009E74D0">
          <w:rPr>
            <w:rStyle w:val="Hyperlink"/>
            <w:rFonts w:ascii="Arial" w:hAnsi="Arial" w:cs="Arial"/>
            <w:snapToGrid w:val="0"/>
            <w:sz w:val="22"/>
            <w:szCs w:val="22"/>
            <w:lang w:val="en-GB" w:eastAsia="en-US"/>
          </w:rPr>
          <w:t xml:space="preserve">Resolution </w:t>
        </w:r>
        <w:r w:rsidR="001039E0" w:rsidRPr="009E74D0">
          <w:rPr>
            <w:rStyle w:val="Hyperlink"/>
            <w:rFonts w:ascii="Arial" w:hAnsi="Arial" w:cs="Arial"/>
            <w:sz w:val="22"/>
            <w:szCs w:val="22"/>
            <w:lang w:val="en-US"/>
          </w:rPr>
          <w:t>7.GA 13</w:t>
        </w:r>
      </w:hyperlink>
      <w:r w:rsidR="001039E0" w:rsidRPr="009E74D0">
        <w:rPr>
          <w:rFonts w:ascii="Arial" w:hAnsi="Arial" w:cs="Arial"/>
          <w:snapToGrid w:val="0"/>
          <w:sz w:val="22"/>
          <w:szCs w:val="22"/>
          <w:lang w:val="en-GB" w:eastAsia="en-US"/>
        </w:rPr>
        <w:t>).</w:t>
      </w:r>
    </w:p>
    <w:p w14:paraId="21C85565" w14:textId="097851A5" w:rsidR="00B26DD7" w:rsidRPr="009E74D0" w:rsidRDefault="00B26DD7" w:rsidP="00974C6E">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9E74D0">
        <w:rPr>
          <w:rFonts w:ascii="Arial" w:hAnsi="Arial" w:cs="Arial"/>
          <w:snapToGrid w:val="0"/>
          <w:sz w:val="22"/>
          <w:szCs w:val="22"/>
          <w:lang w:val="en-US" w:eastAsia="en-US"/>
        </w:rPr>
        <w:t>Following</w:t>
      </w:r>
      <w:r w:rsidRPr="009E74D0">
        <w:rPr>
          <w:rFonts w:ascii="Arial" w:hAnsi="Arial" w:cs="Arial"/>
          <w:snapToGrid w:val="0"/>
          <w:sz w:val="22"/>
          <w:szCs w:val="22"/>
          <w:lang w:val="en-GB" w:eastAsia="en-US"/>
        </w:rPr>
        <w:t xml:space="preserve"> </w:t>
      </w:r>
      <w:r w:rsidR="00F520ED" w:rsidRPr="009E74D0">
        <w:rPr>
          <w:rFonts w:ascii="Arial" w:hAnsi="Arial" w:cs="Arial"/>
          <w:snapToGrid w:val="0"/>
          <w:sz w:val="22"/>
          <w:szCs w:val="22"/>
          <w:lang w:val="en-GB" w:eastAsia="en-US"/>
        </w:rPr>
        <w:t>the seventh session of the General Assembly</w:t>
      </w:r>
      <w:r w:rsidRPr="009E74D0">
        <w:rPr>
          <w:rFonts w:ascii="Arial" w:hAnsi="Arial" w:cs="Arial"/>
          <w:snapToGrid w:val="0"/>
          <w:sz w:val="22"/>
          <w:szCs w:val="22"/>
          <w:lang w:val="en-GB" w:eastAsia="en-US"/>
        </w:rPr>
        <w:t xml:space="preserve">, </w:t>
      </w:r>
      <w:r w:rsidR="001039E0" w:rsidRPr="009E74D0">
        <w:rPr>
          <w:rFonts w:ascii="Arial" w:hAnsi="Arial" w:cs="Arial"/>
          <w:snapToGrid w:val="0"/>
          <w:sz w:val="22"/>
          <w:szCs w:val="22"/>
          <w:lang w:val="en-GB" w:eastAsia="en-US"/>
        </w:rPr>
        <w:t>the Cultural Convention</w:t>
      </w:r>
      <w:r w:rsidR="0018294A" w:rsidRPr="009E74D0">
        <w:rPr>
          <w:rFonts w:ascii="Arial" w:hAnsi="Arial" w:cs="Arial"/>
          <w:snapToGrid w:val="0"/>
          <w:sz w:val="22"/>
          <w:szCs w:val="22"/>
          <w:lang w:val="en-GB" w:eastAsia="en-US"/>
        </w:rPr>
        <w:t>s</w:t>
      </w:r>
      <w:r w:rsidR="001039E0" w:rsidRPr="009E74D0">
        <w:rPr>
          <w:rFonts w:ascii="Arial" w:hAnsi="Arial" w:cs="Arial"/>
          <w:snapToGrid w:val="0"/>
          <w:sz w:val="22"/>
          <w:szCs w:val="22"/>
          <w:lang w:val="en-GB" w:eastAsia="en-US"/>
        </w:rPr>
        <w:t xml:space="preserve"> Liaison Group (CCLG), discussed</w:t>
      </w:r>
      <w:r w:rsidR="00F520ED" w:rsidRPr="009E74D0">
        <w:rPr>
          <w:rFonts w:ascii="Arial" w:hAnsi="Arial" w:cs="Arial"/>
          <w:sz w:val="22"/>
          <w:szCs w:val="22"/>
          <w:lang w:val="en-US"/>
        </w:rPr>
        <w:t xml:space="preserve"> </w:t>
      </w:r>
      <w:hyperlink r:id="rId21" w:history="1">
        <w:r w:rsidR="00F520ED" w:rsidRPr="009E74D0">
          <w:rPr>
            <w:rStyle w:val="Hyperlink"/>
            <w:rFonts w:ascii="Arial" w:hAnsi="Arial" w:cs="Arial"/>
            <w:snapToGrid w:val="0"/>
            <w:sz w:val="22"/>
            <w:szCs w:val="22"/>
            <w:lang w:val="en-GB" w:eastAsia="en-US"/>
          </w:rPr>
          <w:t>Resolution 7.GA 13</w:t>
        </w:r>
      </w:hyperlink>
      <w:r w:rsidR="00F520ED" w:rsidRPr="009E74D0">
        <w:rPr>
          <w:rFonts w:ascii="Arial" w:hAnsi="Arial" w:cs="Arial"/>
          <w:snapToGrid w:val="0"/>
          <w:sz w:val="22"/>
          <w:szCs w:val="22"/>
          <w:lang w:val="en-GB" w:eastAsia="en-US"/>
        </w:rPr>
        <w:t xml:space="preserve"> and </w:t>
      </w:r>
      <w:r w:rsidR="0018294A" w:rsidRPr="009E74D0">
        <w:rPr>
          <w:rFonts w:ascii="Arial" w:hAnsi="Arial" w:cs="Arial"/>
          <w:snapToGrid w:val="0"/>
          <w:sz w:val="22"/>
          <w:szCs w:val="22"/>
          <w:lang w:val="en-GB" w:eastAsia="en-US"/>
        </w:rPr>
        <w:t>decided on the necessary steps for</w:t>
      </w:r>
      <w:r w:rsidR="007B3206" w:rsidRPr="009E74D0">
        <w:rPr>
          <w:rFonts w:ascii="Arial" w:hAnsi="Arial" w:cs="Arial"/>
          <w:snapToGrid w:val="0"/>
          <w:sz w:val="22"/>
          <w:szCs w:val="22"/>
          <w:lang w:val="en-GB" w:eastAsia="en-US"/>
        </w:rPr>
        <w:t xml:space="preserve"> the preparation of</w:t>
      </w:r>
      <w:r w:rsidR="00F520ED" w:rsidRPr="009E74D0">
        <w:rPr>
          <w:rFonts w:ascii="Arial" w:hAnsi="Arial" w:cs="Arial"/>
          <w:snapToGrid w:val="0"/>
          <w:sz w:val="22"/>
          <w:szCs w:val="22"/>
          <w:lang w:val="en-GB" w:eastAsia="en-US"/>
        </w:rPr>
        <w:t xml:space="preserve"> the aforementioned matrix. </w:t>
      </w:r>
      <w:r w:rsidR="007B3206" w:rsidRPr="009E74D0">
        <w:rPr>
          <w:rFonts w:ascii="Arial" w:hAnsi="Arial" w:cs="Arial"/>
          <w:snapToGrid w:val="0"/>
          <w:sz w:val="22"/>
          <w:szCs w:val="22"/>
          <w:lang w:val="en-GB" w:eastAsia="en-US"/>
        </w:rPr>
        <w:t>As of</w:t>
      </w:r>
      <w:r w:rsidR="00DE744D" w:rsidRPr="009E74D0">
        <w:rPr>
          <w:rFonts w:ascii="Arial" w:hAnsi="Arial" w:cs="Arial"/>
          <w:snapToGrid w:val="0"/>
          <w:sz w:val="22"/>
          <w:szCs w:val="22"/>
          <w:lang w:val="en-GB" w:eastAsia="en-US"/>
        </w:rPr>
        <w:t xml:space="preserve"> </w:t>
      </w:r>
      <w:r w:rsidR="007B3206" w:rsidRPr="009E74D0">
        <w:rPr>
          <w:rFonts w:ascii="Arial" w:hAnsi="Arial" w:cs="Arial"/>
          <w:snapToGrid w:val="0"/>
          <w:sz w:val="22"/>
          <w:szCs w:val="22"/>
          <w:lang w:val="en-GB" w:eastAsia="en-US"/>
        </w:rPr>
        <w:t>October 2018</w:t>
      </w:r>
      <w:r w:rsidR="00F520ED" w:rsidRPr="009E74D0">
        <w:rPr>
          <w:rFonts w:ascii="Arial" w:hAnsi="Arial" w:cs="Arial"/>
          <w:snapToGrid w:val="0"/>
          <w:sz w:val="22"/>
          <w:szCs w:val="22"/>
          <w:lang w:val="en-GB" w:eastAsia="en-US"/>
        </w:rPr>
        <w:t xml:space="preserve">, proposed amendments to the rules of procedure of the 1972, 2003 and 2005 Conventions </w:t>
      </w:r>
      <w:proofErr w:type="gramStart"/>
      <w:r w:rsidR="00DE744D" w:rsidRPr="009E74D0">
        <w:rPr>
          <w:rFonts w:ascii="Arial" w:hAnsi="Arial" w:cs="Arial"/>
          <w:snapToGrid w:val="0"/>
          <w:sz w:val="22"/>
          <w:szCs w:val="22"/>
          <w:lang w:val="en-GB" w:eastAsia="en-US"/>
        </w:rPr>
        <w:t>w</w:t>
      </w:r>
      <w:r w:rsidR="00773EEB" w:rsidRPr="009E74D0">
        <w:rPr>
          <w:rFonts w:ascii="Arial" w:hAnsi="Arial" w:cs="Arial"/>
          <w:snapToGrid w:val="0"/>
          <w:sz w:val="22"/>
          <w:szCs w:val="22"/>
          <w:lang w:val="en-GB" w:eastAsia="en-US"/>
        </w:rPr>
        <w:t>ere</w:t>
      </w:r>
      <w:r w:rsidR="00F520ED" w:rsidRPr="009E74D0">
        <w:rPr>
          <w:rFonts w:ascii="Arial" w:hAnsi="Arial" w:cs="Arial"/>
          <w:snapToGrid w:val="0"/>
          <w:sz w:val="22"/>
          <w:szCs w:val="22"/>
          <w:lang w:val="en-GB" w:eastAsia="en-US"/>
        </w:rPr>
        <w:t xml:space="preserve"> well advanced</w:t>
      </w:r>
      <w:proofErr w:type="gramEnd"/>
      <w:r w:rsidR="00F520ED" w:rsidRPr="009E74D0">
        <w:rPr>
          <w:rFonts w:ascii="Arial" w:hAnsi="Arial" w:cs="Arial"/>
          <w:snapToGrid w:val="0"/>
          <w:sz w:val="22"/>
          <w:szCs w:val="22"/>
          <w:lang w:val="en-GB" w:eastAsia="en-US"/>
        </w:rPr>
        <w:t xml:space="preserve"> and the work is being initiated to integrate into that matrix the rules of procedure of the 1954, 1970 and 2001 Conventions</w:t>
      </w:r>
      <w:r w:rsidRPr="009E74D0">
        <w:rPr>
          <w:rFonts w:ascii="Arial" w:hAnsi="Arial" w:cs="Arial"/>
          <w:snapToGrid w:val="0"/>
          <w:sz w:val="22"/>
          <w:szCs w:val="22"/>
          <w:lang w:val="en-GB" w:eastAsia="en-US"/>
        </w:rPr>
        <w:t>.</w:t>
      </w:r>
    </w:p>
    <w:p w14:paraId="20F59290" w14:textId="3B7BD311" w:rsidR="00127C55" w:rsidRPr="009E74D0" w:rsidRDefault="00A96C3E" w:rsidP="00974C6E">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9E74D0">
        <w:rPr>
          <w:rFonts w:ascii="Arial" w:hAnsi="Arial" w:cs="Arial"/>
          <w:snapToGrid w:val="0"/>
          <w:sz w:val="22"/>
          <w:szCs w:val="22"/>
          <w:lang w:val="en-GB" w:eastAsia="en-US"/>
        </w:rPr>
        <w:lastRenderedPageBreak/>
        <w:t xml:space="preserve">One point </w:t>
      </w:r>
      <w:r w:rsidR="00F06CBA" w:rsidRPr="009E74D0">
        <w:rPr>
          <w:rFonts w:ascii="Arial" w:hAnsi="Arial" w:cs="Arial"/>
          <w:snapToGrid w:val="0"/>
          <w:sz w:val="22"/>
          <w:szCs w:val="22"/>
          <w:lang w:val="en-GB" w:eastAsia="en-US"/>
        </w:rPr>
        <w:t>that merits particular</w:t>
      </w:r>
      <w:r w:rsidRPr="009E74D0">
        <w:rPr>
          <w:rFonts w:ascii="Arial" w:hAnsi="Arial" w:cs="Arial"/>
          <w:snapToGrid w:val="0"/>
          <w:sz w:val="22"/>
          <w:szCs w:val="22"/>
          <w:lang w:val="en-GB" w:eastAsia="en-US"/>
        </w:rPr>
        <w:t xml:space="preserve"> mention</w:t>
      </w:r>
      <w:r w:rsidR="007941BE" w:rsidRPr="009E74D0">
        <w:rPr>
          <w:rFonts w:ascii="Arial" w:hAnsi="Arial" w:cs="Arial"/>
          <w:snapToGrid w:val="0"/>
          <w:sz w:val="22"/>
          <w:szCs w:val="22"/>
          <w:lang w:val="en-GB" w:eastAsia="en-US"/>
        </w:rPr>
        <w:t xml:space="preserve"> is the publication of the 2018 edition of the Basic Texts of the 2003 Convention</w:t>
      </w:r>
      <w:r w:rsidRPr="009E74D0">
        <w:rPr>
          <w:rFonts w:ascii="Arial" w:hAnsi="Arial" w:cs="Arial"/>
          <w:snapToGrid w:val="0"/>
          <w:sz w:val="22"/>
          <w:szCs w:val="22"/>
          <w:lang w:val="en-GB" w:eastAsia="en-US"/>
        </w:rPr>
        <w:t>,</w:t>
      </w:r>
      <w:r w:rsidR="007941BE" w:rsidRPr="009E74D0">
        <w:rPr>
          <w:rFonts w:ascii="Arial" w:hAnsi="Arial" w:cs="Arial"/>
          <w:snapToGrid w:val="0"/>
          <w:sz w:val="22"/>
          <w:szCs w:val="22"/>
          <w:lang w:val="en-GB" w:eastAsia="en-US"/>
        </w:rPr>
        <w:t xml:space="preserve"> </w:t>
      </w:r>
      <w:r w:rsidRPr="009E74D0">
        <w:rPr>
          <w:rFonts w:ascii="Arial" w:hAnsi="Arial" w:cs="Arial"/>
          <w:snapToGrid w:val="0"/>
          <w:sz w:val="22"/>
          <w:szCs w:val="22"/>
          <w:lang w:val="en-GB" w:eastAsia="en-US"/>
        </w:rPr>
        <w:t>which</w:t>
      </w:r>
      <w:r w:rsidR="007941BE" w:rsidRPr="009E74D0">
        <w:rPr>
          <w:rFonts w:ascii="Arial" w:hAnsi="Arial" w:cs="Arial"/>
          <w:snapToGrid w:val="0"/>
          <w:sz w:val="22"/>
          <w:szCs w:val="22"/>
          <w:lang w:val="en-GB" w:eastAsia="en-US"/>
        </w:rPr>
        <w:t xml:space="preserve"> reflects the amendments made in June 2018 by the seventh session of the General Assembly. </w:t>
      </w:r>
      <w:r w:rsidR="008240F2">
        <w:rPr>
          <w:rFonts w:ascii="Arial" w:hAnsi="Arial" w:cs="Arial"/>
          <w:snapToGrid w:val="0"/>
          <w:sz w:val="22"/>
          <w:szCs w:val="22"/>
          <w:lang w:val="en-GB" w:eastAsia="en-US"/>
        </w:rPr>
        <w:t>T</w:t>
      </w:r>
      <w:r w:rsidR="007941BE" w:rsidRPr="009E74D0">
        <w:rPr>
          <w:rFonts w:ascii="Arial" w:hAnsi="Arial" w:cs="Arial"/>
          <w:snapToGrid w:val="0"/>
          <w:sz w:val="22"/>
          <w:szCs w:val="22"/>
          <w:lang w:val="en-GB" w:eastAsia="en-US"/>
        </w:rPr>
        <w:t xml:space="preserve">his publication </w:t>
      </w:r>
      <w:proofErr w:type="gramStart"/>
      <w:r w:rsidR="007941BE" w:rsidRPr="009E74D0">
        <w:rPr>
          <w:rFonts w:ascii="Arial" w:hAnsi="Arial" w:cs="Arial"/>
          <w:snapToGrid w:val="0"/>
          <w:sz w:val="22"/>
          <w:szCs w:val="22"/>
          <w:lang w:val="en-GB" w:eastAsia="en-US"/>
        </w:rPr>
        <w:t xml:space="preserve">was </w:t>
      </w:r>
      <w:r w:rsidR="008240F2">
        <w:rPr>
          <w:rFonts w:ascii="Arial" w:hAnsi="Arial" w:cs="Arial"/>
          <w:snapToGrid w:val="0"/>
          <w:sz w:val="22"/>
          <w:szCs w:val="22"/>
          <w:lang w:val="en-GB" w:eastAsia="en-US"/>
        </w:rPr>
        <w:t>made</w:t>
      </w:r>
      <w:proofErr w:type="gramEnd"/>
      <w:r w:rsidR="008240F2">
        <w:rPr>
          <w:rFonts w:ascii="Arial" w:hAnsi="Arial" w:cs="Arial"/>
          <w:snapToGrid w:val="0"/>
          <w:sz w:val="22"/>
          <w:szCs w:val="22"/>
          <w:lang w:val="en-GB" w:eastAsia="en-US"/>
        </w:rPr>
        <w:t xml:space="preserve"> available online</w:t>
      </w:r>
      <w:r w:rsidR="008240F2" w:rsidRPr="008240F2">
        <w:rPr>
          <w:rFonts w:ascii="Arial" w:hAnsi="Arial" w:cs="Arial"/>
          <w:snapToGrid w:val="0"/>
          <w:sz w:val="22"/>
          <w:szCs w:val="22"/>
          <w:lang w:val="en-GB" w:eastAsia="en-US"/>
        </w:rPr>
        <w:t xml:space="preserve"> </w:t>
      </w:r>
      <w:r w:rsidR="008240F2" w:rsidRPr="009E74D0">
        <w:rPr>
          <w:rFonts w:ascii="Arial" w:hAnsi="Arial" w:cs="Arial"/>
          <w:snapToGrid w:val="0"/>
          <w:sz w:val="22"/>
          <w:szCs w:val="22"/>
          <w:lang w:val="en-GB" w:eastAsia="en-US"/>
        </w:rPr>
        <w:t>in six languages</w:t>
      </w:r>
      <w:r w:rsidR="008240F2">
        <w:rPr>
          <w:rFonts w:ascii="Arial" w:hAnsi="Arial" w:cs="Arial"/>
          <w:snapToGrid w:val="0"/>
          <w:sz w:val="22"/>
          <w:szCs w:val="22"/>
          <w:lang w:val="en-GB" w:eastAsia="en-US"/>
        </w:rPr>
        <w:t xml:space="preserve"> </w:t>
      </w:r>
      <w:r w:rsidR="008240F2">
        <w:rPr>
          <w:rFonts w:ascii="Arial" w:hAnsi="Arial" w:cs="Arial"/>
          <w:snapToGrid w:val="0"/>
          <w:sz w:val="22"/>
          <w:szCs w:val="22"/>
          <w:lang w:val="en-GB" w:eastAsia="en-US"/>
        </w:rPr>
        <w:t>on 26 October 2018</w:t>
      </w:r>
      <w:r w:rsidR="007941BE" w:rsidRPr="009E74D0">
        <w:rPr>
          <w:rFonts w:ascii="Arial" w:hAnsi="Arial" w:cs="Arial"/>
          <w:snapToGrid w:val="0"/>
          <w:sz w:val="22"/>
          <w:szCs w:val="22"/>
          <w:lang w:val="en-GB" w:eastAsia="en-US"/>
        </w:rPr>
        <w:t xml:space="preserve">. For this latest revision, the Secretariat ensured that gender-neutral language </w:t>
      </w:r>
      <w:proofErr w:type="gramStart"/>
      <w:r w:rsidR="00F06CBA" w:rsidRPr="009E74D0">
        <w:rPr>
          <w:rFonts w:ascii="Arial" w:hAnsi="Arial" w:cs="Arial"/>
          <w:snapToGrid w:val="0"/>
          <w:sz w:val="22"/>
          <w:szCs w:val="22"/>
          <w:lang w:val="en-GB" w:eastAsia="en-US"/>
        </w:rPr>
        <w:t>was</w:t>
      </w:r>
      <w:r w:rsidR="007941BE" w:rsidRPr="009E74D0">
        <w:rPr>
          <w:rFonts w:ascii="Arial" w:hAnsi="Arial" w:cs="Arial"/>
          <w:snapToGrid w:val="0"/>
          <w:sz w:val="22"/>
          <w:szCs w:val="22"/>
          <w:lang w:val="en-GB" w:eastAsia="en-US"/>
        </w:rPr>
        <w:t xml:space="preserve"> used</w:t>
      </w:r>
      <w:proofErr w:type="gramEnd"/>
      <w:r w:rsidR="007941BE" w:rsidRPr="009E74D0">
        <w:rPr>
          <w:rFonts w:ascii="Arial" w:hAnsi="Arial" w:cs="Arial"/>
          <w:snapToGrid w:val="0"/>
          <w:sz w:val="22"/>
          <w:szCs w:val="22"/>
          <w:lang w:val="en-GB" w:eastAsia="en-US"/>
        </w:rPr>
        <w:t xml:space="preserve"> throughout the Basic Texts</w:t>
      </w:r>
      <w:r w:rsidRPr="009E74D0">
        <w:rPr>
          <w:rFonts w:ascii="Arial" w:hAnsi="Arial" w:cs="Arial"/>
          <w:snapToGrid w:val="0"/>
          <w:sz w:val="22"/>
          <w:szCs w:val="22"/>
          <w:lang w:val="en-GB" w:eastAsia="en-US"/>
        </w:rPr>
        <w:t>,</w:t>
      </w:r>
      <w:r w:rsidR="007941BE" w:rsidRPr="009E74D0">
        <w:rPr>
          <w:rFonts w:ascii="Arial" w:hAnsi="Arial" w:cs="Arial"/>
          <w:snapToGrid w:val="0"/>
          <w:sz w:val="22"/>
          <w:szCs w:val="22"/>
          <w:lang w:val="en-GB" w:eastAsia="en-US"/>
        </w:rPr>
        <w:t xml:space="preserve"> as per </w:t>
      </w:r>
      <w:hyperlink r:id="rId22" w:history="1">
        <w:r w:rsidR="007941BE" w:rsidRPr="009E74D0">
          <w:rPr>
            <w:rStyle w:val="Hyperlink"/>
            <w:rFonts w:ascii="Arial" w:hAnsi="Arial" w:cs="Arial"/>
            <w:snapToGrid w:val="0"/>
            <w:sz w:val="22"/>
            <w:szCs w:val="22"/>
            <w:lang w:val="en-GB" w:eastAsia="en-US"/>
          </w:rPr>
          <w:t>Resolution</w:t>
        </w:r>
        <w:r w:rsidR="00575F8F" w:rsidRPr="009E74D0">
          <w:rPr>
            <w:rStyle w:val="Hyperlink"/>
            <w:rFonts w:ascii="Arial" w:hAnsi="Arial" w:cs="Arial"/>
            <w:snapToGrid w:val="0"/>
            <w:sz w:val="22"/>
            <w:szCs w:val="22"/>
            <w:lang w:val="en-GB" w:eastAsia="en-US"/>
          </w:rPr>
          <w:t> </w:t>
        </w:r>
        <w:r w:rsidR="007941BE" w:rsidRPr="009E74D0">
          <w:rPr>
            <w:rStyle w:val="Hyperlink"/>
            <w:rFonts w:ascii="Arial" w:hAnsi="Arial" w:cs="Arial"/>
            <w:snapToGrid w:val="0"/>
            <w:sz w:val="22"/>
            <w:szCs w:val="22"/>
            <w:lang w:val="en-GB" w:eastAsia="en-US"/>
          </w:rPr>
          <w:t>7.GA 12</w:t>
        </w:r>
      </w:hyperlink>
      <w:r w:rsidR="007941BE" w:rsidRPr="009E74D0">
        <w:rPr>
          <w:rFonts w:ascii="Arial" w:hAnsi="Arial" w:cs="Arial"/>
          <w:snapToGrid w:val="0"/>
          <w:sz w:val="22"/>
          <w:szCs w:val="22"/>
          <w:lang w:val="en-GB" w:eastAsia="en-US"/>
        </w:rPr>
        <w:t>.</w:t>
      </w:r>
    </w:p>
    <w:p w14:paraId="27FC1C68" w14:textId="22EEB4B5" w:rsidR="009B7C08" w:rsidRPr="00EE4900" w:rsidRDefault="00127C55" w:rsidP="009E74D0">
      <w:pPr>
        <w:pStyle w:val="ListParagraph"/>
        <w:numPr>
          <w:ilvl w:val="0"/>
          <w:numId w:val="5"/>
        </w:numPr>
        <w:spacing w:after="120"/>
        <w:ind w:left="567" w:hanging="567"/>
        <w:contextualSpacing w:val="0"/>
        <w:jc w:val="both"/>
        <w:rPr>
          <w:rFonts w:ascii="Arial" w:hAnsi="Arial" w:cs="Arial"/>
          <w:snapToGrid w:val="0"/>
          <w:sz w:val="22"/>
          <w:szCs w:val="22"/>
          <w:lang w:val="en-GB" w:eastAsia="en-US"/>
        </w:rPr>
      </w:pPr>
      <w:r w:rsidRPr="00EE4900">
        <w:rPr>
          <w:rFonts w:ascii="Arial" w:hAnsi="Arial" w:cs="Arial"/>
          <w:sz w:val="22"/>
          <w:szCs w:val="22"/>
          <w:lang w:val="en-GB"/>
        </w:rPr>
        <w:t>T</w:t>
      </w:r>
      <w:r w:rsidR="0078716D" w:rsidRPr="00EE4900">
        <w:rPr>
          <w:rFonts w:ascii="Arial" w:hAnsi="Arial" w:cs="Arial"/>
          <w:sz w:val="22"/>
          <w:szCs w:val="22"/>
          <w:lang w:val="en-GB"/>
        </w:rPr>
        <w:t>he annex to this</w:t>
      </w:r>
      <w:r w:rsidR="000D7530" w:rsidRPr="00EE4900">
        <w:rPr>
          <w:rFonts w:ascii="Arial" w:hAnsi="Arial" w:cs="Arial"/>
          <w:sz w:val="22"/>
          <w:szCs w:val="22"/>
          <w:lang w:val="en-GB"/>
        </w:rPr>
        <w:t xml:space="preserve"> document</w:t>
      </w:r>
      <w:r w:rsidR="0078716D" w:rsidRPr="00EE4900">
        <w:rPr>
          <w:rFonts w:ascii="Arial" w:hAnsi="Arial" w:cs="Arial"/>
          <w:sz w:val="22"/>
          <w:szCs w:val="22"/>
          <w:lang w:val="en-GB"/>
        </w:rPr>
        <w:t xml:space="preserve"> report</w:t>
      </w:r>
      <w:r w:rsidR="00FE0D1B" w:rsidRPr="00EE4900">
        <w:rPr>
          <w:rFonts w:ascii="Arial" w:hAnsi="Arial" w:cs="Arial"/>
          <w:sz w:val="22"/>
          <w:szCs w:val="22"/>
          <w:lang w:val="en-GB"/>
        </w:rPr>
        <w:t>s</w:t>
      </w:r>
      <w:r w:rsidR="0078716D" w:rsidRPr="00EE4900">
        <w:rPr>
          <w:rFonts w:ascii="Arial" w:hAnsi="Arial" w:cs="Arial"/>
          <w:sz w:val="22"/>
          <w:szCs w:val="22"/>
          <w:lang w:val="en-GB"/>
        </w:rPr>
        <w:t xml:space="preserve"> on the status of implementation of the reco</w:t>
      </w:r>
      <w:bookmarkStart w:id="0" w:name="_GoBack"/>
      <w:bookmarkEnd w:id="0"/>
      <w:r w:rsidR="0078716D" w:rsidRPr="00EE4900">
        <w:rPr>
          <w:rFonts w:ascii="Arial" w:hAnsi="Arial" w:cs="Arial"/>
          <w:sz w:val="22"/>
          <w:szCs w:val="22"/>
          <w:lang w:val="en-GB"/>
        </w:rPr>
        <w:t xml:space="preserve">mmendations that are relevant to the governing bodies of the 2003 Convention. </w:t>
      </w:r>
      <w:r w:rsidR="00310F56" w:rsidRPr="00EE4900">
        <w:rPr>
          <w:rFonts w:ascii="Arial" w:hAnsi="Arial" w:cs="Arial"/>
          <w:sz w:val="22"/>
          <w:szCs w:val="22"/>
          <w:lang w:val="en-GB"/>
        </w:rPr>
        <w:t>It is an update</w:t>
      </w:r>
      <w:r w:rsidR="0078716D" w:rsidRPr="00EE4900">
        <w:rPr>
          <w:rFonts w:ascii="Arial" w:hAnsi="Arial" w:cs="Arial"/>
          <w:sz w:val="22"/>
          <w:szCs w:val="22"/>
          <w:lang w:val="en-GB"/>
        </w:rPr>
        <w:t xml:space="preserve"> </w:t>
      </w:r>
      <w:r w:rsidR="00310F56" w:rsidRPr="00EE4900">
        <w:rPr>
          <w:rFonts w:ascii="Arial" w:hAnsi="Arial" w:cs="Arial"/>
          <w:sz w:val="22"/>
          <w:szCs w:val="22"/>
          <w:lang w:val="en-GB"/>
        </w:rPr>
        <w:t>o</w:t>
      </w:r>
      <w:r w:rsidR="00173039">
        <w:rPr>
          <w:rFonts w:ascii="Arial" w:hAnsi="Arial" w:cs="Arial"/>
          <w:sz w:val="22"/>
          <w:szCs w:val="22"/>
          <w:lang w:val="en-GB"/>
        </w:rPr>
        <w:t>n</w:t>
      </w:r>
      <w:r w:rsidR="000D7530" w:rsidRPr="00EE4900">
        <w:rPr>
          <w:rFonts w:ascii="Arial" w:hAnsi="Arial" w:cs="Arial"/>
          <w:sz w:val="22"/>
          <w:szCs w:val="22"/>
          <w:lang w:val="en-GB"/>
        </w:rPr>
        <w:t xml:space="preserve"> the </w:t>
      </w:r>
      <w:r w:rsidR="00F25F99" w:rsidRPr="00EE4900">
        <w:rPr>
          <w:rFonts w:ascii="Arial" w:hAnsi="Arial" w:cs="Arial"/>
          <w:sz w:val="22"/>
          <w:szCs w:val="22"/>
          <w:lang w:val="en-GB"/>
        </w:rPr>
        <w:t>status</w:t>
      </w:r>
      <w:r w:rsidR="000D7530" w:rsidRPr="00EE4900">
        <w:rPr>
          <w:rFonts w:ascii="Arial" w:hAnsi="Arial" w:cs="Arial"/>
          <w:sz w:val="22"/>
          <w:szCs w:val="22"/>
          <w:lang w:val="en-GB"/>
        </w:rPr>
        <w:t xml:space="preserve"> presented</w:t>
      </w:r>
      <w:r w:rsidR="009E74D0">
        <w:rPr>
          <w:rFonts w:ascii="Arial" w:hAnsi="Arial" w:cs="Arial"/>
          <w:sz w:val="22"/>
          <w:szCs w:val="22"/>
          <w:lang w:val="en-GB"/>
        </w:rPr>
        <w:t xml:space="preserve"> </w:t>
      </w:r>
      <w:r w:rsidR="000D7530" w:rsidRPr="00EE4900">
        <w:rPr>
          <w:rFonts w:ascii="Arial" w:hAnsi="Arial" w:cs="Arial"/>
          <w:sz w:val="22"/>
          <w:szCs w:val="22"/>
          <w:lang w:val="en-GB"/>
        </w:rPr>
        <w:t xml:space="preserve">to the </w:t>
      </w:r>
      <w:r w:rsidR="000D7530" w:rsidRPr="00EE4900">
        <w:rPr>
          <w:rFonts w:ascii="Arial" w:hAnsi="Arial" w:cs="Arial"/>
          <w:snapToGrid w:val="0"/>
          <w:sz w:val="22"/>
          <w:szCs w:val="22"/>
          <w:lang w:val="en-GB" w:eastAsia="en-US"/>
        </w:rPr>
        <w:t>seventh</w:t>
      </w:r>
      <w:r w:rsidR="000D7530" w:rsidRPr="00EE4900">
        <w:rPr>
          <w:rFonts w:ascii="Arial" w:hAnsi="Arial" w:cs="Arial"/>
          <w:sz w:val="22"/>
          <w:szCs w:val="22"/>
          <w:lang w:val="en-GB"/>
        </w:rPr>
        <w:t xml:space="preserve"> session of the General Assembly</w:t>
      </w:r>
      <w:r w:rsidR="00F25F99" w:rsidRPr="00EE4900">
        <w:rPr>
          <w:rFonts w:ascii="Arial" w:hAnsi="Arial" w:cs="Arial"/>
          <w:sz w:val="22"/>
          <w:szCs w:val="22"/>
          <w:lang w:val="en-GB"/>
        </w:rPr>
        <w:t>.</w:t>
      </w:r>
      <w:r w:rsidR="007D1063" w:rsidRPr="00EE4900">
        <w:rPr>
          <w:rFonts w:ascii="Arial" w:hAnsi="Arial" w:cs="Arial"/>
          <w:sz w:val="22"/>
          <w:szCs w:val="22"/>
          <w:lang w:val="en-GB"/>
        </w:rPr>
        <w:t xml:space="preserve"> </w:t>
      </w:r>
      <w:r w:rsidR="007D1063" w:rsidRPr="00EE4900">
        <w:rPr>
          <w:rFonts w:ascii="Arial" w:hAnsi="Arial" w:cs="Arial"/>
          <w:snapToGrid w:val="0"/>
          <w:sz w:val="22"/>
          <w:szCs w:val="22"/>
          <w:lang w:val="en-GB" w:eastAsia="en-US"/>
        </w:rPr>
        <w:t>Once again</w:t>
      </w:r>
      <w:r w:rsidR="00F06CBA">
        <w:rPr>
          <w:rFonts w:ascii="Arial" w:hAnsi="Arial" w:cs="Arial"/>
          <w:snapToGrid w:val="0"/>
          <w:sz w:val="22"/>
          <w:szCs w:val="22"/>
          <w:lang w:val="en-GB" w:eastAsia="en-US"/>
        </w:rPr>
        <w:t>,</w:t>
      </w:r>
      <w:r w:rsidR="000D7530" w:rsidRPr="00EE4900">
        <w:rPr>
          <w:rFonts w:ascii="Arial" w:hAnsi="Arial" w:cs="Arial"/>
          <w:snapToGrid w:val="0"/>
          <w:sz w:val="22"/>
          <w:szCs w:val="22"/>
          <w:lang w:val="en-GB" w:eastAsia="en-US"/>
        </w:rPr>
        <w:t xml:space="preserve"> e</w:t>
      </w:r>
      <w:r w:rsidR="009B7C08" w:rsidRPr="00EE4900">
        <w:rPr>
          <w:rFonts w:ascii="Arial" w:hAnsi="Arial" w:cs="Arial"/>
          <w:snapToGrid w:val="0"/>
          <w:sz w:val="22"/>
          <w:szCs w:val="22"/>
          <w:lang w:val="en-GB" w:eastAsia="en-US"/>
        </w:rPr>
        <w:t xml:space="preserve">ach selected recommendation </w:t>
      </w:r>
      <w:r w:rsidR="000D7530" w:rsidRPr="00EE4900">
        <w:rPr>
          <w:rFonts w:ascii="Arial" w:hAnsi="Arial" w:cs="Arial"/>
          <w:snapToGrid w:val="0"/>
          <w:sz w:val="22"/>
          <w:szCs w:val="22"/>
          <w:lang w:val="en-GB" w:eastAsia="en-US"/>
        </w:rPr>
        <w:t>is</w:t>
      </w:r>
      <w:r w:rsidR="009B7C08" w:rsidRPr="00EE4900">
        <w:rPr>
          <w:rFonts w:ascii="Arial" w:hAnsi="Arial" w:cs="Arial"/>
          <w:snapToGrid w:val="0"/>
          <w:sz w:val="22"/>
          <w:szCs w:val="22"/>
          <w:lang w:val="en-GB" w:eastAsia="en-US"/>
        </w:rPr>
        <w:t xml:space="preserve"> presented with an indication as to which one of the four following categories it may belong</w:t>
      </w:r>
      <w:r w:rsidR="00173039">
        <w:rPr>
          <w:rFonts w:ascii="Arial" w:hAnsi="Arial" w:cs="Arial"/>
          <w:snapToGrid w:val="0"/>
          <w:sz w:val="22"/>
          <w:szCs w:val="22"/>
          <w:lang w:val="en-GB" w:eastAsia="en-US"/>
        </w:rPr>
        <w:t xml:space="preserve"> to</w:t>
      </w:r>
      <w:r w:rsidR="009B7C08" w:rsidRPr="00EE4900">
        <w:rPr>
          <w:rFonts w:ascii="Arial" w:hAnsi="Arial" w:cs="Arial"/>
          <w:snapToGrid w:val="0"/>
          <w:sz w:val="22"/>
          <w:szCs w:val="22"/>
          <w:lang w:val="en-GB" w:eastAsia="en-US"/>
        </w:rPr>
        <w:t>:</w:t>
      </w:r>
    </w:p>
    <w:p w14:paraId="0DDA9614" w14:textId="1E911955" w:rsidR="009B7C08" w:rsidRDefault="009B7C08" w:rsidP="00974C6E">
      <w:pPr>
        <w:pStyle w:val="COMPara"/>
        <w:numPr>
          <w:ilvl w:val="0"/>
          <w:numId w:val="6"/>
        </w:numPr>
        <w:ind w:left="1134" w:hanging="567"/>
        <w:jc w:val="both"/>
      </w:pPr>
      <w:r w:rsidRPr="00E863FC">
        <w:rPr>
          <w:b/>
        </w:rPr>
        <w:t>C</w:t>
      </w:r>
      <w:r>
        <w:rPr>
          <w:b/>
        </w:rPr>
        <w:t>losed</w:t>
      </w:r>
      <w:r w:rsidRPr="00DA2BCF">
        <w:rPr>
          <w:bCs/>
        </w:rPr>
        <w:t>:</w:t>
      </w:r>
      <w:r w:rsidRPr="00E863FC">
        <w:t xml:space="preserve"> </w:t>
      </w:r>
      <w:r>
        <w:t xml:space="preserve">the </w:t>
      </w:r>
      <w:r w:rsidRPr="00E863FC">
        <w:t>current practice and</w:t>
      </w:r>
      <w:r w:rsidRPr="00A27A83">
        <w:t>/or</w:t>
      </w:r>
      <w:r w:rsidRPr="00E863FC">
        <w:t xml:space="preserve"> rules </w:t>
      </w:r>
      <w:r>
        <w:t>comply</w:t>
      </w:r>
      <w:r w:rsidRPr="00E863FC">
        <w:t xml:space="preserve"> with those recommendations</w:t>
      </w:r>
      <w:r>
        <w:t xml:space="preserve">, and therefore no further action </w:t>
      </w:r>
      <w:proofErr w:type="gramStart"/>
      <w:r>
        <w:t>is needed</w:t>
      </w:r>
      <w:proofErr w:type="gramEnd"/>
      <w:r>
        <w:t>. Moreover, the Secretariat considers that its practice in certain of the areas covered by the recommendations can be highlighted as a good practice (</w:t>
      </w:r>
      <w:r w:rsidR="00F06CBA">
        <w:t>twelve</w:t>
      </w:r>
      <w:r>
        <w:t xml:space="preserve"> recommendations including </w:t>
      </w:r>
      <w:r w:rsidR="00F06CBA">
        <w:t xml:space="preserve">four </w:t>
      </w:r>
      <w:r>
        <w:t>good practices);</w:t>
      </w:r>
    </w:p>
    <w:p w14:paraId="15BC3E02" w14:textId="02706DAE" w:rsidR="009B7C08" w:rsidRDefault="009B7C08" w:rsidP="00974C6E">
      <w:pPr>
        <w:pStyle w:val="COMPara"/>
        <w:numPr>
          <w:ilvl w:val="0"/>
          <w:numId w:val="6"/>
        </w:numPr>
        <w:ind w:left="1134" w:hanging="567"/>
        <w:jc w:val="both"/>
      </w:pPr>
      <w:r>
        <w:rPr>
          <w:b/>
        </w:rPr>
        <w:t>Ongoing</w:t>
      </w:r>
      <w:r w:rsidRPr="00DA2BCF">
        <w:rPr>
          <w:bCs/>
        </w:rPr>
        <w:t>:</w:t>
      </w:r>
      <w:r>
        <w:t xml:space="preserve"> action has already been initiated by the Secretariat </w:t>
      </w:r>
      <w:r w:rsidRPr="00C42E47">
        <w:t>(</w:t>
      </w:r>
      <w:r w:rsidR="00F06CBA">
        <w:t xml:space="preserve">seven </w:t>
      </w:r>
      <w:r w:rsidRPr="00C42E47">
        <w:t>recommendations</w:t>
      </w:r>
      <w:r w:rsidR="00EC628C">
        <w:t xml:space="preserve"> </w:t>
      </w:r>
      <w:r w:rsidR="00974C6E">
        <w:t>including one</w:t>
      </w:r>
      <w:r w:rsidR="00EE4900">
        <w:t xml:space="preserve"> good practice</w:t>
      </w:r>
      <w:r>
        <w:t>);</w:t>
      </w:r>
    </w:p>
    <w:p w14:paraId="71A383CD" w14:textId="66BA5CA0" w:rsidR="009B7C08" w:rsidRDefault="009B7C08" w:rsidP="00974C6E">
      <w:pPr>
        <w:pStyle w:val="COMPara"/>
        <w:numPr>
          <w:ilvl w:val="0"/>
          <w:numId w:val="6"/>
        </w:numPr>
        <w:ind w:left="1134" w:hanging="567"/>
        <w:jc w:val="both"/>
      </w:pPr>
      <w:r>
        <w:rPr>
          <w:b/>
        </w:rPr>
        <w:t>Action proposed</w:t>
      </w:r>
      <w:r w:rsidRPr="00E863FC">
        <w:rPr>
          <w:b/>
        </w:rPr>
        <w:t>:</w:t>
      </w:r>
      <w:r w:rsidRPr="00E863FC">
        <w:t xml:space="preserve"> </w:t>
      </w:r>
      <w:r>
        <w:t xml:space="preserve">action is proposed for the implementation of those </w:t>
      </w:r>
      <w:r w:rsidRPr="00E863FC">
        <w:t>recommendations</w:t>
      </w:r>
      <w:r>
        <w:t xml:space="preserve"> (</w:t>
      </w:r>
      <w:r w:rsidR="00F06CBA">
        <w:t xml:space="preserve">three </w:t>
      </w:r>
      <w:r>
        <w:t>recommendations)</w:t>
      </w:r>
      <w:r w:rsidRPr="00430698">
        <w:t>;</w:t>
      </w:r>
    </w:p>
    <w:p w14:paraId="29044EB4" w14:textId="16805326" w:rsidR="009B7C08" w:rsidRDefault="009B7C08" w:rsidP="00974C6E">
      <w:pPr>
        <w:pStyle w:val="COMPara"/>
        <w:numPr>
          <w:ilvl w:val="0"/>
          <w:numId w:val="6"/>
        </w:numPr>
        <w:ind w:left="1134" w:hanging="567"/>
        <w:jc w:val="both"/>
      </w:pPr>
      <w:r w:rsidRPr="00942976">
        <w:rPr>
          <w:b/>
        </w:rPr>
        <w:t>Action</w:t>
      </w:r>
      <w:r w:rsidRPr="00602CE1">
        <w:rPr>
          <w:b/>
        </w:rPr>
        <w:t xml:space="preserve"> </w:t>
      </w:r>
      <w:r w:rsidRPr="00942976">
        <w:rPr>
          <w:b/>
        </w:rPr>
        <w:t>required by S</w:t>
      </w:r>
      <w:r w:rsidRPr="00602CE1">
        <w:rPr>
          <w:b/>
        </w:rPr>
        <w:t>tates Parties</w:t>
      </w:r>
      <w:r w:rsidRPr="00FC0138">
        <w:rPr>
          <w:b/>
        </w:rPr>
        <w:t>:</w:t>
      </w:r>
      <w:r>
        <w:t xml:space="preserve"> the implementation of these recommendations lies with States Parties (</w:t>
      </w:r>
      <w:r w:rsidR="00F06CBA">
        <w:t>four</w:t>
      </w:r>
      <w:r>
        <w:t xml:space="preserve"> recommendations).</w:t>
      </w:r>
    </w:p>
    <w:p w14:paraId="14BF43EF" w14:textId="4BDE5117" w:rsidR="00731ED9" w:rsidRDefault="002E44DD" w:rsidP="00473183">
      <w:pPr>
        <w:pStyle w:val="COMPara"/>
        <w:numPr>
          <w:ilvl w:val="0"/>
          <w:numId w:val="5"/>
        </w:numPr>
        <w:ind w:left="567" w:hanging="567"/>
        <w:jc w:val="both"/>
      </w:pPr>
      <w:r>
        <w:t xml:space="preserve">The table below indicates the changes </w:t>
      </w:r>
      <w:r w:rsidR="00F06CBA">
        <w:t>in</w:t>
      </w:r>
      <w:r w:rsidR="00957128">
        <w:t xml:space="preserve"> status </w:t>
      </w:r>
      <w:r w:rsidR="00F06CBA">
        <w:t>compared</w:t>
      </w:r>
      <w:r w:rsidR="00957128">
        <w:t xml:space="preserve"> to </w:t>
      </w:r>
      <w:r w:rsidR="00F06CBA">
        <w:t>those</w:t>
      </w:r>
      <w:r w:rsidR="00957128">
        <w:t xml:space="preserve"> presented at the seventh session of the General Assembly</w:t>
      </w:r>
      <w:r w:rsidR="00473183">
        <w:t xml:space="preserve"> in June 2018</w:t>
      </w:r>
      <w:r w:rsidR="00957128">
        <w:t xml:space="preserve">. In general, actions </w:t>
      </w:r>
      <w:proofErr w:type="gramStart"/>
      <w:r w:rsidR="00957128">
        <w:t>were taken</w:t>
      </w:r>
      <w:proofErr w:type="gramEnd"/>
      <w:r w:rsidR="00957128">
        <w:t xml:space="preserve"> to move a number of recommendation</w:t>
      </w:r>
      <w:r w:rsidR="00F06CBA">
        <w:t>s</w:t>
      </w:r>
      <w:r w:rsidR="00957128">
        <w:t xml:space="preserve"> towards </w:t>
      </w:r>
      <w:r w:rsidR="00F06CBA">
        <w:t>the status</w:t>
      </w:r>
      <w:r w:rsidR="00957128">
        <w:t xml:space="preserve"> ‘closed’ or ‘ongoing’.</w:t>
      </w:r>
    </w:p>
    <w:tbl>
      <w:tblPr>
        <w:tblStyle w:val="TableGrid"/>
        <w:tblW w:w="0" w:type="auto"/>
        <w:tblInd w:w="567" w:type="dxa"/>
        <w:tblLook w:val="04A0" w:firstRow="1" w:lastRow="0" w:firstColumn="1" w:lastColumn="0" w:noHBand="0" w:noVBand="1"/>
      </w:tblPr>
      <w:tblGrid>
        <w:gridCol w:w="1980"/>
        <w:gridCol w:w="3540"/>
        <w:gridCol w:w="3541"/>
      </w:tblGrid>
      <w:tr w:rsidR="00FA06B4" w:rsidRPr="002E44DD" w14:paraId="529406DB" w14:textId="77777777" w:rsidTr="009E74D0">
        <w:tc>
          <w:tcPr>
            <w:tcW w:w="1980" w:type="dxa"/>
          </w:tcPr>
          <w:p w14:paraId="48E11CD1" w14:textId="1ACEBDAC" w:rsidR="002E44DD" w:rsidRDefault="00AD0B6B" w:rsidP="002E44DD">
            <w:pPr>
              <w:pStyle w:val="COMPara"/>
              <w:numPr>
                <w:ilvl w:val="0"/>
                <w:numId w:val="0"/>
              </w:numPr>
              <w:jc w:val="both"/>
            </w:pPr>
            <w:r>
              <w:t>Status</w:t>
            </w:r>
          </w:p>
        </w:tc>
        <w:tc>
          <w:tcPr>
            <w:tcW w:w="3540" w:type="dxa"/>
          </w:tcPr>
          <w:p w14:paraId="7F1B5703" w14:textId="0C370D3E" w:rsidR="002E44DD" w:rsidRPr="00EC628C" w:rsidRDefault="00AD0B6B" w:rsidP="002E44DD">
            <w:pPr>
              <w:pStyle w:val="COMPara"/>
              <w:numPr>
                <w:ilvl w:val="0"/>
                <w:numId w:val="0"/>
              </w:numPr>
              <w:jc w:val="both"/>
            </w:pPr>
            <w:r w:rsidRPr="00EC628C">
              <w:t>A</w:t>
            </w:r>
            <w:r w:rsidR="002E44DD" w:rsidRPr="00EC628C">
              <w:t>s presented at 7</w:t>
            </w:r>
            <w:r w:rsidR="009732FB">
              <w:t>.</w:t>
            </w:r>
            <w:r w:rsidR="002E44DD" w:rsidRPr="00EC628C">
              <w:t>GA</w:t>
            </w:r>
          </w:p>
        </w:tc>
        <w:tc>
          <w:tcPr>
            <w:tcW w:w="3541" w:type="dxa"/>
          </w:tcPr>
          <w:p w14:paraId="56E60D2B" w14:textId="38B191B6" w:rsidR="002E44DD" w:rsidRPr="00EC628C" w:rsidRDefault="00AD0B6B">
            <w:pPr>
              <w:pStyle w:val="COMPara"/>
              <w:numPr>
                <w:ilvl w:val="0"/>
                <w:numId w:val="0"/>
              </w:numPr>
              <w:jc w:val="both"/>
            </w:pPr>
            <w:r w:rsidRPr="00EC628C">
              <w:t>A</w:t>
            </w:r>
            <w:r w:rsidR="002E44DD" w:rsidRPr="00EC628C">
              <w:t>s presented at 13</w:t>
            </w:r>
            <w:r w:rsidR="009732FB">
              <w:t>.</w:t>
            </w:r>
            <w:r w:rsidR="002E44DD" w:rsidRPr="00EC628C">
              <w:t>COM</w:t>
            </w:r>
          </w:p>
        </w:tc>
      </w:tr>
      <w:tr w:rsidR="00FA06B4" w:rsidRPr="002E44DD" w14:paraId="46D258D7" w14:textId="77777777" w:rsidTr="009E74D0">
        <w:tc>
          <w:tcPr>
            <w:tcW w:w="1980" w:type="dxa"/>
          </w:tcPr>
          <w:p w14:paraId="13D7F067" w14:textId="604C899F" w:rsidR="002E44DD" w:rsidRDefault="002E44DD" w:rsidP="002E44DD">
            <w:pPr>
              <w:pStyle w:val="COMPara"/>
              <w:numPr>
                <w:ilvl w:val="0"/>
                <w:numId w:val="0"/>
              </w:numPr>
              <w:jc w:val="both"/>
            </w:pPr>
            <w:r>
              <w:t>Closed</w:t>
            </w:r>
          </w:p>
        </w:tc>
        <w:tc>
          <w:tcPr>
            <w:tcW w:w="3540" w:type="dxa"/>
          </w:tcPr>
          <w:p w14:paraId="5D89CD26" w14:textId="52BD91C1" w:rsidR="00D50224" w:rsidRDefault="0033460F" w:rsidP="001A50F7">
            <w:pPr>
              <w:pStyle w:val="COMPara"/>
              <w:numPr>
                <w:ilvl w:val="0"/>
                <w:numId w:val="0"/>
              </w:numPr>
            </w:pPr>
            <w:r>
              <w:t>11 recommendations including 4</w:t>
            </w:r>
            <w:r w:rsidR="00974C6E">
              <w:t> </w:t>
            </w:r>
            <w:r>
              <w:t>good practices</w:t>
            </w:r>
          </w:p>
          <w:p w14:paraId="5E2E6806" w14:textId="30D2BB1F" w:rsidR="002E44DD" w:rsidRPr="005E778C" w:rsidRDefault="00D50224" w:rsidP="009E74D0">
            <w:pPr>
              <w:pStyle w:val="COMPara"/>
              <w:numPr>
                <w:ilvl w:val="0"/>
                <w:numId w:val="0"/>
              </w:numPr>
              <w:jc w:val="both"/>
              <w:rPr>
                <w:sz w:val="20"/>
                <w:szCs w:val="20"/>
              </w:rPr>
            </w:pPr>
            <w:r w:rsidRPr="005E778C">
              <w:rPr>
                <w:sz w:val="18"/>
                <w:szCs w:val="18"/>
              </w:rPr>
              <w:t>(56, 57, 59, 61, 62, 69, 70, 78, 79, 99</w:t>
            </w:r>
            <w:r w:rsidR="00473183">
              <w:rPr>
                <w:sz w:val="18"/>
                <w:szCs w:val="18"/>
              </w:rPr>
              <w:t>,</w:t>
            </w:r>
            <w:r w:rsidRPr="005E778C">
              <w:rPr>
                <w:sz w:val="18"/>
                <w:szCs w:val="18"/>
              </w:rPr>
              <w:t xml:space="preserve"> 101)</w:t>
            </w:r>
          </w:p>
        </w:tc>
        <w:tc>
          <w:tcPr>
            <w:tcW w:w="3541" w:type="dxa"/>
          </w:tcPr>
          <w:p w14:paraId="2CC3B1A4" w14:textId="07EA1338" w:rsidR="00D50224" w:rsidRDefault="00FA06B4" w:rsidP="001A50F7">
            <w:pPr>
              <w:pStyle w:val="COMPara"/>
              <w:numPr>
                <w:ilvl w:val="0"/>
                <w:numId w:val="0"/>
              </w:numPr>
            </w:pPr>
            <w:r>
              <w:t>12 recommendations including 4</w:t>
            </w:r>
            <w:r w:rsidR="00974C6E">
              <w:t> </w:t>
            </w:r>
            <w:r>
              <w:t>good practices</w:t>
            </w:r>
          </w:p>
          <w:p w14:paraId="35598865" w14:textId="0A1C685F" w:rsidR="002E44DD" w:rsidRPr="005E778C" w:rsidRDefault="00D50224" w:rsidP="005E778C">
            <w:pPr>
              <w:pStyle w:val="COMPara"/>
              <w:numPr>
                <w:ilvl w:val="0"/>
                <w:numId w:val="0"/>
              </w:numPr>
              <w:jc w:val="both"/>
              <w:rPr>
                <w:sz w:val="18"/>
                <w:szCs w:val="18"/>
              </w:rPr>
            </w:pPr>
            <w:r w:rsidRPr="005E778C">
              <w:rPr>
                <w:sz w:val="18"/>
                <w:szCs w:val="18"/>
              </w:rPr>
              <w:t>(56, 57, 59, 61, 62, 69, 70, 73, 78, 79, 99, 101)</w:t>
            </w:r>
          </w:p>
        </w:tc>
      </w:tr>
      <w:tr w:rsidR="00FA06B4" w:rsidRPr="002E44DD" w14:paraId="2387DC2B" w14:textId="77777777" w:rsidTr="009E74D0">
        <w:tc>
          <w:tcPr>
            <w:tcW w:w="1980" w:type="dxa"/>
          </w:tcPr>
          <w:p w14:paraId="0EA71B42" w14:textId="503A721D" w:rsidR="002E44DD" w:rsidRDefault="002E44DD" w:rsidP="002E44DD">
            <w:pPr>
              <w:pStyle w:val="COMPara"/>
              <w:numPr>
                <w:ilvl w:val="0"/>
                <w:numId w:val="0"/>
              </w:numPr>
              <w:jc w:val="both"/>
            </w:pPr>
            <w:r>
              <w:t>Ongoing</w:t>
            </w:r>
          </w:p>
        </w:tc>
        <w:tc>
          <w:tcPr>
            <w:tcW w:w="3540" w:type="dxa"/>
          </w:tcPr>
          <w:p w14:paraId="30ADDCD1" w14:textId="659839FE" w:rsidR="00D50224" w:rsidRDefault="0033460F" w:rsidP="009E74D0">
            <w:pPr>
              <w:pStyle w:val="COMPara"/>
              <w:numPr>
                <w:ilvl w:val="0"/>
                <w:numId w:val="0"/>
              </w:numPr>
            </w:pPr>
            <w:r>
              <w:t>2 recommendations</w:t>
            </w:r>
            <w:r w:rsidR="00EE4900">
              <w:t xml:space="preserve"> </w:t>
            </w:r>
            <w:r w:rsidR="00974C6E">
              <w:t>including 1 </w:t>
            </w:r>
            <w:r w:rsidR="00EE4900">
              <w:t>good practice</w:t>
            </w:r>
          </w:p>
          <w:p w14:paraId="3BCD5CB6" w14:textId="048BCF9D" w:rsidR="002E44DD" w:rsidRDefault="00D50224" w:rsidP="001A50F7">
            <w:pPr>
              <w:pStyle w:val="COMPara"/>
              <w:numPr>
                <w:ilvl w:val="0"/>
                <w:numId w:val="0"/>
              </w:numPr>
              <w:jc w:val="both"/>
            </w:pPr>
            <w:r w:rsidRPr="005E778C">
              <w:rPr>
                <w:sz w:val="18"/>
                <w:szCs w:val="18"/>
              </w:rPr>
              <w:t>(76, 100)</w:t>
            </w:r>
          </w:p>
        </w:tc>
        <w:tc>
          <w:tcPr>
            <w:tcW w:w="3541" w:type="dxa"/>
          </w:tcPr>
          <w:p w14:paraId="11407F23" w14:textId="0E79B970" w:rsidR="00D50224" w:rsidRDefault="00FA06B4" w:rsidP="009E74D0">
            <w:pPr>
              <w:pStyle w:val="COMPara"/>
              <w:numPr>
                <w:ilvl w:val="0"/>
                <w:numId w:val="0"/>
              </w:numPr>
            </w:pPr>
            <w:r>
              <w:t>7 recommendations</w:t>
            </w:r>
            <w:r w:rsidR="00EE4900">
              <w:t xml:space="preserve"> </w:t>
            </w:r>
            <w:r w:rsidR="00D50224">
              <w:t>including 1</w:t>
            </w:r>
            <w:r w:rsidR="00974C6E">
              <w:t> </w:t>
            </w:r>
            <w:r w:rsidR="00D50224">
              <w:t>good practice</w:t>
            </w:r>
          </w:p>
          <w:p w14:paraId="506A92A0" w14:textId="3C94C2CA" w:rsidR="002E44DD" w:rsidRPr="005E778C" w:rsidRDefault="00EE4900">
            <w:pPr>
              <w:pStyle w:val="COMPara"/>
              <w:numPr>
                <w:ilvl w:val="0"/>
                <w:numId w:val="0"/>
              </w:numPr>
              <w:jc w:val="both"/>
              <w:rPr>
                <w:sz w:val="18"/>
                <w:szCs w:val="18"/>
              </w:rPr>
            </w:pPr>
            <w:r w:rsidRPr="005E778C">
              <w:rPr>
                <w:sz w:val="18"/>
                <w:szCs w:val="18"/>
              </w:rPr>
              <w:t>(58, 65, 71, 76, 94, 96, 100)</w:t>
            </w:r>
          </w:p>
        </w:tc>
      </w:tr>
      <w:tr w:rsidR="0033460F" w:rsidRPr="002E44DD" w14:paraId="0FDAB57F" w14:textId="77777777" w:rsidTr="009E74D0">
        <w:tc>
          <w:tcPr>
            <w:tcW w:w="1980" w:type="dxa"/>
          </w:tcPr>
          <w:p w14:paraId="2E162182" w14:textId="5EE3C6D7" w:rsidR="0033460F" w:rsidRDefault="0033460F" w:rsidP="0033460F">
            <w:pPr>
              <w:pStyle w:val="COMPara"/>
              <w:numPr>
                <w:ilvl w:val="0"/>
                <w:numId w:val="0"/>
              </w:numPr>
              <w:jc w:val="both"/>
            </w:pPr>
            <w:r>
              <w:t>Action proposed</w:t>
            </w:r>
          </w:p>
        </w:tc>
        <w:tc>
          <w:tcPr>
            <w:tcW w:w="3540" w:type="dxa"/>
          </w:tcPr>
          <w:p w14:paraId="0B82EAF0" w14:textId="10A514CE" w:rsidR="00D50224" w:rsidRDefault="0033460F" w:rsidP="0033460F">
            <w:pPr>
              <w:pStyle w:val="COMPara"/>
              <w:numPr>
                <w:ilvl w:val="0"/>
                <w:numId w:val="0"/>
              </w:numPr>
              <w:jc w:val="both"/>
            </w:pPr>
            <w:r>
              <w:t>8 recommendations</w:t>
            </w:r>
          </w:p>
          <w:p w14:paraId="2210416F" w14:textId="5FBA5CB1" w:rsidR="0033460F" w:rsidRDefault="00EE4900" w:rsidP="0033460F">
            <w:pPr>
              <w:pStyle w:val="COMPara"/>
              <w:numPr>
                <w:ilvl w:val="0"/>
                <w:numId w:val="0"/>
              </w:numPr>
              <w:jc w:val="both"/>
            </w:pPr>
            <w:r w:rsidRPr="005E778C">
              <w:rPr>
                <w:sz w:val="18"/>
                <w:szCs w:val="18"/>
              </w:rPr>
              <w:t>(58, 65, 66, 67, 71, 73, 96, 97)</w:t>
            </w:r>
          </w:p>
        </w:tc>
        <w:tc>
          <w:tcPr>
            <w:tcW w:w="3541" w:type="dxa"/>
          </w:tcPr>
          <w:p w14:paraId="6235F031" w14:textId="0207FBBC" w:rsidR="00D50224" w:rsidRDefault="0033460F" w:rsidP="0033460F">
            <w:pPr>
              <w:pStyle w:val="COMPara"/>
              <w:numPr>
                <w:ilvl w:val="0"/>
                <w:numId w:val="0"/>
              </w:numPr>
              <w:jc w:val="both"/>
            </w:pPr>
            <w:r>
              <w:t>3 recommendations</w:t>
            </w:r>
          </w:p>
          <w:p w14:paraId="64AB048E" w14:textId="0B233F09" w:rsidR="0033460F" w:rsidRDefault="00EE4900" w:rsidP="0033460F">
            <w:pPr>
              <w:pStyle w:val="COMPara"/>
              <w:numPr>
                <w:ilvl w:val="0"/>
                <w:numId w:val="0"/>
              </w:numPr>
              <w:jc w:val="both"/>
            </w:pPr>
            <w:r w:rsidRPr="005E778C">
              <w:rPr>
                <w:sz w:val="18"/>
                <w:szCs w:val="18"/>
              </w:rPr>
              <w:t>(66, 67, 97)</w:t>
            </w:r>
          </w:p>
        </w:tc>
      </w:tr>
      <w:tr w:rsidR="0033460F" w:rsidRPr="002E44DD" w14:paraId="34EF399E" w14:textId="77777777" w:rsidTr="009E74D0">
        <w:tc>
          <w:tcPr>
            <w:tcW w:w="1980" w:type="dxa"/>
          </w:tcPr>
          <w:p w14:paraId="547190EB" w14:textId="099E87E1" w:rsidR="0033460F" w:rsidRDefault="0033460F" w:rsidP="0033460F">
            <w:pPr>
              <w:pStyle w:val="COMPara"/>
              <w:numPr>
                <w:ilvl w:val="0"/>
                <w:numId w:val="0"/>
              </w:numPr>
              <w:jc w:val="both"/>
            </w:pPr>
            <w:r>
              <w:t>Action required by States Parties</w:t>
            </w:r>
          </w:p>
        </w:tc>
        <w:tc>
          <w:tcPr>
            <w:tcW w:w="3540" w:type="dxa"/>
          </w:tcPr>
          <w:p w14:paraId="6EFB2D75" w14:textId="65A7F9D7" w:rsidR="00D50224" w:rsidRDefault="0033460F" w:rsidP="0033460F">
            <w:pPr>
              <w:pStyle w:val="COMPara"/>
              <w:numPr>
                <w:ilvl w:val="0"/>
                <w:numId w:val="0"/>
              </w:numPr>
              <w:jc w:val="both"/>
            </w:pPr>
            <w:r>
              <w:t>5 recommendations</w:t>
            </w:r>
          </w:p>
          <w:p w14:paraId="23D161A9" w14:textId="41A195C3" w:rsidR="0033460F" w:rsidRDefault="00EE4900" w:rsidP="0033460F">
            <w:pPr>
              <w:pStyle w:val="COMPara"/>
              <w:numPr>
                <w:ilvl w:val="0"/>
                <w:numId w:val="0"/>
              </w:numPr>
              <w:jc w:val="both"/>
            </w:pPr>
            <w:r w:rsidRPr="005E778C">
              <w:rPr>
                <w:sz w:val="18"/>
                <w:szCs w:val="18"/>
              </w:rPr>
              <w:t>(60, 64, 68, 94, 107)</w:t>
            </w:r>
          </w:p>
        </w:tc>
        <w:tc>
          <w:tcPr>
            <w:tcW w:w="3541" w:type="dxa"/>
          </w:tcPr>
          <w:p w14:paraId="72A05455" w14:textId="66C2E808" w:rsidR="00D50224" w:rsidRDefault="0033460F" w:rsidP="0033460F">
            <w:pPr>
              <w:pStyle w:val="COMPara"/>
              <w:numPr>
                <w:ilvl w:val="0"/>
                <w:numId w:val="0"/>
              </w:numPr>
              <w:jc w:val="both"/>
            </w:pPr>
            <w:r>
              <w:t>4 recommendations</w:t>
            </w:r>
          </w:p>
          <w:p w14:paraId="329C6584" w14:textId="2314DE49" w:rsidR="0033460F" w:rsidRDefault="00EE4900" w:rsidP="0033460F">
            <w:pPr>
              <w:pStyle w:val="COMPara"/>
              <w:numPr>
                <w:ilvl w:val="0"/>
                <w:numId w:val="0"/>
              </w:numPr>
              <w:jc w:val="both"/>
            </w:pPr>
            <w:r w:rsidRPr="005E778C">
              <w:rPr>
                <w:sz w:val="18"/>
                <w:szCs w:val="18"/>
              </w:rPr>
              <w:t>(60, 64, 68, 107)</w:t>
            </w:r>
          </w:p>
        </w:tc>
      </w:tr>
    </w:tbl>
    <w:p w14:paraId="728F33DE" w14:textId="7B9C4A9E" w:rsidR="009B7C08" w:rsidRPr="005A4A42" w:rsidRDefault="009B7C08" w:rsidP="005E778C">
      <w:pPr>
        <w:keepNext/>
        <w:numPr>
          <w:ilvl w:val="0"/>
          <w:numId w:val="5"/>
        </w:numPr>
        <w:spacing w:before="240" w:after="120"/>
        <w:ind w:left="567" w:hanging="567"/>
        <w:jc w:val="both"/>
        <w:rPr>
          <w:rFonts w:ascii="Arial" w:eastAsia="SimSun" w:hAnsi="Arial" w:cs="Arial"/>
          <w:sz w:val="22"/>
          <w:szCs w:val="22"/>
          <w:lang w:val="en-GB"/>
        </w:rPr>
      </w:pPr>
      <w:r w:rsidRPr="005A4A42">
        <w:rPr>
          <w:rFonts w:ascii="Arial" w:hAnsi="Arial"/>
          <w:sz w:val="22"/>
          <w:lang w:val="en-GB"/>
        </w:rPr>
        <w:t xml:space="preserve">The </w:t>
      </w:r>
      <w:r w:rsidR="00A442B6">
        <w:rPr>
          <w:rFonts w:ascii="Arial" w:hAnsi="Arial"/>
          <w:sz w:val="22"/>
          <w:lang w:val="en-GB"/>
        </w:rPr>
        <w:t>Committee</w:t>
      </w:r>
      <w:r w:rsidRPr="005A4A42">
        <w:rPr>
          <w:rFonts w:ascii="Arial" w:hAnsi="Arial"/>
          <w:sz w:val="22"/>
          <w:lang w:val="en-GB"/>
        </w:rPr>
        <w:t xml:space="preserve"> may wish to adopt the following </w:t>
      </w:r>
      <w:r w:rsidR="00A442B6">
        <w:rPr>
          <w:rFonts w:ascii="Arial" w:hAnsi="Arial"/>
          <w:sz w:val="22"/>
          <w:lang w:val="en-GB"/>
        </w:rPr>
        <w:t>decision</w:t>
      </w:r>
      <w:r w:rsidRPr="005A4A42">
        <w:rPr>
          <w:rFonts w:ascii="Arial" w:hAnsi="Arial"/>
          <w:sz w:val="22"/>
          <w:lang w:val="en-GB"/>
        </w:rPr>
        <w:t>:</w:t>
      </w:r>
    </w:p>
    <w:p w14:paraId="7AC5B31F" w14:textId="2BDC31A8" w:rsidR="009B7C08" w:rsidRDefault="009B7C08" w:rsidP="005141A0">
      <w:pPr>
        <w:pStyle w:val="GATitleResolution"/>
      </w:pPr>
      <w:r>
        <w:t xml:space="preserve">DRAFT </w:t>
      </w:r>
      <w:r w:rsidR="00A442B6">
        <w:t>DECISION 13</w:t>
      </w:r>
      <w:r>
        <w:t>.</w:t>
      </w:r>
      <w:r w:rsidR="00A442B6">
        <w:t>COM</w:t>
      </w:r>
      <w:r>
        <w:t xml:space="preserve"> 1</w:t>
      </w:r>
      <w:r w:rsidR="00A442B6">
        <w:t>7</w:t>
      </w:r>
    </w:p>
    <w:p w14:paraId="0D75A69F" w14:textId="3969C928" w:rsidR="009B7C08" w:rsidRPr="005A4A42" w:rsidRDefault="009B7C08" w:rsidP="005141A0">
      <w:pPr>
        <w:pStyle w:val="GAPreambulaResolution"/>
        <w:rPr>
          <w:rFonts w:eastAsia="SimSun"/>
        </w:rPr>
      </w:pPr>
      <w:r w:rsidRPr="005A4A42">
        <w:t xml:space="preserve">The </w:t>
      </w:r>
      <w:r w:rsidR="00A442B6">
        <w:t>Committee</w:t>
      </w:r>
      <w:r w:rsidRPr="005A4A42">
        <w:t>,</w:t>
      </w:r>
    </w:p>
    <w:p w14:paraId="7585ED10" w14:textId="60636399" w:rsidR="009B7C08" w:rsidRPr="00345CB4" w:rsidRDefault="009B7C08" w:rsidP="005141A0">
      <w:pPr>
        <w:pStyle w:val="COMParaDecision"/>
        <w:jc w:val="left"/>
      </w:pPr>
      <w:r w:rsidRPr="00345CB4">
        <w:t>Having examined</w:t>
      </w:r>
      <w:r w:rsidRPr="00F32C23">
        <w:rPr>
          <w:u w:val="none"/>
        </w:rPr>
        <w:t xml:space="preserve"> doc</w:t>
      </w:r>
      <w:r>
        <w:rPr>
          <w:u w:val="none"/>
        </w:rPr>
        <w:t>ument ITH/18/</w:t>
      </w:r>
      <w:r w:rsidR="00A442B6">
        <w:rPr>
          <w:u w:val="none"/>
        </w:rPr>
        <w:t>13.COM</w:t>
      </w:r>
      <w:r w:rsidRPr="00F32C23">
        <w:rPr>
          <w:u w:val="none"/>
        </w:rPr>
        <w:t>/</w:t>
      </w:r>
      <w:r w:rsidR="00A442B6">
        <w:rPr>
          <w:u w:val="none"/>
        </w:rPr>
        <w:t>17</w:t>
      </w:r>
      <w:r>
        <w:rPr>
          <w:u w:val="none"/>
        </w:rPr>
        <w:t xml:space="preserve"> including its annex</w:t>
      </w:r>
      <w:r w:rsidRPr="00F32C23">
        <w:rPr>
          <w:u w:val="none"/>
        </w:rPr>
        <w:t>,</w:t>
      </w:r>
    </w:p>
    <w:p w14:paraId="2F518C00" w14:textId="05C6225F" w:rsidR="009B7C08" w:rsidRPr="00345CB4" w:rsidRDefault="009B7C08" w:rsidP="00D6399B">
      <w:pPr>
        <w:pStyle w:val="COMParaDecision"/>
      </w:pPr>
      <w:r w:rsidRPr="00345CB4">
        <w:t>Recalling</w:t>
      </w:r>
      <w:r w:rsidRPr="00F32C23">
        <w:rPr>
          <w:u w:val="none"/>
        </w:rPr>
        <w:t xml:space="preserve"> </w:t>
      </w:r>
      <w:r w:rsidR="00D6399B">
        <w:rPr>
          <w:u w:val="none"/>
        </w:rPr>
        <w:t>documen</w:t>
      </w:r>
      <w:r w:rsidR="00D6399B" w:rsidRPr="00B44D76">
        <w:rPr>
          <w:u w:val="none"/>
        </w:rPr>
        <w:t>t</w:t>
      </w:r>
      <w:r w:rsidR="005E5FF3" w:rsidRPr="00B44D76">
        <w:rPr>
          <w:u w:val="none"/>
        </w:rPr>
        <w:t>s</w:t>
      </w:r>
      <w:r w:rsidR="00D6399B" w:rsidRPr="00B44D76">
        <w:rPr>
          <w:u w:val="none"/>
        </w:rPr>
        <w:t xml:space="preserve"> </w:t>
      </w:r>
      <w:hyperlink r:id="rId23" w:history="1">
        <w:r w:rsidR="00D6399B" w:rsidRPr="00B44D76">
          <w:rPr>
            <w:rStyle w:val="Hyperlink"/>
          </w:rPr>
          <w:t>ITH/18/7.GA/12</w:t>
        </w:r>
      </w:hyperlink>
      <w:r w:rsidR="005E5FF3" w:rsidRPr="00B44D76">
        <w:rPr>
          <w:u w:val="none"/>
        </w:rPr>
        <w:t xml:space="preserve"> and </w:t>
      </w:r>
      <w:hyperlink r:id="rId24" w:history="1">
        <w:r w:rsidR="005E5FF3" w:rsidRPr="00B44D76">
          <w:rPr>
            <w:rStyle w:val="Hyperlink"/>
          </w:rPr>
          <w:t>ITH/18/7.GA/13</w:t>
        </w:r>
      </w:hyperlink>
      <w:r w:rsidR="00D6399B">
        <w:rPr>
          <w:u w:val="none"/>
        </w:rPr>
        <w:t xml:space="preserve">, </w:t>
      </w:r>
      <w:r w:rsidRPr="00895E59">
        <w:rPr>
          <w:u w:val="none"/>
        </w:rPr>
        <w:t xml:space="preserve">Decisions </w:t>
      </w:r>
      <w:hyperlink r:id="rId25" w:history="1">
        <w:r w:rsidRPr="00F617CB">
          <w:rPr>
            <w:rStyle w:val="Hyperlink"/>
            <w:lang w:val="en-US"/>
          </w:rPr>
          <w:t>12.COM 1</w:t>
        </w:r>
        <w:r w:rsidRPr="00F617CB">
          <w:rPr>
            <w:rStyle w:val="Hyperlink"/>
          </w:rPr>
          <w:t>3</w:t>
        </w:r>
      </w:hyperlink>
      <w:r w:rsidR="00F06CBA">
        <w:rPr>
          <w:u w:val="none"/>
        </w:rPr>
        <w:t xml:space="preserve"> and</w:t>
      </w:r>
      <w:r w:rsidRPr="00E863FC">
        <w:rPr>
          <w:u w:val="none"/>
        </w:rPr>
        <w:t xml:space="preserve"> </w:t>
      </w:r>
      <w:hyperlink r:id="rId26" w:history="1">
        <w:r w:rsidRPr="00BF7498">
          <w:rPr>
            <w:rStyle w:val="Hyperlink"/>
            <w:lang w:val="en-US"/>
          </w:rPr>
          <w:t>12.COM 16</w:t>
        </w:r>
      </w:hyperlink>
      <w:r>
        <w:rPr>
          <w:u w:val="none"/>
        </w:rPr>
        <w:t xml:space="preserve"> and Resolution</w:t>
      </w:r>
      <w:r w:rsidR="00B0094D">
        <w:rPr>
          <w:u w:val="none"/>
        </w:rPr>
        <w:t>s</w:t>
      </w:r>
      <w:r>
        <w:rPr>
          <w:u w:val="none"/>
        </w:rPr>
        <w:t xml:space="preserve"> </w:t>
      </w:r>
      <w:hyperlink r:id="rId27" w:history="1">
        <w:r w:rsidR="00792CEB" w:rsidRPr="00B0094D">
          <w:rPr>
            <w:rStyle w:val="Hyperlink"/>
            <w:lang w:val="en-US"/>
          </w:rPr>
          <w:t>7.GA 12</w:t>
        </w:r>
      </w:hyperlink>
      <w:r w:rsidR="00792CEB">
        <w:rPr>
          <w:u w:val="none"/>
        </w:rPr>
        <w:t xml:space="preserve">, </w:t>
      </w:r>
      <w:hyperlink r:id="rId28" w:history="1">
        <w:r w:rsidR="00792CEB" w:rsidRPr="00B0094D">
          <w:rPr>
            <w:rStyle w:val="Hyperlink"/>
            <w:lang w:val="en-US"/>
          </w:rPr>
          <w:t>7.GA 13</w:t>
        </w:r>
      </w:hyperlink>
      <w:r w:rsidR="00B0094D">
        <w:rPr>
          <w:u w:val="none"/>
        </w:rPr>
        <w:t xml:space="preserve"> an</w:t>
      </w:r>
      <w:r w:rsidR="00792CEB">
        <w:rPr>
          <w:u w:val="none"/>
        </w:rPr>
        <w:t xml:space="preserve">d </w:t>
      </w:r>
      <w:hyperlink r:id="rId29" w:history="1">
        <w:r w:rsidRPr="0055728A">
          <w:rPr>
            <w:rStyle w:val="Hyperlink"/>
            <w:lang w:val="en-US"/>
          </w:rPr>
          <w:t>6.GA 11</w:t>
        </w:r>
      </w:hyperlink>
      <w:r w:rsidRPr="0055728A">
        <w:rPr>
          <w:u w:val="none"/>
        </w:rPr>
        <w:t>,</w:t>
      </w:r>
    </w:p>
    <w:p w14:paraId="6674AE45" w14:textId="77777777" w:rsidR="009B7C08" w:rsidRPr="00942976" w:rsidRDefault="009B7C08" w:rsidP="009B7C08">
      <w:pPr>
        <w:pStyle w:val="COMParaDecision"/>
        <w:jc w:val="left"/>
      </w:pPr>
      <w:r w:rsidRPr="00345CB4">
        <w:t>Further recalling</w:t>
      </w:r>
      <w:r>
        <w:rPr>
          <w:u w:val="none"/>
        </w:rPr>
        <w:t xml:space="preserve"> 39 C/Resolution</w:t>
      </w:r>
      <w:r>
        <w:rPr>
          <w:u w:val="none"/>
          <w:lang w:val="en-US"/>
        </w:rPr>
        <w:t> 87</w:t>
      </w:r>
      <w:r w:rsidRPr="00F32C23">
        <w:rPr>
          <w:u w:val="none"/>
        </w:rPr>
        <w:t>,</w:t>
      </w:r>
    </w:p>
    <w:p w14:paraId="624334C0" w14:textId="00F5C1AE" w:rsidR="004D7A1E" w:rsidRPr="00EE4900" w:rsidRDefault="009B7C08" w:rsidP="009B7C08">
      <w:pPr>
        <w:pStyle w:val="COMParaDecision"/>
      </w:pPr>
      <w:r>
        <w:t>Takes note</w:t>
      </w:r>
      <w:r w:rsidRPr="00F32C23">
        <w:rPr>
          <w:u w:val="none"/>
        </w:rPr>
        <w:t xml:space="preserve"> </w:t>
      </w:r>
      <w:r w:rsidRPr="005439C3">
        <w:rPr>
          <w:u w:val="none"/>
          <w:lang w:val="en-US"/>
        </w:rPr>
        <w:t xml:space="preserve">of </w:t>
      </w:r>
      <w:r>
        <w:rPr>
          <w:u w:val="none"/>
          <w:lang w:val="en-US"/>
        </w:rPr>
        <w:t xml:space="preserve">the </w:t>
      </w:r>
      <w:r w:rsidR="00792CEB">
        <w:rPr>
          <w:u w:val="none"/>
          <w:lang w:val="en-US"/>
        </w:rPr>
        <w:t>status of the</w:t>
      </w:r>
      <w:r w:rsidRPr="005439C3">
        <w:rPr>
          <w:u w:val="none"/>
          <w:lang w:val="en-US"/>
        </w:rPr>
        <w:t xml:space="preserve"> recommendations</w:t>
      </w:r>
      <w:r w:rsidR="00792CEB">
        <w:rPr>
          <w:u w:val="none"/>
          <w:lang w:val="en-US"/>
        </w:rPr>
        <w:t xml:space="preserve"> on governance based on </w:t>
      </w:r>
      <w:r w:rsidR="00F06CBA">
        <w:rPr>
          <w:u w:val="none"/>
          <w:lang w:val="en-US"/>
        </w:rPr>
        <w:t xml:space="preserve">the </w:t>
      </w:r>
      <w:r w:rsidR="00792CEB">
        <w:rPr>
          <w:u w:val="none"/>
          <w:lang w:val="en-US"/>
        </w:rPr>
        <w:t>work of</w:t>
      </w:r>
      <w:r w:rsidRPr="005439C3">
        <w:rPr>
          <w:u w:val="none"/>
          <w:lang w:val="en-US"/>
        </w:rPr>
        <w:t xml:space="preserve"> the </w:t>
      </w:r>
      <w:r>
        <w:rPr>
          <w:u w:val="none"/>
          <w:lang w:val="en-US"/>
        </w:rPr>
        <w:t xml:space="preserve">Open-Ended Working Group on </w:t>
      </w:r>
      <w:r w:rsidR="00F06CBA">
        <w:rPr>
          <w:u w:val="none"/>
          <w:lang w:val="en-US"/>
        </w:rPr>
        <w:t xml:space="preserve">the </w:t>
      </w:r>
      <w:r>
        <w:rPr>
          <w:u w:val="none"/>
          <w:lang w:val="en-US"/>
        </w:rPr>
        <w:t xml:space="preserve">Governance, Procedures and Working Methods </w:t>
      </w:r>
      <w:r>
        <w:rPr>
          <w:u w:val="none"/>
          <w:lang w:val="en-US"/>
        </w:rPr>
        <w:lastRenderedPageBreak/>
        <w:t>of the Governing Bodies of UNESCO</w:t>
      </w:r>
      <w:r w:rsidR="00C22E6A">
        <w:rPr>
          <w:u w:val="none"/>
          <w:lang w:val="en-US"/>
        </w:rPr>
        <w:t>,</w:t>
      </w:r>
      <w:r w:rsidRPr="005439C3">
        <w:rPr>
          <w:u w:val="none"/>
          <w:lang w:val="en-US"/>
        </w:rPr>
        <w:t xml:space="preserve"> which are </w:t>
      </w:r>
      <w:r>
        <w:rPr>
          <w:u w:val="none"/>
          <w:lang w:val="en-US"/>
        </w:rPr>
        <w:t>relevant</w:t>
      </w:r>
      <w:r w:rsidRPr="005439C3">
        <w:rPr>
          <w:u w:val="none"/>
          <w:lang w:val="en-US"/>
        </w:rPr>
        <w:t xml:space="preserve"> to the governing </w:t>
      </w:r>
      <w:r>
        <w:rPr>
          <w:u w:val="none"/>
          <w:lang w:val="en-US"/>
        </w:rPr>
        <w:t>bodies</w:t>
      </w:r>
      <w:r w:rsidRPr="005439C3">
        <w:rPr>
          <w:u w:val="none"/>
          <w:lang w:val="en-US"/>
        </w:rPr>
        <w:t xml:space="preserve"> of the 2003 Convention</w:t>
      </w:r>
      <w:r w:rsidR="00F06CBA">
        <w:rPr>
          <w:u w:val="none"/>
          <w:lang w:val="en-US"/>
        </w:rPr>
        <w:t>;</w:t>
      </w:r>
    </w:p>
    <w:p w14:paraId="039AFB2C" w14:textId="3A1138BD" w:rsidR="006501D3" w:rsidRPr="00DA2BCF" w:rsidRDefault="00C56349" w:rsidP="006501D3">
      <w:pPr>
        <w:pStyle w:val="COMParaDecision"/>
      </w:pPr>
      <w:r w:rsidRPr="00EE4900">
        <w:t>Thanks</w:t>
      </w:r>
      <w:r w:rsidRPr="006501D3">
        <w:rPr>
          <w:u w:val="none"/>
        </w:rPr>
        <w:t xml:space="preserve"> the Secretariat for </w:t>
      </w:r>
      <w:r w:rsidR="00F06CBA" w:rsidRPr="006501D3">
        <w:rPr>
          <w:u w:val="none"/>
        </w:rPr>
        <w:t>publishing</w:t>
      </w:r>
      <w:r w:rsidRPr="006501D3">
        <w:rPr>
          <w:u w:val="none"/>
        </w:rPr>
        <w:t xml:space="preserve"> the 2018 edition of the Basic Texts of the Convention in a timely manner while en</w:t>
      </w:r>
      <w:r w:rsidR="00F06CBA" w:rsidRPr="006501D3">
        <w:rPr>
          <w:u w:val="none"/>
        </w:rPr>
        <w:t>s</w:t>
      </w:r>
      <w:r w:rsidRPr="006501D3">
        <w:rPr>
          <w:u w:val="none"/>
        </w:rPr>
        <w:t>uring the use of gender-neutral language throughout that publication</w:t>
      </w:r>
      <w:r w:rsidR="00F06CBA" w:rsidRPr="006501D3">
        <w:rPr>
          <w:u w:val="none"/>
        </w:rPr>
        <w:t>;</w:t>
      </w:r>
    </w:p>
    <w:p w14:paraId="56F70C94" w14:textId="42D0E0C3" w:rsidR="008E3187" w:rsidRPr="00EE4900" w:rsidRDefault="006501D3" w:rsidP="00473183">
      <w:pPr>
        <w:pStyle w:val="COMParaDecision"/>
      </w:pPr>
      <w:r>
        <w:t>Takes further note</w:t>
      </w:r>
      <w:r w:rsidRPr="006501D3">
        <w:rPr>
          <w:u w:val="none"/>
        </w:rPr>
        <w:t xml:space="preserve"> of the ongoing efforts of the Culture Sector </w:t>
      </w:r>
      <w:r w:rsidR="00473183">
        <w:rPr>
          <w:u w:val="none"/>
        </w:rPr>
        <w:t>to</w:t>
      </w:r>
      <w:r w:rsidRPr="006501D3">
        <w:rPr>
          <w:u w:val="none"/>
        </w:rPr>
        <w:t xml:space="preserve"> harmoniz</w:t>
      </w:r>
      <w:r w:rsidR="00473183">
        <w:rPr>
          <w:u w:val="none"/>
        </w:rPr>
        <w:t>e</w:t>
      </w:r>
      <w:r w:rsidRPr="006501D3">
        <w:rPr>
          <w:u w:val="none"/>
        </w:rPr>
        <w:t xml:space="preserve"> the rules of procedure of the governing bodies of the six culture conventions in compliance with </w:t>
      </w:r>
      <w:hyperlink r:id="rId30" w:history="1">
        <w:r w:rsidRPr="00B44D76">
          <w:rPr>
            <w:rStyle w:val="Hyperlink"/>
          </w:rPr>
          <w:t>Resolution 7.GA 13</w:t>
        </w:r>
      </w:hyperlink>
      <w:r w:rsidRPr="006501D3">
        <w:rPr>
          <w:u w:val="none"/>
        </w:rPr>
        <w:t xml:space="preserve"> </w:t>
      </w:r>
      <w:r w:rsidR="00064F3A">
        <w:rPr>
          <w:u w:val="none"/>
        </w:rPr>
        <w:t>with a view to presenting the matrix</w:t>
      </w:r>
      <w:r w:rsidR="007705AC">
        <w:rPr>
          <w:u w:val="none"/>
        </w:rPr>
        <w:t xml:space="preserve"> containing consolidated amendments to the </w:t>
      </w:r>
      <w:r w:rsidR="00956E8B">
        <w:rPr>
          <w:u w:val="none"/>
        </w:rPr>
        <w:t xml:space="preserve">aforementioned </w:t>
      </w:r>
      <w:r w:rsidR="00064F3A">
        <w:rPr>
          <w:u w:val="none"/>
        </w:rPr>
        <w:t>bodies</w:t>
      </w:r>
      <w:r>
        <w:rPr>
          <w:u w:val="none"/>
        </w:rPr>
        <w:t>;</w:t>
      </w:r>
    </w:p>
    <w:p w14:paraId="254E77D7" w14:textId="0150A997" w:rsidR="009B7C08" w:rsidRPr="00EE4900" w:rsidRDefault="008E3187" w:rsidP="009B7C08">
      <w:pPr>
        <w:pStyle w:val="COMParaDecision"/>
        <w:rPr>
          <w:u w:val="none"/>
        </w:rPr>
      </w:pPr>
      <w:r w:rsidRPr="00EE4900">
        <w:t>Decides</w:t>
      </w:r>
      <w:r w:rsidRPr="00EE4900">
        <w:rPr>
          <w:u w:val="none"/>
        </w:rPr>
        <w:t xml:space="preserve"> to inscribe an item on </w:t>
      </w:r>
      <w:r w:rsidR="00F06CBA">
        <w:rPr>
          <w:u w:val="none"/>
        </w:rPr>
        <w:t>the</w:t>
      </w:r>
      <w:r w:rsidRPr="00EE4900">
        <w:rPr>
          <w:u w:val="none"/>
        </w:rPr>
        <w:t xml:space="preserve"> agenda </w:t>
      </w:r>
      <w:r w:rsidR="00F06CBA">
        <w:rPr>
          <w:u w:val="none"/>
        </w:rPr>
        <w:t>of its fourteenth session in 2019</w:t>
      </w:r>
      <w:r w:rsidRPr="0025748D">
        <w:rPr>
          <w:u w:val="none"/>
        </w:rPr>
        <w:t xml:space="preserve"> </w:t>
      </w:r>
      <w:r w:rsidRPr="00EE4900">
        <w:rPr>
          <w:u w:val="none"/>
        </w:rPr>
        <w:t xml:space="preserve">on </w:t>
      </w:r>
      <w:r w:rsidR="00F06CBA">
        <w:rPr>
          <w:u w:val="none"/>
        </w:rPr>
        <w:t xml:space="preserve">the </w:t>
      </w:r>
      <w:r w:rsidRPr="00EE4900">
        <w:rPr>
          <w:u w:val="none"/>
        </w:rPr>
        <w:t>‘Follow-up on</w:t>
      </w:r>
      <w:r w:rsidRPr="0025748D">
        <w:rPr>
          <w:u w:val="none"/>
        </w:rPr>
        <w:t xml:space="preserve"> </w:t>
      </w:r>
      <w:r w:rsidR="00F06CBA">
        <w:rPr>
          <w:u w:val="none"/>
        </w:rPr>
        <w:t>the</w:t>
      </w:r>
      <w:r w:rsidRPr="00EE4900">
        <w:rPr>
          <w:u w:val="none"/>
        </w:rPr>
        <w:t xml:space="preserve"> implementation of the relevant recommendations of the Open-Ended Working Group on the Governance, Procedures and Working Methods of the Governing Bodies of UNESCO’.</w:t>
      </w:r>
    </w:p>
    <w:p w14:paraId="0BBBCB80" w14:textId="77777777" w:rsidR="009B7C08" w:rsidRPr="008E3187" w:rsidRDefault="009B7C08" w:rsidP="00EE4900">
      <w:pPr>
        <w:pStyle w:val="COMParaDecision"/>
        <w:numPr>
          <w:ilvl w:val="0"/>
          <w:numId w:val="0"/>
        </w:numPr>
        <w:ind w:left="567"/>
        <w:jc w:val="left"/>
      </w:pPr>
    </w:p>
    <w:p w14:paraId="3E7AAAB8" w14:textId="77777777" w:rsidR="009B7C08" w:rsidRDefault="009B7C08" w:rsidP="009B7C08">
      <w:pPr>
        <w:rPr>
          <w:rFonts w:ascii="Arial" w:hAnsi="Arial" w:cs="Arial"/>
          <w:snapToGrid w:val="0"/>
          <w:sz w:val="22"/>
          <w:szCs w:val="22"/>
          <w:lang w:val="en-GB" w:eastAsia="en-US"/>
        </w:rPr>
        <w:sectPr w:rsidR="009B7C08" w:rsidSect="00B04CDE">
          <w:headerReference w:type="even" r:id="rId31"/>
          <w:headerReference w:type="default" r:id="rId32"/>
          <w:headerReference w:type="first" r:id="rId33"/>
          <w:pgSz w:w="11906" w:h="16838" w:code="9"/>
          <w:pgMar w:top="1418" w:right="1134" w:bottom="1134" w:left="1134" w:header="397" w:footer="284" w:gutter="0"/>
          <w:cols w:space="708"/>
          <w:titlePg/>
          <w:docGrid w:linePitch="360"/>
        </w:sectPr>
      </w:pPr>
    </w:p>
    <w:p w14:paraId="02F417AF" w14:textId="7220E600" w:rsidR="009B7C08" w:rsidRDefault="009B7C08" w:rsidP="009B7C08">
      <w:pPr>
        <w:spacing w:after="240"/>
        <w:jc w:val="center"/>
        <w:rPr>
          <w:rFonts w:ascii="Arial" w:hAnsi="Arial" w:cs="Arial"/>
          <w:b/>
          <w:snapToGrid w:val="0"/>
          <w:sz w:val="22"/>
          <w:szCs w:val="22"/>
          <w:lang w:val="en-GB" w:eastAsia="en-US"/>
        </w:rPr>
      </w:pPr>
      <w:r>
        <w:rPr>
          <w:rFonts w:ascii="Arial" w:hAnsi="Arial" w:cs="Arial"/>
          <w:b/>
          <w:snapToGrid w:val="0"/>
          <w:sz w:val="22"/>
          <w:szCs w:val="22"/>
          <w:lang w:val="en-GB" w:eastAsia="en-US"/>
        </w:rPr>
        <w:lastRenderedPageBreak/>
        <w:t>ANNEX</w:t>
      </w:r>
    </w:p>
    <w:p w14:paraId="693D48F2" w14:textId="77777777" w:rsidR="009B7C08" w:rsidRPr="00472AC3" w:rsidRDefault="009B7C08" w:rsidP="009B7C08">
      <w:pPr>
        <w:spacing w:after="120"/>
        <w:jc w:val="center"/>
        <w:rPr>
          <w:rFonts w:ascii="Arial" w:hAnsi="Arial" w:cs="Arial"/>
          <w:b/>
          <w:smallCaps/>
          <w:snapToGrid w:val="0"/>
          <w:sz w:val="22"/>
          <w:szCs w:val="22"/>
          <w:lang w:val="en-GB" w:eastAsia="en-US"/>
        </w:rPr>
      </w:pPr>
      <w:r w:rsidRPr="00472AC3">
        <w:rPr>
          <w:rFonts w:ascii="Arial" w:hAnsi="Arial" w:cs="Arial"/>
          <w:b/>
          <w:smallCaps/>
          <w:snapToGrid w:val="0"/>
          <w:sz w:val="22"/>
          <w:szCs w:val="22"/>
          <w:lang w:val="en-GB" w:eastAsia="en-US"/>
        </w:rPr>
        <w:t xml:space="preserve">Recommendations of the </w:t>
      </w:r>
      <w:r>
        <w:rPr>
          <w:rFonts w:ascii="Arial" w:hAnsi="Arial" w:cs="Arial"/>
          <w:b/>
          <w:smallCaps/>
          <w:snapToGrid w:val="0"/>
          <w:sz w:val="22"/>
          <w:szCs w:val="22"/>
          <w:lang w:val="en-GB" w:eastAsia="en-US"/>
        </w:rPr>
        <w:t xml:space="preserve">Open-Ended </w:t>
      </w:r>
      <w:r w:rsidRPr="00472AC3">
        <w:rPr>
          <w:rFonts w:ascii="Arial" w:hAnsi="Arial" w:cs="Arial"/>
          <w:b/>
          <w:smallCaps/>
          <w:snapToGrid w:val="0"/>
          <w:sz w:val="22"/>
          <w:szCs w:val="22"/>
          <w:lang w:val="en-GB" w:eastAsia="en-US"/>
        </w:rPr>
        <w:t>Working Group on the Governance, Procedures and Working Methods of the Governing Bodies of UNESCO</w:t>
      </w:r>
    </w:p>
    <w:p w14:paraId="6F246AD8" w14:textId="77777777" w:rsidR="009B7C08" w:rsidRPr="00472AC3" w:rsidRDefault="009B7C08" w:rsidP="009B7C08">
      <w:pPr>
        <w:spacing w:after="240"/>
        <w:jc w:val="center"/>
        <w:rPr>
          <w:rFonts w:ascii="Arial" w:hAnsi="Arial" w:cs="Arial"/>
          <w:smallCaps/>
          <w:snapToGrid w:val="0"/>
          <w:sz w:val="22"/>
          <w:szCs w:val="22"/>
          <w:lang w:val="en-GB" w:eastAsia="en-US"/>
        </w:rPr>
      </w:pPr>
      <w:r w:rsidRPr="00472AC3">
        <w:rPr>
          <w:rFonts w:ascii="Arial" w:hAnsi="Arial" w:cs="Arial"/>
          <w:b/>
          <w:smallCaps/>
          <w:snapToGrid w:val="0"/>
          <w:sz w:val="22"/>
          <w:szCs w:val="22"/>
          <w:lang w:val="en-GB" w:eastAsia="en-US"/>
        </w:rPr>
        <w:t>Part 2. Structure, composition and methods of work of UNESCO’s International and Intergovernmental Bodies (IIBs)</w:t>
      </w:r>
      <w:r>
        <w:rPr>
          <w:rStyle w:val="FootnoteReference"/>
          <w:rFonts w:ascii="Arial" w:hAnsi="Arial" w:cs="Arial"/>
          <w:b/>
          <w:smallCaps/>
          <w:snapToGrid w:val="0"/>
          <w:sz w:val="22"/>
          <w:szCs w:val="22"/>
          <w:lang w:val="en-GB" w:eastAsia="en-US"/>
        </w:rPr>
        <w:footnoteReference w:id="2"/>
      </w:r>
    </w:p>
    <w:tbl>
      <w:tblPr>
        <w:tblStyle w:val="TableGrid"/>
        <w:tblW w:w="5000" w:type="pct"/>
        <w:tblLook w:val="04A0" w:firstRow="1" w:lastRow="0" w:firstColumn="1" w:lastColumn="0" w:noHBand="0" w:noVBand="1"/>
      </w:tblPr>
      <w:tblGrid>
        <w:gridCol w:w="5946"/>
        <w:gridCol w:w="8330"/>
      </w:tblGrid>
      <w:tr w:rsidR="009B7C08" w:rsidRPr="00985ABE" w14:paraId="0174712D" w14:textId="77777777" w:rsidTr="00B04CDE">
        <w:trPr>
          <w:trHeight w:val="340"/>
          <w:tblHeader/>
        </w:trPr>
        <w:tc>
          <w:tcPr>
            <w:tcW w:w="6059" w:type="dxa"/>
            <w:vAlign w:val="center"/>
          </w:tcPr>
          <w:p w14:paraId="6323C5C5" w14:textId="77777777" w:rsidR="009B7C08" w:rsidRPr="00985ABE" w:rsidRDefault="009B7C08" w:rsidP="00B04CDE">
            <w:pPr>
              <w:rPr>
                <w:rFonts w:ascii="Arial" w:hAnsi="Arial" w:cs="Arial"/>
                <w:b/>
                <w:snapToGrid w:val="0"/>
                <w:sz w:val="22"/>
                <w:szCs w:val="22"/>
                <w:lang w:val="en-GB" w:eastAsia="en-US"/>
              </w:rPr>
            </w:pPr>
            <w:r w:rsidRPr="00985ABE">
              <w:rPr>
                <w:rFonts w:ascii="Arial" w:hAnsi="Arial" w:cs="Arial"/>
                <w:b/>
                <w:snapToGrid w:val="0"/>
                <w:sz w:val="22"/>
                <w:szCs w:val="22"/>
                <w:lang w:val="en-GB" w:eastAsia="en-US"/>
              </w:rPr>
              <w:t>Recommendation</w:t>
            </w:r>
          </w:p>
        </w:tc>
        <w:tc>
          <w:tcPr>
            <w:tcW w:w="8501" w:type="dxa"/>
            <w:vAlign w:val="center"/>
          </w:tcPr>
          <w:p w14:paraId="6E670695" w14:textId="77777777" w:rsidR="009B7C08" w:rsidRPr="00985ABE" w:rsidRDefault="009B7C08" w:rsidP="00B04CDE">
            <w:pPr>
              <w:rPr>
                <w:rFonts w:ascii="Arial" w:hAnsi="Arial" w:cs="Arial"/>
                <w:b/>
                <w:snapToGrid w:val="0"/>
                <w:sz w:val="22"/>
                <w:szCs w:val="22"/>
                <w:lang w:val="en-GB" w:eastAsia="en-US"/>
              </w:rPr>
            </w:pPr>
            <w:r w:rsidRPr="00985ABE">
              <w:rPr>
                <w:rFonts w:ascii="Arial" w:hAnsi="Arial" w:cs="Arial"/>
                <w:b/>
                <w:snapToGrid w:val="0"/>
                <w:sz w:val="22"/>
                <w:szCs w:val="22"/>
                <w:lang w:val="en-GB" w:eastAsia="en-US"/>
              </w:rPr>
              <w:t>Status</w:t>
            </w:r>
          </w:p>
        </w:tc>
      </w:tr>
      <w:tr w:rsidR="009B7C08" w:rsidRPr="008240F2" w14:paraId="3FFBA965" w14:textId="77777777" w:rsidTr="00B04CDE">
        <w:trPr>
          <w:trHeight w:val="340"/>
        </w:trPr>
        <w:tc>
          <w:tcPr>
            <w:tcW w:w="14560" w:type="dxa"/>
            <w:gridSpan w:val="2"/>
            <w:shd w:val="clear" w:color="auto" w:fill="D9D9D9" w:themeFill="background1" w:themeFillShade="D9"/>
            <w:vAlign w:val="center"/>
          </w:tcPr>
          <w:p w14:paraId="6B268650" w14:textId="77777777" w:rsidR="009B7C08" w:rsidRPr="00C366E0" w:rsidRDefault="009B7C08" w:rsidP="00B04CDE">
            <w:pPr>
              <w:tabs>
                <w:tab w:val="left" w:pos="555"/>
              </w:tabs>
              <w:rPr>
                <w:rFonts w:ascii="Arial" w:hAnsi="Arial" w:cs="Arial"/>
                <w:bCs/>
                <w:smallCaps/>
                <w:snapToGrid w:val="0"/>
                <w:sz w:val="22"/>
                <w:szCs w:val="22"/>
                <w:lang w:val="en-GB" w:eastAsia="en-US"/>
              </w:rPr>
            </w:pPr>
            <w:r>
              <w:rPr>
                <w:rFonts w:ascii="Arial" w:hAnsi="Arial" w:cs="Arial"/>
                <w:b/>
                <w:smallCaps/>
                <w:snapToGrid w:val="0"/>
                <w:sz w:val="22"/>
                <w:szCs w:val="22"/>
                <w:lang w:val="en-GB" w:eastAsia="en-US"/>
              </w:rPr>
              <w:t>B.</w:t>
            </w:r>
            <w:r>
              <w:rPr>
                <w:rFonts w:ascii="Arial" w:hAnsi="Arial" w:cs="Arial"/>
                <w:b/>
                <w:smallCaps/>
                <w:snapToGrid w:val="0"/>
                <w:sz w:val="22"/>
                <w:szCs w:val="22"/>
                <w:lang w:val="en-GB" w:eastAsia="en-US"/>
              </w:rPr>
              <w:tab/>
            </w:r>
            <w:r w:rsidRPr="00985ABE">
              <w:rPr>
                <w:rFonts w:ascii="Arial" w:hAnsi="Arial" w:cs="Arial"/>
                <w:b/>
                <w:smallCaps/>
                <w:snapToGrid w:val="0"/>
                <w:sz w:val="22"/>
                <w:szCs w:val="22"/>
                <w:lang w:val="en-GB" w:eastAsia="en-US"/>
              </w:rPr>
              <w:t>General recommendations for all international and intergovernmental bodies (IIBs)</w:t>
            </w:r>
          </w:p>
        </w:tc>
      </w:tr>
      <w:tr w:rsidR="009B7C08" w:rsidRPr="008240F2" w14:paraId="38758E15" w14:textId="77777777" w:rsidTr="00B04CDE">
        <w:trPr>
          <w:trHeight w:val="340"/>
        </w:trPr>
        <w:tc>
          <w:tcPr>
            <w:tcW w:w="14560" w:type="dxa"/>
            <w:gridSpan w:val="2"/>
            <w:shd w:val="clear" w:color="auto" w:fill="F2F2F2" w:themeFill="background1" w:themeFillShade="F2"/>
            <w:vAlign w:val="center"/>
          </w:tcPr>
          <w:p w14:paraId="349E5026" w14:textId="77777777" w:rsidR="009B7C08" w:rsidRPr="00C366E0" w:rsidRDefault="009B7C08" w:rsidP="00B04CDE">
            <w:pPr>
              <w:tabs>
                <w:tab w:val="left" w:pos="555"/>
              </w:tabs>
              <w:rPr>
                <w:rFonts w:ascii="Arial" w:hAnsi="Arial" w:cs="Arial"/>
                <w:bCs/>
                <w:smallCaps/>
                <w:snapToGrid w:val="0"/>
                <w:sz w:val="22"/>
                <w:szCs w:val="22"/>
                <w:lang w:val="en-GB" w:eastAsia="en-US"/>
              </w:rPr>
            </w:pPr>
            <w:r w:rsidRPr="00985ABE">
              <w:rPr>
                <w:rFonts w:ascii="Arial" w:hAnsi="Arial" w:cs="Arial"/>
                <w:b/>
                <w:snapToGrid w:val="0"/>
                <w:sz w:val="22"/>
                <w:szCs w:val="22"/>
                <w:lang w:val="en-GB" w:eastAsia="en-US"/>
              </w:rPr>
              <w:t>Efficiency (mandate, composition, structure, rules of procedure, method of work)</w:t>
            </w:r>
          </w:p>
        </w:tc>
      </w:tr>
      <w:tr w:rsidR="009B7C08" w:rsidRPr="008240F2" w14:paraId="47774217" w14:textId="77777777" w:rsidTr="00B04CDE">
        <w:tc>
          <w:tcPr>
            <w:tcW w:w="6059" w:type="dxa"/>
          </w:tcPr>
          <w:p w14:paraId="10D89206" w14:textId="77777777"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lang w:val="en-GB" w:eastAsia="en-US"/>
              </w:rPr>
            </w:pPr>
            <w:r w:rsidRPr="00C34E09">
              <w:rPr>
                <w:rFonts w:ascii="Arial" w:hAnsi="Arial" w:cs="Arial"/>
                <w:snapToGrid w:val="0"/>
                <w:sz w:val="22"/>
                <w:szCs w:val="22"/>
                <w:lang w:val="en-US" w:eastAsia="en-US"/>
              </w:rPr>
              <w:t xml:space="preserve">IIBs </w:t>
            </w:r>
            <w:proofErr w:type="gramStart"/>
            <w:r w:rsidRPr="00C34E09">
              <w:rPr>
                <w:rFonts w:ascii="Arial" w:hAnsi="Arial" w:cs="Arial"/>
                <w:snapToGrid w:val="0"/>
                <w:sz w:val="22"/>
                <w:szCs w:val="22"/>
                <w:lang w:val="en-US" w:eastAsia="en-US"/>
              </w:rPr>
              <w:t>are invited</w:t>
            </w:r>
            <w:proofErr w:type="gramEnd"/>
            <w:r w:rsidRPr="00C34E09">
              <w:rPr>
                <w:rFonts w:ascii="Arial" w:hAnsi="Arial" w:cs="Arial"/>
                <w:snapToGrid w:val="0"/>
                <w:sz w:val="22"/>
                <w:szCs w:val="22"/>
                <w:lang w:val="en-US" w:eastAsia="en-US"/>
              </w:rPr>
              <w:t xml:space="preserve"> to update their mandates, as appropriate, including their objectives and programs</w:t>
            </w:r>
            <w:r>
              <w:rPr>
                <w:rFonts w:ascii="Arial" w:hAnsi="Arial" w:cs="Arial"/>
                <w:snapToGrid w:val="0"/>
                <w:sz w:val="22"/>
                <w:szCs w:val="22"/>
                <w:lang w:val="en-US" w:eastAsia="en-US"/>
              </w:rPr>
              <w:t>,</w:t>
            </w:r>
            <w:r w:rsidRPr="00C34E09">
              <w:rPr>
                <w:rFonts w:ascii="Arial" w:hAnsi="Arial" w:cs="Arial"/>
                <w:snapToGrid w:val="0"/>
                <w:sz w:val="22"/>
                <w:szCs w:val="22"/>
                <w:lang w:val="en-US" w:eastAsia="en-US"/>
              </w:rPr>
              <w:t xml:space="preserve"> to be more coherent with approved C/5 priorities and responsive to current global developments, such as the 2030 Sustainable Development Agenda and the Paris Agreement on Climate Change.</w:t>
            </w:r>
          </w:p>
          <w:p w14:paraId="5F66B437" w14:textId="77777777" w:rsidR="009B7C08" w:rsidRPr="00E863FC" w:rsidRDefault="009B7C08" w:rsidP="00B04CDE">
            <w:pPr>
              <w:tabs>
                <w:tab w:val="left" w:pos="567"/>
              </w:tabs>
              <w:spacing w:after="120"/>
              <w:jc w:val="both"/>
              <w:rPr>
                <w:rFonts w:ascii="Arial" w:hAnsi="Arial" w:cs="Arial"/>
                <w:snapToGrid w:val="0"/>
                <w:sz w:val="22"/>
                <w:szCs w:val="22"/>
                <w:lang w:val="en-US" w:eastAsia="en-US"/>
              </w:rPr>
            </w:pPr>
            <w:r w:rsidRPr="00BF7498">
              <w:rPr>
                <w:rFonts w:ascii="Arial" w:hAnsi="Arial" w:cs="Arial"/>
                <w:b/>
                <w:bCs/>
                <w:snapToGrid w:val="0"/>
                <w:sz w:val="22"/>
                <w:szCs w:val="22"/>
                <w:lang w:val="en-GB" w:eastAsia="en-US"/>
              </w:rPr>
              <w:t>Closed</w:t>
            </w:r>
          </w:p>
        </w:tc>
        <w:tc>
          <w:tcPr>
            <w:tcW w:w="8501" w:type="dxa"/>
          </w:tcPr>
          <w:p w14:paraId="021C7920"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mandates of the General Assembly and the Committee </w:t>
            </w:r>
            <w:proofErr w:type="gramStart"/>
            <w:r>
              <w:rPr>
                <w:rFonts w:ascii="Arial" w:hAnsi="Arial" w:cs="Arial"/>
                <w:snapToGrid w:val="0"/>
                <w:sz w:val="22"/>
                <w:szCs w:val="22"/>
                <w:lang w:val="en-GB" w:eastAsia="en-US"/>
              </w:rPr>
              <w:t>are laid out</w:t>
            </w:r>
            <w:proofErr w:type="gramEnd"/>
            <w:r>
              <w:rPr>
                <w:rFonts w:ascii="Arial" w:hAnsi="Arial" w:cs="Arial"/>
                <w:snapToGrid w:val="0"/>
                <w:sz w:val="22"/>
                <w:szCs w:val="22"/>
                <w:lang w:val="en-GB" w:eastAsia="en-US"/>
              </w:rPr>
              <w:t xml:space="preserve"> in the text of the Convention in </w:t>
            </w:r>
            <w:hyperlink r:id="rId34" w:anchor="art4" w:history="1">
              <w:r w:rsidRPr="00DE3572">
                <w:rPr>
                  <w:rStyle w:val="Hyperlink"/>
                  <w:rFonts w:ascii="Arial" w:hAnsi="Arial" w:cs="Arial"/>
                  <w:snapToGrid w:val="0"/>
                  <w:sz w:val="22"/>
                  <w:szCs w:val="22"/>
                  <w:lang w:val="en-GB" w:eastAsia="en-US"/>
                </w:rPr>
                <w:t>Article 4</w:t>
              </w:r>
            </w:hyperlink>
            <w:r w:rsidRPr="00DE3572">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and </w:t>
            </w:r>
            <w:hyperlink r:id="rId35" w:anchor="art7" w:history="1">
              <w:r w:rsidRPr="0099561B">
                <w:rPr>
                  <w:rStyle w:val="Hyperlink"/>
                  <w:rFonts w:ascii="Arial" w:hAnsi="Arial" w:cs="Arial"/>
                  <w:snapToGrid w:val="0"/>
                  <w:sz w:val="22"/>
                  <w:szCs w:val="22"/>
                  <w:lang w:val="en-GB" w:eastAsia="en-US"/>
                </w:rPr>
                <w:t>Article 7</w:t>
              </w:r>
            </w:hyperlink>
            <w:r w:rsidRPr="005E7C9F">
              <w:rPr>
                <w:rFonts w:ascii="Arial" w:hAnsi="Arial" w:cs="Arial"/>
                <w:snapToGrid w:val="0"/>
                <w:sz w:val="22"/>
                <w:szCs w:val="22"/>
                <w:lang w:val="en-GB" w:eastAsia="en-US"/>
              </w:rPr>
              <w:t xml:space="preserve">, </w:t>
            </w:r>
            <w:r>
              <w:rPr>
                <w:rFonts w:ascii="Arial" w:hAnsi="Arial" w:cs="Arial"/>
                <w:snapToGrid w:val="0"/>
                <w:sz w:val="22"/>
                <w:szCs w:val="22"/>
                <w:lang w:val="en-GB" w:eastAsia="en-US"/>
              </w:rPr>
              <w:t>respectively</w:t>
            </w:r>
            <w:r>
              <w:rPr>
                <w:rFonts w:ascii="Arial" w:hAnsi="Arial" w:cs="Arial"/>
                <w:snapToGrid w:val="0"/>
                <w:sz w:val="22"/>
                <w:szCs w:val="22"/>
                <w:lang w:val="en-US" w:eastAsia="en-US"/>
              </w:rPr>
              <w:t>.</w:t>
            </w:r>
          </w:p>
          <w:p w14:paraId="195F7D9F" w14:textId="49A9D354"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agenda of each session of the governing bodies examines items that respond to approved C/5 priorities and global developments. For example:</w:t>
            </w:r>
          </w:p>
          <w:p w14:paraId="7F62EAB1" w14:textId="24ECECE2" w:rsidR="009B7C08" w:rsidRDefault="009B7C08" w:rsidP="00A741D3">
            <w:pPr>
              <w:pStyle w:val="ListParagraph"/>
              <w:numPr>
                <w:ilvl w:val="0"/>
                <w:numId w:val="9"/>
              </w:numPr>
              <w:spacing w:after="120"/>
              <w:ind w:left="811" w:hanging="454"/>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A</w:t>
            </w:r>
            <w:r w:rsidRPr="00932CF6">
              <w:rPr>
                <w:rFonts w:ascii="Arial" w:hAnsi="Arial" w:cs="Arial"/>
                <w:snapToGrid w:val="0"/>
                <w:sz w:val="22"/>
                <w:szCs w:val="22"/>
                <w:lang w:val="en-GB" w:eastAsia="en-US"/>
              </w:rPr>
              <w:t>t its sixth session i</w:t>
            </w:r>
            <w:r>
              <w:rPr>
                <w:rFonts w:ascii="Arial" w:hAnsi="Arial" w:cs="Arial"/>
                <w:snapToGrid w:val="0"/>
                <w:sz w:val="22"/>
                <w:szCs w:val="22"/>
                <w:lang w:val="en-GB" w:eastAsia="en-US"/>
              </w:rPr>
              <w:t xml:space="preserve">n June 2016, the General Assembly adopted a new chapter in the </w:t>
            </w:r>
            <w:r w:rsidRPr="00932CF6">
              <w:rPr>
                <w:rFonts w:ascii="Arial" w:hAnsi="Arial" w:cs="Arial"/>
                <w:snapToGrid w:val="0"/>
                <w:sz w:val="22"/>
                <w:szCs w:val="22"/>
                <w:lang w:val="en-GB" w:eastAsia="en-US"/>
              </w:rPr>
              <w:t>Operational Directives on safeguarding intangible cultural heritage and sustainable development at the national level</w:t>
            </w:r>
            <w:r>
              <w:rPr>
                <w:rFonts w:ascii="Arial" w:hAnsi="Arial" w:cs="Arial"/>
                <w:snapToGrid w:val="0"/>
                <w:sz w:val="22"/>
                <w:szCs w:val="22"/>
                <w:lang w:val="en-GB" w:eastAsia="en-US"/>
              </w:rPr>
              <w:t xml:space="preserve"> </w:t>
            </w:r>
            <w:r w:rsidRPr="00932CF6">
              <w:rPr>
                <w:rFonts w:ascii="Arial" w:hAnsi="Arial" w:cs="Arial"/>
                <w:snapToGrid w:val="0"/>
                <w:sz w:val="22"/>
                <w:szCs w:val="22"/>
                <w:lang w:val="en-GB" w:eastAsia="en-US"/>
              </w:rPr>
              <w:t>(</w:t>
            </w:r>
            <w:hyperlink r:id="rId36" w:history="1">
              <w:r w:rsidRPr="00932CF6">
                <w:rPr>
                  <w:rStyle w:val="Hyperlink"/>
                  <w:rFonts w:ascii="Arial" w:hAnsi="Arial" w:cs="Arial"/>
                  <w:snapToGrid w:val="0"/>
                  <w:sz w:val="22"/>
                  <w:szCs w:val="22"/>
                  <w:lang w:val="en-GB" w:eastAsia="en-US"/>
                </w:rPr>
                <w:t>Resolution</w:t>
              </w:r>
              <w:r w:rsidR="003D0369">
                <w:rPr>
                  <w:rStyle w:val="Hyperlink"/>
                  <w:rFonts w:ascii="Arial" w:hAnsi="Arial" w:cs="Arial"/>
                  <w:snapToGrid w:val="0"/>
                  <w:sz w:val="22"/>
                  <w:szCs w:val="22"/>
                  <w:lang w:val="en-GB" w:eastAsia="en-US"/>
                </w:rPr>
                <w:t> </w:t>
              </w:r>
              <w:r w:rsidRPr="00932CF6">
                <w:rPr>
                  <w:rStyle w:val="Hyperlink"/>
                  <w:rFonts w:ascii="Arial" w:hAnsi="Arial" w:cs="Arial"/>
                  <w:snapToGrid w:val="0"/>
                  <w:sz w:val="22"/>
                  <w:szCs w:val="22"/>
                  <w:lang w:val="en-GB" w:eastAsia="en-US"/>
                </w:rPr>
                <w:t>6.GA 7</w:t>
              </w:r>
            </w:hyperlink>
            <w:r w:rsidRPr="00932CF6">
              <w:rPr>
                <w:rFonts w:ascii="Arial" w:hAnsi="Arial" w:cs="Arial"/>
                <w:snapToGrid w:val="0"/>
                <w:sz w:val="22"/>
                <w:szCs w:val="22"/>
                <w:lang w:val="en-GB" w:eastAsia="en-US"/>
              </w:rPr>
              <w:t>)</w:t>
            </w:r>
            <w:r>
              <w:rPr>
                <w:rFonts w:ascii="Arial" w:hAnsi="Arial" w:cs="Arial"/>
                <w:snapToGrid w:val="0"/>
                <w:sz w:val="22"/>
                <w:szCs w:val="22"/>
                <w:lang w:val="en-GB" w:eastAsia="en-US"/>
              </w:rPr>
              <w:t xml:space="preserve">. This new chapter also includes paragraph 181, </w:t>
            </w:r>
            <w:r w:rsidR="00F06CBA">
              <w:rPr>
                <w:rFonts w:ascii="Arial" w:hAnsi="Arial" w:cs="Arial"/>
                <w:snapToGrid w:val="0"/>
                <w:sz w:val="22"/>
                <w:szCs w:val="22"/>
                <w:lang w:val="en-GB" w:eastAsia="en-US"/>
              </w:rPr>
              <w:t xml:space="preserve">which </w:t>
            </w:r>
            <w:proofErr w:type="gramStart"/>
            <w:r w:rsidR="00F06CBA">
              <w:rPr>
                <w:rFonts w:ascii="Arial" w:hAnsi="Arial" w:cs="Arial"/>
                <w:snapToGrid w:val="0"/>
                <w:sz w:val="22"/>
                <w:szCs w:val="22"/>
                <w:lang w:val="en-GB" w:eastAsia="en-US"/>
              </w:rPr>
              <w:t xml:space="preserve">is </w:t>
            </w:r>
            <w:r>
              <w:rPr>
                <w:rFonts w:ascii="Arial" w:hAnsi="Arial" w:cs="Arial"/>
                <w:snapToGrid w:val="0"/>
                <w:sz w:val="22"/>
                <w:szCs w:val="22"/>
                <w:lang w:val="en-GB" w:eastAsia="en-US"/>
              </w:rPr>
              <w:t>dedicated</w:t>
            </w:r>
            <w:proofErr w:type="gramEnd"/>
            <w:r>
              <w:rPr>
                <w:rFonts w:ascii="Arial" w:hAnsi="Arial" w:cs="Arial"/>
                <w:snapToGrid w:val="0"/>
                <w:sz w:val="22"/>
                <w:szCs w:val="22"/>
                <w:lang w:val="en-GB" w:eastAsia="en-US"/>
              </w:rPr>
              <w:t xml:space="preserve"> to gender equality, in line with UNESCO’s Global Priority Gender Equality.</w:t>
            </w:r>
          </w:p>
          <w:p w14:paraId="10D28669" w14:textId="60D0504D" w:rsidR="009B7C08" w:rsidRPr="00E863FC" w:rsidRDefault="009B7C08" w:rsidP="00A741D3">
            <w:pPr>
              <w:pStyle w:val="ListParagraph"/>
              <w:numPr>
                <w:ilvl w:val="0"/>
                <w:numId w:val="9"/>
              </w:numPr>
              <w:spacing w:after="120"/>
              <w:ind w:left="811" w:hanging="454"/>
              <w:contextualSpacing w:val="0"/>
              <w:jc w:val="both"/>
              <w:rPr>
                <w:rFonts w:ascii="Arial" w:hAnsi="Arial" w:cs="Arial"/>
                <w:snapToGrid w:val="0"/>
                <w:sz w:val="22"/>
                <w:szCs w:val="22"/>
                <w:lang w:val="en-GB" w:eastAsia="en-US"/>
              </w:rPr>
            </w:pPr>
            <w:r w:rsidRPr="004F4A54">
              <w:rPr>
                <w:rFonts w:ascii="Arial" w:eastAsiaTheme="minorEastAsia" w:hAnsi="Arial" w:cs="Arial"/>
                <w:snapToGrid w:val="0"/>
                <w:sz w:val="22"/>
                <w:szCs w:val="22"/>
                <w:lang w:val="en-GB" w:eastAsia="ko-KR"/>
              </w:rPr>
              <w:t xml:space="preserve">In order to </w:t>
            </w:r>
            <w:r w:rsidRPr="00172C7D">
              <w:rPr>
                <w:rFonts w:ascii="Arial" w:eastAsiaTheme="minorEastAsia" w:hAnsi="Arial" w:cs="Arial"/>
                <w:bCs/>
                <w:snapToGrid w:val="0"/>
                <w:sz w:val="22"/>
                <w:szCs w:val="22"/>
                <w:lang w:val="en-GB" w:eastAsia="ko-KR"/>
              </w:rPr>
              <w:t xml:space="preserve">discuss the role of the 2003 Convention in emergency situations, </w:t>
            </w:r>
            <w:r w:rsidR="00F06CBA">
              <w:rPr>
                <w:rFonts w:ascii="Arial" w:eastAsiaTheme="minorEastAsia" w:hAnsi="Arial" w:cs="Arial"/>
                <w:snapToGrid w:val="0"/>
                <w:sz w:val="22"/>
                <w:szCs w:val="22"/>
                <w:lang w:val="en-GB" w:eastAsia="ko-KR"/>
              </w:rPr>
              <w:t>the</w:t>
            </w:r>
            <w:r w:rsidRPr="00172C7D">
              <w:rPr>
                <w:rFonts w:ascii="Arial" w:hAnsi="Arial" w:cs="Arial"/>
                <w:snapToGrid w:val="0"/>
                <w:sz w:val="22"/>
                <w:szCs w:val="22"/>
                <w:lang w:val="en-GB" w:eastAsia="en-US"/>
              </w:rPr>
              <w:t xml:space="preserve"> item ‘Intangible cultural heritage in emergencies’ was inscribed on the agenda of the eleventh and twelfth session</w:t>
            </w:r>
            <w:r>
              <w:rPr>
                <w:rFonts w:ascii="Arial" w:hAnsi="Arial" w:cs="Arial"/>
                <w:snapToGrid w:val="0"/>
                <w:sz w:val="22"/>
                <w:szCs w:val="22"/>
                <w:lang w:val="en-GB" w:eastAsia="en-US"/>
              </w:rPr>
              <w:t>s</w:t>
            </w:r>
            <w:r w:rsidRPr="00172C7D">
              <w:rPr>
                <w:rFonts w:ascii="Arial" w:hAnsi="Arial" w:cs="Arial"/>
                <w:snapToGrid w:val="0"/>
                <w:sz w:val="22"/>
                <w:szCs w:val="22"/>
                <w:lang w:val="en-GB" w:eastAsia="en-US"/>
              </w:rPr>
              <w:t xml:space="preserve"> of the Committee</w:t>
            </w:r>
            <w:r w:rsidRPr="00172C7D">
              <w:rPr>
                <w:rFonts w:ascii="Arial" w:eastAsiaTheme="minorEastAsia" w:hAnsi="Arial" w:cs="Arial"/>
                <w:snapToGrid w:val="0"/>
                <w:sz w:val="22"/>
                <w:szCs w:val="22"/>
                <w:lang w:val="en-GB" w:eastAsia="ko-KR"/>
              </w:rPr>
              <w:t>.</w:t>
            </w:r>
          </w:p>
          <w:p w14:paraId="777B123A" w14:textId="185E7BC8" w:rsidR="009B7C08" w:rsidRPr="00E863FC" w:rsidRDefault="009B7C08" w:rsidP="00A741D3">
            <w:pPr>
              <w:pStyle w:val="ListParagraph"/>
              <w:numPr>
                <w:ilvl w:val="0"/>
                <w:numId w:val="9"/>
              </w:numPr>
              <w:spacing w:after="120"/>
              <w:ind w:left="811" w:hanging="454"/>
              <w:contextualSpacing w:val="0"/>
              <w:jc w:val="both"/>
              <w:rPr>
                <w:rFonts w:ascii="Arial" w:hAnsi="Arial" w:cs="Arial"/>
                <w:snapToGrid w:val="0"/>
                <w:sz w:val="22"/>
                <w:szCs w:val="22"/>
                <w:lang w:val="en-GB" w:eastAsia="en-US"/>
              </w:rPr>
            </w:pPr>
            <w:r w:rsidRPr="00E863FC">
              <w:rPr>
                <w:rFonts w:ascii="Arial" w:eastAsiaTheme="minorEastAsia" w:hAnsi="Arial" w:cs="Arial"/>
                <w:bCs/>
                <w:snapToGrid w:val="0"/>
                <w:sz w:val="22"/>
                <w:szCs w:val="22"/>
                <w:lang w:val="en-GB" w:eastAsia="ko-KR"/>
              </w:rPr>
              <w:t>Furthermore</w:t>
            </w:r>
            <w:r>
              <w:rPr>
                <w:rFonts w:ascii="Arial" w:hAnsi="Arial" w:cs="Arial"/>
                <w:snapToGrid w:val="0"/>
                <w:sz w:val="22"/>
                <w:szCs w:val="22"/>
                <w:lang w:val="en-GB" w:eastAsia="en-US"/>
              </w:rPr>
              <w:t xml:space="preserve">, at its twelfth session the </w:t>
            </w:r>
            <w:r w:rsidRPr="00E863FC">
              <w:rPr>
                <w:rFonts w:ascii="Arial" w:eastAsiaTheme="minorEastAsia" w:hAnsi="Arial" w:cs="Arial"/>
                <w:snapToGrid w:val="0"/>
                <w:sz w:val="22"/>
                <w:szCs w:val="22"/>
                <w:lang w:val="en-GB" w:eastAsia="ko-KR"/>
              </w:rPr>
              <w:t>Committee</w:t>
            </w:r>
            <w:r>
              <w:rPr>
                <w:rFonts w:ascii="Arial" w:hAnsi="Arial" w:cs="Arial"/>
                <w:snapToGrid w:val="0"/>
                <w:sz w:val="22"/>
                <w:szCs w:val="22"/>
                <w:lang w:val="en-GB" w:eastAsia="en-US"/>
              </w:rPr>
              <w:t xml:space="preserve"> approved two funding priorities, one of which </w:t>
            </w:r>
            <w:r w:rsidR="00F06CBA">
              <w:rPr>
                <w:rFonts w:ascii="Arial" w:hAnsi="Arial" w:cs="Arial"/>
                <w:snapToGrid w:val="0"/>
                <w:sz w:val="22"/>
                <w:szCs w:val="22"/>
                <w:lang w:val="en-GB" w:eastAsia="en-US"/>
              </w:rPr>
              <w:t>is</w:t>
            </w:r>
            <w:r>
              <w:rPr>
                <w:rFonts w:ascii="Arial" w:hAnsi="Arial" w:cs="Arial"/>
                <w:snapToGrid w:val="0"/>
                <w:sz w:val="22"/>
                <w:szCs w:val="22"/>
                <w:lang w:val="en-GB" w:eastAsia="en-US"/>
              </w:rPr>
              <w:t xml:space="preserve"> aim</w:t>
            </w:r>
            <w:r w:rsidR="00F06CBA">
              <w:rPr>
                <w:rFonts w:ascii="Arial" w:hAnsi="Arial" w:cs="Arial"/>
                <w:snapToGrid w:val="0"/>
                <w:sz w:val="22"/>
                <w:szCs w:val="22"/>
                <w:lang w:val="en-GB" w:eastAsia="en-US"/>
              </w:rPr>
              <w:t>ed</w:t>
            </w:r>
            <w:r>
              <w:rPr>
                <w:rFonts w:ascii="Arial" w:hAnsi="Arial" w:cs="Arial"/>
                <w:snapToGrid w:val="0"/>
                <w:sz w:val="22"/>
                <w:szCs w:val="22"/>
                <w:lang w:val="en-GB" w:eastAsia="en-US"/>
              </w:rPr>
              <w:t xml:space="preserve"> at initiating</w:t>
            </w:r>
            <w:r w:rsidRPr="00200127">
              <w:rPr>
                <w:rFonts w:ascii="Arial" w:hAnsi="Arial" w:cs="Arial"/>
                <w:snapToGrid w:val="0"/>
                <w:sz w:val="22"/>
                <w:szCs w:val="22"/>
                <w:lang w:val="en-GB" w:eastAsia="en-US"/>
              </w:rPr>
              <w:t xml:space="preserve"> efforts to incorporate intangible cultural heritage into formal and non-formal education, in cooperation with the </w:t>
            </w:r>
            <w:r w:rsidR="006618BE">
              <w:rPr>
                <w:rFonts w:ascii="Arial" w:hAnsi="Arial" w:cs="Arial"/>
                <w:snapToGrid w:val="0"/>
                <w:sz w:val="22"/>
                <w:szCs w:val="22"/>
                <w:lang w:val="en-GB" w:eastAsia="en-US"/>
              </w:rPr>
              <w:t>E</w:t>
            </w:r>
            <w:r w:rsidRPr="00200127">
              <w:rPr>
                <w:rFonts w:ascii="Arial" w:hAnsi="Arial" w:cs="Arial"/>
                <w:snapToGrid w:val="0"/>
                <w:sz w:val="22"/>
                <w:szCs w:val="22"/>
                <w:lang w:val="en-GB" w:eastAsia="en-US"/>
              </w:rPr>
              <w:t xml:space="preserve">ducation </w:t>
            </w:r>
            <w:r w:rsidR="006618BE">
              <w:rPr>
                <w:rFonts w:ascii="Arial" w:hAnsi="Arial" w:cs="Arial"/>
                <w:snapToGrid w:val="0"/>
                <w:sz w:val="22"/>
                <w:szCs w:val="22"/>
                <w:lang w:val="en-GB" w:eastAsia="en-US"/>
              </w:rPr>
              <w:t>S</w:t>
            </w:r>
            <w:r w:rsidRPr="00200127">
              <w:rPr>
                <w:rFonts w:ascii="Arial" w:hAnsi="Arial" w:cs="Arial"/>
                <w:snapToGrid w:val="0"/>
                <w:sz w:val="22"/>
                <w:szCs w:val="22"/>
                <w:lang w:val="en-GB" w:eastAsia="en-US"/>
              </w:rPr>
              <w:t>ector.</w:t>
            </w:r>
            <w:r>
              <w:rPr>
                <w:rFonts w:ascii="Arial" w:hAnsi="Arial" w:cs="Arial"/>
                <w:snapToGrid w:val="0"/>
                <w:sz w:val="22"/>
                <w:szCs w:val="22"/>
                <w:lang w:val="en-GB" w:eastAsia="en-US"/>
              </w:rPr>
              <w:t xml:space="preserve"> This</w:t>
            </w:r>
            <w:r w:rsidRPr="00200127">
              <w:rPr>
                <w:rFonts w:ascii="Arial" w:hAnsi="Arial" w:cs="Arial"/>
                <w:snapToGrid w:val="0"/>
                <w:sz w:val="22"/>
                <w:szCs w:val="22"/>
                <w:lang w:val="en-GB" w:eastAsia="en-US"/>
              </w:rPr>
              <w:t xml:space="preserve"> priority</w:t>
            </w:r>
            <w:r>
              <w:rPr>
                <w:rFonts w:ascii="Arial" w:hAnsi="Arial" w:cs="Arial"/>
                <w:snapToGrid w:val="0"/>
                <w:sz w:val="22"/>
                <w:szCs w:val="22"/>
                <w:lang w:val="en-GB" w:eastAsia="en-US"/>
              </w:rPr>
              <w:t xml:space="preserve"> </w:t>
            </w:r>
            <w:proofErr w:type="gramStart"/>
            <w:r>
              <w:rPr>
                <w:rFonts w:ascii="Arial" w:hAnsi="Arial" w:cs="Arial"/>
                <w:snapToGrid w:val="0"/>
                <w:sz w:val="22"/>
                <w:szCs w:val="22"/>
                <w:lang w:val="en-GB" w:eastAsia="en-US"/>
              </w:rPr>
              <w:t>is expected</w:t>
            </w:r>
            <w:proofErr w:type="gramEnd"/>
            <w:r>
              <w:rPr>
                <w:rFonts w:ascii="Arial" w:hAnsi="Arial" w:cs="Arial"/>
                <w:snapToGrid w:val="0"/>
                <w:sz w:val="22"/>
                <w:szCs w:val="22"/>
                <w:lang w:val="en-GB" w:eastAsia="en-US"/>
              </w:rPr>
              <w:t xml:space="preserve"> to</w:t>
            </w:r>
            <w:r w:rsidRPr="00200127">
              <w:rPr>
                <w:rFonts w:ascii="Arial" w:hAnsi="Arial" w:cs="Arial"/>
                <w:snapToGrid w:val="0"/>
                <w:sz w:val="22"/>
                <w:szCs w:val="22"/>
                <w:lang w:val="en-GB" w:eastAsia="en-US"/>
              </w:rPr>
              <w:t xml:space="preserve"> contribute to the attainment </w:t>
            </w:r>
            <w:r>
              <w:rPr>
                <w:rFonts w:ascii="Arial" w:hAnsi="Arial" w:cs="Arial"/>
                <w:snapToGrid w:val="0"/>
                <w:sz w:val="22"/>
                <w:szCs w:val="22"/>
                <w:lang w:val="en-GB" w:eastAsia="en-US"/>
              </w:rPr>
              <w:t>of</w:t>
            </w:r>
            <w:r w:rsidRPr="00200127">
              <w:rPr>
                <w:rFonts w:ascii="Arial" w:hAnsi="Arial" w:cs="Arial"/>
                <w:snapToGrid w:val="0"/>
                <w:sz w:val="22"/>
                <w:szCs w:val="22"/>
                <w:lang w:val="en-GB" w:eastAsia="en-US"/>
              </w:rPr>
              <w:t xml:space="preserve"> Sustainable Development Goal 4 </w:t>
            </w:r>
            <w:r>
              <w:rPr>
                <w:rFonts w:ascii="Arial" w:hAnsi="Arial" w:cs="Arial"/>
                <w:snapToGrid w:val="0"/>
                <w:sz w:val="22"/>
                <w:szCs w:val="22"/>
                <w:lang w:val="en-GB" w:eastAsia="en-US"/>
              </w:rPr>
              <w:t>by increasing</w:t>
            </w:r>
            <w:r w:rsidRPr="00200127">
              <w:rPr>
                <w:rFonts w:ascii="Arial" w:hAnsi="Arial" w:cs="Arial"/>
                <w:snapToGrid w:val="0"/>
                <w:sz w:val="22"/>
                <w:szCs w:val="22"/>
                <w:lang w:val="en-GB" w:eastAsia="en-US"/>
              </w:rPr>
              <w:t xml:space="preserve"> the relevance and quality of multiple subject areas and </w:t>
            </w:r>
            <w:r>
              <w:rPr>
                <w:rFonts w:ascii="Arial" w:hAnsi="Arial" w:cs="Arial"/>
                <w:snapToGrid w:val="0"/>
                <w:sz w:val="22"/>
                <w:szCs w:val="22"/>
                <w:lang w:val="en-GB" w:eastAsia="en-US"/>
              </w:rPr>
              <w:t xml:space="preserve">to promote </w:t>
            </w:r>
            <w:r w:rsidRPr="00200127">
              <w:rPr>
                <w:rFonts w:ascii="Arial" w:hAnsi="Arial" w:cs="Arial"/>
                <w:snapToGrid w:val="0"/>
                <w:sz w:val="22"/>
                <w:szCs w:val="22"/>
                <w:lang w:val="en-GB" w:eastAsia="en-US"/>
              </w:rPr>
              <w:t>education for peace and sustainable development</w:t>
            </w:r>
            <w:r>
              <w:rPr>
                <w:rFonts w:ascii="Arial" w:hAnsi="Arial" w:cs="Arial"/>
                <w:snapToGrid w:val="0"/>
                <w:sz w:val="22"/>
                <w:szCs w:val="22"/>
                <w:lang w:val="en-GB" w:eastAsia="en-US"/>
              </w:rPr>
              <w:t xml:space="preserve"> </w:t>
            </w:r>
            <w:r w:rsidRPr="00037790">
              <w:rPr>
                <w:rFonts w:ascii="Arial" w:hAnsi="Arial" w:cs="Arial"/>
                <w:snapToGrid w:val="0"/>
                <w:sz w:val="22"/>
                <w:szCs w:val="22"/>
                <w:lang w:val="en-GB" w:eastAsia="en-US"/>
              </w:rPr>
              <w:t>(</w:t>
            </w:r>
            <w:hyperlink r:id="rId37" w:history="1">
              <w:r w:rsidRPr="00037790">
                <w:rPr>
                  <w:rStyle w:val="Hyperlink"/>
                  <w:rFonts w:ascii="Arial" w:eastAsiaTheme="minorEastAsia" w:hAnsi="Arial" w:cs="Arial"/>
                  <w:snapToGrid w:val="0"/>
                  <w:sz w:val="22"/>
                  <w:szCs w:val="22"/>
                  <w:lang w:val="en-GB" w:eastAsia="ko-KR"/>
                </w:rPr>
                <w:t>Decision 12.COM 6</w:t>
              </w:r>
            </w:hyperlink>
            <w:r>
              <w:rPr>
                <w:rFonts w:ascii="Arial" w:eastAsiaTheme="minorEastAsia" w:hAnsi="Arial" w:cs="Arial"/>
                <w:snapToGrid w:val="0"/>
                <w:sz w:val="22"/>
                <w:szCs w:val="22"/>
                <w:lang w:val="en-GB" w:eastAsia="ko-KR"/>
              </w:rPr>
              <w:t>).</w:t>
            </w:r>
          </w:p>
        </w:tc>
      </w:tr>
      <w:tr w:rsidR="009B7C08" w:rsidRPr="008240F2" w14:paraId="6F0A0BD4" w14:textId="77777777" w:rsidTr="00B04CDE">
        <w:tc>
          <w:tcPr>
            <w:tcW w:w="6059" w:type="dxa"/>
          </w:tcPr>
          <w:p w14:paraId="452F527C" w14:textId="77777777"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lang w:val="en-GB" w:eastAsia="en-US"/>
              </w:rPr>
            </w:pPr>
            <w:r w:rsidRPr="00C34E09">
              <w:rPr>
                <w:rFonts w:ascii="Arial" w:hAnsi="Arial" w:cs="Arial"/>
                <w:snapToGrid w:val="0"/>
                <w:sz w:val="22"/>
                <w:szCs w:val="22"/>
                <w:lang w:val="en-US" w:eastAsia="en-US"/>
              </w:rPr>
              <w:lastRenderedPageBreak/>
              <w:t>To promote diversity and inclusivity, voluntary term</w:t>
            </w:r>
            <w:r>
              <w:rPr>
                <w:rFonts w:ascii="Arial" w:hAnsi="Arial" w:cs="Arial"/>
                <w:snapToGrid w:val="0"/>
                <w:sz w:val="22"/>
                <w:szCs w:val="22"/>
                <w:lang w:val="en-US" w:eastAsia="en-US"/>
              </w:rPr>
              <w:t xml:space="preserve"> </w:t>
            </w:r>
            <w:r w:rsidRPr="00C34E09">
              <w:rPr>
                <w:rFonts w:ascii="Arial" w:hAnsi="Arial" w:cs="Arial"/>
                <w:snapToGrid w:val="0"/>
                <w:sz w:val="22"/>
                <w:szCs w:val="22"/>
                <w:lang w:val="en-US" w:eastAsia="en-US"/>
              </w:rPr>
              <w:t xml:space="preserve">limits of two consecutive mandates are recommended for </w:t>
            </w:r>
            <w:proofErr w:type="gramStart"/>
            <w:r w:rsidRPr="00C34E09">
              <w:rPr>
                <w:rFonts w:ascii="Arial" w:hAnsi="Arial" w:cs="Arial"/>
                <w:snapToGrid w:val="0"/>
                <w:sz w:val="22"/>
                <w:szCs w:val="22"/>
                <w:lang w:val="en-US" w:eastAsia="en-US"/>
              </w:rPr>
              <w:t>IIBs which</w:t>
            </w:r>
            <w:proofErr w:type="gramEnd"/>
            <w:r w:rsidRPr="00C34E09">
              <w:rPr>
                <w:rFonts w:ascii="Arial" w:hAnsi="Arial" w:cs="Arial"/>
                <w:snapToGrid w:val="0"/>
                <w:sz w:val="22"/>
                <w:szCs w:val="22"/>
                <w:lang w:val="en-US" w:eastAsia="en-US"/>
              </w:rPr>
              <w:t xml:space="preserve"> currently do not have term limitations for membership.</w:t>
            </w:r>
          </w:p>
          <w:p w14:paraId="437C28A0" w14:textId="77777777" w:rsidR="009B7C08" w:rsidRPr="00E863FC" w:rsidRDefault="009B7C08" w:rsidP="00B04CDE">
            <w:pPr>
              <w:tabs>
                <w:tab w:val="left" w:pos="567"/>
              </w:tabs>
              <w:spacing w:after="120"/>
              <w:jc w:val="both"/>
              <w:rPr>
                <w:rFonts w:ascii="Arial" w:hAnsi="Arial" w:cs="Arial"/>
                <w:snapToGrid w:val="0"/>
                <w:sz w:val="22"/>
                <w:szCs w:val="22"/>
                <w:lang w:val="en-GB" w:eastAsia="en-US"/>
              </w:rPr>
            </w:pPr>
            <w:r>
              <w:rPr>
                <w:rFonts w:ascii="Arial" w:hAnsi="Arial" w:cs="Arial"/>
                <w:b/>
                <w:bCs/>
                <w:snapToGrid w:val="0"/>
                <w:sz w:val="22"/>
                <w:szCs w:val="22"/>
                <w:lang w:val="en-GB" w:eastAsia="en-US"/>
              </w:rPr>
              <w:t>Closed</w:t>
            </w:r>
          </w:p>
        </w:tc>
        <w:tc>
          <w:tcPr>
            <w:tcW w:w="8501" w:type="dxa"/>
          </w:tcPr>
          <w:p w14:paraId="0D2F6A34" w14:textId="77777777" w:rsidR="009B7C08" w:rsidRPr="00932CF6" w:rsidRDefault="008240F2"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hyperlink r:id="rId38" w:anchor="art6" w:history="1">
              <w:r w:rsidR="009B7C08" w:rsidRPr="000731D8">
                <w:rPr>
                  <w:rStyle w:val="Hyperlink"/>
                  <w:rFonts w:ascii="Arial" w:hAnsi="Arial" w:cs="Arial"/>
                  <w:snapToGrid w:val="0"/>
                  <w:sz w:val="22"/>
                  <w:szCs w:val="22"/>
                  <w:lang w:val="en-GB" w:eastAsia="en-US"/>
                </w:rPr>
                <w:t>Article 6.6</w:t>
              </w:r>
            </w:hyperlink>
            <w:r w:rsidR="009B7C08">
              <w:rPr>
                <w:rFonts w:ascii="Arial" w:hAnsi="Arial" w:cs="Arial"/>
                <w:snapToGrid w:val="0"/>
                <w:sz w:val="22"/>
                <w:szCs w:val="22"/>
                <w:lang w:val="en-GB" w:eastAsia="en-US"/>
              </w:rPr>
              <w:t xml:space="preserve"> of the Convention states that ‘[a] State Member of the Committee may not be elected for two consecutive terms.’</w:t>
            </w:r>
          </w:p>
        </w:tc>
      </w:tr>
      <w:tr w:rsidR="009B7C08" w:rsidRPr="008240F2" w14:paraId="65D764B8" w14:textId="77777777" w:rsidTr="00B04CDE">
        <w:tc>
          <w:tcPr>
            <w:tcW w:w="6059" w:type="dxa"/>
          </w:tcPr>
          <w:p w14:paraId="6F74B408" w14:textId="156EE9A7"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lang w:val="en-GB" w:eastAsia="en-US"/>
              </w:rPr>
            </w:pPr>
            <w:proofErr w:type="gramStart"/>
            <w:r w:rsidRPr="00C34E09">
              <w:rPr>
                <w:rFonts w:ascii="Arial" w:hAnsi="Arial" w:cs="Arial"/>
                <w:snapToGrid w:val="0"/>
                <w:sz w:val="22"/>
                <w:szCs w:val="22"/>
                <w:lang w:val="en-US" w:eastAsia="en-US"/>
              </w:rPr>
              <w:t>As a general rule</w:t>
            </w:r>
            <w:proofErr w:type="gramEnd"/>
            <w:r w:rsidRPr="00C34E09">
              <w:rPr>
                <w:rFonts w:ascii="Arial" w:hAnsi="Arial" w:cs="Arial"/>
                <w:snapToGrid w:val="0"/>
                <w:sz w:val="22"/>
                <w:szCs w:val="22"/>
                <w:lang w:val="en-US" w:eastAsia="en-US"/>
              </w:rPr>
              <w:t>, term</w:t>
            </w:r>
            <w:r w:rsidR="00F06CBA">
              <w:rPr>
                <w:rFonts w:ascii="Arial" w:hAnsi="Arial" w:cs="Arial"/>
                <w:snapToGrid w:val="0"/>
                <w:sz w:val="22"/>
                <w:szCs w:val="22"/>
                <w:lang w:val="en-US" w:eastAsia="en-US"/>
              </w:rPr>
              <w:t xml:space="preserve"> </w:t>
            </w:r>
            <w:r w:rsidRPr="00C34E09">
              <w:rPr>
                <w:rFonts w:ascii="Arial" w:hAnsi="Arial" w:cs="Arial"/>
                <w:snapToGrid w:val="0"/>
                <w:sz w:val="22"/>
                <w:szCs w:val="22"/>
                <w:lang w:val="en-US" w:eastAsia="en-US"/>
              </w:rPr>
              <w:t>limits of two consecutive mandates for membership in all Bureaus are recommended.</w:t>
            </w:r>
          </w:p>
          <w:p w14:paraId="6B2B8606" w14:textId="35C40FD4" w:rsidR="009B7C08" w:rsidRPr="00E863FC" w:rsidRDefault="006337E7" w:rsidP="00B04CDE">
            <w:pPr>
              <w:tabs>
                <w:tab w:val="left" w:pos="567"/>
              </w:tabs>
              <w:spacing w:after="120"/>
              <w:jc w:val="both"/>
              <w:rPr>
                <w:rFonts w:ascii="Arial" w:hAnsi="Arial" w:cs="Arial"/>
                <w:snapToGrid w:val="0"/>
                <w:sz w:val="22"/>
                <w:szCs w:val="22"/>
                <w:lang w:val="en-GB" w:eastAsia="en-US"/>
              </w:rPr>
            </w:pPr>
            <w:r>
              <w:rPr>
                <w:rFonts w:ascii="Arial" w:hAnsi="Arial" w:cs="Arial"/>
                <w:b/>
                <w:bCs/>
                <w:sz w:val="22"/>
                <w:szCs w:val="22"/>
                <w:lang w:val="en-GB"/>
              </w:rPr>
              <w:t>Ongoing</w:t>
            </w:r>
          </w:p>
        </w:tc>
        <w:tc>
          <w:tcPr>
            <w:tcW w:w="8501" w:type="dxa"/>
          </w:tcPr>
          <w:p w14:paraId="7FC17C67"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In accordance with </w:t>
            </w:r>
            <w:hyperlink r:id="rId39" w:anchor="Rule13" w:history="1">
              <w:r w:rsidRPr="00AD6BFD">
                <w:rPr>
                  <w:rStyle w:val="Hyperlink"/>
                  <w:rFonts w:ascii="Arial" w:hAnsi="Arial" w:cs="Arial"/>
                  <w:snapToGrid w:val="0"/>
                  <w:sz w:val="22"/>
                  <w:szCs w:val="22"/>
                  <w:lang w:val="en-GB" w:eastAsia="en-US"/>
                </w:rPr>
                <w:t>Rule 13</w:t>
              </w:r>
            </w:hyperlink>
            <w:r>
              <w:rPr>
                <w:rFonts w:ascii="Arial" w:hAnsi="Arial" w:cs="Arial"/>
                <w:snapToGrid w:val="0"/>
                <w:sz w:val="22"/>
                <w:szCs w:val="22"/>
                <w:lang w:val="en-GB" w:eastAsia="en-US"/>
              </w:rPr>
              <w:t xml:space="preserve"> of the Rules of Procedure of the Committee, Bureau members ‘shall be eligible for immediate re-election for a second term of office, </w:t>
            </w:r>
            <w:r w:rsidRPr="00FE2205">
              <w:rPr>
                <w:rFonts w:ascii="Arial" w:hAnsi="Arial" w:cs="Arial"/>
                <w:snapToGrid w:val="0"/>
                <w:sz w:val="22"/>
                <w:szCs w:val="22"/>
                <w:lang w:val="en-US" w:eastAsia="en-US"/>
              </w:rPr>
              <w:t>provided that the country that each represents continues to be a State Member of the Committee at least until the end of the new term of office</w:t>
            </w:r>
            <w:r>
              <w:rPr>
                <w:rFonts w:ascii="Arial" w:hAnsi="Arial" w:cs="Arial"/>
                <w:snapToGrid w:val="0"/>
                <w:sz w:val="22"/>
                <w:szCs w:val="22"/>
                <w:lang w:val="en-GB" w:eastAsia="en-US"/>
              </w:rPr>
              <w:t>’.</w:t>
            </w:r>
          </w:p>
          <w:p w14:paraId="3CCE6EBC" w14:textId="3BBAF73A"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Although the Rules of Procedure of the General Assembly do not stipulate the term of </w:t>
            </w:r>
            <w:r w:rsidRPr="00324032">
              <w:rPr>
                <w:rFonts w:ascii="Arial" w:hAnsi="Arial" w:cs="Arial"/>
                <w:snapToGrid w:val="0"/>
                <w:sz w:val="22"/>
                <w:szCs w:val="22"/>
                <w:lang w:val="en-GB" w:eastAsia="en-US"/>
              </w:rPr>
              <w:t xml:space="preserve">Bureau members, the practice has been for members to serve for only one mandate (see document </w:t>
            </w:r>
            <w:hyperlink r:id="rId40" w:history="1">
              <w:r w:rsidRPr="00324032">
                <w:rPr>
                  <w:rStyle w:val="Hyperlink"/>
                  <w:rFonts w:ascii="Arial" w:hAnsi="Arial" w:cs="Arial"/>
                  <w:snapToGrid w:val="0"/>
                  <w:sz w:val="22"/>
                  <w:szCs w:val="22"/>
                  <w:lang w:val="en-GB" w:eastAsia="en-US"/>
                </w:rPr>
                <w:t>ITH/18/7.GA/2</w:t>
              </w:r>
            </w:hyperlink>
            <w:r w:rsidRPr="00324032">
              <w:rPr>
                <w:rFonts w:ascii="Arial" w:hAnsi="Arial" w:cs="Arial"/>
                <w:snapToGrid w:val="0"/>
                <w:sz w:val="22"/>
                <w:szCs w:val="22"/>
                <w:lang w:val="en-GB" w:eastAsia="en-US"/>
              </w:rPr>
              <w:t xml:space="preserve"> for the list</w:t>
            </w:r>
            <w:r>
              <w:rPr>
                <w:rFonts w:ascii="Arial" w:hAnsi="Arial" w:cs="Arial"/>
                <w:snapToGrid w:val="0"/>
                <w:sz w:val="22"/>
                <w:szCs w:val="22"/>
                <w:lang w:val="en-GB" w:eastAsia="en-US"/>
              </w:rPr>
              <w:t xml:space="preserve"> of Bureau</w:t>
            </w:r>
            <w:r w:rsidR="00BA7F29">
              <w:rPr>
                <w:rFonts w:ascii="Arial" w:hAnsi="Arial" w:cs="Arial"/>
                <w:snapToGrid w:val="0"/>
                <w:sz w:val="22"/>
                <w:szCs w:val="22"/>
                <w:lang w:val="en-GB" w:eastAsia="en-US"/>
              </w:rPr>
              <w:t xml:space="preserve"> members of previous sessions).</w:t>
            </w:r>
          </w:p>
          <w:p w14:paraId="567AEAC0" w14:textId="2DBD2BBB"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The General Assembly may either decide to amend its Rules of Procedure to reflect this recommendation or continue with the current practice.</w:t>
            </w:r>
          </w:p>
          <w:p w14:paraId="448CBA64" w14:textId="37A336F9" w:rsidR="00310F56" w:rsidRPr="00EE4900" w:rsidRDefault="00B341EF" w:rsidP="00473183">
            <w:pPr>
              <w:pStyle w:val="ListParagraph"/>
              <w:numPr>
                <w:ilvl w:val="0"/>
                <w:numId w:val="7"/>
              </w:numPr>
              <w:spacing w:after="120"/>
              <w:ind w:left="357" w:hanging="357"/>
              <w:contextualSpacing w:val="0"/>
              <w:jc w:val="both"/>
              <w:rPr>
                <w:rFonts w:ascii="Arial" w:hAnsi="Arial" w:cs="Arial"/>
                <w:b/>
                <w:snapToGrid w:val="0"/>
                <w:sz w:val="22"/>
                <w:szCs w:val="22"/>
                <w:u w:val="single"/>
                <w:lang w:val="en-GB" w:eastAsia="en-US"/>
              </w:rPr>
            </w:pPr>
            <w:r>
              <w:rPr>
                <w:rFonts w:ascii="Arial" w:hAnsi="Arial" w:cs="Arial"/>
                <w:b/>
                <w:snapToGrid w:val="0"/>
                <w:sz w:val="22"/>
                <w:szCs w:val="22"/>
                <w:u w:val="single"/>
                <w:lang w:val="en-GB" w:eastAsia="en-US"/>
              </w:rPr>
              <w:t>Update</w:t>
            </w:r>
            <w:r w:rsidRPr="00EE4900">
              <w:rPr>
                <w:rFonts w:ascii="Arial" w:hAnsi="Arial" w:cs="Arial"/>
                <w:snapToGrid w:val="0"/>
                <w:sz w:val="22"/>
                <w:szCs w:val="22"/>
                <w:u w:val="single"/>
                <w:lang w:val="en-GB" w:eastAsia="en-US"/>
              </w:rPr>
              <w:t xml:space="preserve">: </w:t>
            </w:r>
            <w:r w:rsidR="007C0E13">
              <w:rPr>
                <w:rFonts w:ascii="Arial" w:hAnsi="Arial" w:cs="Arial"/>
                <w:snapToGrid w:val="0"/>
                <w:sz w:val="22"/>
                <w:szCs w:val="22"/>
                <w:u w:val="single"/>
                <w:lang w:val="en-GB" w:eastAsia="en-US"/>
              </w:rPr>
              <w:t>in accordance with</w:t>
            </w:r>
            <w:r w:rsidR="00310F56" w:rsidRPr="00EE4900">
              <w:rPr>
                <w:rFonts w:ascii="Arial" w:hAnsi="Arial" w:cs="Arial"/>
                <w:snapToGrid w:val="0"/>
                <w:sz w:val="22"/>
                <w:szCs w:val="22"/>
                <w:u w:val="single"/>
                <w:lang w:val="en-GB" w:eastAsia="en-US"/>
              </w:rPr>
              <w:t xml:space="preserve"> </w:t>
            </w:r>
            <w:r w:rsidR="00310F56" w:rsidRPr="00037790">
              <w:rPr>
                <w:rFonts w:ascii="Arial" w:hAnsi="Arial" w:cs="Arial"/>
                <w:snapToGrid w:val="0"/>
                <w:sz w:val="22"/>
                <w:szCs w:val="22"/>
                <w:u w:val="single"/>
                <w:lang w:val="en-GB" w:eastAsia="en-US"/>
              </w:rPr>
              <w:t xml:space="preserve">Resolutions </w:t>
            </w:r>
            <w:hyperlink r:id="rId41" w:history="1">
              <w:r w:rsidR="00310F56" w:rsidRPr="00037790">
                <w:rPr>
                  <w:rStyle w:val="Hyperlink"/>
                  <w:rFonts w:ascii="Arial" w:hAnsi="Arial" w:cs="Arial"/>
                  <w:snapToGrid w:val="0"/>
                  <w:sz w:val="22"/>
                  <w:szCs w:val="22"/>
                  <w:lang w:val="en-GB" w:eastAsia="en-US"/>
                </w:rPr>
                <w:t>7.GA 12</w:t>
              </w:r>
            </w:hyperlink>
            <w:r w:rsidR="00310F56" w:rsidRPr="00037790">
              <w:rPr>
                <w:rFonts w:ascii="Arial" w:hAnsi="Arial" w:cs="Arial"/>
                <w:snapToGrid w:val="0"/>
                <w:sz w:val="22"/>
                <w:szCs w:val="22"/>
                <w:u w:val="single"/>
                <w:lang w:val="en-GB" w:eastAsia="en-US"/>
              </w:rPr>
              <w:t xml:space="preserve"> and </w:t>
            </w:r>
            <w:hyperlink r:id="rId42" w:history="1">
              <w:r w:rsidR="00310F56" w:rsidRPr="00037790">
                <w:rPr>
                  <w:rStyle w:val="Hyperlink"/>
                  <w:rFonts w:ascii="Arial" w:hAnsi="Arial" w:cs="Arial"/>
                  <w:snapToGrid w:val="0"/>
                  <w:sz w:val="22"/>
                  <w:szCs w:val="22"/>
                  <w:lang w:val="en-GB" w:eastAsia="en-US"/>
                </w:rPr>
                <w:t>7.GA 13</w:t>
              </w:r>
            </w:hyperlink>
            <w:r w:rsidR="00310F56" w:rsidRPr="00EE4900">
              <w:rPr>
                <w:rFonts w:ascii="Arial" w:hAnsi="Arial" w:cs="Arial"/>
                <w:snapToGrid w:val="0"/>
                <w:sz w:val="22"/>
                <w:szCs w:val="22"/>
                <w:u w:val="single"/>
                <w:lang w:val="en-GB" w:eastAsia="en-US"/>
              </w:rPr>
              <w:t>, a revised set of the Rules of Procedure</w:t>
            </w:r>
            <w:r w:rsidR="00473183">
              <w:rPr>
                <w:rFonts w:ascii="Arial" w:hAnsi="Arial" w:cs="Arial"/>
                <w:snapToGrid w:val="0"/>
                <w:sz w:val="22"/>
                <w:szCs w:val="22"/>
                <w:u w:val="single"/>
                <w:lang w:val="en-GB" w:eastAsia="en-US"/>
              </w:rPr>
              <w:t xml:space="preserve"> of the General Assembly</w:t>
            </w:r>
            <w:r w:rsidR="00310F56" w:rsidRPr="00EE4900">
              <w:rPr>
                <w:rFonts w:ascii="Arial" w:hAnsi="Arial" w:cs="Arial"/>
                <w:snapToGrid w:val="0"/>
                <w:sz w:val="22"/>
                <w:szCs w:val="22"/>
                <w:u w:val="single"/>
                <w:lang w:val="en-GB" w:eastAsia="en-US"/>
              </w:rPr>
              <w:t xml:space="preserve"> </w:t>
            </w:r>
            <w:proofErr w:type="gramStart"/>
            <w:r w:rsidR="00310F56" w:rsidRPr="00EE4900">
              <w:rPr>
                <w:rFonts w:ascii="Arial" w:hAnsi="Arial" w:cs="Arial"/>
                <w:snapToGrid w:val="0"/>
                <w:sz w:val="22"/>
                <w:szCs w:val="22"/>
                <w:u w:val="single"/>
                <w:lang w:val="en-GB" w:eastAsia="en-US"/>
              </w:rPr>
              <w:t>will be presented</w:t>
            </w:r>
            <w:proofErr w:type="gramEnd"/>
            <w:r w:rsidR="00310F56" w:rsidRPr="00EE4900">
              <w:rPr>
                <w:rFonts w:ascii="Arial" w:hAnsi="Arial" w:cs="Arial"/>
                <w:snapToGrid w:val="0"/>
                <w:sz w:val="22"/>
                <w:szCs w:val="22"/>
                <w:u w:val="single"/>
                <w:lang w:val="en-GB" w:eastAsia="en-US"/>
              </w:rPr>
              <w:t xml:space="preserve"> to the eighth session of the General Assembly</w:t>
            </w:r>
            <w:r w:rsidR="00236BBD">
              <w:rPr>
                <w:rFonts w:ascii="Arial" w:hAnsi="Arial" w:cs="Arial"/>
                <w:snapToGrid w:val="0"/>
                <w:sz w:val="22"/>
                <w:szCs w:val="22"/>
                <w:u w:val="single"/>
                <w:lang w:val="en-GB" w:eastAsia="en-US"/>
              </w:rPr>
              <w:t xml:space="preserve"> in 2020</w:t>
            </w:r>
            <w:r w:rsidR="00310F56" w:rsidRPr="00EE4900">
              <w:rPr>
                <w:rFonts w:ascii="Arial" w:hAnsi="Arial" w:cs="Arial"/>
                <w:snapToGrid w:val="0"/>
                <w:sz w:val="22"/>
                <w:szCs w:val="22"/>
                <w:u w:val="single"/>
                <w:lang w:val="en-GB" w:eastAsia="en-US"/>
              </w:rPr>
              <w:t>.</w:t>
            </w:r>
          </w:p>
        </w:tc>
      </w:tr>
      <w:tr w:rsidR="009B7C08" w:rsidRPr="008240F2" w14:paraId="6212F3D4" w14:textId="77777777" w:rsidTr="00B04CDE">
        <w:tc>
          <w:tcPr>
            <w:tcW w:w="6059" w:type="dxa"/>
          </w:tcPr>
          <w:p w14:paraId="133FD13F" w14:textId="77777777" w:rsidR="009B7C08" w:rsidRPr="0049025A"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lang w:val="en-US" w:eastAsia="en-US"/>
              </w:rPr>
            </w:pPr>
            <w:r w:rsidRPr="0049025A">
              <w:rPr>
                <w:rFonts w:ascii="Arial" w:hAnsi="Arial" w:cs="Arial"/>
                <w:snapToGrid w:val="0"/>
                <w:sz w:val="22"/>
                <w:szCs w:val="22"/>
                <w:lang w:val="en-US" w:eastAsia="en-US"/>
              </w:rPr>
              <w:t>For cost-saving, coherence and harmonization</w:t>
            </w:r>
            <w:r w:rsidR="000271E7">
              <w:rPr>
                <w:rFonts w:ascii="Arial" w:hAnsi="Arial" w:cs="Arial"/>
                <w:snapToGrid w:val="0"/>
                <w:sz w:val="22"/>
                <w:szCs w:val="22"/>
                <w:lang w:val="en-US" w:eastAsia="en-US"/>
              </w:rPr>
              <w:t xml:space="preserve"> purposes</w:t>
            </w:r>
            <w:r w:rsidRPr="0049025A">
              <w:rPr>
                <w:rFonts w:ascii="Arial" w:hAnsi="Arial" w:cs="Arial"/>
                <w:snapToGrid w:val="0"/>
                <w:sz w:val="22"/>
                <w:szCs w:val="22"/>
                <w:lang w:val="en-US" w:eastAsia="en-US"/>
              </w:rPr>
              <w:t xml:space="preserve">, it </w:t>
            </w:r>
            <w:proofErr w:type="gramStart"/>
            <w:r w:rsidRPr="0049025A">
              <w:rPr>
                <w:rFonts w:ascii="Arial" w:hAnsi="Arial" w:cs="Arial"/>
                <w:snapToGrid w:val="0"/>
                <w:sz w:val="22"/>
                <w:szCs w:val="22"/>
                <w:lang w:val="en-US" w:eastAsia="en-US"/>
              </w:rPr>
              <w:t>is recommended</w:t>
            </w:r>
            <w:proofErr w:type="gramEnd"/>
            <w:r w:rsidRPr="0049025A">
              <w:rPr>
                <w:rFonts w:ascii="Arial" w:hAnsi="Arial" w:cs="Arial"/>
                <w:snapToGrid w:val="0"/>
                <w:sz w:val="22"/>
                <w:szCs w:val="22"/>
                <w:lang w:val="en-US" w:eastAsia="en-US"/>
              </w:rPr>
              <w:t xml:space="preserve"> that IIBs and the General Conference consider “right-sizing” the composition of the IIBs.</w:t>
            </w:r>
          </w:p>
          <w:p w14:paraId="124B0EAB" w14:textId="77777777" w:rsidR="009B7C08" w:rsidRPr="0049025A" w:rsidRDefault="009B7C08" w:rsidP="00B04CDE">
            <w:pPr>
              <w:spacing w:after="120"/>
              <w:jc w:val="both"/>
              <w:rPr>
                <w:rFonts w:ascii="Arial" w:hAnsi="Arial" w:cs="Arial"/>
                <w:snapToGrid w:val="0"/>
                <w:sz w:val="22"/>
                <w:szCs w:val="22"/>
                <w:lang w:val="en-US" w:eastAsia="en-US"/>
              </w:rPr>
            </w:pPr>
            <w:r>
              <w:rPr>
                <w:rFonts w:ascii="Arial" w:hAnsi="Arial" w:cs="Arial"/>
                <w:b/>
                <w:bCs/>
                <w:sz w:val="22"/>
                <w:szCs w:val="22"/>
                <w:lang w:val="en-US"/>
              </w:rPr>
              <w:t>Closed</w:t>
            </w:r>
          </w:p>
        </w:tc>
        <w:tc>
          <w:tcPr>
            <w:tcW w:w="8501" w:type="dxa"/>
          </w:tcPr>
          <w:p w14:paraId="647E731C" w14:textId="77777777" w:rsidR="009B7C08" w:rsidRDefault="009B7C08" w:rsidP="00A741D3">
            <w:pPr>
              <w:pStyle w:val="ListParagraph"/>
              <w:numPr>
                <w:ilvl w:val="0"/>
                <w:numId w:val="7"/>
              </w:numPr>
              <w:spacing w:after="120"/>
              <w:ind w:left="357" w:hanging="357"/>
              <w:contextualSpacing w:val="0"/>
              <w:jc w:val="both"/>
              <w:rPr>
                <w:snapToGrid w:val="0"/>
                <w:lang w:val="en-GB" w:eastAsia="en-US"/>
              </w:rPr>
            </w:pPr>
            <w:r>
              <w:rPr>
                <w:rFonts w:ascii="Arial" w:hAnsi="Arial" w:cs="Arial"/>
                <w:snapToGrid w:val="0"/>
                <w:sz w:val="22"/>
                <w:szCs w:val="22"/>
                <w:lang w:val="en-GB" w:eastAsia="en-US"/>
              </w:rPr>
              <w:t xml:space="preserve">The number of States Members of the Committee </w:t>
            </w:r>
            <w:proofErr w:type="gramStart"/>
            <w:r>
              <w:rPr>
                <w:rFonts w:ascii="Arial" w:hAnsi="Arial" w:cs="Arial"/>
                <w:snapToGrid w:val="0"/>
                <w:sz w:val="22"/>
                <w:szCs w:val="22"/>
                <w:lang w:val="en-GB" w:eastAsia="en-US"/>
              </w:rPr>
              <w:t>is defined</w:t>
            </w:r>
            <w:proofErr w:type="gramEnd"/>
            <w:r>
              <w:rPr>
                <w:rFonts w:ascii="Arial" w:hAnsi="Arial" w:cs="Arial"/>
                <w:snapToGrid w:val="0"/>
                <w:sz w:val="22"/>
                <w:szCs w:val="22"/>
                <w:lang w:val="en-GB" w:eastAsia="en-US"/>
              </w:rPr>
              <w:t xml:space="preserve"> in </w:t>
            </w:r>
            <w:hyperlink r:id="rId43" w:anchor="art5" w:history="1">
              <w:r w:rsidRPr="00084FED">
                <w:rPr>
                  <w:rStyle w:val="Hyperlink"/>
                  <w:rFonts w:ascii="Arial" w:hAnsi="Arial" w:cs="Arial"/>
                  <w:snapToGrid w:val="0"/>
                  <w:sz w:val="22"/>
                  <w:szCs w:val="22"/>
                  <w:lang w:val="en-GB" w:eastAsia="en-US"/>
                </w:rPr>
                <w:t>Article 5</w:t>
              </w:r>
            </w:hyperlink>
            <w:r>
              <w:rPr>
                <w:rFonts w:ascii="Arial" w:hAnsi="Arial" w:cs="Arial"/>
                <w:snapToGrid w:val="0"/>
                <w:sz w:val="22"/>
                <w:szCs w:val="22"/>
                <w:lang w:val="en-GB" w:eastAsia="en-US"/>
              </w:rPr>
              <w:t xml:space="preserve"> of the Convention (twenty-four Members).</w:t>
            </w:r>
            <w:r>
              <w:rPr>
                <w:rFonts w:ascii="Arial" w:hAnsi="Arial" w:cs="Arial"/>
                <w:sz w:val="22"/>
                <w:szCs w:val="22"/>
                <w:lang w:val="en-GB"/>
              </w:rPr>
              <w:t xml:space="preserve"> Therefore, </w:t>
            </w:r>
            <w:r w:rsidRPr="003B52E4">
              <w:rPr>
                <w:rFonts w:ascii="Arial" w:hAnsi="Arial" w:cs="Arial"/>
                <w:sz w:val="22"/>
                <w:szCs w:val="22"/>
                <w:lang w:val="en-GB"/>
              </w:rPr>
              <w:t>i</w:t>
            </w:r>
            <w:r w:rsidRPr="00E863FC">
              <w:rPr>
                <w:rFonts w:ascii="Arial" w:hAnsi="Arial" w:cs="Arial"/>
                <w:sz w:val="22"/>
                <w:szCs w:val="22"/>
                <w:lang w:val="en-GB"/>
              </w:rPr>
              <w:t>mplementing</w:t>
            </w:r>
            <w:r w:rsidRPr="00E863FC">
              <w:rPr>
                <w:rFonts w:ascii="Arial" w:hAnsi="Arial" w:cs="Arial"/>
                <w:sz w:val="22"/>
                <w:szCs w:val="22"/>
                <w:lang w:val="en-US"/>
              </w:rPr>
              <w:t xml:space="preserve"> this recommendation </w:t>
            </w:r>
            <w:r>
              <w:rPr>
                <w:rFonts w:ascii="Arial" w:hAnsi="Arial" w:cs="Arial"/>
                <w:sz w:val="22"/>
                <w:szCs w:val="22"/>
                <w:lang w:val="en-US"/>
              </w:rPr>
              <w:t xml:space="preserve">would </w:t>
            </w:r>
            <w:r w:rsidRPr="00E863FC">
              <w:rPr>
                <w:rFonts w:ascii="Arial" w:hAnsi="Arial" w:cs="Arial"/>
                <w:sz w:val="22"/>
                <w:szCs w:val="22"/>
                <w:lang w:val="en-US"/>
              </w:rPr>
              <w:t>require amendments to the text of the Convention.</w:t>
            </w:r>
          </w:p>
        </w:tc>
      </w:tr>
      <w:tr w:rsidR="009B7C08" w:rsidRPr="008240F2" w14:paraId="1DEB45F9" w14:textId="77777777" w:rsidTr="00B04CDE">
        <w:tc>
          <w:tcPr>
            <w:tcW w:w="6059" w:type="dxa"/>
          </w:tcPr>
          <w:p w14:paraId="0C20F31F" w14:textId="0605A46A" w:rsidR="009B7C08" w:rsidRPr="00874122"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lang w:val="en-US" w:eastAsia="en-US"/>
              </w:rPr>
            </w:pPr>
            <w:r w:rsidRPr="0000757E">
              <w:rPr>
                <w:rFonts w:ascii="Arial" w:hAnsi="Arial" w:cs="Arial"/>
                <w:snapToGrid w:val="0"/>
                <w:sz w:val="22"/>
                <w:szCs w:val="22"/>
                <w:lang w:val="en-US" w:eastAsia="en-US"/>
              </w:rPr>
              <w:t xml:space="preserve">There is a need to reduce and manage politicization </w:t>
            </w:r>
            <w:r w:rsidRPr="00874122">
              <w:rPr>
                <w:rFonts w:ascii="Arial" w:hAnsi="Arial" w:cs="Arial"/>
                <w:snapToGrid w:val="0"/>
                <w:sz w:val="22"/>
                <w:szCs w:val="22"/>
                <w:lang w:val="en-US" w:eastAsia="en-US"/>
              </w:rPr>
              <w:t>of nominations and decisions.</w:t>
            </w:r>
          </w:p>
          <w:p w14:paraId="671B9D56" w14:textId="77777777" w:rsidR="009B7C08" w:rsidRPr="00874122" w:rsidRDefault="009B7C08" w:rsidP="00B04CDE">
            <w:pPr>
              <w:spacing w:after="120"/>
              <w:jc w:val="both"/>
              <w:rPr>
                <w:rFonts w:ascii="Arial" w:hAnsi="Arial" w:cs="Arial"/>
                <w:snapToGrid w:val="0"/>
                <w:sz w:val="22"/>
                <w:szCs w:val="22"/>
                <w:lang w:val="en-US" w:eastAsia="en-US"/>
              </w:rPr>
            </w:pPr>
            <w:r w:rsidRPr="00942976">
              <w:rPr>
                <w:rFonts w:ascii="Arial" w:hAnsi="Arial" w:cs="Arial"/>
                <w:b/>
                <w:bCs/>
                <w:sz w:val="22"/>
                <w:szCs w:val="22"/>
                <w:lang w:val="en-US"/>
              </w:rPr>
              <w:t>Action required by States Parties</w:t>
            </w:r>
          </w:p>
        </w:tc>
        <w:tc>
          <w:tcPr>
            <w:tcW w:w="8501" w:type="dxa"/>
          </w:tcPr>
          <w:p w14:paraId="296FEB79" w14:textId="65E9512F" w:rsidR="009B7C08" w:rsidRPr="0049025A" w:rsidRDefault="000271E7" w:rsidP="00A741D3">
            <w:pPr>
              <w:pStyle w:val="ListParagraph"/>
              <w:numPr>
                <w:ilvl w:val="0"/>
                <w:numId w:val="7"/>
              </w:numPr>
              <w:spacing w:after="120"/>
              <w:ind w:left="351" w:hanging="284"/>
              <w:contextualSpacing w:val="0"/>
              <w:jc w:val="both"/>
              <w:rPr>
                <w:rFonts w:ascii="Arial" w:hAnsi="Arial" w:cs="Arial"/>
                <w:snapToGrid w:val="0"/>
                <w:sz w:val="22"/>
                <w:szCs w:val="22"/>
                <w:lang w:val="en-US" w:eastAsia="en-US"/>
              </w:rPr>
            </w:pPr>
            <w:r>
              <w:rPr>
                <w:rFonts w:ascii="Arial" w:hAnsi="Arial" w:cs="Arial"/>
                <w:snapToGrid w:val="0"/>
                <w:sz w:val="22"/>
                <w:szCs w:val="22"/>
                <w:lang w:val="en-US" w:eastAsia="en-US"/>
              </w:rPr>
              <w:t>R</w:t>
            </w:r>
            <w:r w:rsidR="009B7C08" w:rsidRPr="0049025A">
              <w:rPr>
                <w:rFonts w:ascii="Arial" w:hAnsi="Arial" w:cs="Arial"/>
                <w:snapToGrid w:val="0"/>
                <w:sz w:val="22"/>
                <w:szCs w:val="22"/>
                <w:lang w:val="en-US" w:eastAsia="en-US"/>
              </w:rPr>
              <w:t xml:space="preserve">esponsibility for the implementation of this recommendation </w:t>
            </w:r>
            <w:r w:rsidR="009B7C08" w:rsidRPr="0050450D">
              <w:rPr>
                <w:rFonts w:ascii="Arial" w:hAnsi="Arial" w:cs="Arial"/>
                <w:snapToGrid w:val="0"/>
                <w:sz w:val="22"/>
                <w:szCs w:val="22"/>
                <w:lang w:val="en-US" w:eastAsia="en-US"/>
              </w:rPr>
              <w:t>lies</w:t>
            </w:r>
            <w:r w:rsidR="009B7C08" w:rsidRPr="0049025A">
              <w:rPr>
                <w:rFonts w:ascii="Arial" w:hAnsi="Arial" w:cs="Arial"/>
                <w:snapToGrid w:val="0"/>
                <w:sz w:val="22"/>
                <w:szCs w:val="22"/>
                <w:lang w:val="en-US" w:eastAsia="en-US"/>
              </w:rPr>
              <w:t xml:space="preserve"> </w:t>
            </w:r>
            <w:r w:rsidR="009B7C08">
              <w:rPr>
                <w:rFonts w:ascii="Arial" w:hAnsi="Arial" w:cs="Arial"/>
                <w:snapToGrid w:val="0"/>
                <w:sz w:val="22"/>
                <w:szCs w:val="22"/>
                <w:lang w:val="en-US" w:eastAsia="en-US"/>
              </w:rPr>
              <w:t xml:space="preserve">primarily </w:t>
            </w:r>
            <w:r w:rsidR="009B7C08" w:rsidRPr="0049025A">
              <w:rPr>
                <w:rFonts w:ascii="Arial" w:hAnsi="Arial" w:cs="Arial"/>
                <w:snapToGrid w:val="0"/>
                <w:sz w:val="22"/>
                <w:szCs w:val="22"/>
                <w:lang w:val="en-US" w:eastAsia="en-US"/>
              </w:rPr>
              <w:t>with States Parties.</w:t>
            </w:r>
          </w:p>
          <w:p w14:paraId="45A944C4" w14:textId="1D9D374B" w:rsidR="009B7C08" w:rsidRPr="00DB215D" w:rsidRDefault="009B7C08" w:rsidP="00A741D3">
            <w:pPr>
              <w:pStyle w:val="ListParagraph"/>
              <w:numPr>
                <w:ilvl w:val="0"/>
                <w:numId w:val="7"/>
              </w:numPr>
              <w:spacing w:after="120"/>
              <w:ind w:left="351" w:hanging="284"/>
              <w:contextualSpacing w:val="0"/>
              <w:jc w:val="both"/>
              <w:rPr>
                <w:rFonts w:ascii="Arial" w:hAnsi="Arial" w:cs="Arial"/>
                <w:sz w:val="22"/>
                <w:szCs w:val="22"/>
                <w:lang w:val="en-US"/>
              </w:rPr>
            </w:pPr>
            <w:r w:rsidRPr="0049025A">
              <w:rPr>
                <w:rFonts w:ascii="Arial" w:hAnsi="Arial" w:cs="Arial"/>
                <w:snapToGrid w:val="0"/>
                <w:sz w:val="22"/>
                <w:szCs w:val="22"/>
                <w:lang w:val="en-US" w:eastAsia="en-US"/>
              </w:rPr>
              <w:t xml:space="preserve">At the same time, it is worth noting that at its eleventh session the Committee established an informal ad hoc working group to address politicization. In particular, the group </w:t>
            </w:r>
            <w:proofErr w:type="gramStart"/>
            <w:r w:rsidRPr="0049025A">
              <w:rPr>
                <w:rFonts w:ascii="Arial" w:hAnsi="Arial" w:cs="Arial"/>
                <w:snapToGrid w:val="0"/>
                <w:sz w:val="22"/>
                <w:szCs w:val="22"/>
                <w:lang w:val="en-US" w:eastAsia="en-US"/>
              </w:rPr>
              <w:t xml:space="preserve">was </w:t>
            </w:r>
            <w:r>
              <w:rPr>
                <w:rFonts w:ascii="Arial" w:hAnsi="Arial" w:cs="Arial"/>
                <w:snapToGrid w:val="0"/>
                <w:sz w:val="22"/>
                <w:szCs w:val="22"/>
                <w:lang w:val="en-US" w:eastAsia="en-US"/>
              </w:rPr>
              <w:t>formed</w:t>
            </w:r>
            <w:proofErr w:type="gramEnd"/>
            <w:r w:rsidRPr="0049025A">
              <w:rPr>
                <w:rFonts w:ascii="Arial" w:hAnsi="Arial" w:cs="Arial"/>
                <w:snapToGrid w:val="0"/>
                <w:sz w:val="22"/>
                <w:szCs w:val="22"/>
                <w:lang w:val="en-US" w:eastAsia="en-US"/>
              </w:rPr>
              <w:t xml:space="preserve"> to examine issues related to the consultation and dialogue </w:t>
            </w:r>
            <w:r>
              <w:rPr>
                <w:rFonts w:ascii="Arial" w:hAnsi="Arial" w:cs="Arial"/>
                <w:snapToGrid w:val="0"/>
                <w:sz w:val="22"/>
                <w:szCs w:val="22"/>
                <w:lang w:val="en-US" w:eastAsia="en-US"/>
              </w:rPr>
              <w:t xml:space="preserve">process </w:t>
            </w:r>
            <w:r w:rsidRPr="0049025A">
              <w:rPr>
                <w:rFonts w:ascii="Arial" w:hAnsi="Arial" w:cs="Arial"/>
                <w:snapToGrid w:val="0"/>
                <w:sz w:val="22"/>
                <w:szCs w:val="22"/>
                <w:lang w:val="en-US" w:eastAsia="en-US"/>
              </w:rPr>
              <w:t>between the Evaluation Body and submitting States, the decision-making process of the Committee on nominations, proposals and requests</w:t>
            </w:r>
            <w:r w:rsidRPr="00324032">
              <w:rPr>
                <w:rFonts w:ascii="Arial" w:hAnsi="Arial" w:cs="Arial"/>
                <w:snapToGrid w:val="0"/>
                <w:sz w:val="22"/>
                <w:szCs w:val="22"/>
                <w:lang w:val="en-US" w:eastAsia="en-US"/>
              </w:rPr>
              <w:t xml:space="preserve">, as well as any other issue to strengthen the implementation of the </w:t>
            </w:r>
            <w:r w:rsidRPr="00324032">
              <w:rPr>
                <w:rFonts w:ascii="Arial" w:hAnsi="Arial" w:cs="Arial"/>
                <w:snapToGrid w:val="0"/>
                <w:sz w:val="22"/>
                <w:szCs w:val="22"/>
                <w:lang w:val="en-US" w:eastAsia="en-US"/>
              </w:rPr>
              <w:lastRenderedPageBreak/>
              <w:t>Convention. At i</w:t>
            </w:r>
            <w:r w:rsidR="006618BE">
              <w:rPr>
                <w:rFonts w:ascii="Arial" w:hAnsi="Arial" w:cs="Arial"/>
                <w:snapToGrid w:val="0"/>
                <w:sz w:val="22"/>
                <w:szCs w:val="22"/>
                <w:lang w:val="en-US" w:eastAsia="en-US"/>
              </w:rPr>
              <w:t>t</w:t>
            </w:r>
            <w:r w:rsidRPr="00324032">
              <w:rPr>
                <w:rFonts w:ascii="Arial" w:hAnsi="Arial" w:cs="Arial"/>
                <w:snapToGrid w:val="0"/>
                <w:sz w:val="22"/>
                <w:szCs w:val="22"/>
                <w:lang w:val="en-US" w:eastAsia="en-US"/>
              </w:rPr>
              <w:t xml:space="preserve">s twelfth session, the Committee examined the report of the group and decided to submit it to the </w:t>
            </w:r>
            <w:r w:rsidR="00514D10">
              <w:rPr>
                <w:rFonts w:ascii="Arial" w:hAnsi="Arial" w:cs="Arial"/>
                <w:snapToGrid w:val="0"/>
                <w:sz w:val="22"/>
                <w:szCs w:val="22"/>
                <w:lang w:val="en-US" w:eastAsia="en-US"/>
              </w:rPr>
              <w:t>seventh</w:t>
            </w:r>
            <w:r w:rsidR="00514D10" w:rsidRPr="00324032">
              <w:rPr>
                <w:rFonts w:ascii="Arial" w:hAnsi="Arial" w:cs="Arial"/>
                <w:snapToGrid w:val="0"/>
                <w:sz w:val="22"/>
                <w:szCs w:val="22"/>
                <w:lang w:val="en-US" w:eastAsia="en-US"/>
              </w:rPr>
              <w:t xml:space="preserve"> </w:t>
            </w:r>
            <w:r w:rsidRPr="00324032">
              <w:rPr>
                <w:rFonts w:ascii="Arial" w:hAnsi="Arial" w:cs="Arial"/>
                <w:snapToGrid w:val="0"/>
                <w:sz w:val="22"/>
                <w:szCs w:val="22"/>
                <w:lang w:val="en-US" w:eastAsia="en-US"/>
              </w:rPr>
              <w:t xml:space="preserve">session of the General Assembly (document </w:t>
            </w:r>
            <w:hyperlink r:id="rId44" w:history="1">
              <w:r w:rsidRPr="00324032">
                <w:rPr>
                  <w:rStyle w:val="Hyperlink"/>
                  <w:rFonts w:ascii="Arial" w:hAnsi="Arial" w:cs="Arial"/>
                  <w:snapToGrid w:val="0"/>
                  <w:sz w:val="22"/>
                  <w:szCs w:val="22"/>
                  <w:lang w:val="en-US" w:eastAsia="en-US"/>
                </w:rPr>
                <w:t>ITH/18/7.GA/6</w:t>
              </w:r>
            </w:hyperlink>
            <w:r w:rsidRPr="00324032">
              <w:rPr>
                <w:rFonts w:ascii="Arial" w:hAnsi="Arial" w:cs="Arial"/>
                <w:snapToGrid w:val="0"/>
                <w:sz w:val="22"/>
                <w:szCs w:val="22"/>
                <w:lang w:val="en-US" w:eastAsia="en-US"/>
              </w:rPr>
              <w:t>).</w:t>
            </w:r>
          </w:p>
          <w:p w14:paraId="09BFFBCF" w14:textId="35434FA2" w:rsidR="009B7C08" w:rsidRPr="00EE4900" w:rsidRDefault="009B7C08" w:rsidP="00A741D3">
            <w:pPr>
              <w:pStyle w:val="GAPara"/>
              <w:numPr>
                <w:ilvl w:val="0"/>
                <w:numId w:val="7"/>
              </w:numPr>
              <w:ind w:left="351" w:hanging="284"/>
              <w:jc w:val="both"/>
            </w:pPr>
            <w:r w:rsidRPr="00324032">
              <w:rPr>
                <w:lang w:val="en-US"/>
              </w:rPr>
              <w:t xml:space="preserve">Furthermore, by its </w:t>
            </w:r>
            <w:hyperlink r:id="rId45" w:history="1">
              <w:r w:rsidRPr="00DB215D">
                <w:rPr>
                  <w:rStyle w:val="Hyperlink"/>
                  <w:lang w:val="en-US"/>
                </w:rPr>
                <w:t>Decision 12.COM 13</w:t>
              </w:r>
            </w:hyperlink>
            <w:r w:rsidRPr="00324032">
              <w:rPr>
                <w:lang w:val="en-US"/>
              </w:rPr>
              <w:t>, the Committee decided to continue the informal ad hoc w</w:t>
            </w:r>
            <w:r w:rsidRPr="0049025A">
              <w:rPr>
                <w:lang w:val="en-US"/>
              </w:rPr>
              <w:t xml:space="preserve">orking group in 2018, </w:t>
            </w:r>
            <w:r>
              <w:rPr>
                <w:lang w:val="en-US"/>
              </w:rPr>
              <w:t xml:space="preserve">which </w:t>
            </w:r>
            <w:proofErr w:type="gramStart"/>
            <w:r>
              <w:rPr>
                <w:lang w:val="en-US"/>
              </w:rPr>
              <w:t xml:space="preserve">was </w:t>
            </w:r>
            <w:r w:rsidRPr="0049025A">
              <w:rPr>
                <w:lang w:val="en-US"/>
              </w:rPr>
              <w:t>extended</w:t>
            </w:r>
            <w:proofErr w:type="gramEnd"/>
            <w:r w:rsidRPr="0049025A">
              <w:rPr>
                <w:lang w:val="en-US"/>
              </w:rPr>
              <w:t xml:space="preserve"> to be</w:t>
            </w:r>
            <w:r>
              <w:rPr>
                <w:lang w:val="en-US"/>
              </w:rPr>
              <w:t>come</w:t>
            </w:r>
            <w:r w:rsidRPr="0049025A">
              <w:rPr>
                <w:lang w:val="en-US"/>
              </w:rPr>
              <w:t xml:space="preserve"> open-ended, and </w:t>
            </w:r>
            <w:r w:rsidR="000271E7">
              <w:rPr>
                <w:lang w:val="en-US"/>
              </w:rPr>
              <w:t>to</w:t>
            </w:r>
            <w:r w:rsidRPr="0049025A">
              <w:rPr>
                <w:lang w:val="en-US"/>
              </w:rPr>
              <w:t xml:space="preserve"> expand its mandate.</w:t>
            </w:r>
          </w:p>
          <w:p w14:paraId="252BD731" w14:textId="63450194" w:rsidR="00310F56" w:rsidRPr="00EE4900" w:rsidRDefault="00236BBD" w:rsidP="00A741D3">
            <w:pPr>
              <w:pStyle w:val="GAPara"/>
              <w:numPr>
                <w:ilvl w:val="0"/>
                <w:numId w:val="7"/>
              </w:numPr>
              <w:ind w:left="351" w:hanging="284"/>
              <w:jc w:val="both"/>
              <w:rPr>
                <w:b/>
                <w:u w:val="single"/>
              </w:rPr>
            </w:pPr>
            <w:r>
              <w:rPr>
                <w:b/>
                <w:u w:val="single"/>
                <w:lang w:val="en-US"/>
              </w:rPr>
              <w:t xml:space="preserve">Update: </w:t>
            </w:r>
            <w:r w:rsidR="00310F56" w:rsidRPr="00EE4900">
              <w:rPr>
                <w:u w:val="single"/>
                <w:lang w:val="en-US"/>
              </w:rPr>
              <w:t>The report of the open-ended informal working group is presented to the present session of the Committee (</w:t>
            </w:r>
            <w:r w:rsidR="00310F56" w:rsidRPr="00DB215D">
              <w:rPr>
                <w:u w:val="single"/>
                <w:lang w:val="en-US"/>
              </w:rPr>
              <w:t xml:space="preserve">see document </w:t>
            </w:r>
            <w:hyperlink r:id="rId46" w:history="1">
              <w:r w:rsidR="00310F56" w:rsidRPr="00DB215D">
                <w:rPr>
                  <w:rStyle w:val="Hyperlink"/>
                  <w:lang w:val="en-US"/>
                </w:rPr>
                <w:t>ITH/18/13.COM</w:t>
              </w:r>
              <w:r w:rsidR="005C032F" w:rsidRPr="00DB215D">
                <w:rPr>
                  <w:rStyle w:val="Hyperlink"/>
                  <w:lang w:val="en-US"/>
                </w:rPr>
                <w:t>/1</w:t>
              </w:r>
              <w:r w:rsidR="00310F56" w:rsidRPr="00DB215D">
                <w:rPr>
                  <w:rStyle w:val="Hyperlink"/>
                  <w:lang w:val="en-US"/>
                </w:rPr>
                <w:t>6</w:t>
              </w:r>
            </w:hyperlink>
            <w:r w:rsidR="00310F56" w:rsidRPr="00EE4900">
              <w:rPr>
                <w:u w:val="single"/>
                <w:lang w:val="en-US"/>
              </w:rPr>
              <w:t>)</w:t>
            </w:r>
            <w:r>
              <w:rPr>
                <w:u w:val="single"/>
                <w:lang w:val="en-US"/>
              </w:rPr>
              <w:t>.</w:t>
            </w:r>
          </w:p>
        </w:tc>
      </w:tr>
      <w:tr w:rsidR="009B7C08" w:rsidRPr="008240F2" w14:paraId="6C65164F" w14:textId="77777777" w:rsidTr="00B04CDE">
        <w:tc>
          <w:tcPr>
            <w:tcW w:w="6059" w:type="dxa"/>
          </w:tcPr>
          <w:p w14:paraId="65E82CC2" w14:textId="0AD390E5" w:rsidR="009B7C08" w:rsidRPr="00874122"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 xml:space="preserve">To enhance visibility and the effectiveness of the work of the IIBs, more effective information-dissemination </w:t>
            </w:r>
            <w:proofErr w:type="gramStart"/>
            <w:r w:rsidRPr="00874122">
              <w:rPr>
                <w:rFonts w:ascii="Arial" w:hAnsi="Arial" w:cs="Arial"/>
                <w:snapToGrid w:val="0"/>
                <w:sz w:val="22"/>
                <w:szCs w:val="22"/>
                <w:lang w:val="en-US" w:eastAsia="en-US"/>
              </w:rPr>
              <w:t xml:space="preserve">is </w:t>
            </w:r>
            <w:r w:rsidRPr="0000757E">
              <w:rPr>
                <w:rFonts w:ascii="Arial" w:hAnsi="Arial" w:cs="Arial"/>
                <w:snapToGrid w:val="0"/>
                <w:sz w:val="22"/>
                <w:szCs w:val="22"/>
                <w:lang w:val="en-US" w:eastAsia="en-US"/>
              </w:rPr>
              <w:t>recommended</w:t>
            </w:r>
            <w:proofErr w:type="gramEnd"/>
            <w:r w:rsidRPr="0000757E">
              <w:rPr>
                <w:rFonts w:ascii="Arial" w:hAnsi="Arial" w:cs="Arial"/>
                <w:snapToGrid w:val="0"/>
                <w:sz w:val="22"/>
                <w:szCs w:val="22"/>
                <w:lang w:val="en-US" w:eastAsia="en-US"/>
              </w:rPr>
              <w:t xml:space="preserve"> through updating and enhancement of websites and outreach to all involved actors, including Member States and their National Commission</w:t>
            </w:r>
            <w:r w:rsidRPr="00874122">
              <w:rPr>
                <w:rFonts w:ascii="Arial" w:hAnsi="Arial" w:cs="Arial"/>
                <w:snapToGrid w:val="0"/>
                <w:sz w:val="22"/>
                <w:szCs w:val="22"/>
                <w:lang w:val="en-US" w:eastAsia="en-US"/>
              </w:rPr>
              <w:t>s.</w:t>
            </w:r>
          </w:p>
          <w:p w14:paraId="1709FD60" w14:textId="77777777" w:rsidR="009B7C08" w:rsidRPr="00874122" w:rsidRDefault="009B7C08" w:rsidP="00B04CDE">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Closed</w:t>
            </w:r>
            <w:r w:rsidRPr="0049025A">
              <w:rPr>
                <w:rFonts w:ascii="Arial" w:hAnsi="Arial" w:cs="Arial"/>
                <w:b/>
                <w:bCs/>
                <w:lang w:val="en-GB"/>
              </w:rPr>
              <w:br/>
            </w:r>
            <w:r w:rsidRPr="0050450D">
              <w:rPr>
                <w:rFonts w:ascii="Arial" w:hAnsi="Arial" w:cs="Arial"/>
                <w:b/>
                <w:bCs/>
                <w:snapToGrid w:val="0"/>
                <w:sz w:val="22"/>
                <w:szCs w:val="22"/>
                <w:lang w:val="en-GB" w:eastAsia="en-US"/>
              </w:rPr>
              <w:t>(Good practice</w:t>
            </w:r>
            <w:r w:rsidRPr="0049025A">
              <w:rPr>
                <w:rFonts w:ascii="Arial" w:hAnsi="Arial" w:cs="Arial"/>
                <w:b/>
                <w:bCs/>
                <w:snapToGrid w:val="0"/>
                <w:sz w:val="22"/>
                <w:szCs w:val="22"/>
                <w:lang w:val="en-GB" w:eastAsia="en-US"/>
              </w:rPr>
              <w:t>)</w:t>
            </w:r>
          </w:p>
        </w:tc>
        <w:tc>
          <w:tcPr>
            <w:tcW w:w="8501" w:type="dxa"/>
          </w:tcPr>
          <w:p w14:paraId="7549F8C1" w14:textId="42DC5D8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The Secretariat publishes all the information related to meetings, events and projects pertaining to the 2003 Convention on the </w:t>
            </w:r>
            <w:r w:rsidR="000271E7">
              <w:rPr>
                <w:rFonts w:ascii="Arial" w:hAnsi="Arial" w:cs="Arial"/>
                <w:snapToGrid w:val="0"/>
                <w:sz w:val="22"/>
                <w:szCs w:val="22"/>
                <w:lang w:val="en-GB" w:eastAsia="en-US"/>
              </w:rPr>
              <w:t xml:space="preserve">website of the </w:t>
            </w:r>
            <w:r w:rsidRPr="0049025A">
              <w:rPr>
                <w:rFonts w:ascii="Arial" w:hAnsi="Arial" w:cs="Arial"/>
                <w:snapToGrid w:val="0"/>
                <w:sz w:val="22"/>
                <w:szCs w:val="22"/>
                <w:lang w:val="en-GB" w:eastAsia="en-US"/>
              </w:rPr>
              <w:t>Convention.</w:t>
            </w:r>
          </w:p>
          <w:p w14:paraId="31D8FCC0"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Furthermore, when necessary the Secretariat also sends written communications to States Parties, accredited non-governmental organizations and category 2 centres in the field of intangible cultural heritage.</w:t>
            </w:r>
          </w:p>
        </w:tc>
      </w:tr>
      <w:tr w:rsidR="009B7C08" w:rsidRPr="008240F2" w14:paraId="741ACD10" w14:textId="77777777" w:rsidTr="00B04CDE">
        <w:tc>
          <w:tcPr>
            <w:tcW w:w="6059" w:type="dxa"/>
          </w:tcPr>
          <w:p w14:paraId="7D15B641" w14:textId="00DC7014" w:rsidR="009B7C08" w:rsidRPr="0000757E"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lang w:val="en-US" w:eastAsia="en-US"/>
              </w:rPr>
            </w:pPr>
            <w:r w:rsidRPr="0000757E">
              <w:rPr>
                <w:rFonts w:ascii="Arial" w:hAnsi="Arial" w:cs="Arial"/>
                <w:snapToGrid w:val="0"/>
                <w:sz w:val="22"/>
                <w:szCs w:val="22"/>
                <w:lang w:val="en-US" w:eastAsia="en-US"/>
              </w:rPr>
              <w:t xml:space="preserve">Earlier preparation and dissemination of draft agendas and preliminary timetables, mainly by using the same template containing hyper-links to documents to </w:t>
            </w:r>
            <w:proofErr w:type="gramStart"/>
            <w:r w:rsidRPr="0000757E">
              <w:rPr>
                <w:rFonts w:ascii="Arial" w:hAnsi="Arial" w:cs="Arial"/>
                <w:snapToGrid w:val="0"/>
                <w:sz w:val="22"/>
                <w:szCs w:val="22"/>
                <w:lang w:val="en-US" w:eastAsia="en-US"/>
              </w:rPr>
              <w:t>be adopted/discussed</w:t>
            </w:r>
            <w:proofErr w:type="gramEnd"/>
            <w:r w:rsidRPr="0000757E">
              <w:rPr>
                <w:rFonts w:ascii="Arial" w:hAnsi="Arial" w:cs="Arial"/>
                <w:snapToGrid w:val="0"/>
                <w:sz w:val="22"/>
                <w:szCs w:val="22"/>
                <w:lang w:val="en-US" w:eastAsia="en-US"/>
              </w:rPr>
              <w:t xml:space="preserve"> in sessions.</w:t>
            </w:r>
          </w:p>
          <w:p w14:paraId="44FDC8A2" w14:textId="77777777" w:rsidR="009B7C08" w:rsidRPr="0000757E" w:rsidRDefault="009B7C08" w:rsidP="00B04CDE">
            <w:pPr>
              <w:pStyle w:val="ListParagraph"/>
              <w:spacing w:after="120"/>
              <w:ind w:left="0"/>
              <w:contextualSpacing w:val="0"/>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Closed</w:t>
            </w:r>
            <w:r w:rsidRPr="0049025A">
              <w:rPr>
                <w:rFonts w:ascii="Arial" w:hAnsi="Arial" w:cs="Arial"/>
                <w:b/>
                <w:bCs/>
                <w:lang w:val="en-GB"/>
              </w:rPr>
              <w:br/>
            </w:r>
            <w:r w:rsidRPr="0050450D">
              <w:rPr>
                <w:rFonts w:ascii="Arial" w:hAnsi="Arial" w:cs="Arial"/>
                <w:b/>
                <w:bCs/>
                <w:snapToGrid w:val="0"/>
                <w:sz w:val="22"/>
                <w:szCs w:val="22"/>
                <w:lang w:val="en-GB" w:eastAsia="en-US"/>
              </w:rPr>
              <w:t>(Good practice</w:t>
            </w:r>
            <w:r w:rsidRPr="0049025A">
              <w:rPr>
                <w:rFonts w:ascii="Arial" w:hAnsi="Arial" w:cs="Arial"/>
                <w:b/>
                <w:bCs/>
                <w:snapToGrid w:val="0"/>
                <w:sz w:val="22"/>
                <w:szCs w:val="22"/>
                <w:lang w:val="en-GB" w:eastAsia="en-US"/>
              </w:rPr>
              <w:t>)</w:t>
            </w:r>
          </w:p>
        </w:tc>
        <w:tc>
          <w:tcPr>
            <w:tcW w:w="8501" w:type="dxa"/>
          </w:tcPr>
          <w:p w14:paraId="5706D3C7" w14:textId="69956624" w:rsidR="009B7C08" w:rsidRPr="0049025A" w:rsidRDefault="009B7C08" w:rsidP="00BA7F29">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The </w:t>
            </w:r>
            <w:r>
              <w:rPr>
                <w:rFonts w:ascii="Arial" w:hAnsi="Arial" w:cs="Arial"/>
                <w:snapToGrid w:val="0"/>
                <w:sz w:val="22"/>
                <w:szCs w:val="22"/>
                <w:lang w:val="en-GB" w:eastAsia="en-US"/>
              </w:rPr>
              <w:t>s</w:t>
            </w:r>
            <w:r w:rsidRPr="0049025A">
              <w:rPr>
                <w:rFonts w:ascii="Arial" w:hAnsi="Arial" w:cs="Arial"/>
                <w:snapToGrid w:val="0"/>
                <w:sz w:val="22"/>
                <w:szCs w:val="22"/>
                <w:lang w:val="en-GB" w:eastAsia="en-US"/>
              </w:rPr>
              <w:t>tatutory deadline</w:t>
            </w:r>
            <w:r>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for distributing the provisional agenda of the General Assembly and the Committee </w:t>
            </w:r>
            <w:r>
              <w:rPr>
                <w:rFonts w:ascii="Arial" w:hAnsi="Arial" w:cs="Arial"/>
                <w:snapToGrid w:val="0"/>
                <w:sz w:val="22"/>
                <w:szCs w:val="22"/>
                <w:lang w:val="en-GB" w:eastAsia="en-US"/>
              </w:rPr>
              <w:t>are</w:t>
            </w:r>
            <w:r w:rsidRPr="0049025A">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thirty </w:t>
            </w:r>
            <w:r w:rsidRPr="0049025A">
              <w:rPr>
                <w:rFonts w:ascii="Arial" w:hAnsi="Arial" w:cs="Arial"/>
                <w:snapToGrid w:val="0"/>
                <w:sz w:val="22"/>
                <w:szCs w:val="22"/>
                <w:lang w:val="en-GB" w:eastAsia="en-US"/>
              </w:rPr>
              <w:t>days (</w:t>
            </w:r>
            <w:hyperlink r:id="rId47" w:anchor="Rule16" w:history="1">
              <w:r w:rsidRPr="0049025A">
                <w:rPr>
                  <w:rStyle w:val="Hyperlink"/>
                  <w:rFonts w:ascii="Arial" w:hAnsi="Arial" w:cs="Arial"/>
                  <w:snapToGrid w:val="0"/>
                  <w:sz w:val="22"/>
                  <w:szCs w:val="22"/>
                  <w:lang w:val="en-GB" w:eastAsia="en-US"/>
                </w:rPr>
                <w:t>Rule</w:t>
              </w:r>
              <w:r w:rsidR="00BA7F29">
                <w:rPr>
                  <w:rStyle w:val="Hyperlink"/>
                  <w:rFonts w:ascii="Arial" w:hAnsi="Arial" w:cs="Arial"/>
                  <w:snapToGrid w:val="0"/>
                  <w:sz w:val="22"/>
                  <w:szCs w:val="22"/>
                  <w:lang w:val="en-GB" w:eastAsia="en-US"/>
                </w:rPr>
                <w:t> </w:t>
              </w:r>
              <w:r w:rsidRPr="0049025A">
                <w:rPr>
                  <w:rStyle w:val="Hyperlink"/>
                  <w:rFonts w:ascii="Arial" w:hAnsi="Arial" w:cs="Arial"/>
                  <w:snapToGrid w:val="0"/>
                  <w:sz w:val="22"/>
                  <w:szCs w:val="22"/>
                  <w:lang w:val="en-GB" w:eastAsia="en-US"/>
                </w:rPr>
                <w:t>16.3</w:t>
              </w:r>
            </w:hyperlink>
            <w:r w:rsidRPr="0049025A">
              <w:rPr>
                <w:rFonts w:ascii="Arial" w:hAnsi="Arial" w:cs="Arial"/>
                <w:snapToGrid w:val="0"/>
                <w:sz w:val="22"/>
                <w:szCs w:val="22"/>
                <w:lang w:val="en-GB" w:eastAsia="en-US"/>
              </w:rPr>
              <w:t xml:space="preserve">) and </w:t>
            </w:r>
            <w:r>
              <w:rPr>
                <w:rFonts w:ascii="Arial" w:hAnsi="Arial" w:cs="Arial"/>
                <w:snapToGrid w:val="0"/>
                <w:sz w:val="22"/>
                <w:szCs w:val="22"/>
                <w:lang w:val="en-GB" w:eastAsia="en-US"/>
              </w:rPr>
              <w:t>sixty</w:t>
            </w:r>
            <w:r w:rsidRPr="0049025A">
              <w:rPr>
                <w:rFonts w:ascii="Arial" w:hAnsi="Arial" w:cs="Arial"/>
                <w:snapToGrid w:val="0"/>
                <w:sz w:val="22"/>
                <w:szCs w:val="22"/>
                <w:lang w:val="en-GB" w:eastAsia="en-US"/>
              </w:rPr>
              <w:t xml:space="preserve"> days (</w:t>
            </w:r>
            <w:hyperlink r:id="rId48" w:anchor="Rule3" w:history="1">
              <w:r w:rsidRPr="0049025A">
                <w:rPr>
                  <w:rStyle w:val="Hyperlink"/>
                  <w:rFonts w:ascii="Arial" w:hAnsi="Arial" w:cs="Arial"/>
                  <w:snapToGrid w:val="0"/>
                  <w:sz w:val="22"/>
                  <w:szCs w:val="22"/>
                  <w:lang w:val="en-GB" w:eastAsia="en-US"/>
                </w:rPr>
                <w:t>Rule</w:t>
              </w:r>
              <w:r w:rsidR="003D0369">
                <w:rPr>
                  <w:rStyle w:val="Hyperlink"/>
                  <w:rFonts w:ascii="Arial" w:hAnsi="Arial" w:cs="Arial"/>
                  <w:snapToGrid w:val="0"/>
                  <w:sz w:val="22"/>
                  <w:szCs w:val="22"/>
                  <w:lang w:val="en-GB" w:eastAsia="en-US"/>
                </w:rPr>
                <w:t> </w:t>
              </w:r>
              <w:r w:rsidRPr="0049025A">
                <w:rPr>
                  <w:rStyle w:val="Hyperlink"/>
                  <w:rFonts w:ascii="Arial" w:hAnsi="Arial" w:cs="Arial"/>
                  <w:snapToGrid w:val="0"/>
                  <w:sz w:val="22"/>
                  <w:szCs w:val="22"/>
                  <w:lang w:val="en-GB" w:eastAsia="en-US"/>
                </w:rPr>
                <w:t>3.2</w:t>
              </w:r>
            </w:hyperlink>
            <w:r w:rsidRPr="0049025A">
              <w:rPr>
                <w:rFonts w:ascii="Arial" w:hAnsi="Arial" w:cs="Arial"/>
                <w:snapToGrid w:val="0"/>
                <w:sz w:val="22"/>
                <w:szCs w:val="22"/>
                <w:lang w:val="en-GB" w:eastAsia="en-US"/>
              </w:rPr>
              <w:t>) before the opening of the session</w:t>
            </w:r>
            <w:r>
              <w:rPr>
                <w:rFonts w:ascii="Arial" w:hAnsi="Arial" w:cs="Arial"/>
                <w:snapToGrid w:val="0"/>
                <w:sz w:val="22"/>
                <w:szCs w:val="22"/>
                <w:lang w:val="en-GB" w:eastAsia="en-US"/>
              </w:rPr>
              <w:t>,</w:t>
            </w:r>
            <w:r w:rsidRPr="0049025A">
              <w:rPr>
                <w:rFonts w:ascii="Arial" w:hAnsi="Arial" w:cs="Arial"/>
                <w:snapToGrid w:val="0"/>
                <w:sz w:val="22"/>
                <w:szCs w:val="22"/>
                <w:lang w:val="en-GB" w:eastAsia="en-US"/>
              </w:rPr>
              <w:t xml:space="preserve"> respectively. </w:t>
            </w:r>
            <w:r>
              <w:rPr>
                <w:rFonts w:ascii="Arial" w:hAnsi="Arial" w:cs="Arial"/>
                <w:snapToGrid w:val="0"/>
                <w:sz w:val="22"/>
                <w:szCs w:val="22"/>
                <w:lang w:val="en-GB" w:eastAsia="en-US"/>
              </w:rPr>
              <w:t>In</w:t>
            </w:r>
            <w:r w:rsidRPr="0049025A">
              <w:rPr>
                <w:rFonts w:ascii="Arial" w:hAnsi="Arial" w:cs="Arial"/>
                <w:snapToGrid w:val="0"/>
                <w:sz w:val="22"/>
                <w:szCs w:val="22"/>
                <w:lang w:val="en-GB" w:eastAsia="en-US"/>
              </w:rPr>
              <w:t xml:space="preserve"> practice, the provisional agenda </w:t>
            </w:r>
            <w:proofErr w:type="gramStart"/>
            <w:r w:rsidRPr="0049025A">
              <w:rPr>
                <w:rFonts w:ascii="Arial" w:hAnsi="Arial" w:cs="Arial"/>
                <w:snapToGrid w:val="0"/>
                <w:sz w:val="22"/>
                <w:szCs w:val="22"/>
                <w:lang w:val="en-GB" w:eastAsia="en-US"/>
              </w:rPr>
              <w:t>is published online and disseminated with the invitation letters to the sessions of the General Assembly and the Committee well before the statutory deadlines</w:t>
            </w:r>
            <w:proofErr w:type="gramEnd"/>
            <w:r w:rsidRPr="0049025A">
              <w:rPr>
                <w:rFonts w:ascii="Arial" w:hAnsi="Arial" w:cs="Arial"/>
                <w:snapToGrid w:val="0"/>
                <w:sz w:val="22"/>
                <w:szCs w:val="22"/>
                <w:lang w:val="en-GB" w:eastAsia="en-US"/>
              </w:rPr>
              <w:t>. For example, the Secretariat sent the invitation letters and provisional agenda for the eleventh and twelfth session</w:t>
            </w:r>
            <w:r>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of the Committee on 2 September 2016 and 21 September 2017, whereas the statutory deadline</w:t>
            </w:r>
            <w:r>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were 29 September 2016 and 5 October 2017</w:t>
            </w:r>
            <w:r>
              <w:rPr>
                <w:rFonts w:ascii="Arial" w:hAnsi="Arial" w:cs="Arial"/>
                <w:snapToGrid w:val="0"/>
                <w:sz w:val="22"/>
                <w:szCs w:val="22"/>
                <w:lang w:val="en-GB" w:eastAsia="en-US"/>
              </w:rPr>
              <w:t>,</w:t>
            </w:r>
            <w:r w:rsidRPr="0049025A">
              <w:rPr>
                <w:rFonts w:ascii="Arial" w:hAnsi="Arial" w:cs="Arial"/>
                <w:snapToGrid w:val="0"/>
                <w:sz w:val="22"/>
                <w:szCs w:val="22"/>
                <w:lang w:val="en-GB" w:eastAsia="en-US"/>
              </w:rPr>
              <w:t xml:space="preserve"> respectively.</w:t>
            </w:r>
          </w:p>
          <w:p w14:paraId="3BF76CD5"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In conformity with </w:t>
            </w:r>
            <w:hyperlink r:id="rId49" w:anchor="Rule12" w:history="1">
              <w:r w:rsidRPr="0049025A">
                <w:rPr>
                  <w:rStyle w:val="Hyperlink"/>
                  <w:rFonts w:ascii="Arial" w:hAnsi="Arial" w:cs="Arial"/>
                  <w:snapToGrid w:val="0"/>
                  <w:sz w:val="22"/>
                  <w:szCs w:val="22"/>
                  <w:lang w:val="en-GB" w:eastAsia="en-US"/>
                </w:rPr>
                <w:t>Rule 12.2</w:t>
              </w:r>
            </w:hyperlink>
            <w:r w:rsidRPr="0049025A">
              <w:rPr>
                <w:rFonts w:ascii="Arial" w:hAnsi="Arial" w:cs="Arial"/>
                <w:snapToGrid w:val="0"/>
                <w:sz w:val="22"/>
                <w:szCs w:val="22"/>
                <w:lang w:val="en-GB" w:eastAsia="en-US"/>
              </w:rPr>
              <w:t xml:space="preserve"> of the Rules of Procedure of the Committee, </w:t>
            </w:r>
            <w:r>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 xml:space="preserve">provisional timetable of the Committee </w:t>
            </w:r>
            <w:proofErr w:type="gramStart"/>
            <w:r w:rsidRPr="0049025A">
              <w:rPr>
                <w:rFonts w:ascii="Arial" w:hAnsi="Arial" w:cs="Arial"/>
                <w:snapToGrid w:val="0"/>
                <w:sz w:val="22"/>
                <w:szCs w:val="22"/>
                <w:lang w:val="en-GB" w:eastAsia="en-US"/>
              </w:rPr>
              <w:t>is adopted</w:t>
            </w:r>
            <w:proofErr w:type="gramEnd"/>
            <w:r w:rsidRPr="0049025A">
              <w:rPr>
                <w:rFonts w:ascii="Arial" w:hAnsi="Arial" w:cs="Arial"/>
                <w:snapToGrid w:val="0"/>
                <w:sz w:val="22"/>
                <w:szCs w:val="22"/>
                <w:lang w:val="en-GB" w:eastAsia="en-US"/>
              </w:rPr>
              <w:t xml:space="preserve"> by the Bureau of the Committee and is presented at an information and exchange session on the same day that the Bureau adopts it (every year in October).</w:t>
            </w:r>
          </w:p>
          <w:p w14:paraId="1E1704AB"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While hyperlinks are widely used in </w:t>
            </w:r>
            <w:r>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 xml:space="preserve">working and information documents of </w:t>
            </w:r>
            <w:r>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 xml:space="preserve">governing bodies of the 2003 Convention as well as on the dedicated webpages of their meetings, </w:t>
            </w:r>
            <w:r>
              <w:rPr>
                <w:rFonts w:ascii="Arial" w:hAnsi="Arial" w:cs="Arial"/>
                <w:snapToGrid w:val="0"/>
                <w:sz w:val="22"/>
                <w:szCs w:val="22"/>
                <w:lang w:val="en-GB" w:eastAsia="en-US"/>
              </w:rPr>
              <w:t xml:space="preserve">their use </w:t>
            </w:r>
            <w:r w:rsidRPr="0049025A">
              <w:rPr>
                <w:rFonts w:ascii="Arial" w:hAnsi="Arial" w:cs="Arial"/>
                <w:snapToGrid w:val="0"/>
                <w:sz w:val="22"/>
                <w:szCs w:val="22"/>
                <w:lang w:val="en-GB" w:eastAsia="en-US"/>
              </w:rPr>
              <w:t xml:space="preserve">in the provisional agenda </w:t>
            </w:r>
            <w:r>
              <w:rPr>
                <w:rFonts w:ascii="Arial" w:hAnsi="Arial" w:cs="Arial"/>
                <w:snapToGrid w:val="0"/>
                <w:sz w:val="22"/>
                <w:szCs w:val="22"/>
                <w:lang w:val="en-GB" w:eastAsia="en-US"/>
              </w:rPr>
              <w:t>is</w:t>
            </w:r>
            <w:r w:rsidRPr="0049025A">
              <w:rPr>
                <w:rFonts w:ascii="Arial" w:hAnsi="Arial" w:cs="Arial"/>
                <w:snapToGrid w:val="0"/>
                <w:sz w:val="22"/>
                <w:szCs w:val="22"/>
                <w:lang w:val="en-GB" w:eastAsia="en-US"/>
              </w:rPr>
              <w:t xml:space="preserve"> not advised </w:t>
            </w:r>
            <w:r w:rsidRPr="0049025A">
              <w:rPr>
                <w:rFonts w:ascii="Arial" w:hAnsi="Arial" w:cs="Arial"/>
                <w:snapToGrid w:val="0"/>
                <w:sz w:val="22"/>
                <w:szCs w:val="22"/>
                <w:lang w:val="en-GB" w:eastAsia="en-US"/>
              </w:rPr>
              <w:lastRenderedPageBreak/>
              <w:t>because any revision of or addendum to a document would change the URL of the document. A hyperlink linked to an old version of the document may lead to confusion.</w:t>
            </w:r>
          </w:p>
        </w:tc>
      </w:tr>
      <w:tr w:rsidR="009B7C08" w:rsidRPr="008240F2" w14:paraId="1A43A570" w14:textId="77777777" w:rsidTr="00B04CDE">
        <w:tc>
          <w:tcPr>
            <w:tcW w:w="6059" w:type="dxa"/>
          </w:tcPr>
          <w:p w14:paraId="4339E0D0"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Open-ended informal consultations on draft decisions to promote inclusive and effective decision-making.</w:t>
            </w:r>
          </w:p>
          <w:p w14:paraId="1E726B19" w14:textId="77777777" w:rsidR="009B7C08" w:rsidRPr="00874122" w:rsidRDefault="009B7C08" w:rsidP="00B04CDE">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Pr>
          <w:p w14:paraId="26836843" w14:textId="40C80D74"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Responsibility for the </w:t>
            </w:r>
            <w:r w:rsidRPr="0049025A">
              <w:rPr>
                <w:rFonts w:ascii="Arial" w:hAnsi="Arial" w:cs="Arial"/>
                <w:snapToGrid w:val="0"/>
                <w:sz w:val="22"/>
                <w:szCs w:val="22"/>
                <w:lang w:val="en-GB" w:eastAsia="en-US"/>
              </w:rPr>
              <w:t xml:space="preserve">implementation of this recommendation lies </w:t>
            </w:r>
            <w:r w:rsidR="00BA7F29">
              <w:rPr>
                <w:rFonts w:ascii="Arial" w:hAnsi="Arial" w:cs="Arial"/>
                <w:snapToGrid w:val="0"/>
                <w:sz w:val="22"/>
                <w:szCs w:val="22"/>
                <w:lang w:val="en-GB" w:eastAsia="en-US"/>
              </w:rPr>
              <w:t>with States Parties.</w:t>
            </w:r>
          </w:p>
        </w:tc>
      </w:tr>
      <w:tr w:rsidR="009B7C08" w:rsidRPr="008240F2" w14:paraId="338DB089" w14:textId="77777777" w:rsidTr="00B04CDE">
        <w:tc>
          <w:tcPr>
            <w:tcW w:w="6059" w:type="dxa"/>
          </w:tcPr>
          <w:p w14:paraId="302E7E06" w14:textId="18268F0E" w:rsidR="009B7C08" w:rsidRPr="0049025A"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It is recommended that the Rules of Procedure of the IIBs be amended, when relevant, to advance the deadline for submission of candidatures to their subsidiary bodies from 48 hours to seven days before elections.</w:t>
            </w:r>
          </w:p>
          <w:p w14:paraId="02A578D6" w14:textId="3DA974F6" w:rsidR="009B7C08" w:rsidRPr="0049025A" w:rsidRDefault="006337E7" w:rsidP="00B04CDE">
            <w:pPr>
              <w:spacing w:after="120"/>
              <w:jc w:val="both"/>
              <w:rPr>
                <w:rFonts w:ascii="Arial" w:hAnsi="Arial" w:cs="Arial"/>
                <w:snapToGrid w:val="0"/>
                <w:sz w:val="22"/>
                <w:szCs w:val="22"/>
                <w:lang w:val="en-GB" w:eastAsia="en-US"/>
              </w:rPr>
            </w:pPr>
            <w:r>
              <w:rPr>
                <w:rFonts w:ascii="Arial" w:hAnsi="Arial" w:cs="Arial"/>
                <w:b/>
                <w:bCs/>
                <w:sz w:val="22"/>
                <w:szCs w:val="22"/>
                <w:lang w:val="en-GB"/>
              </w:rPr>
              <w:t>Ongoing</w:t>
            </w:r>
          </w:p>
        </w:tc>
        <w:tc>
          <w:tcPr>
            <w:tcW w:w="8501" w:type="dxa"/>
          </w:tcPr>
          <w:p w14:paraId="21195640" w14:textId="77777777" w:rsidR="009B7C08" w:rsidRPr="0049025A" w:rsidRDefault="008240F2"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hyperlink r:id="rId50" w:anchor="Rule14" w:history="1">
              <w:r w:rsidR="009B7C08" w:rsidRPr="0049025A">
                <w:rPr>
                  <w:rStyle w:val="Hyperlink"/>
                  <w:rFonts w:ascii="Arial" w:hAnsi="Arial" w:cs="Arial"/>
                  <w:snapToGrid w:val="0"/>
                  <w:sz w:val="22"/>
                  <w:szCs w:val="22"/>
                  <w:lang w:val="en-GB" w:eastAsia="en-US"/>
                </w:rPr>
                <w:t>Rule 14.4</w:t>
              </w:r>
            </w:hyperlink>
            <w:r w:rsidR="009B7C08" w:rsidRPr="0049025A">
              <w:rPr>
                <w:rFonts w:ascii="Arial" w:hAnsi="Arial" w:cs="Arial"/>
                <w:snapToGrid w:val="0"/>
                <w:sz w:val="22"/>
                <w:szCs w:val="22"/>
                <w:lang w:val="en-GB" w:eastAsia="en-US"/>
              </w:rPr>
              <w:t xml:space="preserve"> of the Rules of Procedure of the General Assembly states that ‘[t]he list of candidatures shall be finalized three working days prior to the opening of the General Assembly. No candidature will be accepted in the three working days preceding the opening of the Assembly.’</w:t>
            </w:r>
          </w:p>
          <w:p w14:paraId="640EAB0B"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In addition, according to </w:t>
            </w:r>
            <w:hyperlink r:id="rId51" w:anchor="Rule14" w:history="1">
              <w:r w:rsidRPr="0049025A">
                <w:rPr>
                  <w:rStyle w:val="Hyperlink"/>
                  <w:rFonts w:ascii="Arial" w:hAnsi="Arial" w:cs="Arial"/>
                  <w:snapToGrid w:val="0"/>
                  <w:sz w:val="22"/>
                  <w:szCs w:val="22"/>
                  <w:lang w:val="en-GB" w:eastAsia="en-US"/>
                </w:rPr>
                <w:t>Rule 14.3</w:t>
              </w:r>
            </w:hyperlink>
            <w:r w:rsidRPr="0049025A">
              <w:rPr>
                <w:rFonts w:ascii="Arial" w:hAnsi="Arial" w:cs="Arial"/>
                <w:snapToGrid w:val="0"/>
                <w:sz w:val="22"/>
                <w:szCs w:val="22"/>
                <w:lang w:val="en-GB" w:eastAsia="en-US"/>
              </w:rPr>
              <w:t>, ‘[n]o payments of compulsory and voluntary contributions to the Fund (for the purpose of presenting a candidature to the Committee) will be accepted later than a week before the opening of the Assembly.’</w:t>
            </w:r>
          </w:p>
          <w:p w14:paraId="21C4B504" w14:textId="2F73D40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874122">
              <w:rPr>
                <w:rFonts w:ascii="Arial" w:hAnsi="Arial" w:cs="Arial"/>
                <w:snapToGrid w:val="0"/>
                <w:sz w:val="22"/>
                <w:szCs w:val="22"/>
                <w:lang w:val="en-GB" w:eastAsia="en-US"/>
              </w:rPr>
              <w:t xml:space="preserve">The General Assembly may decide to amend its Rules of </w:t>
            </w:r>
            <w:r>
              <w:rPr>
                <w:rFonts w:ascii="Arial" w:hAnsi="Arial" w:cs="Arial"/>
                <w:snapToGrid w:val="0"/>
                <w:sz w:val="22"/>
                <w:szCs w:val="22"/>
                <w:lang w:val="en-GB" w:eastAsia="en-US"/>
              </w:rPr>
              <w:t xml:space="preserve">Procedure </w:t>
            </w:r>
            <w:r w:rsidRPr="00874122">
              <w:rPr>
                <w:rFonts w:ascii="Arial" w:hAnsi="Arial" w:cs="Arial"/>
                <w:snapToGrid w:val="0"/>
                <w:sz w:val="22"/>
                <w:szCs w:val="22"/>
                <w:lang w:val="en-GB" w:eastAsia="en-US"/>
              </w:rPr>
              <w:t xml:space="preserve">or </w:t>
            </w:r>
            <w:r>
              <w:rPr>
                <w:rFonts w:ascii="Arial" w:hAnsi="Arial" w:cs="Arial"/>
                <w:snapToGrid w:val="0"/>
                <w:sz w:val="22"/>
                <w:szCs w:val="22"/>
                <w:lang w:val="en-GB" w:eastAsia="en-US"/>
              </w:rPr>
              <w:t xml:space="preserve">to </w:t>
            </w:r>
            <w:r w:rsidRPr="00874122">
              <w:rPr>
                <w:rFonts w:ascii="Arial" w:hAnsi="Arial" w:cs="Arial"/>
                <w:snapToGrid w:val="0"/>
                <w:sz w:val="22"/>
                <w:szCs w:val="22"/>
                <w:lang w:val="en-GB" w:eastAsia="en-US"/>
              </w:rPr>
              <w:t>continue with the current practice.</w:t>
            </w:r>
          </w:p>
          <w:p w14:paraId="12612323" w14:textId="61B717B6" w:rsidR="00310F56" w:rsidRPr="0049025A" w:rsidRDefault="00236BBD" w:rsidP="0047318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b/>
                <w:snapToGrid w:val="0"/>
                <w:sz w:val="22"/>
                <w:szCs w:val="22"/>
                <w:u w:val="single"/>
                <w:lang w:val="en-GB" w:eastAsia="en-US"/>
              </w:rPr>
              <w:t>Update</w:t>
            </w:r>
            <w:r w:rsidRPr="00A0655F">
              <w:rPr>
                <w:rFonts w:ascii="Arial" w:hAnsi="Arial" w:cs="Arial"/>
                <w:snapToGrid w:val="0"/>
                <w:sz w:val="22"/>
                <w:szCs w:val="22"/>
                <w:u w:val="single"/>
                <w:lang w:val="en-GB" w:eastAsia="en-US"/>
              </w:rPr>
              <w:t xml:space="preserve">: </w:t>
            </w:r>
            <w:r w:rsidR="007C0E13">
              <w:rPr>
                <w:rFonts w:ascii="Arial" w:hAnsi="Arial" w:cs="Arial"/>
                <w:snapToGrid w:val="0"/>
                <w:sz w:val="22"/>
                <w:szCs w:val="22"/>
                <w:u w:val="single"/>
                <w:lang w:val="en-GB" w:eastAsia="en-US"/>
              </w:rPr>
              <w:t>in accordance with</w:t>
            </w:r>
            <w:r w:rsidRPr="00A0655F">
              <w:rPr>
                <w:rFonts w:ascii="Arial" w:hAnsi="Arial" w:cs="Arial"/>
                <w:snapToGrid w:val="0"/>
                <w:sz w:val="22"/>
                <w:szCs w:val="22"/>
                <w:u w:val="single"/>
                <w:lang w:val="en-GB" w:eastAsia="en-US"/>
              </w:rPr>
              <w:t xml:space="preserve"> </w:t>
            </w:r>
            <w:r w:rsidRPr="00C02F42">
              <w:rPr>
                <w:rFonts w:ascii="Arial" w:hAnsi="Arial" w:cs="Arial"/>
                <w:snapToGrid w:val="0"/>
                <w:sz w:val="22"/>
                <w:szCs w:val="22"/>
                <w:u w:val="single"/>
                <w:lang w:val="en-GB" w:eastAsia="en-US"/>
              </w:rPr>
              <w:t xml:space="preserve">Resolutions </w:t>
            </w:r>
            <w:hyperlink r:id="rId52" w:history="1">
              <w:r w:rsidRPr="00C02F42">
                <w:rPr>
                  <w:rStyle w:val="Hyperlink"/>
                  <w:rFonts w:ascii="Arial" w:hAnsi="Arial" w:cs="Arial"/>
                  <w:snapToGrid w:val="0"/>
                  <w:sz w:val="22"/>
                  <w:szCs w:val="22"/>
                  <w:lang w:val="en-GB" w:eastAsia="en-US"/>
                </w:rPr>
                <w:t>7.GA 12</w:t>
              </w:r>
            </w:hyperlink>
            <w:r w:rsidRPr="00C02F42">
              <w:rPr>
                <w:rFonts w:ascii="Arial" w:hAnsi="Arial" w:cs="Arial"/>
                <w:snapToGrid w:val="0"/>
                <w:sz w:val="22"/>
                <w:szCs w:val="22"/>
                <w:u w:val="single"/>
                <w:lang w:val="en-GB" w:eastAsia="en-US"/>
              </w:rPr>
              <w:t xml:space="preserve"> and </w:t>
            </w:r>
            <w:hyperlink r:id="rId53" w:history="1">
              <w:r w:rsidRPr="00C02F42">
                <w:rPr>
                  <w:rStyle w:val="Hyperlink"/>
                  <w:rFonts w:ascii="Arial" w:hAnsi="Arial" w:cs="Arial"/>
                  <w:snapToGrid w:val="0"/>
                  <w:sz w:val="22"/>
                  <w:szCs w:val="22"/>
                  <w:lang w:val="en-GB" w:eastAsia="en-US"/>
                </w:rPr>
                <w:t>7.GA 13</w:t>
              </w:r>
            </w:hyperlink>
            <w:r w:rsidRPr="00C02F42">
              <w:rPr>
                <w:rFonts w:ascii="Arial" w:hAnsi="Arial" w:cs="Arial"/>
                <w:snapToGrid w:val="0"/>
                <w:sz w:val="22"/>
                <w:szCs w:val="22"/>
                <w:u w:val="single"/>
                <w:lang w:val="en-GB" w:eastAsia="en-US"/>
              </w:rPr>
              <w:t>, a</w:t>
            </w:r>
            <w:r w:rsidRPr="00A0655F">
              <w:rPr>
                <w:rFonts w:ascii="Arial" w:hAnsi="Arial" w:cs="Arial"/>
                <w:snapToGrid w:val="0"/>
                <w:sz w:val="22"/>
                <w:szCs w:val="22"/>
                <w:u w:val="single"/>
                <w:lang w:val="en-GB" w:eastAsia="en-US"/>
              </w:rPr>
              <w:t xml:space="preserve"> revised set of the Rules of Procedure </w:t>
            </w:r>
            <w:r w:rsidR="00473183">
              <w:rPr>
                <w:rFonts w:ascii="Arial" w:hAnsi="Arial" w:cs="Arial"/>
                <w:snapToGrid w:val="0"/>
                <w:sz w:val="22"/>
                <w:szCs w:val="22"/>
                <w:u w:val="single"/>
                <w:lang w:val="en-GB" w:eastAsia="en-US"/>
              </w:rPr>
              <w:t xml:space="preserve">of the General Assembly </w:t>
            </w:r>
            <w:proofErr w:type="gramStart"/>
            <w:r w:rsidRPr="00A0655F">
              <w:rPr>
                <w:rFonts w:ascii="Arial" w:hAnsi="Arial" w:cs="Arial"/>
                <w:snapToGrid w:val="0"/>
                <w:sz w:val="22"/>
                <w:szCs w:val="22"/>
                <w:u w:val="single"/>
                <w:lang w:val="en-GB" w:eastAsia="en-US"/>
              </w:rPr>
              <w:t>will be presented</w:t>
            </w:r>
            <w:proofErr w:type="gramEnd"/>
            <w:r w:rsidRPr="00A0655F">
              <w:rPr>
                <w:rFonts w:ascii="Arial" w:hAnsi="Arial" w:cs="Arial"/>
                <w:snapToGrid w:val="0"/>
                <w:sz w:val="22"/>
                <w:szCs w:val="22"/>
                <w:u w:val="single"/>
                <w:lang w:val="en-GB" w:eastAsia="en-US"/>
              </w:rPr>
              <w:t xml:space="preserve"> to the eighth session of the General Assembly</w:t>
            </w:r>
            <w:r>
              <w:rPr>
                <w:rFonts w:ascii="Arial" w:hAnsi="Arial" w:cs="Arial"/>
                <w:snapToGrid w:val="0"/>
                <w:sz w:val="22"/>
                <w:szCs w:val="22"/>
                <w:u w:val="single"/>
                <w:lang w:val="en-GB" w:eastAsia="en-US"/>
              </w:rPr>
              <w:t xml:space="preserve"> in 2020</w:t>
            </w:r>
            <w:r w:rsidRPr="00A0655F">
              <w:rPr>
                <w:rFonts w:ascii="Arial" w:hAnsi="Arial" w:cs="Arial"/>
                <w:snapToGrid w:val="0"/>
                <w:sz w:val="22"/>
                <w:szCs w:val="22"/>
                <w:u w:val="single"/>
                <w:lang w:val="en-GB" w:eastAsia="en-US"/>
              </w:rPr>
              <w:t>.</w:t>
            </w:r>
          </w:p>
        </w:tc>
      </w:tr>
      <w:tr w:rsidR="009B7C08" w:rsidRPr="008240F2" w14:paraId="4D7B1AA2" w14:textId="77777777" w:rsidTr="00B04CDE">
        <w:trPr>
          <w:trHeight w:val="340"/>
        </w:trPr>
        <w:tc>
          <w:tcPr>
            <w:tcW w:w="14560" w:type="dxa"/>
            <w:gridSpan w:val="2"/>
            <w:shd w:val="clear" w:color="auto" w:fill="F2F2F2" w:themeFill="background1" w:themeFillShade="F2"/>
            <w:vAlign w:val="center"/>
          </w:tcPr>
          <w:p w14:paraId="5DBA41CC" w14:textId="77777777" w:rsidR="009B7C08" w:rsidRPr="0050450D" w:rsidRDefault="009B7C08" w:rsidP="00B04CDE">
            <w:pPr>
              <w:keepNext/>
              <w:rPr>
                <w:rFonts w:ascii="Arial" w:hAnsi="Arial" w:cs="Arial"/>
                <w:b/>
                <w:snapToGrid w:val="0"/>
                <w:sz w:val="22"/>
                <w:szCs w:val="22"/>
                <w:lang w:val="en-GB" w:eastAsia="en-US"/>
              </w:rPr>
            </w:pPr>
            <w:r w:rsidRPr="0049025A">
              <w:rPr>
                <w:rFonts w:ascii="Arial" w:hAnsi="Arial" w:cs="Arial"/>
                <w:b/>
                <w:snapToGrid w:val="0"/>
                <w:sz w:val="22"/>
                <w:szCs w:val="22"/>
                <w:lang w:val="en-GB" w:eastAsia="en-US"/>
              </w:rPr>
              <w:t xml:space="preserve">Harmonization (role of Bureaus, </w:t>
            </w:r>
            <w:r w:rsidRPr="0050450D">
              <w:rPr>
                <w:rFonts w:ascii="Arial" w:hAnsi="Arial" w:cs="Arial"/>
                <w:b/>
                <w:snapToGrid w:val="0"/>
                <w:sz w:val="22"/>
                <w:szCs w:val="22"/>
                <w:lang w:val="en-GB" w:eastAsia="en-US"/>
              </w:rPr>
              <w:t>transparency)</w:t>
            </w:r>
          </w:p>
        </w:tc>
      </w:tr>
      <w:tr w:rsidR="009B7C08" w:rsidRPr="008240F2" w14:paraId="771A257B" w14:textId="77777777" w:rsidTr="00B04CDE">
        <w:tc>
          <w:tcPr>
            <w:tcW w:w="6059" w:type="dxa"/>
          </w:tcPr>
          <w:p w14:paraId="06B9856F" w14:textId="31E378F2"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The role, composition and procedures of Bureaus and their members </w:t>
            </w:r>
            <w:proofErr w:type="gramStart"/>
            <w:r w:rsidRPr="00874122">
              <w:rPr>
                <w:rFonts w:ascii="Arial" w:hAnsi="Arial" w:cs="Arial"/>
                <w:snapToGrid w:val="0"/>
                <w:sz w:val="22"/>
                <w:szCs w:val="22"/>
                <w:lang w:val="en-US" w:eastAsia="en-US"/>
              </w:rPr>
              <w:t xml:space="preserve">should be clarified and harmonized </w:t>
            </w:r>
            <w:r w:rsidRPr="0000757E">
              <w:rPr>
                <w:rFonts w:ascii="Arial" w:hAnsi="Arial" w:cs="Arial"/>
                <w:snapToGrid w:val="0"/>
                <w:sz w:val="22"/>
                <w:szCs w:val="22"/>
                <w:lang w:val="en-US" w:eastAsia="en-US"/>
              </w:rPr>
              <w:t>through codification in rules of procedure/ statutes or development of general guidelines for all IIBs, in close cooperation with th</w:t>
            </w:r>
            <w:r w:rsidRPr="00874122">
              <w:rPr>
                <w:rFonts w:ascii="Arial" w:hAnsi="Arial" w:cs="Arial"/>
                <w:snapToGrid w:val="0"/>
                <w:sz w:val="22"/>
                <w:szCs w:val="22"/>
                <w:lang w:val="en-US" w:eastAsia="en-US"/>
              </w:rPr>
              <w:t>e Secretariat</w:t>
            </w:r>
            <w:proofErr w:type="gramEnd"/>
            <w:r w:rsidRPr="00874122">
              <w:rPr>
                <w:rFonts w:ascii="Arial" w:hAnsi="Arial" w:cs="Arial"/>
                <w:snapToGrid w:val="0"/>
                <w:sz w:val="22"/>
                <w:szCs w:val="22"/>
                <w:lang w:val="en-US" w:eastAsia="en-US"/>
              </w:rPr>
              <w:t>.</w:t>
            </w:r>
          </w:p>
          <w:p w14:paraId="164098DE" w14:textId="29DC80BE" w:rsidR="009B7C08" w:rsidRPr="00874122" w:rsidRDefault="009B7C08" w:rsidP="00B04CDE">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47353033"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While </w:t>
            </w:r>
            <w:hyperlink r:id="rId54" w:anchor="Rule12" w:history="1">
              <w:r w:rsidRPr="0049025A">
                <w:rPr>
                  <w:rStyle w:val="Hyperlink"/>
                  <w:rFonts w:ascii="Arial" w:hAnsi="Arial" w:cs="Arial"/>
                  <w:snapToGrid w:val="0"/>
                  <w:sz w:val="22"/>
                  <w:szCs w:val="22"/>
                  <w:lang w:val="en-GB" w:eastAsia="en-US"/>
                </w:rPr>
                <w:t>Rule 12</w:t>
              </w:r>
            </w:hyperlink>
            <w:r w:rsidRPr="0049025A">
              <w:rPr>
                <w:rFonts w:ascii="Arial" w:hAnsi="Arial" w:cs="Arial"/>
                <w:snapToGrid w:val="0"/>
                <w:sz w:val="22"/>
                <w:szCs w:val="22"/>
                <w:lang w:val="en-GB" w:eastAsia="en-US"/>
              </w:rPr>
              <w:t xml:space="preserve"> of the Rules of Procedure of the Committee define</w:t>
            </w:r>
            <w:r>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the role of the Bureau of the Committee, the Role of the Bureau of the General Assembly </w:t>
            </w:r>
            <w:proofErr w:type="gramStart"/>
            <w:r w:rsidRPr="0049025A">
              <w:rPr>
                <w:rFonts w:ascii="Arial" w:hAnsi="Arial" w:cs="Arial"/>
                <w:snapToGrid w:val="0"/>
                <w:sz w:val="22"/>
                <w:szCs w:val="22"/>
                <w:lang w:val="en-GB" w:eastAsia="en-US"/>
              </w:rPr>
              <w:t>is not described</w:t>
            </w:r>
            <w:proofErr w:type="gramEnd"/>
            <w:r w:rsidRPr="0049025A">
              <w:rPr>
                <w:rFonts w:ascii="Arial" w:hAnsi="Arial" w:cs="Arial"/>
                <w:snapToGrid w:val="0"/>
                <w:sz w:val="22"/>
                <w:szCs w:val="22"/>
                <w:lang w:val="en-GB" w:eastAsia="en-US"/>
              </w:rPr>
              <w:t xml:space="preserve"> in the Assembly’s Rules of Procedure. </w:t>
            </w:r>
            <w:r>
              <w:rPr>
                <w:rFonts w:ascii="Arial" w:hAnsi="Arial" w:cs="Arial"/>
                <w:snapToGrid w:val="0"/>
                <w:sz w:val="22"/>
                <w:szCs w:val="22"/>
                <w:lang w:val="en-GB" w:eastAsia="en-US"/>
              </w:rPr>
              <w:t>N</w:t>
            </w:r>
            <w:r w:rsidRPr="0049025A">
              <w:rPr>
                <w:rFonts w:ascii="Arial" w:hAnsi="Arial" w:cs="Arial"/>
                <w:snapToGrid w:val="0"/>
                <w:sz w:val="22"/>
                <w:szCs w:val="22"/>
                <w:lang w:val="en-GB" w:eastAsia="en-US"/>
              </w:rPr>
              <w:t>either the Rules of Procedure of the Committee nor those of the General Assembly specify in detail the composition of their respective Bureaus.</w:t>
            </w:r>
          </w:p>
          <w:p w14:paraId="5E86ED2A"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874122">
              <w:rPr>
                <w:rFonts w:ascii="Arial" w:hAnsi="Arial" w:cs="Arial"/>
                <w:snapToGrid w:val="0"/>
                <w:sz w:val="22"/>
                <w:szCs w:val="22"/>
                <w:lang w:val="en-GB" w:eastAsia="en-US"/>
              </w:rPr>
              <w:t>The General Assembly may decide to amend its Rules of Procedure to specify the role and composition of its Bureau or continue with the current practice.</w:t>
            </w:r>
          </w:p>
          <w:p w14:paraId="757C7C6D" w14:textId="20CF082E" w:rsidR="00236BBD" w:rsidRDefault="00236BBD"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b/>
                <w:snapToGrid w:val="0"/>
                <w:sz w:val="22"/>
                <w:szCs w:val="22"/>
                <w:u w:val="single"/>
                <w:lang w:val="en-GB" w:eastAsia="en-US"/>
              </w:rPr>
              <w:t>Update</w:t>
            </w:r>
            <w:r w:rsidRPr="00A0655F">
              <w:rPr>
                <w:rFonts w:ascii="Arial" w:hAnsi="Arial" w:cs="Arial"/>
                <w:snapToGrid w:val="0"/>
                <w:sz w:val="22"/>
                <w:szCs w:val="22"/>
                <w:u w:val="single"/>
                <w:lang w:val="en-GB" w:eastAsia="en-US"/>
              </w:rPr>
              <w:t xml:space="preserve">: </w:t>
            </w:r>
            <w:r w:rsidR="007C0E13">
              <w:rPr>
                <w:rFonts w:ascii="Arial" w:hAnsi="Arial" w:cs="Arial"/>
                <w:snapToGrid w:val="0"/>
                <w:sz w:val="22"/>
                <w:szCs w:val="22"/>
                <w:u w:val="single"/>
                <w:lang w:val="en-GB" w:eastAsia="en-US"/>
              </w:rPr>
              <w:t>in accordance with</w:t>
            </w:r>
            <w:r w:rsidRPr="00A0655F">
              <w:rPr>
                <w:rFonts w:ascii="Arial" w:hAnsi="Arial" w:cs="Arial"/>
                <w:snapToGrid w:val="0"/>
                <w:sz w:val="22"/>
                <w:szCs w:val="22"/>
                <w:u w:val="single"/>
                <w:lang w:val="en-GB" w:eastAsia="en-US"/>
              </w:rPr>
              <w:t xml:space="preserve"> </w:t>
            </w:r>
            <w:r w:rsidRPr="00C02F42">
              <w:rPr>
                <w:rFonts w:ascii="Arial" w:hAnsi="Arial" w:cs="Arial"/>
                <w:snapToGrid w:val="0"/>
                <w:sz w:val="22"/>
                <w:szCs w:val="22"/>
                <w:u w:val="single"/>
                <w:lang w:val="en-GB" w:eastAsia="en-US"/>
              </w:rPr>
              <w:t xml:space="preserve">Resolutions </w:t>
            </w:r>
            <w:hyperlink r:id="rId55" w:history="1">
              <w:r w:rsidRPr="00C02F42">
                <w:rPr>
                  <w:rStyle w:val="Hyperlink"/>
                  <w:rFonts w:ascii="Arial" w:hAnsi="Arial" w:cs="Arial"/>
                  <w:snapToGrid w:val="0"/>
                  <w:sz w:val="22"/>
                  <w:szCs w:val="22"/>
                  <w:lang w:val="en-GB" w:eastAsia="en-US"/>
                </w:rPr>
                <w:t>7.GA 12</w:t>
              </w:r>
            </w:hyperlink>
            <w:r w:rsidRPr="00C02F42">
              <w:rPr>
                <w:rFonts w:ascii="Arial" w:hAnsi="Arial" w:cs="Arial"/>
                <w:snapToGrid w:val="0"/>
                <w:sz w:val="22"/>
                <w:szCs w:val="22"/>
                <w:u w:val="single"/>
                <w:lang w:val="en-GB" w:eastAsia="en-US"/>
              </w:rPr>
              <w:t xml:space="preserve"> and </w:t>
            </w:r>
            <w:hyperlink r:id="rId56" w:history="1">
              <w:r w:rsidRPr="00C02F42">
                <w:rPr>
                  <w:rStyle w:val="Hyperlink"/>
                  <w:rFonts w:ascii="Arial" w:hAnsi="Arial" w:cs="Arial"/>
                  <w:snapToGrid w:val="0"/>
                  <w:sz w:val="22"/>
                  <w:szCs w:val="22"/>
                  <w:lang w:val="en-GB" w:eastAsia="en-US"/>
                </w:rPr>
                <w:t>7.GA 13</w:t>
              </w:r>
            </w:hyperlink>
            <w:r w:rsidRPr="00C02F42">
              <w:rPr>
                <w:rFonts w:ascii="Arial" w:hAnsi="Arial" w:cs="Arial"/>
                <w:snapToGrid w:val="0"/>
                <w:sz w:val="22"/>
                <w:szCs w:val="22"/>
                <w:u w:val="single"/>
                <w:lang w:val="en-GB" w:eastAsia="en-US"/>
              </w:rPr>
              <w:t>,</w:t>
            </w:r>
            <w:r w:rsidRPr="00A0655F">
              <w:rPr>
                <w:rFonts w:ascii="Arial" w:hAnsi="Arial" w:cs="Arial"/>
                <w:snapToGrid w:val="0"/>
                <w:sz w:val="22"/>
                <w:szCs w:val="22"/>
                <w:u w:val="single"/>
                <w:lang w:val="en-GB" w:eastAsia="en-US"/>
              </w:rPr>
              <w:t xml:space="preserve"> a revised set of the Rules of Procedure</w:t>
            </w:r>
            <w:r w:rsidR="0039162F">
              <w:rPr>
                <w:rFonts w:ascii="Arial" w:hAnsi="Arial" w:cs="Arial"/>
                <w:snapToGrid w:val="0"/>
                <w:sz w:val="22"/>
                <w:szCs w:val="22"/>
                <w:u w:val="single"/>
                <w:lang w:val="en-GB" w:eastAsia="en-US"/>
              </w:rPr>
              <w:t xml:space="preserve"> of the General Assembly</w:t>
            </w:r>
            <w:r w:rsidRPr="00A0655F">
              <w:rPr>
                <w:rFonts w:ascii="Arial" w:hAnsi="Arial" w:cs="Arial"/>
                <w:snapToGrid w:val="0"/>
                <w:sz w:val="22"/>
                <w:szCs w:val="22"/>
                <w:u w:val="single"/>
                <w:lang w:val="en-GB" w:eastAsia="en-US"/>
              </w:rPr>
              <w:t xml:space="preserve"> </w:t>
            </w:r>
            <w:proofErr w:type="gramStart"/>
            <w:r w:rsidRPr="00A0655F">
              <w:rPr>
                <w:rFonts w:ascii="Arial" w:hAnsi="Arial" w:cs="Arial"/>
                <w:snapToGrid w:val="0"/>
                <w:sz w:val="22"/>
                <w:szCs w:val="22"/>
                <w:u w:val="single"/>
                <w:lang w:val="en-GB" w:eastAsia="en-US"/>
              </w:rPr>
              <w:t>will be presented</w:t>
            </w:r>
            <w:proofErr w:type="gramEnd"/>
            <w:r w:rsidRPr="00A0655F">
              <w:rPr>
                <w:rFonts w:ascii="Arial" w:hAnsi="Arial" w:cs="Arial"/>
                <w:snapToGrid w:val="0"/>
                <w:sz w:val="22"/>
                <w:szCs w:val="22"/>
                <w:u w:val="single"/>
                <w:lang w:val="en-GB" w:eastAsia="en-US"/>
              </w:rPr>
              <w:t xml:space="preserve"> to the eighth session of the General Assembly</w:t>
            </w:r>
            <w:r>
              <w:rPr>
                <w:rFonts w:ascii="Arial" w:hAnsi="Arial" w:cs="Arial"/>
                <w:snapToGrid w:val="0"/>
                <w:sz w:val="22"/>
                <w:szCs w:val="22"/>
                <w:u w:val="single"/>
                <w:lang w:val="en-GB" w:eastAsia="en-US"/>
              </w:rPr>
              <w:t xml:space="preserve"> in 2020</w:t>
            </w:r>
            <w:r w:rsidRPr="00A0655F">
              <w:rPr>
                <w:rFonts w:ascii="Arial" w:hAnsi="Arial" w:cs="Arial"/>
                <w:snapToGrid w:val="0"/>
                <w:sz w:val="22"/>
                <w:szCs w:val="22"/>
                <w:u w:val="single"/>
                <w:lang w:val="en-GB" w:eastAsia="en-US"/>
              </w:rPr>
              <w:t>.</w:t>
            </w:r>
          </w:p>
          <w:p w14:paraId="43BE5044" w14:textId="6B18B34A"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lastRenderedPageBreak/>
              <w:t>The Committee may decide to amend its Rules of Procedure to specify the composition of its Bureau or continue with the current practice.</w:t>
            </w:r>
          </w:p>
        </w:tc>
      </w:tr>
      <w:tr w:rsidR="009B7C08" w:rsidRPr="007523AD" w14:paraId="04B5DEA9" w14:textId="77777777" w:rsidTr="00B04CDE">
        <w:tc>
          <w:tcPr>
            <w:tcW w:w="6059" w:type="dxa"/>
          </w:tcPr>
          <w:p w14:paraId="411CC549" w14:textId="1CCBBD31"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 xml:space="preserve">It </w:t>
            </w:r>
            <w:proofErr w:type="gramStart"/>
            <w:r w:rsidRPr="00874122">
              <w:rPr>
                <w:rFonts w:ascii="Arial" w:hAnsi="Arial" w:cs="Arial"/>
                <w:snapToGrid w:val="0"/>
                <w:sz w:val="22"/>
                <w:szCs w:val="22"/>
                <w:lang w:val="en-US" w:eastAsia="en-US"/>
              </w:rPr>
              <w:t xml:space="preserve">is </w:t>
            </w:r>
            <w:r w:rsidRPr="0000757E">
              <w:rPr>
                <w:rFonts w:ascii="Arial" w:hAnsi="Arial" w:cs="Arial"/>
                <w:snapToGrid w:val="0"/>
                <w:sz w:val="22"/>
                <w:szCs w:val="22"/>
                <w:lang w:val="en-US" w:eastAsia="en-US"/>
              </w:rPr>
              <w:t>suggested</w:t>
            </w:r>
            <w:proofErr w:type="gramEnd"/>
            <w:r w:rsidRPr="0000757E">
              <w:rPr>
                <w:rFonts w:ascii="Arial" w:hAnsi="Arial" w:cs="Arial"/>
                <w:snapToGrid w:val="0"/>
                <w:sz w:val="22"/>
                <w:szCs w:val="22"/>
                <w:lang w:val="en-US" w:eastAsia="en-US"/>
              </w:rPr>
              <w:t xml:space="preserve"> that Bureaus’ composition be set, as much as compatible with individual IIBs’ mandates, at a maximum of six members (C</w:t>
            </w:r>
            <w:r w:rsidRPr="00874122">
              <w:rPr>
                <w:rFonts w:ascii="Arial" w:hAnsi="Arial" w:cs="Arial"/>
                <w:snapToGrid w:val="0"/>
                <w:sz w:val="22"/>
                <w:szCs w:val="22"/>
                <w:lang w:val="en-US" w:eastAsia="en-US"/>
              </w:rPr>
              <w:t>hair, Rapporteur, and four Vice-Presidents from the six Electoral Groups).</w:t>
            </w:r>
          </w:p>
          <w:p w14:paraId="07C9670D" w14:textId="567A7AE3" w:rsidR="009B7C08" w:rsidRPr="00874122" w:rsidRDefault="009B7C08" w:rsidP="00B04CDE">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548315EB"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In</w:t>
            </w:r>
            <w:r w:rsidRPr="0049025A">
              <w:rPr>
                <w:rFonts w:ascii="Arial" w:hAnsi="Arial" w:cs="Arial"/>
                <w:snapToGrid w:val="0"/>
                <w:sz w:val="22"/>
                <w:szCs w:val="22"/>
                <w:lang w:val="en-GB" w:eastAsia="en-US"/>
              </w:rPr>
              <w:t xml:space="preserve"> practice, for both the General Assembly and the Committee, the </w:t>
            </w:r>
            <w:r>
              <w:rPr>
                <w:rFonts w:ascii="Arial" w:hAnsi="Arial" w:cs="Arial"/>
                <w:snapToGrid w:val="0"/>
                <w:sz w:val="22"/>
                <w:szCs w:val="22"/>
                <w:lang w:val="en-GB" w:eastAsia="en-US"/>
              </w:rPr>
              <w:t xml:space="preserve">composition of the </w:t>
            </w:r>
            <w:r w:rsidRPr="0049025A">
              <w:rPr>
                <w:rFonts w:ascii="Arial" w:hAnsi="Arial" w:cs="Arial"/>
                <w:snapToGrid w:val="0"/>
                <w:sz w:val="22"/>
                <w:szCs w:val="22"/>
                <w:lang w:val="en-GB" w:eastAsia="en-US"/>
              </w:rPr>
              <w:t>Bureau</w:t>
            </w:r>
            <w:r>
              <w:rPr>
                <w:rFonts w:ascii="Arial" w:hAnsi="Arial" w:cs="Arial"/>
                <w:snapToGrid w:val="0"/>
                <w:sz w:val="22"/>
                <w:szCs w:val="22"/>
                <w:lang w:val="en-GB" w:eastAsia="en-US"/>
              </w:rPr>
              <w:t xml:space="preserve"> </w:t>
            </w:r>
            <w:r w:rsidRPr="0049025A">
              <w:rPr>
                <w:rFonts w:ascii="Arial" w:hAnsi="Arial" w:cs="Arial"/>
                <w:snapToGrid w:val="0"/>
                <w:sz w:val="22"/>
                <w:szCs w:val="22"/>
                <w:lang w:val="en-GB" w:eastAsia="en-US"/>
              </w:rPr>
              <w:t>is set at a maximum of seven members (Chair, Rapporteur, and four or five Vice-Presidents). However, neither the Rules of Procedure of the Committee nor those of the General Assembly specify in detail the composition of their respective Bureaus.</w:t>
            </w:r>
          </w:p>
          <w:p w14:paraId="6BD0C407" w14:textId="708E4757" w:rsidR="00236BBD" w:rsidRDefault="00236BBD" w:rsidP="0039162F">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b/>
                <w:snapToGrid w:val="0"/>
                <w:sz w:val="22"/>
                <w:szCs w:val="22"/>
                <w:u w:val="single"/>
                <w:lang w:val="en-GB" w:eastAsia="en-US"/>
              </w:rPr>
              <w:t>Update</w:t>
            </w:r>
            <w:r w:rsidRPr="00A0655F">
              <w:rPr>
                <w:rFonts w:ascii="Arial" w:hAnsi="Arial" w:cs="Arial"/>
                <w:snapToGrid w:val="0"/>
                <w:sz w:val="22"/>
                <w:szCs w:val="22"/>
                <w:u w:val="single"/>
                <w:lang w:val="en-GB" w:eastAsia="en-US"/>
              </w:rPr>
              <w:t xml:space="preserve">: </w:t>
            </w:r>
            <w:r w:rsidR="007C0E13">
              <w:rPr>
                <w:rFonts w:ascii="Arial" w:hAnsi="Arial" w:cs="Arial"/>
                <w:snapToGrid w:val="0"/>
                <w:sz w:val="22"/>
                <w:szCs w:val="22"/>
                <w:u w:val="single"/>
                <w:lang w:val="en-GB" w:eastAsia="en-US"/>
              </w:rPr>
              <w:t>in accordance with</w:t>
            </w:r>
            <w:r w:rsidRPr="00A0655F">
              <w:rPr>
                <w:rFonts w:ascii="Arial" w:hAnsi="Arial" w:cs="Arial"/>
                <w:snapToGrid w:val="0"/>
                <w:sz w:val="22"/>
                <w:szCs w:val="22"/>
                <w:u w:val="single"/>
                <w:lang w:val="en-GB" w:eastAsia="en-US"/>
              </w:rPr>
              <w:t xml:space="preserve"> </w:t>
            </w:r>
            <w:r w:rsidRPr="00C02F42">
              <w:rPr>
                <w:rFonts w:ascii="Arial" w:hAnsi="Arial" w:cs="Arial"/>
                <w:snapToGrid w:val="0"/>
                <w:sz w:val="22"/>
                <w:szCs w:val="22"/>
                <w:u w:val="single"/>
                <w:lang w:val="en-GB" w:eastAsia="en-US"/>
              </w:rPr>
              <w:t xml:space="preserve">Resolutions </w:t>
            </w:r>
            <w:hyperlink r:id="rId57" w:history="1">
              <w:r w:rsidRPr="00C02F42">
                <w:rPr>
                  <w:rStyle w:val="Hyperlink"/>
                  <w:rFonts w:ascii="Arial" w:hAnsi="Arial" w:cs="Arial"/>
                  <w:snapToGrid w:val="0"/>
                  <w:sz w:val="22"/>
                  <w:szCs w:val="22"/>
                  <w:lang w:val="en-GB" w:eastAsia="en-US"/>
                </w:rPr>
                <w:t>7.GA 12</w:t>
              </w:r>
            </w:hyperlink>
            <w:r w:rsidRPr="00C02F42">
              <w:rPr>
                <w:rFonts w:ascii="Arial" w:hAnsi="Arial" w:cs="Arial"/>
                <w:snapToGrid w:val="0"/>
                <w:sz w:val="22"/>
                <w:szCs w:val="22"/>
                <w:u w:val="single"/>
                <w:lang w:val="en-GB" w:eastAsia="en-US"/>
              </w:rPr>
              <w:t xml:space="preserve"> and </w:t>
            </w:r>
            <w:hyperlink r:id="rId58" w:history="1">
              <w:r w:rsidRPr="00C02F42">
                <w:rPr>
                  <w:rStyle w:val="Hyperlink"/>
                  <w:rFonts w:ascii="Arial" w:hAnsi="Arial" w:cs="Arial"/>
                  <w:snapToGrid w:val="0"/>
                  <w:sz w:val="22"/>
                  <w:szCs w:val="22"/>
                  <w:lang w:val="en-GB" w:eastAsia="en-US"/>
                </w:rPr>
                <w:t>7.GA 13</w:t>
              </w:r>
            </w:hyperlink>
            <w:r w:rsidRPr="00A0655F">
              <w:rPr>
                <w:rFonts w:ascii="Arial" w:hAnsi="Arial" w:cs="Arial"/>
                <w:snapToGrid w:val="0"/>
                <w:sz w:val="22"/>
                <w:szCs w:val="22"/>
                <w:u w:val="single"/>
                <w:lang w:val="en-GB" w:eastAsia="en-US"/>
              </w:rPr>
              <w:t>, a revised set of the Rules of Procedure</w:t>
            </w:r>
            <w:r w:rsidR="0039162F">
              <w:rPr>
                <w:rFonts w:ascii="Arial" w:hAnsi="Arial" w:cs="Arial"/>
                <w:snapToGrid w:val="0"/>
                <w:sz w:val="22"/>
                <w:szCs w:val="22"/>
                <w:u w:val="single"/>
                <w:lang w:val="en-GB" w:eastAsia="en-US"/>
              </w:rPr>
              <w:t xml:space="preserve"> of the General Assembly</w:t>
            </w:r>
            <w:r w:rsidRPr="00A0655F">
              <w:rPr>
                <w:rFonts w:ascii="Arial" w:hAnsi="Arial" w:cs="Arial"/>
                <w:snapToGrid w:val="0"/>
                <w:sz w:val="22"/>
                <w:szCs w:val="22"/>
                <w:u w:val="single"/>
                <w:lang w:val="en-GB" w:eastAsia="en-US"/>
              </w:rPr>
              <w:t xml:space="preserve"> </w:t>
            </w:r>
            <w:proofErr w:type="gramStart"/>
            <w:r w:rsidRPr="00A0655F">
              <w:rPr>
                <w:rFonts w:ascii="Arial" w:hAnsi="Arial" w:cs="Arial"/>
                <w:snapToGrid w:val="0"/>
                <w:sz w:val="22"/>
                <w:szCs w:val="22"/>
                <w:u w:val="single"/>
                <w:lang w:val="en-GB" w:eastAsia="en-US"/>
              </w:rPr>
              <w:t>will be presented</w:t>
            </w:r>
            <w:proofErr w:type="gramEnd"/>
            <w:r w:rsidRPr="00A0655F">
              <w:rPr>
                <w:rFonts w:ascii="Arial" w:hAnsi="Arial" w:cs="Arial"/>
                <w:snapToGrid w:val="0"/>
                <w:sz w:val="22"/>
                <w:szCs w:val="22"/>
                <w:u w:val="single"/>
                <w:lang w:val="en-GB" w:eastAsia="en-US"/>
              </w:rPr>
              <w:t xml:space="preserve"> to the eighth session of the General Assembly</w:t>
            </w:r>
            <w:r>
              <w:rPr>
                <w:rFonts w:ascii="Arial" w:hAnsi="Arial" w:cs="Arial"/>
                <w:snapToGrid w:val="0"/>
                <w:sz w:val="22"/>
                <w:szCs w:val="22"/>
                <w:u w:val="single"/>
                <w:lang w:val="en-GB" w:eastAsia="en-US"/>
              </w:rPr>
              <w:t xml:space="preserve"> in 2020</w:t>
            </w:r>
            <w:r w:rsidRPr="00A0655F">
              <w:rPr>
                <w:rFonts w:ascii="Arial" w:hAnsi="Arial" w:cs="Arial"/>
                <w:snapToGrid w:val="0"/>
                <w:sz w:val="22"/>
                <w:szCs w:val="22"/>
                <w:u w:val="single"/>
                <w:lang w:val="en-GB" w:eastAsia="en-US"/>
              </w:rPr>
              <w:t>.</w:t>
            </w:r>
          </w:p>
          <w:p w14:paraId="6BD0E4FE" w14:textId="4F7A30BA" w:rsidR="00376821" w:rsidRDefault="00376821"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Committee may decide to amend its Rules of Procedure to specify the composition of its Bureau or continue with the current practice.</w:t>
            </w:r>
          </w:p>
          <w:p w14:paraId="42FD265F" w14:textId="620819C1"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See recommendation 66.</w:t>
            </w:r>
          </w:p>
        </w:tc>
      </w:tr>
      <w:tr w:rsidR="009B7C08" w:rsidRPr="008240F2" w14:paraId="58340221" w14:textId="77777777" w:rsidTr="00B04CDE">
        <w:tc>
          <w:tcPr>
            <w:tcW w:w="6059" w:type="dxa"/>
          </w:tcPr>
          <w:p w14:paraId="502BAC32" w14:textId="105A763C"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The intergovernmental nature of Bureaus </w:t>
            </w:r>
            <w:proofErr w:type="gramStart"/>
            <w:r w:rsidRPr="00874122">
              <w:rPr>
                <w:rFonts w:ascii="Arial" w:hAnsi="Arial" w:cs="Arial"/>
                <w:snapToGrid w:val="0"/>
                <w:sz w:val="22"/>
                <w:szCs w:val="22"/>
                <w:lang w:val="en-US" w:eastAsia="en-US"/>
              </w:rPr>
              <w:t>should be reaffirmed</w:t>
            </w:r>
            <w:proofErr w:type="gramEnd"/>
            <w:r w:rsidRPr="00874122">
              <w:rPr>
                <w:rFonts w:ascii="Arial" w:hAnsi="Arial" w:cs="Arial"/>
                <w:snapToGrid w:val="0"/>
                <w:sz w:val="22"/>
                <w:szCs w:val="22"/>
                <w:lang w:val="en-US" w:eastAsia="en-US"/>
              </w:rPr>
              <w:t xml:space="preserve"> </w:t>
            </w:r>
            <w:r w:rsidRPr="0000757E">
              <w:rPr>
                <w:rFonts w:ascii="Arial" w:hAnsi="Arial" w:cs="Arial"/>
                <w:snapToGrid w:val="0"/>
                <w:sz w:val="22"/>
                <w:szCs w:val="22"/>
                <w:lang w:val="en-US" w:eastAsia="en-US"/>
              </w:rPr>
              <w:t xml:space="preserve">while maintaining expert engagement. In this regard, the attached guidelines on responsibilities of Bureau members </w:t>
            </w:r>
            <w:proofErr w:type="gramStart"/>
            <w:r w:rsidRPr="0000757E">
              <w:rPr>
                <w:rFonts w:ascii="Arial" w:hAnsi="Arial" w:cs="Arial"/>
                <w:snapToGrid w:val="0"/>
                <w:sz w:val="22"/>
                <w:szCs w:val="22"/>
                <w:lang w:val="en-US" w:eastAsia="en-US"/>
              </w:rPr>
              <w:t>are recommended</w:t>
            </w:r>
            <w:proofErr w:type="gramEnd"/>
            <w:r w:rsidRPr="0000757E">
              <w:rPr>
                <w:rFonts w:ascii="Arial" w:hAnsi="Arial" w:cs="Arial"/>
                <w:snapToGrid w:val="0"/>
                <w:sz w:val="22"/>
                <w:szCs w:val="22"/>
                <w:lang w:val="en-US" w:eastAsia="en-US"/>
              </w:rPr>
              <w:t xml:space="preserve"> for dissemination to all Governing Bodies </w:t>
            </w:r>
            <w:r w:rsidRPr="00874122">
              <w:rPr>
                <w:rFonts w:ascii="Arial" w:hAnsi="Arial" w:cs="Arial"/>
                <w:snapToGrid w:val="0"/>
                <w:sz w:val="22"/>
                <w:szCs w:val="22"/>
                <w:lang w:val="en-US" w:eastAsia="en-US"/>
              </w:rPr>
              <w:t>and IIBs (</w:t>
            </w:r>
            <w:hyperlink r:id="rId59" w:anchor="page=25" w:history="1">
              <w:r w:rsidRPr="00874122">
                <w:rPr>
                  <w:rStyle w:val="Hyperlink"/>
                  <w:rFonts w:ascii="Arial" w:hAnsi="Arial" w:cs="Arial"/>
                  <w:sz w:val="22"/>
                  <w:lang w:val="en-US"/>
                </w:rPr>
                <w:t>appendix 2</w:t>
              </w:r>
            </w:hyperlink>
            <w:r w:rsidRPr="00874122">
              <w:rPr>
                <w:rFonts w:ascii="Arial" w:hAnsi="Arial" w:cs="Arial"/>
                <w:snapToGrid w:val="0"/>
                <w:sz w:val="22"/>
                <w:szCs w:val="22"/>
                <w:lang w:val="en-US" w:eastAsia="en-US"/>
              </w:rPr>
              <w:t>).</w:t>
            </w:r>
          </w:p>
          <w:p w14:paraId="3679D9D9" w14:textId="77777777" w:rsidR="009B7C08" w:rsidRPr="00874122" w:rsidRDefault="009B7C08" w:rsidP="00B04CDE">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Pr>
          <w:p w14:paraId="77173506"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B</w:t>
            </w:r>
            <w:r w:rsidRPr="0049025A">
              <w:rPr>
                <w:rFonts w:ascii="Arial" w:hAnsi="Arial" w:cs="Arial"/>
                <w:snapToGrid w:val="0"/>
                <w:sz w:val="22"/>
                <w:szCs w:val="22"/>
                <w:lang w:val="en-GB" w:eastAsia="en-US"/>
              </w:rPr>
              <w:t xml:space="preserve">y its </w:t>
            </w:r>
            <w:hyperlink r:id="rId60" w:history="1">
              <w:r w:rsidRPr="0049025A">
                <w:rPr>
                  <w:rStyle w:val="Hyperlink"/>
                  <w:rFonts w:ascii="Arial" w:hAnsi="Arial" w:cs="Arial"/>
                  <w:snapToGrid w:val="0"/>
                  <w:sz w:val="22"/>
                  <w:szCs w:val="22"/>
                  <w:lang w:val="en-GB" w:eastAsia="en-US"/>
                </w:rPr>
                <w:t>Decision 12.COM 16</w:t>
              </w:r>
            </w:hyperlink>
            <w:r w:rsidRPr="0049025A">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the Committee </w:t>
            </w:r>
            <w:r w:rsidRPr="0049025A">
              <w:rPr>
                <w:rFonts w:ascii="Arial" w:hAnsi="Arial" w:cs="Arial"/>
                <w:snapToGrid w:val="0"/>
                <w:sz w:val="22"/>
                <w:szCs w:val="22"/>
                <w:lang w:val="en-GB" w:eastAsia="en-US"/>
              </w:rPr>
              <w:t xml:space="preserve">invited the Bureau to conduct its work in accordance with the Guidelines on </w:t>
            </w:r>
            <w:r>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 xml:space="preserve">responsibilities of representatives of Electoral Groups in </w:t>
            </w:r>
            <w:r>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Bureaus.</w:t>
            </w:r>
          </w:p>
          <w:p w14:paraId="7BA731F2" w14:textId="64111765" w:rsidR="006337E7" w:rsidRPr="00EE4900" w:rsidRDefault="00334F6F" w:rsidP="00A741D3">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proofErr w:type="gramStart"/>
            <w:r w:rsidRPr="00EE4900">
              <w:rPr>
                <w:rFonts w:ascii="Arial" w:hAnsi="Arial" w:cs="Arial"/>
                <w:b/>
                <w:bCs/>
                <w:snapToGrid w:val="0"/>
                <w:sz w:val="22"/>
                <w:szCs w:val="22"/>
                <w:u w:val="single"/>
                <w:lang w:val="en-GB" w:eastAsia="en-US"/>
              </w:rPr>
              <w:t>Update</w:t>
            </w:r>
            <w:r w:rsidRPr="00EE4900">
              <w:rPr>
                <w:rFonts w:ascii="Arial" w:hAnsi="Arial" w:cs="Arial"/>
                <w:snapToGrid w:val="0"/>
                <w:sz w:val="22"/>
                <w:szCs w:val="22"/>
                <w:u w:val="single"/>
                <w:lang w:val="en-GB" w:eastAsia="en-US"/>
              </w:rPr>
              <w:t>: When</w:t>
            </w:r>
            <w:proofErr w:type="gramEnd"/>
            <w:r w:rsidRPr="00EE4900">
              <w:rPr>
                <w:rFonts w:ascii="Arial" w:hAnsi="Arial" w:cs="Arial"/>
                <w:snapToGrid w:val="0"/>
                <w:sz w:val="22"/>
                <w:szCs w:val="22"/>
                <w:u w:val="single"/>
                <w:lang w:val="en-GB" w:eastAsia="en-US"/>
              </w:rPr>
              <w:t xml:space="preserve"> a Bureau meeting is convened, t</w:t>
            </w:r>
            <w:r w:rsidR="006337E7" w:rsidRPr="00EE4900">
              <w:rPr>
                <w:rFonts w:ascii="Arial" w:hAnsi="Arial" w:cs="Arial"/>
                <w:snapToGrid w:val="0"/>
                <w:sz w:val="22"/>
                <w:szCs w:val="22"/>
                <w:u w:val="single"/>
                <w:lang w:val="en-GB" w:eastAsia="en-US"/>
              </w:rPr>
              <w:t xml:space="preserve">he Secretariat askes the Bureau members to communicate the date and venue of the Bureau meeting </w:t>
            </w:r>
            <w:r w:rsidR="00350C2F">
              <w:rPr>
                <w:rFonts w:ascii="Arial" w:hAnsi="Arial" w:cs="Arial"/>
                <w:snapToGrid w:val="0"/>
                <w:sz w:val="22"/>
                <w:szCs w:val="22"/>
                <w:u w:val="single"/>
                <w:lang w:val="en-GB" w:eastAsia="en-US"/>
              </w:rPr>
              <w:t>within</w:t>
            </w:r>
            <w:r w:rsidR="006337E7" w:rsidRPr="00EE4900">
              <w:rPr>
                <w:rFonts w:ascii="Arial" w:hAnsi="Arial" w:cs="Arial"/>
                <w:snapToGrid w:val="0"/>
                <w:sz w:val="22"/>
                <w:szCs w:val="22"/>
                <w:u w:val="single"/>
                <w:lang w:val="en-GB" w:eastAsia="en-US"/>
              </w:rPr>
              <w:t xml:space="preserve"> the respective Electoral Group.</w:t>
            </w:r>
          </w:p>
        </w:tc>
      </w:tr>
      <w:tr w:rsidR="009B7C08" w:rsidRPr="008240F2" w14:paraId="794267DB" w14:textId="77777777" w:rsidTr="00B04CDE">
        <w:tc>
          <w:tcPr>
            <w:tcW w:w="6059" w:type="dxa"/>
          </w:tcPr>
          <w:p w14:paraId="5E429782" w14:textId="71FCB5CE"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Documents related to Bureau meetings should appear online before meetings take place; outcomes, including reports of Bureau </w:t>
            </w:r>
            <w:r w:rsidRPr="0000757E">
              <w:rPr>
                <w:rFonts w:ascii="Arial" w:hAnsi="Arial" w:cs="Arial"/>
                <w:snapToGrid w:val="0"/>
                <w:sz w:val="22"/>
                <w:szCs w:val="22"/>
                <w:lang w:val="en-US" w:eastAsia="en-US"/>
              </w:rPr>
              <w:t xml:space="preserve">meetings, </w:t>
            </w:r>
            <w:proofErr w:type="gramStart"/>
            <w:r w:rsidRPr="0000757E">
              <w:rPr>
                <w:rFonts w:ascii="Arial" w:hAnsi="Arial" w:cs="Arial"/>
                <w:snapToGrid w:val="0"/>
                <w:sz w:val="22"/>
                <w:szCs w:val="22"/>
                <w:lang w:val="en-US" w:eastAsia="en-US"/>
              </w:rPr>
              <w:t>should be communicated</w:t>
            </w:r>
            <w:proofErr w:type="gramEnd"/>
            <w:r w:rsidRPr="0000757E">
              <w:rPr>
                <w:rFonts w:ascii="Arial" w:hAnsi="Arial" w:cs="Arial"/>
                <w:snapToGrid w:val="0"/>
                <w:sz w:val="22"/>
                <w:szCs w:val="22"/>
                <w:lang w:val="en-US" w:eastAsia="en-US"/>
              </w:rPr>
              <w:t xml:space="preserve"> to all members, and as appropriate, all Permanent Delegations, in </w:t>
            </w:r>
            <w:r w:rsidRPr="00874122">
              <w:rPr>
                <w:rFonts w:ascii="Arial" w:hAnsi="Arial" w:cs="Arial"/>
                <w:snapToGrid w:val="0"/>
                <w:sz w:val="22"/>
                <w:szCs w:val="22"/>
                <w:lang w:val="en-US" w:eastAsia="en-US"/>
              </w:rPr>
              <w:t>a timely manner.</w:t>
            </w:r>
          </w:p>
          <w:p w14:paraId="3BBB492B" w14:textId="77777777" w:rsidR="009B7C08" w:rsidRPr="00874122" w:rsidRDefault="009B7C08" w:rsidP="00B04CDE">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Closed</w:t>
            </w:r>
            <w:r w:rsidRPr="0049025A">
              <w:rPr>
                <w:rFonts w:ascii="Arial" w:hAnsi="Arial" w:cs="Arial"/>
                <w:b/>
                <w:bCs/>
                <w:lang w:val="en-GB"/>
              </w:rPr>
              <w:br/>
            </w:r>
            <w:r w:rsidRPr="0049025A">
              <w:rPr>
                <w:rFonts w:ascii="Arial" w:hAnsi="Arial" w:cs="Arial"/>
                <w:b/>
                <w:bCs/>
                <w:snapToGrid w:val="0"/>
                <w:sz w:val="22"/>
                <w:szCs w:val="22"/>
                <w:lang w:val="en-GB" w:eastAsia="en-US"/>
              </w:rPr>
              <w:t>(</w:t>
            </w:r>
            <w:r w:rsidRPr="0050450D">
              <w:rPr>
                <w:rFonts w:ascii="Arial" w:hAnsi="Arial" w:cs="Arial"/>
                <w:b/>
                <w:bCs/>
                <w:snapToGrid w:val="0"/>
                <w:sz w:val="22"/>
                <w:szCs w:val="22"/>
                <w:lang w:val="en-GB" w:eastAsia="en-US"/>
              </w:rPr>
              <w:t>Good practice)</w:t>
            </w:r>
          </w:p>
        </w:tc>
        <w:tc>
          <w:tcPr>
            <w:tcW w:w="8501" w:type="dxa"/>
          </w:tcPr>
          <w:p w14:paraId="1AF2C287"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In</w:t>
            </w:r>
            <w:r w:rsidRPr="0049025A">
              <w:rPr>
                <w:rFonts w:ascii="Arial" w:hAnsi="Arial" w:cs="Arial"/>
                <w:snapToGrid w:val="0"/>
                <w:sz w:val="22"/>
                <w:szCs w:val="22"/>
                <w:lang w:val="en-GB" w:eastAsia="en-US"/>
              </w:rPr>
              <w:t xml:space="preserve"> practice, working and information documents for meetings of the Bureau of the Committee </w:t>
            </w:r>
            <w:proofErr w:type="gramStart"/>
            <w:r w:rsidRPr="0049025A">
              <w:rPr>
                <w:rFonts w:ascii="Arial" w:hAnsi="Arial" w:cs="Arial"/>
                <w:snapToGrid w:val="0"/>
                <w:sz w:val="22"/>
                <w:szCs w:val="22"/>
                <w:lang w:val="en-GB" w:eastAsia="en-US"/>
              </w:rPr>
              <w:t>are published</w:t>
            </w:r>
            <w:proofErr w:type="gramEnd"/>
            <w:r w:rsidRPr="0049025A">
              <w:rPr>
                <w:rFonts w:ascii="Arial" w:hAnsi="Arial" w:cs="Arial"/>
                <w:snapToGrid w:val="0"/>
                <w:sz w:val="22"/>
                <w:szCs w:val="22"/>
                <w:lang w:val="en-GB" w:eastAsia="en-US"/>
              </w:rPr>
              <w:t xml:space="preserve"> online at least two weeks prior to the date of each meeting. The Secretariat informs Bureau members by email on the day of publication.</w:t>
            </w:r>
          </w:p>
          <w:p w14:paraId="6E1D6897" w14:textId="7182BCA7" w:rsidR="009B7C08" w:rsidRPr="00942976"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Immediately after each Bureau meeting, the Secretariat systematically publishes the decisions taken by the Bureau online. In light of this recommendation, </w:t>
            </w:r>
            <w:r w:rsidR="000271E7">
              <w:rPr>
                <w:rFonts w:ascii="Arial" w:hAnsi="Arial" w:cs="Arial"/>
                <w:snapToGrid w:val="0"/>
                <w:sz w:val="22"/>
                <w:szCs w:val="22"/>
                <w:lang w:val="en-GB" w:eastAsia="en-US"/>
              </w:rPr>
              <w:t xml:space="preserve">in 2018 </w:t>
            </w:r>
            <w:r>
              <w:rPr>
                <w:rFonts w:ascii="Arial" w:hAnsi="Arial" w:cs="Arial"/>
                <w:snapToGrid w:val="0"/>
                <w:sz w:val="22"/>
                <w:szCs w:val="22"/>
                <w:lang w:val="en-GB" w:eastAsia="en-US"/>
              </w:rPr>
              <w:t xml:space="preserve">the Secretariat started to disseminate </w:t>
            </w:r>
            <w:r w:rsidR="000271E7">
              <w:rPr>
                <w:rFonts w:ascii="Arial" w:hAnsi="Arial" w:cs="Arial"/>
                <w:snapToGrid w:val="0"/>
                <w:sz w:val="22"/>
                <w:szCs w:val="22"/>
                <w:lang w:val="en-GB" w:eastAsia="en-US"/>
              </w:rPr>
              <w:t xml:space="preserve">the decisions of the Bureau </w:t>
            </w:r>
            <w:r>
              <w:rPr>
                <w:rFonts w:ascii="Arial" w:hAnsi="Arial" w:cs="Arial"/>
                <w:snapToGrid w:val="0"/>
                <w:sz w:val="22"/>
                <w:szCs w:val="22"/>
                <w:lang w:val="en-GB" w:eastAsia="en-US"/>
              </w:rPr>
              <w:t>by email to all States Parties of the Convention</w:t>
            </w:r>
            <w:r w:rsidRPr="00942976">
              <w:rPr>
                <w:rFonts w:ascii="Arial" w:hAnsi="Arial" w:cs="Arial"/>
                <w:snapToGrid w:val="0"/>
                <w:sz w:val="22"/>
                <w:szCs w:val="22"/>
                <w:lang w:val="en-GB" w:eastAsia="en-US"/>
              </w:rPr>
              <w:t>.</w:t>
            </w:r>
          </w:p>
        </w:tc>
      </w:tr>
      <w:tr w:rsidR="009B7C08" w:rsidRPr="008240F2" w14:paraId="1FB934F6" w14:textId="77777777" w:rsidTr="00B04CDE">
        <w:tc>
          <w:tcPr>
            <w:tcW w:w="6059" w:type="dxa"/>
          </w:tcPr>
          <w:p w14:paraId="03973845" w14:textId="3178003A"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Elections of Bureaus </w:t>
            </w:r>
            <w:proofErr w:type="gramStart"/>
            <w:r w:rsidRPr="00874122">
              <w:rPr>
                <w:rFonts w:ascii="Arial" w:hAnsi="Arial" w:cs="Arial"/>
                <w:snapToGrid w:val="0"/>
                <w:sz w:val="22"/>
                <w:szCs w:val="22"/>
                <w:lang w:val="en-US" w:eastAsia="en-US"/>
              </w:rPr>
              <w:t>should be held</w:t>
            </w:r>
            <w:proofErr w:type="gramEnd"/>
            <w:r w:rsidRPr="00874122">
              <w:rPr>
                <w:rFonts w:ascii="Arial" w:hAnsi="Arial" w:cs="Arial"/>
                <w:snapToGrid w:val="0"/>
                <w:sz w:val="22"/>
                <w:szCs w:val="22"/>
                <w:lang w:val="en-US" w:eastAsia="en-US"/>
              </w:rPr>
              <w:t xml:space="preserve">, as much as possible, soon after elections for seats on the IIBs conducted at the General Conference, to avoid </w:t>
            </w:r>
            <w:r w:rsidRPr="00874122">
              <w:rPr>
                <w:rFonts w:ascii="Arial" w:hAnsi="Arial" w:cs="Arial"/>
                <w:snapToGrid w:val="0"/>
                <w:sz w:val="22"/>
                <w:szCs w:val="22"/>
                <w:lang w:val="en-US" w:eastAsia="en-US"/>
              </w:rPr>
              <w:lastRenderedPageBreak/>
              <w:t xml:space="preserve">having Bureau members from Member </w:t>
            </w:r>
            <w:r w:rsidRPr="0000757E">
              <w:rPr>
                <w:rFonts w:ascii="Arial" w:hAnsi="Arial" w:cs="Arial"/>
                <w:snapToGrid w:val="0"/>
                <w:sz w:val="22"/>
                <w:szCs w:val="22"/>
                <w:lang w:val="en-US" w:eastAsia="en-US"/>
              </w:rPr>
              <w:t>States, which are no longer members of the IIBs concerned.</w:t>
            </w:r>
          </w:p>
          <w:p w14:paraId="5B565E58" w14:textId="77777777" w:rsidR="009B7C08" w:rsidRPr="00874122" w:rsidRDefault="009B7C08" w:rsidP="00B04CDE">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Closed</w:t>
            </w:r>
          </w:p>
        </w:tc>
        <w:tc>
          <w:tcPr>
            <w:tcW w:w="8501" w:type="dxa"/>
          </w:tcPr>
          <w:p w14:paraId="1B6E476A"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lastRenderedPageBreak/>
              <w:t>The General Assembly elects the Bureau members at the beginning of each session.</w:t>
            </w:r>
          </w:p>
          <w:p w14:paraId="70B66121"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lastRenderedPageBreak/>
              <w:t>The Committee elects the Bureau members at the end of each ordinary session</w:t>
            </w:r>
            <w:r>
              <w:rPr>
                <w:rFonts w:ascii="Arial" w:hAnsi="Arial" w:cs="Arial"/>
                <w:snapToGrid w:val="0"/>
                <w:sz w:val="22"/>
                <w:szCs w:val="22"/>
                <w:lang w:val="en-GB" w:eastAsia="en-US"/>
              </w:rPr>
              <w:t>;</w:t>
            </w:r>
            <w:r w:rsidRPr="0049025A">
              <w:rPr>
                <w:rFonts w:ascii="Arial" w:hAnsi="Arial" w:cs="Arial"/>
                <w:snapToGrid w:val="0"/>
                <w:sz w:val="22"/>
                <w:szCs w:val="22"/>
                <w:lang w:val="en-GB" w:eastAsia="en-US"/>
              </w:rPr>
              <w:t xml:space="preserve"> </w:t>
            </w:r>
            <w:r>
              <w:rPr>
                <w:rFonts w:ascii="Arial" w:hAnsi="Arial" w:cs="Arial"/>
                <w:snapToGrid w:val="0"/>
                <w:sz w:val="22"/>
                <w:szCs w:val="22"/>
                <w:lang w:val="en-GB" w:eastAsia="en-US"/>
              </w:rPr>
              <w:t>they then</w:t>
            </w:r>
            <w:r w:rsidRPr="0049025A">
              <w:rPr>
                <w:rFonts w:ascii="Arial" w:hAnsi="Arial" w:cs="Arial"/>
                <w:snapToGrid w:val="0"/>
                <w:sz w:val="22"/>
                <w:szCs w:val="22"/>
                <w:lang w:val="en-GB" w:eastAsia="en-US"/>
              </w:rPr>
              <w:t xml:space="preserve"> remain in office until the end of the next session (</w:t>
            </w:r>
            <w:hyperlink r:id="rId61" w:anchor="Rule13" w:history="1">
              <w:r w:rsidRPr="0049025A">
                <w:rPr>
                  <w:rStyle w:val="Hyperlink"/>
                  <w:rFonts w:ascii="Arial" w:hAnsi="Arial" w:cs="Arial"/>
                  <w:snapToGrid w:val="0"/>
                  <w:sz w:val="22"/>
                  <w:szCs w:val="22"/>
                  <w:lang w:val="en-GB" w:eastAsia="en-US"/>
                </w:rPr>
                <w:t>Rule 13</w:t>
              </w:r>
            </w:hyperlink>
            <w:r w:rsidRPr="0049025A">
              <w:rPr>
                <w:rFonts w:ascii="Arial" w:hAnsi="Arial" w:cs="Arial"/>
                <w:snapToGrid w:val="0"/>
                <w:sz w:val="22"/>
                <w:szCs w:val="22"/>
                <w:lang w:val="en-GB" w:eastAsia="en-US"/>
              </w:rPr>
              <w:t>).</w:t>
            </w:r>
          </w:p>
        </w:tc>
      </w:tr>
      <w:tr w:rsidR="009B7C08" w:rsidRPr="008240F2" w14:paraId="50F33FEC" w14:textId="77777777" w:rsidTr="00B04CDE">
        <w:tc>
          <w:tcPr>
            <w:tcW w:w="6059" w:type="dxa"/>
          </w:tcPr>
          <w:p w14:paraId="1F319284" w14:textId="0049244A"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 xml:space="preserve">As </w:t>
            </w:r>
            <w:r w:rsidRPr="0000757E">
              <w:rPr>
                <w:rFonts w:ascii="Arial" w:hAnsi="Arial" w:cs="Arial"/>
                <w:snapToGrid w:val="0"/>
                <w:sz w:val="22"/>
                <w:szCs w:val="22"/>
                <w:lang w:val="en-US" w:eastAsia="en-US"/>
              </w:rPr>
              <w:t xml:space="preserve">much as feasible, </w:t>
            </w:r>
            <w:r w:rsidRPr="00874122">
              <w:rPr>
                <w:rFonts w:ascii="Arial" w:hAnsi="Arial" w:cs="Arial"/>
                <w:snapToGrid w:val="0"/>
                <w:sz w:val="22"/>
                <w:szCs w:val="22"/>
                <w:lang w:val="en-US" w:eastAsia="en-US"/>
              </w:rPr>
              <w:t>Bureau meetings should be open to observers and working methods made more transparent.</w:t>
            </w:r>
          </w:p>
          <w:p w14:paraId="4BCEA0ED" w14:textId="7EBB6AA2" w:rsidR="009B7C08" w:rsidRPr="00874122" w:rsidRDefault="00334F6F" w:rsidP="00B04CDE">
            <w:pPr>
              <w:spacing w:after="120"/>
              <w:jc w:val="both"/>
              <w:rPr>
                <w:rFonts w:ascii="Arial" w:hAnsi="Arial" w:cs="Arial"/>
                <w:snapToGrid w:val="0"/>
                <w:sz w:val="22"/>
                <w:szCs w:val="22"/>
                <w:lang w:val="en-US" w:eastAsia="en-US"/>
              </w:rPr>
            </w:pPr>
            <w:r>
              <w:rPr>
                <w:rFonts w:ascii="Arial" w:hAnsi="Arial" w:cs="Arial"/>
                <w:b/>
                <w:bCs/>
                <w:sz w:val="22"/>
                <w:szCs w:val="22"/>
                <w:lang w:val="en-GB"/>
              </w:rPr>
              <w:t>Ongoing</w:t>
            </w:r>
          </w:p>
        </w:tc>
        <w:tc>
          <w:tcPr>
            <w:tcW w:w="8501" w:type="dxa"/>
          </w:tcPr>
          <w:p w14:paraId="51008F2B"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There is no relevant rule in the Rules of Procedure of the General Assembly</w:t>
            </w:r>
            <w:r>
              <w:rPr>
                <w:rFonts w:ascii="Arial" w:hAnsi="Arial" w:cs="Arial"/>
                <w:snapToGrid w:val="0"/>
                <w:sz w:val="22"/>
                <w:szCs w:val="22"/>
                <w:lang w:val="en-GB" w:eastAsia="en-US"/>
              </w:rPr>
              <w:t>.</w:t>
            </w:r>
            <w:r w:rsidRPr="0049025A">
              <w:rPr>
                <w:rFonts w:ascii="Arial" w:hAnsi="Arial" w:cs="Arial"/>
                <w:snapToGrid w:val="0"/>
                <w:sz w:val="22"/>
                <w:szCs w:val="22"/>
                <w:lang w:val="en-GB" w:eastAsia="en-US"/>
              </w:rPr>
              <w:t xml:space="preserve"> </w:t>
            </w:r>
            <w:r>
              <w:rPr>
                <w:rFonts w:ascii="Arial" w:hAnsi="Arial" w:cs="Arial"/>
                <w:snapToGrid w:val="0"/>
                <w:sz w:val="22"/>
                <w:szCs w:val="22"/>
                <w:lang w:val="en-GB" w:eastAsia="en-US"/>
              </w:rPr>
              <w:t>H</w:t>
            </w:r>
            <w:r w:rsidRPr="0049025A">
              <w:rPr>
                <w:rFonts w:ascii="Arial" w:hAnsi="Arial" w:cs="Arial"/>
                <w:snapToGrid w:val="0"/>
                <w:sz w:val="22"/>
                <w:szCs w:val="22"/>
                <w:lang w:val="en-GB" w:eastAsia="en-US"/>
              </w:rPr>
              <w:t xml:space="preserve">owever, </w:t>
            </w:r>
            <w:r>
              <w:rPr>
                <w:rFonts w:ascii="Arial" w:hAnsi="Arial" w:cs="Arial"/>
                <w:snapToGrid w:val="0"/>
                <w:sz w:val="22"/>
                <w:szCs w:val="22"/>
                <w:lang w:val="en-GB" w:eastAsia="en-US"/>
              </w:rPr>
              <w:t>in</w:t>
            </w:r>
            <w:r w:rsidRPr="0049025A">
              <w:rPr>
                <w:rFonts w:ascii="Arial" w:hAnsi="Arial" w:cs="Arial"/>
                <w:snapToGrid w:val="0"/>
                <w:sz w:val="22"/>
                <w:szCs w:val="22"/>
                <w:lang w:val="en-GB" w:eastAsia="en-US"/>
              </w:rPr>
              <w:t xml:space="preserve"> practice, the meetings of the Bureau of the General Assembly are open to observers. </w:t>
            </w:r>
            <w:r w:rsidRPr="00874122">
              <w:rPr>
                <w:rFonts w:ascii="Arial" w:hAnsi="Arial" w:cs="Arial"/>
                <w:snapToGrid w:val="0"/>
                <w:sz w:val="22"/>
                <w:szCs w:val="22"/>
                <w:lang w:val="en-GB" w:eastAsia="en-US"/>
              </w:rPr>
              <w:t>The General Assembly may decide to amend its Rules of Procedure to reflect this recommendation or continue with the current practice.</w:t>
            </w:r>
          </w:p>
          <w:p w14:paraId="1D81541E" w14:textId="64EA81B1" w:rsidR="00310F56" w:rsidRPr="00EE4900" w:rsidRDefault="008E2FC2" w:rsidP="0039162F">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r w:rsidRPr="007C0E13">
              <w:rPr>
                <w:rFonts w:ascii="Arial" w:hAnsi="Arial" w:cs="Arial"/>
                <w:b/>
                <w:snapToGrid w:val="0"/>
                <w:sz w:val="22"/>
                <w:szCs w:val="22"/>
                <w:u w:val="single"/>
                <w:lang w:val="en-GB" w:eastAsia="en-US"/>
              </w:rPr>
              <w:t>Update</w:t>
            </w:r>
            <w:r w:rsidRPr="001B1D24">
              <w:rPr>
                <w:rFonts w:ascii="Arial" w:hAnsi="Arial" w:cs="Arial"/>
                <w:bCs/>
                <w:snapToGrid w:val="0"/>
                <w:sz w:val="22"/>
                <w:szCs w:val="22"/>
                <w:u w:val="single"/>
                <w:lang w:val="en-GB" w:eastAsia="en-US"/>
              </w:rPr>
              <w:t>:</w:t>
            </w:r>
            <w:r w:rsidRPr="00EE4900">
              <w:rPr>
                <w:rFonts w:ascii="Arial" w:hAnsi="Arial" w:cs="Arial"/>
                <w:snapToGrid w:val="0"/>
                <w:sz w:val="22"/>
                <w:szCs w:val="22"/>
                <w:u w:val="single"/>
                <w:lang w:val="en-GB" w:eastAsia="en-US"/>
              </w:rPr>
              <w:t xml:space="preserve"> </w:t>
            </w:r>
            <w:r w:rsidR="007C0E13">
              <w:rPr>
                <w:rFonts w:ascii="Arial" w:hAnsi="Arial" w:cs="Arial"/>
                <w:snapToGrid w:val="0"/>
                <w:sz w:val="22"/>
                <w:szCs w:val="22"/>
                <w:u w:val="single"/>
                <w:lang w:val="en-GB" w:eastAsia="en-US"/>
              </w:rPr>
              <w:t xml:space="preserve">in accordance </w:t>
            </w:r>
            <w:r w:rsidR="007C0E13" w:rsidRPr="001B1D24">
              <w:rPr>
                <w:rFonts w:ascii="Arial" w:hAnsi="Arial" w:cs="Arial"/>
                <w:snapToGrid w:val="0"/>
                <w:sz w:val="22"/>
                <w:szCs w:val="22"/>
                <w:u w:val="single"/>
                <w:lang w:val="en-GB" w:eastAsia="en-US"/>
              </w:rPr>
              <w:t>with</w:t>
            </w:r>
            <w:r w:rsidR="00310F56" w:rsidRPr="001B1D24">
              <w:rPr>
                <w:rFonts w:ascii="Arial" w:hAnsi="Arial" w:cs="Arial"/>
                <w:snapToGrid w:val="0"/>
                <w:sz w:val="22"/>
                <w:szCs w:val="22"/>
                <w:u w:val="single"/>
                <w:lang w:val="en-GB" w:eastAsia="en-US"/>
              </w:rPr>
              <w:t xml:space="preserve"> Resolutions </w:t>
            </w:r>
            <w:hyperlink r:id="rId62" w:history="1">
              <w:r w:rsidR="001B1D24">
                <w:rPr>
                  <w:rStyle w:val="Hyperlink"/>
                  <w:rFonts w:ascii="Arial" w:hAnsi="Arial" w:cs="Arial"/>
                  <w:snapToGrid w:val="0"/>
                  <w:sz w:val="22"/>
                  <w:szCs w:val="22"/>
                  <w:lang w:val="en-GB" w:eastAsia="en-US"/>
                </w:rPr>
                <w:t>7.GA </w:t>
              </w:r>
              <w:r w:rsidR="00310F56" w:rsidRPr="001B1D24">
                <w:rPr>
                  <w:rStyle w:val="Hyperlink"/>
                  <w:rFonts w:ascii="Arial" w:hAnsi="Arial" w:cs="Arial"/>
                  <w:snapToGrid w:val="0"/>
                  <w:sz w:val="22"/>
                  <w:szCs w:val="22"/>
                  <w:lang w:val="en-GB" w:eastAsia="en-US"/>
                </w:rPr>
                <w:t>12</w:t>
              </w:r>
            </w:hyperlink>
            <w:r w:rsidR="00310F56" w:rsidRPr="001B1D24">
              <w:rPr>
                <w:rFonts w:ascii="Arial" w:hAnsi="Arial" w:cs="Arial"/>
                <w:snapToGrid w:val="0"/>
                <w:sz w:val="22"/>
                <w:szCs w:val="22"/>
                <w:u w:val="single"/>
                <w:lang w:val="en-GB" w:eastAsia="en-US"/>
              </w:rPr>
              <w:t xml:space="preserve"> and </w:t>
            </w:r>
            <w:hyperlink r:id="rId63" w:history="1">
              <w:r w:rsidR="001B1D24">
                <w:rPr>
                  <w:rStyle w:val="Hyperlink"/>
                  <w:rFonts w:ascii="Arial" w:hAnsi="Arial" w:cs="Arial"/>
                  <w:snapToGrid w:val="0"/>
                  <w:sz w:val="22"/>
                  <w:szCs w:val="22"/>
                  <w:lang w:val="en-GB" w:eastAsia="en-US"/>
                </w:rPr>
                <w:t>7.GA </w:t>
              </w:r>
              <w:r w:rsidR="00310F56" w:rsidRPr="001B1D24">
                <w:rPr>
                  <w:rStyle w:val="Hyperlink"/>
                  <w:rFonts w:ascii="Arial" w:hAnsi="Arial" w:cs="Arial"/>
                  <w:snapToGrid w:val="0"/>
                  <w:sz w:val="22"/>
                  <w:szCs w:val="22"/>
                  <w:lang w:val="en-GB" w:eastAsia="en-US"/>
                </w:rPr>
                <w:t>13</w:t>
              </w:r>
            </w:hyperlink>
            <w:r w:rsidR="00310F56" w:rsidRPr="00EE4900">
              <w:rPr>
                <w:rFonts w:ascii="Arial" w:hAnsi="Arial" w:cs="Arial"/>
                <w:snapToGrid w:val="0"/>
                <w:sz w:val="22"/>
                <w:szCs w:val="22"/>
                <w:u w:val="single"/>
                <w:lang w:val="en-GB" w:eastAsia="en-US"/>
              </w:rPr>
              <w:t>, a revised set of the Rules of Procedure</w:t>
            </w:r>
            <w:r w:rsidR="0039162F">
              <w:rPr>
                <w:rFonts w:ascii="Arial" w:hAnsi="Arial" w:cs="Arial"/>
                <w:snapToGrid w:val="0"/>
                <w:sz w:val="22"/>
                <w:szCs w:val="22"/>
                <w:u w:val="single"/>
                <w:lang w:val="en-GB" w:eastAsia="en-US"/>
              </w:rPr>
              <w:t xml:space="preserve"> of the General Assembly</w:t>
            </w:r>
            <w:r w:rsidR="00310F56" w:rsidRPr="00EE4900">
              <w:rPr>
                <w:rFonts w:ascii="Arial" w:hAnsi="Arial" w:cs="Arial"/>
                <w:snapToGrid w:val="0"/>
                <w:sz w:val="22"/>
                <w:szCs w:val="22"/>
                <w:u w:val="single"/>
                <w:lang w:val="en-GB" w:eastAsia="en-US"/>
              </w:rPr>
              <w:t xml:space="preserve"> </w:t>
            </w:r>
            <w:proofErr w:type="gramStart"/>
            <w:r w:rsidR="00310F56" w:rsidRPr="00EE4900">
              <w:rPr>
                <w:rFonts w:ascii="Arial" w:hAnsi="Arial" w:cs="Arial"/>
                <w:snapToGrid w:val="0"/>
                <w:sz w:val="22"/>
                <w:szCs w:val="22"/>
                <w:u w:val="single"/>
                <w:lang w:val="en-GB" w:eastAsia="en-US"/>
              </w:rPr>
              <w:t>will be presented</w:t>
            </w:r>
            <w:proofErr w:type="gramEnd"/>
            <w:r w:rsidR="00310F56" w:rsidRPr="00EE4900">
              <w:rPr>
                <w:rFonts w:ascii="Arial" w:hAnsi="Arial" w:cs="Arial"/>
                <w:snapToGrid w:val="0"/>
                <w:sz w:val="22"/>
                <w:szCs w:val="22"/>
                <w:u w:val="single"/>
                <w:lang w:val="en-GB" w:eastAsia="en-US"/>
              </w:rPr>
              <w:t xml:space="preserve"> to the eighth session of the General Assembly.</w:t>
            </w:r>
          </w:p>
          <w:p w14:paraId="0584C12B"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According to </w:t>
            </w:r>
            <w:hyperlink r:id="rId64" w:anchor="Rule12" w:history="1">
              <w:r w:rsidRPr="0049025A">
                <w:rPr>
                  <w:rStyle w:val="Hyperlink"/>
                  <w:rFonts w:ascii="Arial" w:hAnsi="Arial" w:cs="Arial"/>
                  <w:snapToGrid w:val="0"/>
                  <w:sz w:val="22"/>
                  <w:szCs w:val="22"/>
                  <w:lang w:val="en-US" w:eastAsia="en-US"/>
                </w:rPr>
                <w:t>Rule 12.4</w:t>
              </w:r>
            </w:hyperlink>
            <w:r w:rsidRPr="0049025A">
              <w:rPr>
                <w:rFonts w:ascii="Arial" w:hAnsi="Arial" w:cs="Arial"/>
                <w:snapToGrid w:val="0"/>
                <w:sz w:val="22"/>
                <w:szCs w:val="22"/>
                <w:lang w:val="en-US" w:eastAsia="en-US"/>
              </w:rPr>
              <w:t xml:space="preserve"> of the Rules of Procedure of the Committee, ‘[t]he meetings of the Bureau of the Committee shall be open to Committee Members and States Parties as observers, unless decided otherwise by the Bureau. Observers may address the Bureau only with the prior consent of the Chairperson.’</w:t>
            </w:r>
          </w:p>
        </w:tc>
      </w:tr>
      <w:tr w:rsidR="009B7C08" w:rsidRPr="008240F2" w14:paraId="0582EDDE" w14:textId="77777777" w:rsidTr="00B04CDE">
        <w:tc>
          <w:tcPr>
            <w:tcW w:w="6059" w:type="dxa"/>
          </w:tcPr>
          <w:p w14:paraId="1EE82E82" w14:textId="5EC9C602" w:rsidR="009B7C08" w:rsidRPr="0000757E" w:rsidRDefault="009B7C08" w:rsidP="00B04CDE">
            <w:pPr>
              <w:pStyle w:val="ListParagraph"/>
              <w:spacing w:after="120"/>
              <w:ind w:left="567" w:hanging="567"/>
              <w:contextualSpacing w:val="0"/>
              <w:jc w:val="both"/>
              <w:rPr>
                <w:rFonts w:ascii="Arial" w:hAnsi="Arial" w:cs="Arial"/>
                <w:snapToGrid w:val="0"/>
                <w:sz w:val="22"/>
                <w:szCs w:val="22"/>
                <w:lang w:val="en-US" w:eastAsia="en-US"/>
              </w:rPr>
            </w:pPr>
            <w:proofErr w:type="gramStart"/>
            <w:r>
              <w:rPr>
                <w:rFonts w:ascii="Arial" w:hAnsi="Arial" w:cs="Arial"/>
                <w:snapToGrid w:val="0"/>
                <w:sz w:val="22"/>
                <w:szCs w:val="22"/>
                <w:lang w:val="en-US" w:eastAsia="en-US"/>
              </w:rPr>
              <w:t>73.</w:t>
            </w:r>
            <w:r>
              <w:rPr>
                <w:rFonts w:ascii="Arial" w:hAnsi="Arial" w:cs="Arial"/>
                <w:snapToGrid w:val="0"/>
                <w:sz w:val="22"/>
                <w:szCs w:val="22"/>
                <w:lang w:val="en-US" w:eastAsia="en-US"/>
              </w:rPr>
              <w:tab/>
            </w:r>
            <w:r w:rsidRPr="0000757E">
              <w:rPr>
                <w:rFonts w:ascii="Arial" w:hAnsi="Arial" w:cs="Arial"/>
                <w:snapToGrid w:val="0"/>
                <w:sz w:val="22"/>
                <w:szCs w:val="22"/>
                <w:lang w:val="en-US" w:eastAsia="en-US"/>
              </w:rPr>
              <w:t>Gender-neutral language be adopted</w:t>
            </w:r>
            <w:proofErr w:type="gramEnd"/>
            <w:r w:rsidRPr="0000757E">
              <w:rPr>
                <w:rFonts w:ascii="Arial" w:hAnsi="Arial" w:cs="Arial"/>
                <w:snapToGrid w:val="0"/>
                <w:sz w:val="22"/>
                <w:szCs w:val="22"/>
                <w:lang w:val="en-US" w:eastAsia="en-US"/>
              </w:rPr>
              <w:t xml:space="preserve"> throughout all UNESCO documents.</w:t>
            </w:r>
          </w:p>
          <w:p w14:paraId="4C4CE8AC" w14:textId="76F6CD19" w:rsidR="009B7C08" w:rsidRPr="00874122" w:rsidRDefault="00334F6F" w:rsidP="00B04CDE">
            <w:pPr>
              <w:spacing w:after="120"/>
              <w:jc w:val="both"/>
              <w:rPr>
                <w:rFonts w:ascii="Arial" w:hAnsi="Arial" w:cs="Arial"/>
                <w:snapToGrid w:val="0"/>
                <w:sz w:val="22"/>
                <w:szCs w:val="22"/>
                <w:lang w:val="en-US" w:eastAsia="en-US"/>
              </w:rPr>
            </w:pPr>
            <w:r>
              <w:rPr>
                <w:rFonts w:ascii="Arial" w:hAnsi="Arial" w:cs="Arial"/>
                <w:b/>
                <w:bCs/>
                <w:sz w:val="22"/>
                <w:szCs w:val="22"/>
                <w:lang w:val="en-GB"/>
              </w:rPr>
              <w:t>Closed</w:t>
            </w:r>
          </w:p>
        </w:tc>
        <w:tc>
          <w:tcPr>
            <w:tcW w:w="8501" w:type="dxa"/>
          </w:tcPr>
          <w:p w14:paraId="3D86F835"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Not all sections of the Basic </w:t>
            </w:r>
            <w:r w:rsidRPr="0050450D">
              <w:rPr>
                <w:rFonts w:ascii="Arial" w:hAnsi="Arial" w:cs="Arial"/>
                <w:snapToGrid w:val="0"/>
                <w:sz w:val="22"/>
                <w:szCs w:val="22"/>
                <w:lang w:val="en-US" w:eastAsia="en-US"/>
              </w:rPr>
              <w:t>T</w:t>
            </w:r>
            <w:r w:rsidRPr="0049025A">
              <w:rPr>
                <w:rFonts w:ascii="Arial" w:hAnsi="Arial" w:cs="Arial"/>
                <w:snapToGrid w:val="0"/>
                <w:sz w:val="22"/>
                <w:szCs w:val="22"/>
                <w:lang w:val="en-US" w:eastAsia="en-US"/>
              </w:rPr>
              <w:t xml:space="preserve">exts of the Convention use gender-neutral language. Therefore, </w:t>
            </w:r>
            <w:r w:rsidRPr="0049025A">
              <w:rPr>
                <w:rFonts w:ascii="Arial" w:hAnsi="Arial" w:cs="Arial"/>
                <w:snapToGrid w:val="0"/>
                <w:sz w:val="22"/>
                <w:szCs w:val="22"/>
                <w:lang w:val="en-GB" w:eastAsia="en-US"/>
              </w:rPr>
              <w:t xml:space="preserve">the texts </w:t>
            </w:r>
            <w:proofErr w:type="gramStart"/>
            <w:r w:rsidRPr="0049025A">
              <w:rPr>
                <w:rFonts w:ascii="Arial" w:hAnsi="Arial" w:cs="Arial"/>
                <w:snapToGrid w:val="0"/>
                <w:sz w:val="22"/>
                <w:szCs w:val="22"/>
                <w:lang w:val="en-GB" w:eastAsia="en-US"/>
              </w:rPr>
              <w:t>may be revised</w:t>
            </w:r>
            <w:proofErr w:type="gramEnd"/>
            <w:r w:rsidRPr="0049025A">
              <w:rPr>
                <w:rFonts w:ascii="Arial" w:hAnsi="Arial" w:cs="Arial"/>
                <w:snapToGrid w:val="0"/>
                <w:sz w:val="22"/>
                <w:szCs w:val="22"/>
                <w:lang w:val="en-GB" w:eastAsia="en-US"/>
              </w:rPr>
              <w:t xml:space="preserve"> in this sense for the publication of the 2018 edition.</w:t>
            </w:r>
          </w:p>
          <w:p w14:paraId="7DECEE67" w14:textId="24767467" w:rsidR="00310F56" w:rsidRPr="00EE4900" w:rsidRDefault="008E2FC2" w:rsidP="001B1D24">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r w:rsidRPr="00EE4900">
              <w:rPr>
                <w:rFonts w:ascii="Arial" w:hAnsi="Arial" w:cs="Arial"/>
                <w:b/>
                <w:snapToGrid w:val="0"/>
                <w:sz w:val="22"/>
                <w:szCs w:val="22"/>
                <w:u w:val="single"/>
                <w:lang w:val="en-GB" w:eastAsia="en-US"/>
              </w:rPr>
              <w:t>Update</w:t>
            </w:r>
            <w:r w:rsidRPr="001B1D24">
              <w:rPr>
                <w:rFonts w:ascii="Arial" w:hAnsi="Arial" w:cs="Arial"/>
                <w:bCs/>
                <w:snapToGrid w:val="0"/>
                <w:sz w:val="22"/>
                <w:szCs w:val="22"/>
                <w:u w:val="single"/>
                <w:lang w:val="en-GB" w:eastAsia="en-US"/>
              </w:rPr>
              <w:t>:</w:t>
            </w:r>
            <w:r w:rsidRPr="007C0E13">
              <w:rPr>
                <w:rFonts w:ascii="Arial" w:hAnsi="Arial" w:cs="Arial"/>
                <w:snapToGrid w:val="0"/>
                <w:sz w:val="22"/>
                <w:szCs w:val="22"/>
                <w:u w:val="single"/>
                <w:lang w:val="en-GB" w:eastAsia="en-US"/>
              </w:rPr>
              <w:t xml:space="preserve"> </w:t>
            </w:r>
            <w:r w:rsidR="00310F56" w:rsidRPr="00EE4900">
              <w:rPr>
                <w:rFonts w:ascii="Arial" w:hAnsi="Arial" w:cs="Arial"/>
                <w:snapToGrid w:val="0"/>
                <w:sz w:val="22"/>
                <w:szCs w:val="22"/>
                <w:u w:val="single"/>
                <w:lang w:val="en-GB" w:eastAsia="en-US"/>
              </w:rPr>
              <w:t xml:space="preserve">In accordance with </w:t>
            </w:r>
            <w:hyperlink r:id="rId65" w:history="1">
              <w:r w:rsidR="00310F56" w:rsidRPr="001B1D24">
                <w:rPr>
                  <w:rStyle w:val="Hyperlink"/>
                  <w:rFonts w:ascii="Arial" w:hAnsi="Arial" w:cs="Arial"/>
                  <w:snapToGrid w:val="0"/>
                  <w:sz w:val="22"/>
                  <w:szCs w:val="22"/>
                  <w:lang w:val="en-GB" w:eastAsia="en-US"/>
                </w:rPr>
                <w:t>Resolution</w:t>
              </w:r>
              <w:r w:rsidR="001B1D24">
                <w:rPr>
                  <w:rStyle w:val="Hyperlink"/>
                  <w:rFonts w:ascii="Arial" w:hAnsi="Arial" w:cs="Arial"/>
                  <w:snapToGrid w:val="0"/>
                  <w:sz w:val="22"/>
                  <w:szCs w:val="22"/>
                  <w:lang w:val="en-GB" w:eastAsia="en-US"/>
                </w:rPr>
                <w:t> 7.GA </w:t>
              </w:r>
              <w:r w:rsidR="00E07816" w:rsidRPr="001B1D24">
                <w:rPr>
                  <w:rStyle w:val="Hyperlink"/>
                  <w:rFonts w:ascii="Arial" w:hAnsi="Arial" w:cs="Arial"/>
                  <w:snapToGrid w:val="0"/>
                  <w:sz w:val="22"/>
                  <w:szCs w:val="22"/>
                  <w:lang w:val="en-GB" w:eastAsia="en-US"/>
                </w:rPr>
                <w:t>12</w:t>
              </w:r>
            </w:hyperlink>
            <w:r w:rsidR="00E07816" w:rsidRPr="003D0369">
              <w:rPr>
                <w:rFonts w:ascii="Arial" w:hAnsi="Arial" w:cs="Arial"/>
                <w:snapToGrid w:val="0"/>
                <w:sz w:val="22"/>
                <w:szCs w:val="22"/>
                <w:u w:val="single"/>
                <w:lang w:val="en-GB" w:eastAsia="en-US"/>
              </w:rPr>
              <w:t>,</w:t>
            </w:r>
            <w:r w:rsidR="00310F56" w:rsidRPr="003D0369">
              <w:rPr>
                <w:rFonts w:ascii="Arial" w:hAnsi="Arial" w:cs="Arial"/>
                <w:snapToGrid w:val="0"/>
                <w:sz w:val="22"/>
                <w:szCs w:val="22"/>
                <w:u w:val="single"/>
                <w:lang w:val="en-GB" w:eastAsia="en-US"/>
              </w:rPr>
              <w:t xml:space="preserve"> the </w:t>
            </w:r>
            <w:r w:rsidR="00026A2B" w:rsidRPr="003D0369">
              <w:rPr>
                <w:rFonts w:ascii="Arial" w:hAnsi="Arial" w:cs="Arial"/>
                <w:snapToGrid w:val="0"/>
                <w:sz w:val="22"/>
                <w:szCs w:val="22"/>
                <w:u w:val="single"/>
                <w:lang w:val="en-GB" w:eastAsia="en-US"/>
              </w:rPr>
              <w:t>2018</w:t>
            </w:r>
            <w:r w:rsidR="00026A2B" w:rsidRPr="00EE4900">
              <w:rPr>
                <w:rFonts w:ascii="Arial" w:hAnsi="Arial" w:cs="Arial"/>
                <w:snapToGrid w:val="0"/>
                <w:sz w:val="22"/>
                <w:szCs w:val="22"/>
                <w:u w:val="single"/>
                <w:lang w:val="en-GB" w:eastAsia="en-US"/>
              </w:rPr>
              <w:t xml:space="preserve"> edition of the </w:t>
            </w:r>
            <w:r w:rsidR="00310F56" w:rsidRPr="00EE4900">
              <w:rPr>
                <w:rFonts w:ascii="Arial" w:hAnsi="Arial" w:cs="Arial"/>
                <w:snapToGrid w:val="0"/>
                <w:sz w:val="22"/>
                <w:szCs w:val="22"/>
                <w:u w:val="single"/>
                <w:lang w:val="en-GB" w:eastAsia="en-US"/>
              </w:rPr>
              <w:t xml:space="preserve">Basic Texts </w:t>
            </w:r>
            <w:r w:rsidR="00026A2B" w:rsidRPr="00EE4900">
              <w:rPr>
                <w:rFonts w:ascii="Arial" w:hAnsi="Arial" w:cs="Arial"/>
                <w:snapToGrid w:val="0"/>
                <w:sz w:val="22"/>
                <w:szCs w:val="22"/>
                <w:u w:val="single"/>
                <w:lang w:val="en-GB" w:eastAsia="en-US"/>
              </w:rPr>
              <w:t>adopts gender-neutral language throughout</w:t>
            </w:r>
            <w:r w:rsidR="007C0E13" w:rsidRPr="007C0E13">
              <w:rPr>
                <w:rFonts w:ascii="Arial" w:hAnsi="Arial" w:cs="Arial"/>
                <w:snapToGrid w:val="0"/>
                <w:sz w:val="22"/>
                <w:szCs w:val="22"/>
                <w:u w:val="single"/>
                <w:lang w:val="en-GB" w:eastAsia="en-US"/>
              </w:rPr>
              <w:t xml:space="preserve"> in all six languages of UNESCO.</w:t>
            </w:r>
          </w:p>
        </w:tc>
      </w:tr>
      <w:tr w:rsidR="009B7C08" w:rsidRPr="008240F2" w14:paraId="1C06998F" w14:textId="77777777" w:rsidTr="00B04CDE">
        <w:trPr>
          <w:trHeight w:val="340"/>
        </w:trPr>
        <w:tc>
          <w:tcPr>
            <w:tcW w:w="14560" w:type="dxa"/>
            <w:gridSpan w:val="2"/>
            <w:shd w:val="clear" w:color="auto" w:fill="F2F2F2" w:themeFill="background1" w:themeFillShade="F2"/>
          </w:tcPr>
          <w:p w14:paraId="0AEC0849" w14:textId="77777777" w:rsidR="009B7C08" w:rsidRPr="0050450D" w:rsidRDefault="009B7C08" w:rsidP="00B04CDE">
            <w:pPr>
              <w:keepNext/>
              <w:rPr>
                <w:rFonts w:ascii="Arial" w:hAnsi="Arial" w:cs="Arial"/>
                <w:b/>
                <w:snapToGrid w:val="0"/>
                <w:sz w:val="22"/>
                <w:szCs w:val="22"/>
                <w:lang w:val="en-GB" w:eastAsia="en-US"/>
              </w:rPr>
            </w:pPr>
            <w:r w:rsidRPr="0049025A">
              <w:rPr>
                <w:rFonts w:ascii="Arial" w:hAnsi="Arial" w:cs="Arial"/>
                <w:b/>
                <w:snapToGrid w:val="0"/>
                <w:sz w:val="22"/>
                <w:szCs w:val="22"/>
                <w:lang w:val="en-GB" w:eastAsia="en-US"/>
              </w:rPr>
              <w:t xml:space="preserve">Alignment with </w:t>
            </w:r>
            <w:r w:rsidRPr="0050450D">
              <w:rPr>
                <w:rFonts w:ascii="Arial" w:hAnsi="Arial" w:cs="Arial"/>
                <w:b/>
                <w:snapToGrid w:val="0"/>
                <w:sz w:val="22"/>
                <w:szCs w:val="22"/>
                <w:lang w:val="en-GB" w:eastAsia="en-US"/>
              </w:rPr>
              <w:t>overarching priorities of UNESCO</w:t>
            </w:r>
          </w:p>
        </w:tc>
      </w:tr>
      <w:tr w:rsidR="009B7C08" w:rsidRPr="008240F2" w14:paraId="14429D69" w14:textId="77777777" w:rsidTr="00B04CDE">
        <w:tc>
          <w:tcPr>
            <w:tcW w:w="6059" w:type="dxa"/>
          </w:tcPr>
          <w:p w14:paraId="443DCFE7" w14:textId="14A4530C" w:rsidR="009B7C08" w:rsidRPr="00324032" w:rsidRDefault="009B7C08" w:rsidP="00A741D3">
            <w:pPr>
              <w:pStyle w:val="ListParagraph"/>
              <w:numPr>
                <w:ilvl w:val="0"/>
                <w:numId w:val="11"/>
              </w:numPr>
              <w:spacing w:after="120"/>
              <w:ind w:left="567" w:hanging="567"/>
              <w:contextualSpacing w:val="0"/>
              <w:jc w:val="both"/>
              <w:rPr>
                <w:rFonts w:ascii="Arial" w:hAnsi="Arial" w:cs="Arial"/>
                <w:snapToGrid w:val="0"/>
                <w:sz w:val="22"/>
                <w:szCs w:val="22"/>
                <w:lang w:val="en-US" w:eastAsia="en-US"/>
              </w:rPr>
            </w:pPr>
            <w:r w:rsidRPr="00324032">
              <w:rPr>
                <w:rFonts w:ascii="Arial" w:hAnsi="Arial" w:cs="Arial"/>
                <w:snapToGrid w:val="0"/>
                <w:sz w:val="22"/>
                <w:szCs w:val="22"/>
                <w:lang w:val="en-US" w:eastAsia="en-US"/>
              </w:rPr>
              <w:t xml:space="preserve">Orientation sessions for new members of all IIBs, especially for Chairpersons and Bureau members, should be institutionalized and include introduction to the C/4 and C/5 frameworks. To that end, a short user-friendly guidebook including good practices and acronyms </w:t>
            </w:r>
            <w:proofErr w:type="gramStart"/>
            <w:r w:rsidRPr="00324032">
              <w:rPr>
                <w:rFonts w:ascii="Arial" w:hAnsi="Arial" w:cs="Arial"/>
                <w:snapToGrid w:val="0"/>
                <w:sz w:val="22"/>
                <w:szCs w:val="22"/>
                <w:lang w:val="en-US" w:eastAsia="en-US"/>
              </w:rPr>
              <w:t>could be produced</w:t>
            </w:r>
            <w:proofErr w:type="gramEnd"/>
            <w:r w:rsidRPr="00324032">
              <w:rPr>
                <w:rFonts w:ascii="Arial" w:hAnsi="Arial" w:cs="Arial"/>
                <w:snapToGrid w:val="0"/>
                <w:sz w:val="22"/>
                <w:szCs w:val="22"/>
                <w:lang w:val="en-US" w:eastAsia="en-US"/>
              </w:rPr>
              <w:t xml:space="preserve"> to familiarize members with working methods and C/4 and C/5 mechanisms.</w:t>
            </w:r>
          </w:p>
          <w:p w14:paraId="125D994D" w14:textId="77777777" w:rsidR="009B7C08" w:rsidRPr="00324032" w:rsidRDefault="009B7C08" w:rsidP="00B04CDE">
            <w:pPr>
              <w:spacing w:after="120"/>
              <w:jc w:val="both"/>
              <w:rPr>
                <w:rFonts w:ascii="Arial" w:hAnsi="Arial" w:cs="Arial"/>
                <w:snapToGrid w:val="0"/>
                <w:sz w:val="22"/>
                <w:szCs w:val="22"/>
                <w:lang w:val="en-US" w:eastAsia="en-US"/>
              </w:rPr>
            </w:pPr>
            <w:r w:rsidRPr="00324032">
              <w:rPr>
                <w:rFonts w:ascii="Arial" w:hAnsi="Arial" w:cs="Arial"/>
                <w:b/>
                <w:bCs/>
                <w:snapToGrid w:val="0"/>
                <w:sz w:val="22"/>
                <w:szCs w:val="22"/>
                <w:lang w:val="en-GB" w:eastAsia="en-US"/>
              </w:rPr>
              <w:t>Ongoing</w:t>
            </w:r>
          </w:p>
        </w:tc>
        <w:tc>
          <w:tcPr>
            <w:tcW w:w="8501" w:type="dxa"/>
          </w:tcPr>
          <w:p w14:paraId="2BCEE448" w14:textId="00CABB03" w:rsidR="009B7C08" w:rsidRPr="00324032"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US" w:eastAsia="en-US"/>
              </w:rPr>
              <w:t xml:space="preserve">With regard to the General Assembly, the Secretariat sends a welcome letter to each new State Party to the Convention, which draws their attention to the Basic Texts of the Convention and </w:t>
            </w:r>
            <w:r w:rsidR="00811ADE">
              <w:rPr>
                <w:rFonts w:ascii="Arial" w:hAnsi="Arial" w:cs="Arial"/>
                <w:snapToGrid w:val="0"/>
                <w:sz w:val="22"/>
                <w:szCs w:val="22"/>
                <w:lang w:val="en-US" w:eastAsia="en-US"/>
              </w:rPr>
              <w:t>provides</w:t>
            </w:r>
            <w:r w:rsidR="00811ADE" w:rsidRPr="00324032">
              <w:rPr>
                <w:rFonts w:ascii="Arial" w:hAnsi="Arial" w:cs="Arial"/>
                <w:snapToGrid w:val="0"/>
                <w:sz w:val="22"/>
                <w:szCs w:val="22"/>
                <w:lang w:val="en-US" w:eastAsia="en-US"/>
              </w:rPr>
              <w:t xml:space="preserve"> </w:t>
            </w:r>
            <w:r w:rsidRPr="00324032">
              <w:rPr>
                <w:rFonts w:ascii="Arial" w:hAnsi="Arial" w:cs="Arial"/>
                <w:snapToGrid w:val="0"/>
                <w:sz w:val="22"/>
                <w:szCs w:val="22"/>
                <w:lang w:val="en-US" w:eastAsia="en-US"/>
              </w:rPr>
              <w:t xml:space="preserve">them </w:t>
            </w:r>
            <w:r w:rsidR="00811ADE">
              <w:rPr>
                <w:rFonts w:ascii="Arial" w:hAnsi="Arial" w:cs="Arial"/>
                <w:snapToGrid w:val="0"/>
                <w:sz w:val="22"/>
                <w:szCs w:val="22"/>
                <w:lang w:val="en-US" w:eastAsia="en-US"/>
              </w:rPr>
              <w:t>with</w:t>
            </w:r>
            <w:r w:rsidRPr="00324032">
              <w:rPr>
                <w:rFonts w:ascii="Arial" w:hAnsi="Arial" w:cs="Arial"/>
                <w:snapToGrid w:val="0"/>
                <w:sz w:val="22"/>
                <w:szCs w:val="22"/>
                <w:lang w:val="en-US" w:eastAsia="en-US"/>
              </w:rPr>
              <w:t xml:space="preserve"> the contact details of the officer designated to support them. The Chairperson </w:t>
            </w:r>
            <w:proofErr w:type="gramStart"/>
            <w:r w:rsidRPr="00324032">
              <w:rPr>
                <w:rFonts w:ascii="Arial" w:hAnsi="Arial" w:cs="Arial"/>
                <w:snapToGrid w:val="0"/>
                <w:sz w:val="22"/>
                <w:szCs w:val="22"/>
                <w:lang w:val="en-US" w:eastAsia="en-US"/>
              </w:rPr>
              <w:t>is elected</w:t>
            </w:r>
            <w:proofErr w:type="gramEnd"/>
            <w:r w:rsidRPr="00324032">
              <w:rPr>
                <w:rFonts w:ascii="Arial" w:hAnsi="Arial" w:cs="Arial"/>
                <w:snapToGrid w:val="0"/>
                <w:sz w:val="22"/>
                <w:szCs w:val="22"/>
                <w:lang w:val="en-US" w:eastAsia="en-US"/>
              </w:rPr>
              <w:t xml:space="preserve"> at the opening of each Session and therefore cannot receive an introduction in advance.</w:t>
            </w:r>
          </w:p>
          <w:p w14:paraId="3B1878AC" w14:textId="77777777" w:rsidR="009B7C08" w:rsidRPr="00324032"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GB" w:eastAsia="en-US"/>
              </w:rPr>
              <w:t xml:space="preserve">Regarding the </w:t>
            </w:r>
            <w:r w:rsidRPr="00324032">
              <w:rPr>
                <w:rFonts w:ascii="Arial" w:hAnsi="Arial" w:cs="Arial"/>
                <w:snapToGrid w:val="0"/>
                <w:sz w:val="22"/>
                <w:szCs w:val="22"/>
                <w:lang w:val="en-US" w:eastAsia="en-US"/>
              </w:rPr>
              <w:t>Committee, during a preparatory mission to the Host Country (in March/April each year) the Secretary has face-to-face discussions with the Chairperson on agenda items, the role of the Chairperson, the Rules of Procedure of the Committee and the working methods.</w:t>
            </w:r>
          </w:p>
          <w:p w14:paraId="34DA2225" w14:textId="77777777" w:rsidR="009B7C08" w:rsidRPr="00334F6F"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US" w:eastAsia="en-US"/>
              </w:rPr>
              <w:lastRenderedPageBreak/>
              <w:t xml:space="preserve">For States Members of the Committee, an orientation session </w:t>
            </w:r>
            <w:proofErr w:type="gramStart"/>
            <w:r w:rsidRPr="00324032">
              <w:rPr>
                <w:rFonts w:ascii="Arial" w:hAnsi="Arial" w:cs="Arial"/>
                <w:snapToGrid w:val="0"/>
                <w:sz w:val="22"/>
                <w:szCs w:val="22"/>
                <w:lang w:val="en-US" w:eastAsia="en-US"/>
              </w:rPr>
              <w:t>is organized</w:t>
            </w:r>
            <w:proofErr w:type="gramEnd"/>
            <w:r w:rsidRPr="00324032">
              <w:rPr>
                <w:rFonts w:ascii="Arial" w:hAnsi="Arial" w:cs="Arial"/>
                <w:snapToGrid w:val="0"/>
                <w:sz w:val="22"/>
                <w:szCs w:val="22"/>
                <w:lang w:val="en-US" w:eastAsia="en-US"/>
              </w:rPr>
              <w:t xml:space="preserve"> on the eve of the opening of the Committee session every even year when new Committee members are elected. Furthermore, an information and exchange session concerning the following Committee session </w:t>
            </w:r>
            <w:proofErr w:type="gramStart"/>
            <w:r w:rsidRPr="00324032">
              <w:rPr>
                <w:rFonts w:ascii="Arial" w:hAnsi="Arial" w:cs="Arial"/>
                <w:snapToGrid w:val="0"/>
                <w:sz w:val="22"/>
                <w:szCs w:val="22"/>
                <w:lang w:val="en-US" w:eastAsia="en-US"/>
              </w:rPr>
              <w:t>is organized</w:t>
            </w:r>
            <w:proofErr w:type="gramEnd"/>
            <w:r w:rsidRPr="00324032">
              <w:rPr>
                <w:rFonts w:ascii="Arial" w:hAnsi="Arial" w:cs="Arial"/>
                <w:snapToGrid w:val="0"/>
                <w:sz w:val="22"/>
                <w:szCs w:val="22"/>
                <w:lang w:val="en-US" w:eastAsia="en-US"/>
              </w:rPr>
              <w:t xml:space="preserve"> each year in October. To enable Committee Members to understand their tasks and responsibilities early after their election, the Secretariat may share relevant briefing documentation with new Committee members.</w:t>
            </w:r>
          </w:p>
          <w:p w14:paraId="2F5CC01B" w14:textId="1488E464" w:rsidR="00026A2B" w:rsidRPr="00EE4900" w:rsidRDefault="008E2FC2" w:rsidP="00A741D3">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r w:rsidRPr="00EE4900">
              <w:rPr>
                <w:rFonts w:ascii="Arial" w:hAnsi="Arial" w:cs="Arial"/>
                <w:b/>
                <w:snapToGrid w:val="0"/>
                <w:sz w:val="22"/>
                <w:szCs w:val="22"/>
                <w:u w:val="single"/>
                <w:lang w:val="en-US" w:eastAsia="en-US"/>
              </w:rPr>
              <w:t>Update</w:t>
            </w:r>
            <w:r w:rsidRPr="00BA7F29">
              <w:rPr>
                <w:rFonts w:ascii="Arial" w:hAnsi="Arial" w:cs="Arial"/>
                <w:bCs/>
                <w:snapToGrid w:val="0"/>
                <w:sz w:val="22"/>
                <w:szCs w:val="22"/>
                <w:u w:val="single"/>
                <w:lang w:val="en-US" w:eastAsia="en-US"/>
              </w:rPr>
              <w:t>:</w:t>
            </w:r>
            <w:r w:rsidRPr="00792CEB">
              <w:rPr>
                <w:rFonts w:ascii="Arial" w:hAnsi="Arial" w:cs="Arial"/>
                <w:snapToGrid w:val="0"/>
                <w:sz w:val="22"/>
                <w:szCs w:val="22"/>
                <w:u w:val="single"/>
                <w:lang w:val="en-US" w:eastAsia="en-US"/>
              </w:rPr>
              <w:t xml:space="preserve"> </w:t>
            </w:r>
            <w:r w:rsidR="00026A2B" w:rsidRPr="00EE4900">
              <w:rPr>
                <w:rFonts w:ascii="Arial" w:hAnsi="Arial" w:cs="Arial"/>
                <w:snapToGrid w:val="0"/>
                <w:sz w:val="22"/>
                <w:szCs w:val="22"/>
                <w:u w:val="single"/>
                <w:lang w:val="en-US" w:eastAsia="en-US"/>
              </w:rPr>
              <w:t>Following the election of the twelv</w:t>
            </w:r>
            <w:r w:rsidR="00BA7F29">
              <w:rPr>
                <w:rFonts w:ascii="Arial" w:hAnsi="Arial" w:cs="Arial"/>
                <w:snapToGrid w:val="0"/>
                <w:sz w:val="22"/>
                <w:szCs w:val="22"/>
                <w:u w:val="single"/>
                <w:lang w:val="en-US" w:eastAsia="en-US"/>
              </w:rPr>
              <w:t>e new Committee members in June </w:t>
            </w:r>
            <w:r w:rsidR="00026A2B" w:rsidRPr="00EE4900">
              <w:rPr>
                <w:rFonts w:ascii="Arial" w:hAnsi="Arial" w:cs="Arial"/>
                <w:snapToGrid w:val="0"/>
                <w:sz w:val="22"/>
                <w:szCs w:val="22"/>
                <w:u w:val="single"/>
                <w:lang w:val="en-US" w:eastAsia="en-US"/>
              </w:rPr>
              <w:t xml:space="preserve">2018, </w:t>
            </w:r>
            <w:r w:rsidR="00E07816" w:rsidRPr="00EE4900">
              <w:rPr>
                <w:rFonts w:ascii="Arial" w:hAnsi="Arial" w:cs="Arial"/>
                <w:snapToGrid w:val="0"/>
                <w:sz w:val="22"/>
                <w:szCs w:val="22"/>
                <w:u w:val="single"/>
                <w:lang w:val="en-US" w:eastAsia="en-US"/>
              </w:rPr>
              <w:t xml:space="preserve">the Secretariat sent a </w:t>
            </w:r>
            <w:r w:rsidR="00025677">
              <w:rPr>
                <w:rFonts w:ascii="Arial" w:hAnsi="Arial" w:cs="Arial"/>
                <w:snapToGrid w:val="0"/>
                <w:sz w:val="22"/>
                <w:szCs w:val="22"/>
                <w:u w:val="single"/>
                <w:lang w:val="en-US" w:eastAsia="en-US"/>
              </w:rPr>
              <w:t>g</w:t>
            </w:r>
            <w:r w:rsidRPr="00EE4900">
              <w:rPr>
                <w:rFonts w:ascii="Arial" w:hAnsi="Arial" w:cs="Arial"/>
                <w:snapToGrid w:val="0"/>
                <w:sz w:val="22"/>
                <w:szCs w:val="22"/>
                <w:u w:val="single"/>
                <w:lang w:val="en-US" w:eastAsia="en-US"/>
              </w:rPr>
              <w:t xml:space="preserve">eneral </w:t>
            </w:r>
            <w:r w:rsidR="00025677">
              <w:rPr>
                <w:rFonts w:ascii="Arial" w:hAnsi="Arial" w:cs="Arial"/>
                <w:snapToGrid w:val="0"/>
                <w:sz w:val="22"/>
                <w:szCs w:val="22"/>
                <w:u w:val="single"/>
                <w:lang w:val="en-US" w:eastAsia="en-US"/>
              </w:rPr>
              <w:t>i</w:t>
            </w:r>
            <w:r w:rsidRPr="00EE4900">
              <w:rPr>
                <w:rFonts w:ascii="Arial" w:hAnsi="Arial" w:cs="Arial"/>
                <w:snapToGrid w:val="0"/>
                <w:sz w:val="22"/>
                <w:szCs w:val="22"/>
                <w:u w:val="single"/>
                <w:lang w:val="en-US" w:eastAsia="en-US"/>
              </w:rPr>
              <w:t>ntroduction document</w:t>
            </w:r>
            <w:r w:rsidR="0029706C">
              <w:rPr>
                <w:rFonts w:ascii="Arial" w:hAnsi="Arial" w:cs="Arial"/>
                <w:snapToGrid w:val="0"/>
                <w:sz w:val="22"/>
                <w:szCs w:val="22"/>
                <w:u w:val="single"/>
                <w:lang w:val="en-US" w:eastAsia="en-US"/>
              </w:rPr>
              <w:t xml:space="preserve"> on the 2003 Convention to these</w:t>
            </w:r>
            <w:r w:rsidRPr="00EE4900">
              <w:rPr>
                <w:rFonts w:ascii="Arial" w:hAnsi="Arial" w:cs="Arial"/>
                <w:snapToGrid w:val="0"/>
                <w:sz w:val="22"/>
                <w:szCs w:val="22"/>
                <w:u w:val="single"/>
                <w:lang w:val="en-US" w:eastAsia="en-US"/>
              </w:rPr>
              <w:t xml:space="preserve"> new members</w:t>
            </w:r>
            <w:r w:rsidR="0029706C">
              <w:rPr>
                <w:rFonts w:ascii="Arial" w:hAnsi="Arial" w:cs="Arial"/>
                <w:snapToGrid w:val="0"/>
                <w:sz w:val="22"/>
                <w:szCs w:val="22"/>
                <w:u w:val="single"/>
                <w:lang w:val="en-US" w:eastAsia="en-US"/>
              </w:rPr>
              <w:t xml:space="preserve">; in addition, an orientation session was </w:t>
            </w:r>
            <w:r w:rsidR="00811ADE">
              <w:rPr>
                <w:rFonts w:ascii="Arial" w:hAnsi="Arial" w:cs="Arial"/>
                <w:snapToGrid w:val="0"/>
                <w:sz w:val="22"/>
                <w:szCs w:val="22"/>
                <w:u w:val="single"/>
                <w:lang w:val="en-US" w:eastAsia="en-US"/>
              </w:rPr>
              <w:t>organized</w:t>
            </w:r>
            <w:r w:rsidR="0029706C">
              <w:rPr>
                <w:rFonts w:ascii="Arial" w:hAnsi="Arial" w:cs="Arial"/>
                <w:snapToGrid w:val="0"/>
                <w:sz w:val="22"/>
                <w:szCs w:val="22"/>
                <w:u w:val="single"/>
                <w:lang w:val="en-US" w:eastAsia="en-US"/>
              </w:rPr>
              <w:t xml:space="preserve"> during the exchange and information session, held on 2 October 2018, concerning the thirteenth session of the Committee.</w:t>
            </w:r>
          </w:p>
        </w:tc>
      </w:tr>
      <w:tr w:rsidR="009B7C08" w:rsidRPr="00C2060D" w14:paraId="650CAA3C"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5A9D7133" w14:textId="77777777" w:rsidR="009B7C08" w:rsidRPr="003E5477" w:rsidRDefault="009B7C08" w:rsidP="00B04CDE">
            <w:pPr>
              <w:keepNext/>
              <w:rPr>
                <w:rFonts w:ascii="Arial" w:hAnsi="Arial" w:cs="Arial"/>
                <w:b/>
                <w:snapToGrid w:val="0"/>
                <w:sz w:val="22"/>
                <w:szCs w:val="22"/>
                <w:lang w:val="en-GB" w:eastAsia="en-US"/>
              </w:rPr>
            </w:pPr>
            <w:r w:rsidRPr="00A7341F">
              <w:rPr>
                <w:rFonts w:ascii="Arial" w:hAnsi="Arial" w:cs="Arial"/>
                <w:b/>
                <w:snapToGrid w:val="0"/>
                <w:sz w:val="22"/>
                <w:szCs w:val="22"/>
                <w:lang w:val="en-GB" w:eastAsia="en-US"/>
              </w:rPr>
              <w:lastRenderedPageBreak/>
              <w:t>Coherence, coordination and synergies</w:t>
            </w:r>
          </w:p>
        </w:tc>
      </w:tr>
      <w:tr w:rsidR="009B7C08" w:rsidRPr="008240F2" w14:paraId="3CC9B07B" w14:textId="77777777" w:rsidTr="00B04CDE">
        <w:tc>
          <w:tcPr>
            <w:tcW w:w="6059" w:type="dxa"/>
          </w:tcPr>
          <w:p w14:paraId="31EBB18A" w14:textId="26748BB7" w:rsidR="009B7C08" w:rsidRDefault="009B7C08" w:rsidP="00A741D3">
            <w:pPr>
              <w:pStyle w:val="ListParagraph"/>
              <w:numPr>
                <w:ilvl w:val="0"/>
                <w:numId w:val="12"/>
              </w:numPr>
              <w:spacing w:after="120"/>
              <w:ind w:left="567" w:hanging="567"/>
              <w:contextualSpacing w:val="0"/>
              <w:jc w:val="both"/>
              <w:rPr>
                <w:rFonts w:ascii="Arial" w:hAnsi="Arial" w:cs="Arial"/>
                <w:snapToGrid w:val="0"/>
                <w:sz w:val="22"/>
                <w:szCs w:val="22"/>
                <w:lang w:val="en-US" w:eastAsia="en-US"/>
              </w:rPr>
            </w:pPr>
            <w:r w:rsidRPr="00985ABE">
              <w:rPr>
                <w:rFonts w:ascii="Arial" w:hAnsi="Arial" w:cs="Arial"/>
                <w:snapToGrid w:val="0"/>
                <w:sz w:val="22"/>
                <w:szCs w:val="22"/>
                <w:lang w:val="en-US" w:eastAsia="en-US"/>
              </w:rPr>
              <w:t>Use of languages for inclusivity and effectiveness remains an important objective.</w:t>
            </w:r>
          </w:p>
          <w:p w14:paraId="3A06CAA2" w14:textId="77777777" w:rsidR="009B7C08" w:rsidRPr="00E863FC" w:rsidRDefault="009B7C08" w:rsidP="00B04CDE">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Pr>
                <w:rFonts w:ascii="Arial" w:hAnsi="Arial" w:cs="Arial"/>
                <w:b/>
                <w:bCs/>
                <w:snapToGrid w:val="0"/>
                <w:sz w:val="22"/>
                <w:szCs w:val="22"/>
                <w:lang w:val="en-GB" w:eastAsia="en-US"/>
              </w:rPr>
              <w:t>losed</w:t>
            </w:r>
          </w:p>
        </w:tc>
        <w:tc>
          <w:tcPr>
            <w:tcW w:w="8501" w:type="dxa"/>
          </w:tcPr>
          <w:p w14:paraId="319877FA"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working languages of the General Assembly are Arabic, Chinese, English, French, Russian and Spanish (</w:t>
            </w:r>
            <w:hyperlink r:id="rId66" w:anchor="Rule10" w:history="1">
              <w:r w:rsidRPr="009E5BD6">
                <w:rPr>
                  <w:rStyle w:val="Hyperlink"/>
                  <w:rFonts w:ascii="Arial" w:hAnsi="Arial" w:cs="Arial"/>
                  <w:snapToGrid w:val="0"/>
                  <w:sz w:val="22"/>
                  <w:szCs w:val="22"/>
                  <w:lang w:val="en-GB" w:eastAsia="en-US"/>
                </w:rPr>
                <w:t>Rule 10.1</w:t>
              </w:r>
            </w:hyperlink>
            <w:r>
              <w:rPr>
                <w:rFonts w:ascii="Arial" w:hAnsi="Arial" w:cs="Arial"/>
                <w:snapToGrid w:val="0"/>
                <w:sz w:val="22"/>
                <w:szCs w:val="22"/>
                <w:lang w:val="en-GB" w:eastAsia="en-US"/>
              </w:rPr>
              <w:t>). ‘Speakers may, however, speak in any other language, provided that they make their own arrangements for interpretation of their speeches into one of the working languages’ (</w:t>
            </w:r>
            <w:hyperlink r:id="rId67" w:anchor="Rule10" w:history="1">
              <w:r w:rsidRPr="009E5BD6">
                <w:rPr>
                  <w:rStyle w:val="Hyperlink"/>
                  <w:rFonts w:ascii="Arial" w:hAnsi="Arial" w:cs="Arial"/>
                  <w:snapToGrid w:val="0"/>
                  <w:sz w:val="22"/>
                  <w:szCs w:val="22"/>
                  <w:lang w:val="en-GB" w:eastAsia="en-US"/>
                </w:rPr>
                <w:t>Rule 1</w:t>
              </w:r>
              <w:r>
                <w:rPr>
                  <w:rStyle w:val="Hyperlink"/>
                  <w:rFonts w:ascii="Arial" w:hAnsi="Arial" w:cs="Arial"/>
                  <w:snapToGrid w:val="0"/>
                  <w:sz w:val="22"/>
                  <w:szCs w:val="22"/>
                  <w:lang w:val="en-GB" w:eastAsia="en-US"/>
                </w:rPr>
                <w:t>0.3</w:t>
              </w:r>
            </w:hyperlink>
            <w:r>
              <w:rPr>
                <w:rFonts w:ascii="Arial" w:hAnsi="Arial" w:cs="Arial"/>
                <w:snapToGrid w:val="0"/>
                <w:sz w:val="22"/>
                <w:szCs w:val="22"/>
                <w:lang w:val="en-GB" w:eastAsia="en-US"/>
              </w:rPr>
              <w:t>).</w:t>
            </w:r>
          </w:p>
          <w:p w14:paraId="413F8477" w14:textId="0BE667CC" w:rsidR="009B7C08" w:rsidRPr="00333D5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333D58">
              <w:rPr>
                <w:rFonts w:ascii="Arial" w:hAnsi="Arial" w:cs="Arial"/>
                <w:snapToGrid w:val="0"/>
                <w:sz w:val="22"/>
                <w:szCs w:val="22"/>
                <w:lang w:val="en-GB" w:eastAsia="en-US"/>
              </w:rPr>
              <w:t xml:space="preserve">The working languages of the Committee are English and French. </w:t>
            </w:r>
            <w:hyperlink r:id="rId68" w:anchor="Rule41" w:history="1">
              <w:r w:rsidRPr="00333D58">
                <w:rPr>
                  <w:rStyle w:val="Hyperlink"/>
                  <w:rFonts w:ascii="Arial" w:hAnsi="Arial" w:cs="Arial"/>
                  <w:snapToGrid w:val="0"/>
                  <w:sz w:val="22"/>
                  <w:szCs w:val="22"/>
                  <w:lang w:val="en-GB" w:eastAsia="en-US"/>
                </w:rPr>
                <w:t>Rule 41.1</w:t>
              </w:r>
            </w:hyperlink>
            <w:r w:rsidRPr="00333D58">
              <w:rPr>
                <w:rFonts w:ascii="Arial" w:hAnsi="Arial" w:cs="Arial"/>
                <w:snapToGrid w:val="0"/>
                <w:sz w:val="22"/>
                <w:szCs w:val="22"/>
                <w:lang w:val="en-GB" w:eastAsia="en-US"/>
              </w:rPr>
              <w:t xml:space="preserve"> stipulates that ‘[e]very </w:t>
            </w:r>
            <w:r w:rsidRPr="00333D58">
              <w:rPr>
                <w:rFonts w:ascii="Arial" w:hAnsi="Arial" w:cs="Arial"/>
                <w:snapToGrid w:val="0"/>
                <w:sz w:val="22"/>
                <w:szCs w:val="22"/>
                <w:lang w:val="en-US" w:eastAsia="en-US"/>
              </w:rPr>
              <w:t xml:space="preserve">effort shall be made, including through </w:t>
            </w:r>
            <w:proofErr w:type="spellStart"/>
            <w:r w:rsidRPr="00333D58">
              <w:rPr>
                <w:rFonts w:ascii="Arial" w:hAnsi="Arial" w:cs="Arial"/>
                <w:snapToGrid w:val="0"/>
                <w:sz w:val="22"/>
                <w:szCs w:val="22"/>
                <w:lang w:val="en-US" w:eastAsia="en-US"/>
              </w:rPr>
              <w:t>extrabudgetary</w:t>
            </w:r>
            <w:proofErr w:type="spellEnd"/>
            <w:r w:rsidRPr="00333D58">
              <w:rPr>
                <w:rFonts w:ascii="Arial" w:hAnsi="Arial" w:cs="Arial"/>
                <w:snapToGrid w:val="0"/>
                <w:sz w:val="22"/>
                <w:szCs w:val="22"/>
                <w:lang w:val="en-US" w:eastAsia="en-US"/>
              </w:rPr>
              <w:t xml:space="preserve"> funding, to facilitate the use of the other official languages of the United Nations as working languages.’ </w:t>
            </w:r>
            <w:r w:rsidRPr="00333D58">
              <w:rPr>
                <w:rFonts w:ascii="Arial" w:hAnsi="Arial" w:cs="Arial"/>
                <w:snapToGrid w:val="0"/>
                <w:sz w:val="22"/>
                <w:szCs w:val="22"/>
                <w:lang w:val="en-GB" w:eastAsia="en-US"/>
              </w:rPr>
              <w:t xml:space="preserve">States Parties </w:t>
            </w:r>
            <w:proofErr w:type="gramStart"/>
            <w:r w:rsidRPr="00333D58">
              <w:rPr>
                <w:rFonts w:ascii="Arial" w:hAnsi="Arial" w:cs="Arial"/>
                <w:snapToGrid w:val="0"/>
                <w:sz w:val="22"/>
                <w:szCs w:val="22"/>
                <w:lang w:val="en-GB" w:eastAsia="en-US"/>
              </w:rPr>
              <w:t>are reminded</w:t>
            </w:r>
            <w:proofErr w:type="gramEnd"/>
            <w:r w:rsidRPr="00333D58">
              <w:rPr>
                <w:rFonts w:ascii="Arial" w:hAnsi="Arial" w:cs="Arial"/>
                <w:snapToGrid w:val="0"/>
                <w:sz w:val="22"/>
                <w:szCs w:val="22"/>
                <w:lang w:val="en-GB" w:eastAsia="en-US"/>
              </w:rPr>
              <w:t xml:space="preserve">, before each session of the </w:t>
            </w:r>
            <w:r w:rsidR="0082153B" w:rsidRPr="00333D58">
              <w:rPr>
                <w:rFonts w:ascii="Arial" w:hAnsi="Arial" w:cs="Arial"/>
                <w:snapToGrid w:val="0"/>
                <w:sz w:val="22"/>
                <w:szCs w:val="22"/>
                <w:lang w:val="en-GB" w:eastAsia="en-US"/>
              </w:rPr>
              <w:t>Committee that</w:t>
            </w:r>
            <w:r w:rsidRPr="00333D58">
              <w:rPr>
                <w:rFonts w:ascii="Arial" w:hAnsi="Arial" w:cs="Arial"/>
                <w:snapToGrid w:val="0"/>
                <w:sz w:val="22"/>
                <w:szCs w:val="22"/>
                <w:lang w:val="en-GB" w:eastAsia="en-US"/>
              </w:rPr>
              <w:t xml:space="preserve"> interpretation in additional languages </w:t>
            </w:r>
            <w:r w:rsidR="00811ADE">
              <w:rPr>
                <w:rFonts w:ascii="Arial" w:hAnsi="Arial" w:cs="Arial"/>
                <w:snapToGrid w:val="0"/>
                <w:sz w:val="22"/>
                <w:szCs w:val="22"/>
                <w:lang w:val="en-GB" w:eastAsia="en-US"/>
              </w:rPr>
              <w:t>can</w:t>
            </w:r>
            <w:r w:rsidR="00811ADE" w:rsidRPr="00333D58">
              <w:rPr>
                <w:rFonts w:ascii="Arial" w:hAnsi="Arial" w:cs="Arial"/>
                <w:snapToGrid w:val="0"/>
                <w:sz w:val="22"/>
                <w:szCs w:val="22"/>
                <w:lang w:val="en-GB" w:eastAsia="en-US"/>
              </w:rPr>
              <w:t xml:space="preserve"> </w:t>
            </w:r>
            <w:r w:rsidRPr="00333D58">
              <w:rPr>
                <w:rFonts w:ascii="Arial" w:hAnsi="Arial" w:cs="Arial"/>
                <w:snapToGrid w:val="0"/>
                <w:sz w:val="22"/>
                <w:szCs w:val="22"/>
                <w:lang w:val="en-GB" w:eastAsia="en-US"/>
              </w:rPr>
              <w:t xml:space="preserve">be offered if </w:t>
            </w:r>
            <w:proofErr w:type="spellStart"/>
            <w:r w:rsidRPr="00333D58">
              <w:rPr>
                <w:rFonts w:ascii="Arial" w:hAnsi="Arial" w:cs="Arial"/>
                <w:snapToGrid w:val="0"/>
                <w:sz w:val="22"/>
                <w:szCs w:val="22"/>
                <w:lang w:val="en-GB" w:eastAsia="en-US"/>
              </w:rPr>
              <w:t>extrabudgetary</w:t>
            </w:r>
            <w:proofErr w:type="spellEnd"/>
            <w:r w:rsidRPr="00333D58">
              <w:rPr>
                <w:rFonts w:ascii="Arial" w:hAnsi="Arial" w:cs="Arial"/>
                <w:snapToGrid w:val="0"/>
                <w:sz w:val="22"/>
                <w:szCs w:val="22"/>
                <w:lang w:val="en-GB" w:eastAsia="en-US"/>
              </w:rPr>
              <w:t xml:space="preserve"> funding </w:t>
            </w:r>
            <w:r w:rsidR="00811ADE">
              <w:rPr>
                <w:rFonts w:ascii="Arial" w:hAnsi="Arial" w:cs="Arial"/>
                <w:snapToGrid w:val="0"/>
                <w:sz w:val="22"/>
                <w:szCs w:val="22"/>
                <w:lang w:val="en-GB" w:eastAsia="en-US"/>
              </w:rPr>
              <w:t>are</w:t>
            </w:r>
            <w:r w:rsidRPr="00333D58">
              <w:rPr>
                <w:rFonts w:ascii="Arial" w:hAnsi="Arial" w:cs="Arial"/>
                <w:snapToGrid w:val="0"/>
                <w:sz w:val="22"/>
                <w:szCs w:val="22"/>
                <w:lang w:val="en-GB" w:eastAsia="en-US"/>
              </w:rPr>
              <w:t xml:space="preserve"> secured.</w:t>
            </w:r>
          </w:p>
        </w:tc>
      </w:tr>
      <w:tr w:rsidR="009B7C08" w:rsidRPr="008240F2" w14:paraId="1F454572" w14:textId="77777777" w:rsidTr="00B04CDE">
        <w:tc>
          <w:tcPr>
            <w:tcW w:w="6059" w:type="dxa"/>
          </w:tcPr>
          <w:p w14:paraId="20844410" w14:textId="3CE90E37" w:rsidR="009B7C08" w:rsidRDefault="009B7C08" w:rsidP="00A741D3">
            <w:pPr>
              <w:pStyle w:val="ListParagraph"/>
              <w:keepNext/>
              <w:numPr>
                <w:ilvl w:val="0"/>
                <w:numId w:val="12"/>
              </w:numPr>
              <w:spacing w:after="120"/>
              <w:ind w:left="561" w:hanging="561"/>
              <w:contextualSpacing w:val="0"/>
              <w:jc w:val="both"/>
              <w:rPr>
                <w:rFonts w:ascii="Arial" w:hAnsi="Arial" w:cs="Arial"/>
                <w:snapToGrid w:val="0"/>
                <w:sz w:val="22"/>
                <w:szCs w:val="22"/>
                <w:lang w:val="en-US" w:eastAsia="en-US"/>
              </w:rPr>
            </w:pPr>
            <w:r w:rsidRPr="00985ABE">
              <w:rPr>
                <w:rFonts w:ascii="Arial" w:hAnsi="Arial" w:cs="Arial"/>
                <w:snapToGrid w:val="0"/>
                <w:sz w:val="22"/>
                <w:szCs w:val="22"/>
                <w:lang w:val="en-US" w:eastAsia="en-US"/>
              </w:rPr>
              <w:t xml:space="preserve">IIBs and their Secretariats </w:t>
            </w:r>
            <w:proofErr w:type="gramStart"/>
            <w:r w:rsidRPr="00985ABE">
              <w:rPr>
                <w:rFonts w:ascii="Arial" w:hAnsi="Arial" w:cs="Arial"/>
                <w:snapToGrid w:val="0"/>
                <w:sz w:val="22"/>
                <w:szCs w:val="22"/>
                <w:lang w:val="en-US" w:eastAsia="en-US"/>
              </w:rPr>
              <w:t>are requested</w:t>
            </w:r>
            <w:proofErr w:type="gramEnd"/>
            <w:r w:rsidRPr="00985ABE">
              <w:rPr>
                <w:rFonts w:ascii="Arial" w:hAnsi="Arial" w:cs="Arial"/>
                <w:snapToGrid w:val="0"/>
                <w:sz w:val="22"/>
                <w:szCs w:val="22"/>
                <w:lang w:val="en-US" w:eastAsia="en-US"/>
              </w:rPr>
              <w:t xml:space="preserve"> to enhance coordination in scheduling of meetings to avoid overlap.</w:t>
            </w:r>
          </w:p>
          <w:p w14:paraId="0D33EA70" w14:textId="77777777" w:rsidR="009B7C08" w:rsidRPr="00E863FC" w:rsidRDefault="009B7C08" w:rsidP="00B04CDE">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Pr>
                <w:rFonts w:ascii="Arial" w:hAnsi="Arial" w:cs="Arial"/>
                <w:b/>
                <w:bCs/>
                <w:snapToGrid w:val="0"/>
                <w:sz w:val="22"/>
                <w:szCs w:val="22"/>
                <w:lang w:val="en-GB" w:eastAsia="en-US"/>
              </w:rPr>
              <w:t>losed</w:t>
            </w:r>
          </w:p>
        </w:tc>
        <w:tc>
          <w:tcPr>
            <w:tcW w:w="8501" w:type="dxa"/>
            <w:tcBorders>
              <w:right w:val="single" w:sz="4" w:space="0" w:color="auto"/>
            </w:tcBorders>
          </w:tcPr>
          <w:p w14:paraId="1BB58F40" w14:textId="76007194"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w:t>
            </w:r>
            <w:r w:rsidRPr="0053274D">
              <w:rPr>
                <w:rFonts w:ascii="Arial" w:hAnsi="Arial" w:cs="Arial"/>
                <w:snapToGrid w:val="0"/>
                <w:sz w:val="22"/>
                <w:szCs w:val="22"/>
                <w:lang w:val="en-US" w:eastAsia="en-US"/>
              </w:rPr>
              <w:t>Partnerships, Communication</w:t>
            </w:r>
            <w:r w:rsidR="00B266CF">
              <w:rPr>
                <w:rFonts w:ascii="Arial" w:hAnsi="Arial" w:cs="Arial"/>
                <w:snapToGrid w:val="0"/>
                <w:sz w:val="22"/>
                <w:szCs w:val="22"/>
                <w:lang w:val="en-US" w:eastAsia="en-US"/>
              </w:rPr>
              <w:t xml:space="preserve"> and</w:t>
            </w:r>
            <w:r w:rsidRPr="0053274D">
              <w:rPr>
                <w:rFonts w:ascii="Arial" w:hAnsi="Arial" w:cs="Arial"/>
                <w:snapToGrid w:val="0"/>
                <w:sz w:val="22"/>
                <w:szCs w:val="22"/>
                <w:lang w:val="en-US" w:eastAsia="en-US"/>
              </w:rPr>
              <w:t xml:space="preserve"> Meetings Unit</w:t>
            </w:r>
            <w:r>
              <w:rPr>
                <w:rFonts w:ascii="Arial" w:hAnsi="Arial" w:cs="Arial"/>
                <w:snapToGrid w:val="0"/>
                <w:sz w:val="22"/>
                <w:szCs w:val="22"/>
                <w:lang w:val="en-US" w:eastAsia="en-US"/>
              </w:rPr>
              <w:t xml:space="preserve"> (formerly the </w:t>
            </w:r>
            <w:r w:rsidRPr="00942976">
              <w:rPr>
                <w:rFonts w:ascii="Arial" w:hAnsi="Arial" w:cs="Arial"/>
                <w:snapToGrid w:val="0"/>
                <w:sz w:val="22"/>
                <w:szCs w:val="22"/>
                <w:lang w:val="en-US" w:eastAsia="en-US"/>
              </w:rPr>
              <w:t>Conventions Common Services</w:t>
            </w:r>
            <w:r>
              <w:rPr>
                <w:rFonts w:ascii="Arial" w:hAnsi="Arial" w:cs="Arial"/>
                <w:snapToGrid w:val="0"/>
                <w:sz w:val="22"/>
                <w:szCs w:val="22"/>
                <w:lang w:val="en-US" w:eastAsia="en-US"/>
              </w:rPr>
              <w:t xml:space="preserve"> Unit) of the Culture Sector ensures that there is no overlap between the meetings of the six cultural conventions.</w:t>
            </w:r>
          </w:p>
        </w:tc>
      </w:tr>
      <w:tr w:rsidR="009B7C08" w:rsidRPr="008240F2" w14:paraId="0FDEF0A8" w14:textId="77777777" w:rsidTr="00B04CDE">
        <w:trPr>
          <w:trHeight w:val="454"/>
        </w:trPr>
        <w:tc>
          <w:tcPr>
            <w:tcW w:w="14560" w:type="dxa"/>
            <w:gridSpan w:val="2"/>
            <w:tcBorders>
              <w:right w:val="single" w:sz="4" w:space="0" w:color="auto"/>
            </w:tcBorders>
            <w:shd w:val="clear" w:color="auto" w:fill="D9D9D9" w:themeFill="background1" w:themeFillShade="D9"/>
            <w:vAlign w:val="center"/>
          </w:tcPr>
          <w:p w14:paraId="3F85ECEC" w14:textId="77777777" w:rsidR="009B7C08" w:rsidRPr="003E5477" w:rsidRDefault="009B7C08" w:rsidP="00B04CDE">
            <w:pPr>
              <w:keepNext/>
              <w:tabs>
                <w:tab w:val="left" w:pos="555"/>
              </w:tabs>
              <w:rPr>
                <w:rFonts w:ascii="Arial" w:hAnsi="Arial" w:cs="Arial"/>
                <w:b/>
                <w:smallCaps/>
                <w:snapToGrid w:val="0"/>
                <w:sz w:val="22"/>
                <w:szCs w:val="22"/>
                <w:lang w:val="en-GB" w:eastAsia="en-US"/>
              </w:rPr>
            </w:pPr>
            <w:r>
              <w:rPr>
                <w:rFonts w:ascii="Arial" w:hAnsi="Arial" w:cs="Arial"/>
                <w:b/>
                <w:smallCaps/>
                <w:snapToGrid w:val="0"/>
                <w:sz w:val="22"/>
                <w:szCs w:val="22"/>
                <w:lang w:val="en-GB" w:eastAsia="en-US"/>
              </w:rPr>
              <w:t>E.</w:t>
            </w:r>
            <w:r>
              <w:rPr>
                <w:rFonts w:ascii="Arial" w:hAnsi="Arial" w:cs="Arial"/>
                <w:b/>
                <w:smallCaps/>
                <w:snapToGrid w:val="0"/>
                <w:sz w:val="22"/>
                <w:szCs w:val="22"/>
                <w:lang w:val="en-GB" w:eastAsia="en-US"/>
              </w:rPr>
              <w:tab/>
              <w:t>Specific</w:t>
            </w:r>
            <w:r w:rsidRPr="00985ABE">
              <w:rPr>
                <w:rFonts w:ascii="Arial" w:hAnsi="Arial" w:cs="Arial"/>
                <w:b/>
                <w:smallCaps/>
                <w:snapToGrid w:val="0"/>
                <w:sz w:val="22"/>
                <w:szCs w:val="22"/>
                <w:lang w:val="en-GB" w:eastAsia="en-US"/>
              </w:rPr>
              <w:t xml:space="preserve"> recommendations for all </w:t>
            </w:r>
            <w:r>
              <w:rPr>
                <w:rFonts w:ascii="Arial" w:hAnsi="Arial" w:cs="Arial"/>
                <w:b/>
                <w:smallCaps/>
                <w:snapToGrid w:val="0"/>
                <w:sz w:val="22"/>
                <w:szCs w:val="22"/>
                <w:lang w:val="en-GB" w:eastAsia="en-US"/>
              </w:rPr>
              <w:t>the UNESCO Conventions</w:t>
            </w:r>
          </w:p>
        </w:tc>
      </w:tr>
      <w:tr w:rsidR="009B7C08" w:rsidRPr="00985ABE" w14:paraId="32A8308F"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76C3051D" w14:textId="77777777" w:rsidR="009B7C08" w:rsidRPr="003E5477" w:rsidRDefault="009B7C08" w:rsidP="00B04CDE">
            <w:pPr>
              <w:keepNext/>
              <w:rPr>
                <w:rFonts w:ascii="Arial" w:hAnsi="Arial" w:cs="Arial"/>
                <w:b/>
                <w:snapToGrid w:val="0"/>
                <w:sz w:val="22"/>
                <w:szCs w:val="22"/>
                <w:lang w:val="en-GB" w:eastAsia="en-US"/>
              </w:rPr>
            </w:pPr>
            <w:r>
              <w:rPr>
                <w:rFonts w:ascii="Arial" w:hAnsi="Arial" w:cs="Arial"/>
                <w:b/>
                <w:snapToGrid w:val="0"/>
                <w:sz w:val="22"/>
                <w:szCs w:val="22"/>
                <w:lang w:val="en-GB" w:eastAsia="en-US"/>
              </w:rPr>
              <w:t>Cultural Conventions</w:t>
            </w:r>
          </w:p>
        </w:tc>
      </w:tr>
      <w:tr w:rsidR="009B7C08" w:rsidRPr="008240F2" w14:paraId="434FB022" w14:textId="77777777" w:rsidTr="00B04CDE">
        <w:tc>
          <w:tcPr>
            <w:tcW w:w="6059" w:type="dxa"/>
          </w:tcPr>
          <w:p w14:paraId="795B9DB6" w14:textId="0595D9CF" w:rsidR="009B7C08" w:rsidRPr="00942976" w:rsidRDefault="009B7C08" w:rsidP="00B04CDE">
            <w:pPr>
              <w:spacing w:after="120"/>
              <w:ind w:left="567" w:hanging="567"/>
              <w:jc w:val="both"/>
              <w:rPr>
                <w:rFonts w:ascii="Arial" w:hAnsi="Arial" w:cs="Arial"/>
                <w:snapToGrid w:val="0"/>
                <w:sz w:val="22"/>
                <w:szCs w:val="22"/>
                <w:lang w:val="en-US" w:eastAsia="en-US"/>
              </w:rPr>
            </w:pPr>
            <w:r w:rsidRPr="00942976">
              <w:rPr>
                <w:rFonts w:ascii="Arial" w:hAnsi="Arial" w:cs="Arial"/>
                <w:snapToGrid w:val="0"/>
                <w:sz w:val="22"/>
                <w:szCs w:val="22"/>
                <w:lang w:val="en-US" w:eastAsia="en-US"/>
              </w:rPr>
              <w:t>94.</w:t>
            </w:r>
            <w:r w:rsidRPr="00942976">
              <w:rPr>
                <w:rFonts w:ascii="Arial" w:hAnsi="Arial" w:cs="Arial"/>
                <w:snapToGrid w:val="0"/>
                <w:sz w:val="22"/>
                <w:szCs w:val="22"/>
                <w:lang w:val="en-US" w:eastAsia="en-US"/>
              </w:rPr>
              <w:tab/>
              <w:t xml:space="preserve">A more balanced approach in terms of equitable financial and human resource allocation for all cultural </w:t>
            </w:r>
            <w:r w:rsidRPr="00942976">
              <w:rPr>
                <w:rFonts w:ascii="Arial" w:hAnsi="Arial" w:cs="Arial"/>
                <w:snapToGrid w:val="0"/>
                <w:sz w:val="22"/>
                <w:szCs w:val="22"/>
                <w:lang w:val="en-US" w:eastAsia="en-US"/>
              </w:rPr>
              <w:lastRenderedPageBreak/>
              <w:t>conventions was called for, considering their importance to the mandate of UNESCO. All cultural conventions are in need of additional resources to fulfill their objectives fully.</w:t>
            </w:r>
          </w:p>
          <w:p w14:paraId="4ABE3F0F" w14:textId="5EE74F2C" w:rsidR="009B7C08" w:rsidRPr="00E863FC" w:rsidRDefault="00334F6F" w:rsidP="00B04CDE">
            <w:pPr>
              <w:spacing w:after="120"/>
              <w:jc w:val="both"/>
              <w:rPr>
                <w:rFonts w:ascii="Arial" w:hAnsi="Arial" w:cs="Arial"/>
                <w:snapToGrid w:val="0"/>
                <w:sz w:val="22"/>
                <w:szCs w:val="22"/>
                <w:highlight w:val="cyan"/>
                <w:lang w:val="en-US" w:eastAsia="en-US"/>
              </w:rPr>
            </w:pPr>
            <w:r>
              <w:rPr>
                <w:rFonts w:ascii="Arial" w:hAnsi="Arial" w:cs="Arial"/>
                <w:b/>
                <w:bCs/>
                <w:sz w:val="22"/>
                <w:szCs w:val="22"/>
                <w:lang w:val="en-US"/>
              </w:rPr>
              <w:t>Ongoing</w:t>
            </w:r>
          </w:p>
        </w:tc>
        <w:tc>
          <w:tcPr>
            <w:tcW w:w="8501" w:type="dxa"/>
            <w:tcBorders>
              <w:right w:val="single" w:sz="4" w:space="0" w:color="auto"/>
            </w:tcBorders>
          </w:tcPr>
          <w:p w14:paraId="7F860AAC" w14:textId="6BDB8831" w:rsidR="009B7C08" w:rsidRDefault="009B7C08" w:rsidP="00AC000C">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A11380">
              <w:rPr>
                <w:rFonts w:ascii="Arial" w:hAnsi="Arial" w:cs="Arial"/>
                <w:snapToGrid w:val="0"/>
                <w:sz w:val="22"/>
                <w:szCs w:val="22"/>
                <w:lang w:val="en-GB" w:eastAsia="en-US"/>
              </w:rPr>
              <w:lastRenderedPageBreak/>
              <w:t xml:space="preserve">The implementation of this recommendation is the direct responsibility of States Parties. </w:t>
            </w:r>
            <w:r>
              <w:rPr>
                <w:rFonts w:ascii="Arial" w:hAnsi="Arial" w:cs="Arial"/>
                <w:snapToGrid w:val="0"/>
                <w:sz w:val="22"/>
                <w:szCs w:val="22"/>
                <w:lang w:val="en-GB" w:eastAsia="en-US"/>
              </w:rPr>
              <w:t xml:space="preserve">However, the Secretariat has demonstrated the need to </w:t>
            </w:r>
            <w:r w:rsidRPr="00A91958">
              <w:rPr>
                <w:rFonts w:ascii="Arial" w:hAnsi="Arial" w:cs="Arial"/>
                <w:snapToGrid w:val="0"/>
                <w:sz w:val="22"/>
                <w:szCs w:val="22"/>
                <w:lang w:val="en-US" w:eastAsia="en-US"/>
              </w:rPr>
              <w:t xml:space="preserve">enhance the </w:t>
            </w:r>
            <w:r w:rsidRPr="00A91958">
              <w:rPr>
                <w:rFonts w:ascii="Arial" w:hAnsi="Arial" w:cs="Arial"/>
                <w:snapToGrid w:val="0"/>
                <w:sz w:val="22"/>
                <w:szCs w:val="22"/>
                <w:lang w:val="en-US" w:eastAsia="en-US"/>
              </w:rPr>
              <w:lastRenderedPageBreak/>
              <w:t>human resources of the Secretariat for the implementation of the International Assistance mechanisms of the Fund, including their effective monitoring</w:t>
            </w:r>
            <w:r>
              <w:rPr>
                <w:rFonts w:ascii="Arial" w:hAnsi="Arial" w:cs="Arial"/>
                <w:snapToGrid w:val="0"/>
                <w:sz w:val="22"/>
                <w:szCs w:val="22"/>
                <w:lang w:val="en-GB" w:eastAsia="en-US"/>
              </w:rPr>
              <w:t xml:space="preserve"> (see </w:t>
            </w:r>
            <w:r w:rsidR="00AC000C">
              <w:rPr>
                <w:rFonts w:ascii="Arial" w:hAnsi="Arial" w:cs="Arial"/>
                <w:snapToGrid w:val="0"/>
                <w:sz w:val="22"/>
                <w:szCs w:val="22"/>
                <w:lang w:val="en-GB" w:eastAsia="en-US"/>
              </w:rPr>
              <w:t xml:space="preserve">document </w:t>
            </w:r>
            <w:hyperlink r:id="rId69" w:history="1">
              <w:r w:rsidRPr="00A91958">
                <w:rPr>
                  <w:rStyle w:val="Hyperlink"/>
                  <w:rFonts w:ascii="Arial" w:hAnsi="Arial" w:cs="Arial"/>
                  <w:snapToGrid w:val="0"/>
                  <w:sz w:val="22"/>
                  <w:szCs w:val="22"/>
                  <w:lang w:val="en-GB" w:eastAsia="en-US"/>
                </w:rPr>
                <w:t>ITH/17/12.COM/7</w:t>
              </w:r>
            </w:hyperlink>
            <w:r>
              <w:rPr>
                <w:rFonts w:ascii="Arial" w:hAnsi="Arial" w:cs="Arial"/>
                <w:snapToGrid w:val="0"/>
                <w:sz w:val="22"/>
                <w:szCs w:val="22"/>
                <w:lang w:val="en-GB" w:eastAsia="en-US"/>
              </w:rPr>
              <w:t xml:space="preserve">). In response, the Committee recommended that the General Assembly approve the creation of three new </w:t>
            </w:r>
            <w:proofErr w:type="spellStart"/>
            <w:r>
              <w:rPr>
                <w:rFonts w:ascii="Arial" w:hAnsi="Arial" w:cs="Arial"/>
                <w:snapToGrid w:val="0"/>
                <w:sz w:val="22"/>
                <w:szCs w:val="22"/>
                <w:lang w:val="en-GB" w:eastAsia="en-US"/>
              </w:rPr>
              <w:t>extrabudgetary</w:t>
            </w:r>
            <w:proofErr w:type="spellEnd"/>
            <w:r>
              <w:rPr>
                <w:rFonts w:ascii="Arial" w:hAnsi="Arial" w:cs="Arial"/>
                <w:snapToGrid w:val="0"/>
                <w:sz w:val="22"/>
                <w:szCs w:val="22"/>
                <w:lang w:val="en-GB" w:eastAsia="en-US"/>
              </w:rPr>
              <w:t xml:space="preserve"> fixed-term posts (</w:t>
            </w:r>
            <w:hyperlink r:id="rId70" w:history="1">
              <w:r w:rsidRPr="00A91958">
                <w:rPr>
                  <w:rStyle w:val="Hyperlink"/>
                  <w:rFonts w:ascii="Arial" w:hAnsi="Arial" w:cs="Arial"/>
                  <w:snapToGrid w:val="0"/>
                  <w:sz w:val="22"/>
                  <w:szCs w:val="22"/>
                  <w:lang w:val="en-GB" w:eastAsia="en-US"/>
                </w:rPr>
                <w:t>Decision 12.COM 7</w:t>
              </w:r>
            </w:hyperlink>
            <w:r w:rsidRPr="00AC000C">
              <w:rPr>
                <w:rStyle w:val="Hyperlink"/>
                <w:rFonts w:ascii="Arial" w:hAnsi="Arial" w:cs="Arial"/>
                <w:snapToGrid w:val="0"/>
                <w:color w:val="auto"/>
                <w:sz w:val="22"/>
                <w:szCs w:val="22"/>
                <w:u w:val="none"/>
                <w:lang w:val="en-GB" w:eastAsia="en-US"/>
              </w:rPr>
              <w:t>)</w:t>
            </w:r>
            <w:r>
              <w:rPr>
                <w:rFonts w:ascii="Arial" w:hAnsi="Arial" w:cs="Arial"/>
                <w:snapToGrid w:val="0"/>
                <w:sz w:val="22"/>
                <w:szCs w:val="22"/>
                <w:lang w:val="en-GB" w:eastAsia="en-US"/>
              </w:rPr>
              <w:t>.</w:t>
            </w:r>
          </w:p>
          <w:p w14:paraId="54545BB9" w14:textId="7B395D54" w:rsidR="008E2FC2" w:rsidRPr="00EE4900" w:rsidRDefault="008E2FC2" w:rsidP="00A741D3">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r w:rsidRPr="00EE4900">
              <w:rPr>
                <w:rFonts w:ascii="Arial" w:hAnsi="Arial" w:cs="Arial"/>
                <w:b/>
                <w:snapToGrid w:val="0"/>
                <w:sz w:val="22"/>
                <w:szCs w:val="22"/>
                <w:u w:val="single"/>
                <w:lang w:val="en-US" w:eastAsia="en-US"/>
              </w:rPr>
              <w:t>Update:</w:t>
            </w:r>
            <w:r w:rsidRPr="00EE4900">
              <w:rPr>
                <w:rFonts w:ascii="Arial" w:hAnsi="Arial" w:cs="Arial"/>
                <w:snapToGrid w:val="0"/>
                <w:sz w:val="22"/>
                <w:szCs w:val="22"/>
                <w:u w:val="single"/>
                <w:lang w:val="en-US" w:eastAsia="en-US"/>
              </w:rPr>
              <w:t xml:space="preserve"> </w:t>
            </w:r>
            <w:r w:rsidR="00B266CF">
              <w:rPr>
                <w:rFonts w:ascii="Arial" w:hAnsi="Arial" w:cs="Arial"/>
                <w:snapToGrid w:val="0"/>
                <w:sz w:val="22"/>
                <w:szCs w:val="22"/>
                <w:u w:val="single"/>
                <w:lang w:val="en-US" w:eastAsia="en-US"/>
              </w:rPr>
              <w:t>A</w:t>
            </w:r>
            <w:r w:rsidRPr="0025748D">
              <w:rPr>
                <w:rFonts w:ascii="Arial" w:hAnsi="Arial" w:cs="Arial"/>
                <w:snapToGrid w:val="0"/>
                <w:sz w:val="22"/>
                <w:szCs w:val="22"/>
                <w:u w:val="single"/>
                <w:lang w:val="en-US" w:eastAsia="en-US"/>
              </w:rPr>
              <w:t>t</w:t>
            </w:r>
            <w:r w:rsidRPr="00EE4900">
              <w:rPr>
                <w:rFonts w:ascii="Arial" w:hAnsi="Arial" w:cs="Arial"/>
                <w:snapToGrid w:val="0"/>
                <w:sz w:val="22"/>
                <w:szCs w:val="22"/>
                <w:u w:val="single"/>
                <w:lang w:val="en-US" w:eastAsia="en-US"/>
              </w:rPr>
              <w:t xml:space="preserve"> its seventh session in June 2018, </w:t>
            </w:r>
            <w:r w:rsidR="00B266CF">
              <w:rPr>
                <w:rFonts w:ascii="Arial" w:hAnsi="Arial" w:cs="Arial"/>
                <w:snapToGrid w:val="0"/>
                <w:sz w:val="22"/>
                <w:szCs w:val="22"/>
                <w:u w:val="single"/>
                <w:lang w:val="en-US" w:eastAsia="en-US"/>
              </w:rPr>
              <w:t xml:space="preserve">the General Assembly </w:t>
            </w:r>
            <w:r w:rsidRPr="00EE4900">
              <w:rPr>
                <w:rFonts w:ascii="Arial" w:hAnsi="Arial" w:cs="Arial"/>
                <w:snapToGrid w:val="0"/>
                <w:sz w:val="22"/>
                <w:szCs w:val="22"/>
                <w:u w:val="single"/>
                <w:lang w:val="en-US" w:eastAsia="en-US"/>
              </w:rPr>
              <w:t xml:space="preserve">approved the creation of three </w:t>
            </w:r>
            <w:proofErr w:type="spellStart"/>
            <w:r w:rsidRPr="00EE4900">
              <w:rPr>
                <w:rFonts w:ascii="Arial" w:hAnsi="Arial" w:cs="Arial"/>
                <w:snapToGrid w:val="0"/>
                <w:sz w:val="22"/>
                <w:szCs w:val="22"/>
                <w:u w:val="single"/>
                <w:lang w:val="en-US" w:eastAsia="en-US"/>
              </w:rPr>
              <w:t>extrabudgetary</w:t>
            </w:r>
            <w:proofErr w:type="spellEnd"/>
            <w:r w:rsidRPr="00EE4900">
              <w:rPr>
                <w:rFonts w:ascii="Arial" w:hAnsi="Arial" w:cs="Arial"/>
                <w:snapToGrid w:val="0"/>
                <w:sz w:val="22"/>
                <w:szCs w:val="22"/>
                <w:u w:val="single"/>
                <w:lang w:val="en-US" w:eastAsia="en-US"/>
              </w:rPr>
              <w:t xml:space="preserve"> fixed-term posts to </w:t>
            </w:r>
            <w:proofErr w:type="gramStart"/>
            <w:r w:rsidRPr="00EE4900">
              <w:rPr>
                <w:rFonts w:ascii="Arial" w:hAnsi="Arial" w:cs="Arial"/>
                <w:snapToGrid w:val="0"/>
                <w:sz w:val="22"/>
                <w:szCs w:val="22"/>
                <w:u w:val="single"/>
                <w:lang w:val="en-US" w:eastAsia="en-US"/>
              </w:rPr>
              <w:t>be funded</w:t>
            </w:r>
            <w:proofErr w:type="gramEnd"/>
            <w:r w:rsidRPr="00EE4900">
              <w:rPr>
                <w:rFonts w:ascii="Arial" w:hAnsi="Arial" w:cs="Arial"/>
                <w:snapToGrid w:val="0"/>
                <w:sz w:val="22"/>
                <w:szCs w:val="22"/>
                <w:u w:val="single"/>
                <w:lang w:val="en-US" w:eastAsia="en-US"/>
              </w:rPr>
              <w:t xml:space="preserve"> by the Intangible Cultural Heritage Fund for the implementation of the International Assistance mechanisms of the Fund</w:t>
            </w:r>
            <w:r w:rsidR="00025677">
              <w:rPr>
                <w:rFonts w:ascii="Arial" w:hAnsi="Arial" w:cs="Arial"/>
                <w:snapToGrid w:val="0"/>
                <w:sz w:val="22"/>
                <w:szCs w:val="22"/>
                <w:u w:val="single"/>
                <w:lang w:val="en-US" w:eastAsia="en-US"/>
              </w:rPr>
              <w:t xml:space="preserve">; the recruitment of these posts </w:t>
            </w:r>
            <w:r w:rsidR="00B266CF">
              <w:rPr>
                <w:rFonts w:ascii="Arial" w:hAnsi="Arial" w:cs="Arial"/>
                <w:snapToGrid w:val="0"/>
                <w:sz w:val="22"/>
                <w:szCs w:val="22"/>
                <w:u w:val="single"/>
                <w:lang w:val="en-US" w:eastAsia="en-US"/>
              </w:rPr>
              <w:t>is</w:t>
            </w:r>
            <w:r w:rsidR="00025677">
              <w:rPr>
                <w:rFonts w:ascii="Arial" w:hAnsi="Arial" w:cs="Arial"/>
                <w:snapToGrid w:val="0"/>
                <w:sz w:val="22"/>
                <w:szCs w:val="22"/>
                <w:u w:val="single"/>
                <w:lang w:val="en-US" w:eastAsia="en-US"/>
              </w:rPr>
              <w:t xml:space="preserve"> underway at the time of the writing of this document</w:t>
            </w:r>
            <w:r w:rsidR="00D8075A">
              <w:rPr>
                <w:rFonts w:ascii="Arial" w:hAnsi="Arial" w:cs="Arial"/>
                <w:snapToGrid w:val="0"/>
                <w:sz w:val="22"/>
                <w:szCs w:val="22"/>
                <w:u w:val="single"/>
                <w:lang w:val="en-US" w:eastAsia="en-US"/>
              </w:rPr>
              <w:t>.</w:t>
            </w:r>
          </w:p>
        </w:tc>
      </w:tr>
      <w:tr w:rsidR="009B7C08" w:rsidRPr="008240F2" w14:paraId="0456EC87" w14:textId="77777777" w:rsidTr="00B04CDE">
        <w:tc>
          <w:tcPr>
            <w:tcW w:w="6059" w:type="dxa"/>
          </w:tcPr>
          <w:p w14:paraId="6324DFB7" w14:textId="7BAFD309" w:rsidR="009B7C08" w:rsidRPr="00942976" w:rsidRDefault="009B7C08" w:rsidP="00B04CDE">
            <w:p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lastRenderedPageBreak/>
              <w:t>96.</w:t>
            </w:r>
            <w:r>
              <w:rPr>
                <w:rFonts w:ascii="Arial" w:hAnsi="Arial" w:cs="Arial"/>
                <w:snapToGrid w:val="0"/>
                <w:sz w:val="22"/>
                <w:szCs w:val="22"/>
                <w:lang w:val="en-US" w:eastAsia="en-US"/>
              </w:rPr>
              <w:tab/>
            </w:r>
            <w:r w:rsidRPr="00942976">
              <w:rPr>
                <w:rFonts w:ascii="Arial" w:hAnsi="Arial" w:cs="Arial"/>
                <w:snapToGrid w:val="0"/>
                <w:sz w:val="22"/>
                <w:szCs w:val="22"/>
                <w:lang w:val="en-US" w:eastAsia="en-US"/>
              </w:rPr>
              <w:t xml:space="preserve">Governing Bodies of the Conventions, through broad consultations, are invited to further explore, as appropriate, harmonization of rules of procedure and coherence in decision-making procedures, taking into account their respective mandates and specificities. They can consider best practices from the environmental treaties/UNEP to further develop synergies in organizational matters, </w:t>
            </w:r>
            <w:proofErr w:type="gramStart"/>
            <w:r w:rsidRPr="00942976">
              <w:rPr>
                <w:rFonts w:ascii="Arial" w:hAnsi="Arial" w:cs="Arial"/>
                <w:snapToGrid w:val="0"/>
                <w:sz w:val="22"/>
                <w:szCs w:val="22"/>
                <w:lang w:val="en-US" w:eastAsia="en-US"/>
              </w:rPr>
              <w:t>information-sharing</w:t>
            </w:r>
            <w:proofErr w:type="gramEnd"/>
            <w:r w:rsidRPr="00942976">
              <w:rPr>
                <w:rFonts w:ascii="Arial" w:hAnsi="Arial" w:cs="Arial"/>
                <w:snapToGrid w:val="0"/>
                <w:sz w:val="22"/>
                <w:szCs w:val="22"/>
                <w:lang w:val="en-US" w:eastAsia="en-US"/>
              </w:rPr>
              <w:t>, and cost-efficiency.</w:t>
            </w:r>
          </w:p>
          <w:p w14:paraId="18A767BE" w14:textId="6AD52652" w:rsidR="009B7C08" w:rsidRPr="00E863FC" w:rsidRDefault="00334F6F" w:rsidP="00B04CDE">
            <w:pPr>
              <w:spacing w:after="120"/>
              <w:jc w:val="both"/>
              <w:rPr>
                <w:rFonts w:ascii="Arial" w:hAnsi="Arial" w:cs="Arial"/>
                <w:snapToGrid w:val="0"/>
                <w:sz w:val="22"/>
                <w:szCs w:val="22"/>
                <w:highlight w:val="cyan"/>
                <w:lang w:val="en-US" w:eastAsia="en-US"/>
              </w:rPr>
            </w:pPr>
            <w:r>
              <w:rPr>
                <w:rFonts w:ascii="Arial" w:hAnsi="Arial" w:cs="Arial"/>
                <w:b/>
                <w:bCs/>
                <w:sz w:val="22"/>
                <w:szCs w:val="22"/>
                <w:lang w:val="en-GB"/>
              </w:rPr>
              <w:t>Ongoing</w:t>
            </w:r>
          </w:p>
        </w:tc>
        <w:tc>
          <w:tcPr>
            <w:tcW w:w="8501" w:type="dxa"/>
          </w:tcPr>
          <w:p w14:paraId="6943ABF4" w14:textId="7C87A28D"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By its </w:t>
            </w:r>
            <w:hyperlink r:id="rId71" w:history="1">
              <w:r w:rsidRPr="0099561B">
                <w:rPr>
                  <w:rStyle w:val="Hyperlink"/>
                  <w:rFonts w:ascii="Arial" w:hAnsi="Arial" w:cs="Arial"/>
                  <w:snapToGrid w:val="0"/>
                  <w:sz w:val="22"/>
                  <w:szCs w:val="22"/>
                  <w:lang w:val="en-GB" w:eastAsia="en-US"/>
                </w:rPr>
                <w:t>Resolution 6.GA 11</w:t>
              </w:r>
            </w:hyperlink>
            <w:r>
              <w:rPr>
                <w:rFonts w:ascii="Arial" w:hAnsi="Arial" w:cs="Arial"/>
                <w:snapToGrid w:val="0"/>
                <w:sz w:val="22"/>
                <w:szCs w:val="22"/>
                <w:lang w:val="en-GB" w:eastAsia="en-US"/>
              </w:rPr>
              <w:t xml:space="preserve">, the General Assembly invited States Parties to </w:t>
            </w:r>
            <w:r w:rsidRPr="00150549">
              <w:rPr>
                <w:rFonts w:ascii="Arial" w:hAnsi="Arial" w:cs="Arial"/>
                <w:snapToGrid w:val="0"/>
                <w:sz w:val="22"/>
                <w:szCs w:val="22"/>
                <w:lang w:val="en-US" w:eastAsia="en-US"/>
              </w:rPr>
              <w:t>propos</w:t>
            </w:r>
            <w:r>
              <w:rPr>
                <w:rFonts w:ascii="Arial" w:hAnsi="Arial" w:cs="Arial"/>
                <w:snapToGrid w:val="0"/>
                <w:sz w:val="22"/>
                <w:szCs w:val="22"/>
                <w:lang w:val="en-US" w:eastAsia="en-US"/>
              </w:rPr>
              <w:t>e</w:t>
            </w:r>
            <w:r w:rsidRPr="00150549">
              <w:rPr>
                <w:rFonts w:ascii="Arial" w:hAnsi="Arial" w:cs="Arial"/>
                <w:snapToGrid w:val="0"/>
                <w:sz w:val="22"/>
                <w:szCs w:val="22"/>
                <w:lang w:val="en-US" w:eastAsia="en-US"/>
              </w:rPr>
              <w:t xml:space="preserve"> </w:t>
            </w:r>
            <w:r>
              <w:rPr>
                <w:rFonts w:ascii="Arial" w:hAnsi="Arial" w:cs="Arial"/>
                <w:snapToGrid w:val="0"/>
                <w:sz w:val="22"/>
                <w:szCs w:val="22"/>
                <w:lang w:val="en-US" w:eastAsia="en-US"/>
              </w:rPr>
              <w:t>modifications to</w:t>
            </w:r>
            <w:r w:rsidRPr="00150549">
              <w:rPr>
                <w:rFonts w:ascii="Arial" w:hAnsi="Arial" w:cs="Arial"/>
                <w:snapToGrid w:val="0"/>
                <w:sz w:val="22"/>
                <w:szCs w:val="22"/>
                <w:lang w:val="en-US" w:eastAsia="en-US"/>
              </w:rPr>
              <w:t xml:space="preserve"> its Rules of Procedure</w:t>
            </w:r>
            <w:r>
              <w:rPr>
                <w:rFonts w:ascii="Arial" w:hAnsi="Arial" w:cs="Arial"/>
                <w:snapToGrid w:val="0"/>
                <w:sz w:val="22"/>
                <w:szCs w:val="22"/>
                <w:lang w:val="en-US" w:eastAsia="en-US"/>
              </w:rPr>
              <w:t xml:space="preserve"> to improve coherence in </w:t>
            </w:r>
            <w:r w:rsidRPr="00150549">
              <w:rPr>
                <w:rFonts w:ascii="Arial" w:hAnsi="Arial" w:cs="Arial"/>
                <w:snapToGrid w:val="0"/>
                <w:sz w:val="22"/>
                <w:szCs w:val="22"/>
                <w:lang w:val="en-US" w:eastAsia="en-US"/>
              </w:rPr>
              <w:t xml:space="preserve">the rules of procedure of the different organs of </w:t>
            </w:r>
            <w:r w:rsidRPr="00324032">
              <w:rPr>
                <w:rFonts w:ascii="Arial" w:hAnsi="Arial" w:cs="Arial"/>
                <w:snapToGrid w:val="0"/>
                <w:sz w:val="22"/>
                <w:szCs w:val="22"/>
                <w:lang w:val="en-US" w:eastAsia="en-US"/>
              </w:rPr>
              <w:t>the UNESCO cultural conventions.</w:t>
            </w:r>
            <w:r w:rsidRPr="00324032">
              <w:rPr>
                <w:rFonts w:ascii="Arial" w:hAnsi="Arial" w:cs="Arial"/>
                <w:snapToGrid w:val="0"/>
                <w:sz w:val="22"/>
                <w:szCs w:val="22"/>
                <w:lang w:val="en-GB" w:eastAsia="en-US"/>
              </w:rPr>
              <w:t xml:space="preserve"> An item to present the proposals received </w:t>
            </w:r>
            <w:proofErr w:type="gramStart"/>
            <w:r w:rsidR="00AD1B42">
              <w:rPr>
                <w:rFonts w:ascii="Arial" w:hAnsi="Arial" w:cs="Arial"/>
                <w:snapToGrid w:val="0"/>
                <w:sz w:val="22"/>
                <w:szCs w:val="22"/>
                <w:lang w:val="en-GB" w:eastAsia="en-US"/>
              </w:rPr>
              <w:t>was</w:t>
            </w:r>
            <w:r w:rsidR="00B1372C" w:rsidRPr="00324032">
              <w:rPr>
                <w:rFonts w:ascii="Arial" w:hAnsi="Arial" w:cs="Arial"/>
                <w:snapToGrid w:val="0"/>
                <w:sz w:val="22"/>
                <w:szCs w:val="22"/>
                <w:lang w:val="en-GB" w:eastAsia="en-US"/>
              </w:rPr>
              <w:t xml:space="preserve"> </w:t>
            </w:r>
            <w:r w:rsidRPr="00324032">
              <w:rPr>
                <w:rFonts w:ascii="Arial" w:hAnsi="Arial" w:cs="Arial"/>
                <w:snapToGrid w:val="0"/>
                <w:sz w:val="22"/>
                <w:szCs w:val="22"/>
                <w:lang w:val="en-GB" w:eastAsia="en-US"/>
              </w:rPr>
              <w:t>inscribed</w:t>
            </w:r>
            <w:proofErr w:type="gramEnd"/>
            <w:r w:rsidRPr="00324032">
              <w:rPr>
                <w:rFonts w:ascii="Arial" w:hAnsi="Arial" w:cs="Arial"/>
                <w:snapToGrid w:val="0"/>
                <w:sz w:val="22"/>
                <w:szCs w:val="22"/>
                <w:lang w:val="en-GB" w:eastAsia="en-US"/>
              </w:rPr>
              <w:t xml:space="preserve"> on the agenda of the </w:t>
            </w:r>
            <w:r w:rsidR="00B1372C">
              <w:rPr>
                <w:rFonts w:ascii="Arial" w:hAnsi="Arial" w:cs="Arial"/>
                <w:snapToGrid w:val="0"/>
                <w:sz w:val="22"/>
                <w:szCs w:val="22"/>
                <w:lang w:val="en-GB" w:eastAsia="en-US"/>
              </w:rPr>
              <w:t>seventh</w:t>
            </w:r>
            <w:r w:rsidR="00AD1B42">
              <w:rPr>
                <w:rFonts w:ascii="Arial" w:hAnsi="Arial" w:cs="Arial"/>
                <w:snapToGrid w:val="0"/>
                <w:sz w:val="22"/>
                <w:szCs w:val="22"/>
                <w:lang w:val="en-GB" w:eastAsia="en-US"/>
              </w:rPr>
              <w:t xml:space="preserve"> </w:t>
            </w:r>
            <w:r w:rsidRPr="00324032">
              <w:rPr>
                <w:rFonts w:ascii="Arial" w:hAnsi="Arial" w:cs="Arial"/>
                <w:snapToGrid w:val="0"/>
                <w:sz w:val="22"/>
                <w:szCs w:val="22"/>
                <w:lang w:val="en-GB" w:eastAsia="en-US"/>
              </w:rPr>
              <w:t>session of the General Assembly (see document </w:t>
            </w:r>
            <w:hyperlink r:id="rId72" w:history="1">
              <w:r w:rsidRPr="00324032">
                <w:rPr>
                  <w:rStyle w:val="Hyperlink"/>
                  <w:rFonts w:ascii="Arial" w:hAnsi="Arial" w:cs="Arial"/>
                  <w:snapToGrid w:val="0"/>
                  <w:sz w:val="22"/>
                  <w:szCs w:val="22"/>
                  <w:lang w:val="en-GB" w:eastAsia="en-US"/>
                </w:rPr>
                <w:t>ITH/18/7.GA/13</w:t>
              </w:r>
            </w:hyperlink>
            <w:r w:rsidRPr="00324032">
              <w:rPr>
                <w:rFonts w:ascii="Arial" w:hAnsi="Arial" w:cs="Arial"/>
                <w:snapToGrid w:val="0"/>
                <w:sz w:val="22"/>
                <w:szCs w:val="22"/>
                <w:lang w:val="en-GB" w:eastAsia="en-US"/>
              </w:rPr>
              <w:t>).</w:t>
            </w:r>
          </w:p>
          <w:p w14:paraId="642897DD" w14:textId="5267E243" w:rsidR="00B341EF" w:rsidRDefault="00236BBD" w:rsidP="00A92A51">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b/>
                <w:snapToGrid w:val="0"/>
                <w:sz w:val="22"/>
                <w:szCs w:val="22"/>
                <w:u w:val="single"/>
                <w:lang w:val="en-GB" w:eastAsia="en-US"/>
              </w:rPr>
              <w:t>Update</w:t>
            </w:r>
            <w:r w:rsidRPr="00A0655F">
              <w:rPr>
                <w:rFonts w:ascii="Arial" w:hAnsi="Arial" w:cs="Arial"/>
                <w:snapToGrid w:val="0"/>
                <w:sz w:val="22"/>
                <w:szCs w:val="22"/>
                <w:u w:val="single"/>
                <w:lang w:val="en-GB" w:eastAsia="en-US"/>
              </w:rPr>
              <w:t xml:space="preserve">: </w:t>
            </w:r>
            <w:r w:rsidRPr="00AC000C">
              <w:rPr>
                <w:rFonts w:ascii="Arial" w:hAnsi="Arial" w:cs="Arial"/>
                <w:snapToGrid w:val="0"/>
                <w:sz w:val="22"/>
                <w:szCs w:val="22"/>
                <w:u w:val="single"/>
                <w:lang w:val="en-GB" w:eastAsia="en-US"/>
              </w:rPr>
              <w:t xml:space="preserve">Following Resolutions </w:t>
            </w:r>
            <w:hyperlink r:id="rId73" w:history="1">
              <w:r w:rsidRPr="00AC000C">
                <w:rPr>
                  <w:rStyle w:val="Hyperlink"/>
                  <w:rFonts w:ascii="Arial" w:hAnsi="Arial" w:cs="Arial"/>
                  <w:snapToGrid w:val="0"/>
                  <w:sz w:val="22"/>
                  <w:szCs w:val="22"/>
                  <w:lang w:val="en-GB" w:eastAsia="en-US"/>
                </w:rPr>
                <w:t>7.GA 12</w:t>
              </w:r>
            </w:hyperlink>
            <w:r w:rsidRPr="00AC000C">
              <w:rPr>
                <w:rFonts w:ascii="Arial" w:hAnsi="Arial" w:cs="Arial"/>
                <w:snapToGrid w:val="0"/>
                <w:sz w:val="22"/>
                <w:szCs w:val="22"/>
                <w:u w:val="single"/>
                <w:lang w:val="en-GB" w:eastAsia="en-US"/>
              </w:rPr>
              <w:t xml:space="preserve"> and </w:t>
            </w:r>
            <w:hyperlink r:id="rId74" w:history="1">
              <w:r w:rsidRPr="00AC000C">
                <w:rPr>
                  <w:rStyle w:val="Hyperlink"/>
                  <w:rFonts w:ascii="Arial" w:hAnsi="Arial" w:cs="Arial"/>
                  <w:snapToGrid w:val="0"/>
                  <w:sz w:val="22"/>
                  <w:szCs w:val="22"/>
                  <w:lang w:val="en-GB" w:eastAsia="en-US"/>
                </w:rPr>
                <w:t>7.GA 13</w:t>
              </w:r>
            </w:hyperlink>
            <w:r w:rsidRPr="00AC000C">
              <w:rPr>
                <w:rFonts w:ascii="Arial" w:hAnsi="Arial" w:cs="Arial"/>
                <w:snapToGrid w:val="0"/>
                <w:sz w:val="22"/>
                <w:szCs w:val="22"/>
                <w:u w:val="single"/>
                <w:lang w:val="en-GB" w:eastAsia="en-US"/>
              </w:rPr>
              <w:t>, a revised set of the Rules of Procedure</w:t>
            </w:r>
            <w:r w:rsidR="00A92A51" w:rsidRPr="00AC000C">
              <w:rPr>
                <w:rFonts w:ascii="Arial" w:hAnsi="Arial" w:cs="Arial"/>
                <w:snapToGrid w:val="0"/>
                <w:sz w:val="22"/>
                <w:szCs w:val="22"/>
                <w:u w:val="single"/>
                <w:lang w:val="en-GB" w:eastAsia="en-US"/>
              </w:rPr>
              <w:t xml:space="preserve"> of the General Assembly</w:t>
            </w:r>
            <w:r w:rsidRPr="00AC000C">
              <w:rPr>
                <w:rFonts w:ascii="Arial" w:hAnsi="Arial" w:cs="Arial"/>
                <w:snapToGrid w:val="0"/>
                <w:sz w:val="22"/>
                <w:szCs w:val="22"/>
                <w:u w:val="single"/>
                <w:lang w:val="en-GB" w:eastAsia="en-US"/>
              </w:rPr>
              <w:t xml:space="preserve"> </w:t>
            </w:r>
            <w:proofErr w:type="gramStart"/>
            <w:r w:rsidRPr="00AC000C">
              <w:rPr>
                <w:rFonts w:ascii="Arial" w:hAnsi="Arial" w:cs="Arial"/>
                <w:snapToGrid w:val="0"/>
                <w:sz w:val="22"/>
                <w:szCs w:val="22"/>
                <w:u w:val="single"/>
                <w:lang w:val="en-GB" w:eastAsia="en-US"/>
              </w:rPr>
              <w:t>will be presented</w:t>
            </w:r>
            <w:proofErr w:type="gramEnd"/>
            <w:r w:rsidRPr="00AC000C">
              <w:rPr>
                <w:rFonts w:ascii="Arial" w:hAnsi="Arial" w:cs="Arial"/>
                <w:snapToGrid w:val="0"/>
                <w:sz w:val="22"/>
                <w:szCs w:val="22"/>
                <w:u w:val="single"/>
                <w:lang w:val="en-GB" w:eastAsia="en-US"/>
              </w:rPr>
              <w:t xml:space="preserve"> to the eighth</w:t>
            </w:r>
            <w:r w:rsidRPr="00A0655F">
              <w:rPr>
                <w:rFonts w:ascii="Arial" w:hAnsi="Arial" w:cs="Arial"/>
                <w:snapToGrid w:val="0"/>
                <w:sz w:val="22"/>
                <w:szCs w:val="22"/>
                <w:u w:val="single"/>
                <w:lang w:val="en-GB" w:eastAsia="en-US"/>
              </w:rPr>
              <w:t xml:space="preserve"> session of the General Assembly</w:t>
            </w:r>
            <w:r>
              <w:rPr>
                <w:rFonts w:ascii="Arial" w:hAnsi="Arial" w:cs="Arial"/>
                <w:snapToGrid w:val="0"/>
                <w:sz w:val="22"/>
                <w:szCs w:val="22"/>
                <w:u w:val="single"/>
                <w:lang w:val="en-GB" w:eastAsia="en-US"/>
              </w:rPr>
              <w:t xml:space="preserve"> in 2020</w:t>
            </w:r>
            <w:r w:rsidRPr="00A0655F">
              <w:rPr>
                <w:rFonts w:ascii="Arial" w:hAnsi="Arial" w:cs="Arial"/>
                <w:snapToGrid w:val="0"/>
                <w:sz w:val="22"/>
                <w:szCs w:val="22"/>
                <w:u w:val="single"/>
                <w:lang w:val="en-GB" w:eastAsia="en-US"/>
              </w:rPr>
              <w:t>.</w:t>
            </w:r>
          </w:p>
        </w:tc>
      </w:tr>
      <w:tr w:rsidR="009B7C08" w:rsidRPr="008240F2" w14:paraId="23F382EA" w14:textId="77777777" w:rsidTr="00B04CDE">
        <w:tc>
          <w:tcPr>
            <w:tcW w:w="6059" w:type="dxa"/>
          </w:tcPr>
          <w:p w14:paraId="15BCB875" w14:textId="1FD558BE" w:rsidR="009B7C08" w:rsidRPr="00942976" w:rsidRDefault="009B7C08" w:rsidP="00B04CDE">
            <w:p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97.</w:t>
            </w:r>
            <w:r>
              <w:rPr>
                <w:rFonts w:ascii="Arial" w:hAnsi="Arial" w:cs="Arial"/>
                <w:snapToGrid w:val="0"/>
                <w:sz w:val="22"/>
                <w:szCs w:val="22"/>
                <w:lang w:val="en-US" w:eastAsia="en-US"/>
              </w:rPr>
              <w:tab/>
            </w:r>
            <w:r w:rsidRPr="00942976">
              <w:rPr>
                <w:rFonts w:ascii="Arial" w:hAnsi="Arial" w:cs="Arial"/>
                <w:snapToGrid w:val="0"/>
                <w:sz w:val="22"/>
                <w:szCs w:val="22"/>
                <w:lang w:val="en-US" w:eastAsia="en-US"/>
              </w:rPr>
              <w:t>Meetings of the Chairpersons of the Committees of the Cultural Conventions can be more interactive and action-oriented. Chairpersons should work strategically together to address common themes and challenges and consider shared responses and cooperation.</w:t>
            </w:r>
          </w:p>
          <w:p w14:paraId="03FD29F0" w14:textId="5B030A29" w:rsidR="009B7C08" w:rsidRPr="00E863FC" w:rsidRDefault="009B7C08" w:rsidP="00B04CDE">
            <w:pPr>
              <w:spacing w:after="120"/>
              <w:jc w:val="both"/>
              <w:rPr>
                <w:rFonts w:ascii="Arial" w:hAnsi="Arial" w:cs="Arial"/>
                <w:snapToGrid w:val="0"/>
                <w:sz w:val="22"/>
                <w:szCs w:val="22"/>
                <w:highlight w:val="cyan"/>
                <w:lang w:val="en-US" w:eastAsia="en-US"/>
              </w:rPr>
            </w:pPr>
            <w:r>
              <w:rPr>
                <w:rFonts w:ascii="Arial" w:hAnsi="Arial" w:cs="Arial"/>
                <w:b/>
                <w:bCs/>
                <w:sz w:val="22"/>
                <w:szCs w:val="22"/>
                <w:lang w:val="en-GB"/>
              </w:rPr>
              <w:t>Action proposed</w:t>
            </w:r>
          </w:p>
        </w:tc>
        <w:tc>
          <w:tcPr>
            <w:tcW w:w="8501" w:type="dxa"/>
          </w:tcPr>
          <w:p w14:paraId="223E8FF7"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implementation of this recommendation needs to </w:t>
            </w:r>
            <w:proofErr w:type="gramStart"/>
            <w:r>
              <w:rPr>
                <w:rFonts w:ascii="Arial" w:hAnsi="Arial" w:cs="Arial"/>
                <w:snapToGrid w:val="0"/>
                <w:sz w:val="22"/>
                <w:szCs w:val="22"/>
                <w:lang w:val="en-GB" w:eastAsia="en-US"/>
              </w:rPr>
              <w:t>be undertaken</w:t>
            </w:r>
            <w:proofErr w:type="gramEnd"/>
            <w:r>
              <w:rPr>
                <w:rFonts w:ascii="Arial" w:hAnsi="Arial" w:cs="Arial"/>
                <w:snapToGrid w:val="0"/>
                <w:sz w:val="22"/>
                <w:szCs w:val="22"/>
                <w:lang w:val="en-GB" w:eastAsia="en-US"/>
              </w:rPr>
              <w:t xml:space="preserve"> at the level of the Culture Sector.</w:t>
            </w:r>
          </w:p>
          <w:p w14:paraId="5525BDE9" w14:textId="77777777" w:rsidR="009B7C08" w:rsidRPr="00942976"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Cultural Conventions Liaison Group, comprising the Secretaries of the six cultural conventions and </w:t>
            </w:r>
            <w:r w:rsidR="00B266CF">
              <w:rPr>
                <w:rFonts w:ascii="Arial" w:hAnsi="Arial" w:cs="Arial"/>
                <w:snapToGrid w:val="0"/>
                <w:sz w:val="22"/>
                <w:szCs w:val="22"/>
                <w:lang w:val="en-GB" w:eastAsia="en-US"/>
              </w:rPr>
              <w:t xml:space="preserve">the </w:t>
            </w:r>
            <w:r>
              <w:rPr>
                <w:rFonts w:ascii="Arial" w:hAnsi="Arial" w:cs="Arial"/>
                <w:snapToGrid w:val="0"/>
                <w:sz w:val="22"/>
                <w:szCs w:val="22"/>
                <w:lang w:val="en-GB" w:eastAsia="en-US"/>
              </w:rPr>
              <w:t>senior management of the Culture Sector, meets regularly to share information. Sub-groups on different topics (periodic reports, International Assistance, etc.) also share resources and methodologies.</w:t>
            </w:r>
          </w:p>
        </w:tc>
      </w:tr>
      <w:tr w:rsidR="009B7C08" w:rsidRPr="00C366C0" w14:paraId="604E3077" w14:textId="77777777" w:rsidTr="00B04CDE">
        <w:tc>
          <w:tcPr>
            <w:tcW w:w="6059" w:type="dxa"/>
          </w:tcPr>
          <w:p w14:paraId="4FF21ABB" w14:textId="4C227545" w:rsidR="009B7C08" w:rsidRDefault="009B7C08" w:rsidP="00A741D3">
            <w:pPr>
              <w:pStyle w:val="ListParagraph"/>
              <w:numPr>
                <w:ilvl w:val="0"/>
                <w:numId w:val="13"/>
              </w:numPr>
              <w:spacing w:after="120"/>
              <w:ind w:left="567" w:hanging="567"/>
              <w:contextualSpacing w:val="0"/>
              <w:jc w:val="both"/>
              <w:rPr>
                <w:rFonts w:ascii="Arial" w:hAnsi="Arial" w:cs="Arial"/>
                <w:snapToGrid w:val="0"/>
                <w:sz w:val="22"/>
                <w:szCs w:val="22"/>
                <w:lang w:val="en-US" w:eastAsia="en-US"/>
              </w:rPr>
            </w:pPr>
            <w:r w:rsidRPr="00012A95">
              <w:rPr>
                <w:rFonts w:ascii="Arial" w:hAnsi="Arial" w:cs="Arial"/>
                <w:snapToGrid w:val="0"/>
                <w:sz w:val="22"/>
                <w:szCs w:val="22"/>
                <w:lang w:val="en-US" w:eastAsia="en-US"/>
              </w:rPr>
              <w:t xml:space="preserve">Transparency and accountability measures </w:t>
            </w:r>
            <w:proofErr w:type="gramStart"/>
            <w:r w:rsidRPr="00012A95">
              <w:rPr>
                <w:rFonts w:ascii="Arial" w:hAnsi="Arial" w:cs="Arial"/>
                <w:snapToGrid w:val="0"/>
                <w:sz w:val="22"/>
                <w:szCs w:val="22"/>
                <w:lang w:val="en-US" w:eastAsia="en-US"/>
              </w:rPr>
              <w:t>can be enhanced</w:t>
            </w:r>
            <w:proofErr w:type="gramEnd"/>
            <w:r w:rsidRPr="00012A95">
              <w:rPr>
                <w:rFonts w:ascii="Arial" w:hAnsi="Arial" w:cs="Arial"/>
                <w:snapToGrid w:val="0"/>
                <w:sz w:val="22"/>
                <w:szCs w:val="22"/>
                <w:lang w:val="en-US" w:eastAsia="en-US"/>
              </w:rPr>
              <w:t>, such as dissemination of minutes/ key results of Bureau meetings.</w:t>
            </w:r>
          </w:p>
          <w:p w14:paraId="15F85BF7" w14:textId="77777777" w:rsidR="009B7C08" w:rsidRPr="00E863FC" w:rsidRDefault="009B7C08" w:rsidP="00B04CDE">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Pr>
                <w:rFonts w:ascii="Arial" w:hAnsi="Arial" w:cs="Arial"/>
                <w:b/>
                <w:bCs/>
                <w:snapToGrid w:val="0"/>
                <w:sz w:val="22"/>
                <w:szCs w:val="22"/>
                <w:lang w:val="en-GB" w:eastAsia="en-US"/>
              </w:rPr>
              <w:t>losed</w:t>
            </w:r>
            <w:r>
              <w:rPr>
                <w:rFonts w:ascii="Arial" w:hAnsi="Arial" w:cs="Arial"/>
                <w:b/>
                <w:bCs/>
                <w:lang w:val="en-GB"/>
              </w:rPr>
              <w:br/>
            </w:r>
            <w:r w:rsidRPr="001C6154">
              <w:rPr>
                <w:rFonts w:ascii="Arial" w:hAnsi="Arial" w:cs="Arial"/>
                <w:b/>
                <w:bCs/>
                <w:snapToGrid w:val="0"/>
                <w:sz w:val="22"/>
                <w:szCs w:val="22"/>
                <w:lang w:val="en-GB" w:eastAsia="en-US"/>
              </w:rPr>
              <w:t>(</w:t>
            </w:r>
            <w:r w:rsidRPr="00A35371">
              <w:rPr>
                <w:rFonts w:ascii="Arial" w:hAnsi="Arial" w:cs="Arial"/>
                <w:b/>
                <w:bCs/>
                <w:snapToGrid w:val="0"/>
                <w:sz w:val="22"/>
                <w:szCs w:val="22"/>
                <w:lang w:val="en-GB" w:eastAsia="en-US"/>
              </w:rPr>
              <w:t>Good practice</w:t>
            </w:r>
            <w:r w:rsidRPr="001C6154">
              <w:rPr>
                <w:rFonts w:ascii="Arial" w:hAnsi="Arial" w:cs="Arial"/>
                <w:b/>
                <w:bCs/>
                <w:snapToGrid w:val="0"/>
                <w:sz w:val="22"/>
                <w:szCs w:val="22"/>
                <w:lang w:val="en-GB" w:eastAsia="en-US"/>
              </w:rPr>
              <w:t>)</w:t>
            </w:r>
          </w:p>
        </w:tc>
        <w:tc>
          <w:tcPr>
            <w:tcW w:w="8501" w:type="dxa"/>
          </w:tcPr>
          <w:p w14:paraId="73ECD903" w14:textId="77777777" w:rsidR="009B7C08" w:rsidRPr="001F1B91"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See recommendation 69.</w:t>
            </w:r>
          </w:p>
        </w:tc>
      </w:tr>
      <w:tr w:rsidR="009B7C08" w:rsidRPr="008240F2" w14:paraId="487FB18F" w14:textId="77777777" w:rsidTr="00B04CDE">
        <w:tc>
          <w:tcPr>
            <w:tcW w:w="6059" w:type="dxa"/>
          </w:tcPr>
          <w:p w14:paraId="32A6201F" w14:textId="426AA39F" w:rsidR="009B7C08" w:rsidRDefault="009B7C08" w:rsidP="00A741D3">
            <w:pPr>
              <w:pStyle w:val="ListParagraph"/>
              <w:numPr>
                <w:ilvl w:val="0"/>
                <w:numId w:val="13"/>
              </w:numPr>
              <w:spacing w:after="120"/>
              <w:ind w:left="562" w:hanging="562"/>
              <w:contextualSpacing w:val="0"/>
              <w:jc w:val="both"/>
              <w:rPr>
                <w:rFonts w:ascii="Arial" w:hAnsi="Arial" w:cs="Arial"/>
                <w:snapToGrid w:val="0"/>
                <w:sz w:val="22"/>
                <w:szCs w:val="22"/>
                <w:lang w:val="en-US" w:eastAsia="en-US"/>
              </w:rPr>
            </w:pPr>
            <w:r w:rsidRPr="00012A95">
              <w:rPr>
                <w:rFonts w:ascii="Arial" w:hAnsi="Arial" w:cs="Arial"/>
                <w:snapToGrid w:val="0"/>
                <w:sz w:val="22"/>
                <w:szCs w:val="22"/>
                <w:lang w:val="en-US" w:eastAsia="en-US"/>
              </w:rPr>
              <w:lastRenderedPageBreak/>
              <w:t>Capacity-building and common training on all cultural conventions</w:t>
            </w:r>
            <w:r>
              <w:rPr>
                <w:rFonts w:ascii="Arial" w:hAnsi="Arial" w:cs="Arial"/>
                <w:snapToGrid w:val="0"/>
                <w:sz w:val="22"/>
                <w:szCs w:val="22"/>
                <w:lang w:val="en-US" w:eastAsia="en-US"/>
              </w:rPr>
              <w:t xml:space="preserve"> </w:t>
            </w:r>
            <w:proofErr w:type="gramStart"/>
            <w:r w:rsidRPr="00012A95">
              <w:rPr>
                <w:rFonts w:ascii="Arial" w:hAnsi="Arial" w:cs="Arial"/>
                <w:snapToGrid w:val="0"/>
                <w:sz w:val="22"/>
                <w:szCs w:val="22"/>
                <w:lang w:val="en-US" w:eastAsia="en-US"/>
              </w:rPr>
              <w:t>should be strengthened</w:t>
            </w:r>
            <w:proofErr w:type="gramEnd"/>
            <w:r w:rsidRPr="00012A95">
              <w:rPr>
                <w:rFonts w:ascii="Arial" w:hAnsi="Arial" w:cs="Arial"/>
                <w:snapToGrid w:val="0"/>
                <w:sz w:val="22"/>
                <w:szCs w:val="22"/>
                <w:lang w:val="en-US" w:eastAsia="en-US"/>
              </w:rPr>
              <w:t>.</w:t>
            </w:r>
          </w:p>
          <w:p w14:paraId="2A2B0567" w14:textId="77777777" w:rsidR="009B7C08" w:rsidRPr="00E863FC" w:rsidRDefault="009B7C08" w:rsidP="00B04CDE">
            <w:pPr>
              <w:spacing w:after="120"/>
              <w:jc w:val="both"/>
              <w:rPr>
                <w:rFonts w:ascii="Arial" w:hAnsi="Arial" w:cs="Arial"/>
                <w:snapToGrid w:val="0"/>
                <w:sz w:val="22"/>
                <w:szCs w:val="22"/>
                <w:lang w:val="en-US" w:eastAsia="en-US"/>
              </w:rPr>
            </w:pPr>
            <w:r w:rsidRPr="001C6154">
              <w:rPr>
                <w:rFonts w:ascii="Arial" w:hAnsi="Arial" w:cs="Arial"/>
                <w:b/>
                <w:bCs/>
                <w:sz w:val="22"/>
                <w:szCs w:val="22"/>
                <w:lang w:val="en-GB"/>
              </w:rPr>
              <w:t>Ongoing</w:t>
            </w:r>
            <w:r>
              <w:rPr>
                <w:rFonts w:ascii="Arial" w:hAnsi="Arial" w:cs="Arial"/>
                <w:b/>
                <w:bCs/>
                <w:sz w:val="22"/>
                <w:szCs w:val="22"/>
                <w:lang w:val="en-GB"/>
              </w:rPr>
              <w:br/>
            </w:r>
            <w:r w:rsidRPr="001C6154">
              <w:rPr>
                <w:rFonts w:ascii="Arial" w:hAnsi="Arial" w:cs="Arial"/>
                <w:b/>
                <w:bCs/>
                <w:snapToGrid w:val="0"/>
                <w:sz w:val="22"/>
                <w:szCs w:val="22"/>
                <w:lang w:val="en-GB" w:eastAsia="en-US"/>
              </w:rPr>
              <w:t>(</w:t>
            </w:r>
            <w:r w:rsidRPr="00A35371">
              <w:rPr>
                <w:rFonts w:ascii="Arial" w:hAnsi="Arial" w:cs="Arial"/>
                <w:b/>
                <w:bCs/>
                <w:snapToGrid w:val="0"/>
                <w:sz w:val="22"/>
                <w:szCs w:val="22"/>
                <w:lang w:val="en-GB" w:eastAsia="en-US"/>
              </w:rPr>
              <w:t>Good practice</w:t>
            </w:r>
            <w:r w:rsidRPr="001C6154">
              <w:rPr>
                <w:rFonts w:ascii="Arial" w:hAnsi="Arial" w:cs="Arial"/>
                <w:b/>
                <w:bCs/>
                <w:snapToGrid w:val="0"/>
                <w:sz w:val="22"/>
                <w:szCs w:val="22"/>
                <w:lang w:val="en-GB" w:eastAsia="en-US"/>
              </w:rPr>
              <w:t>)</w:t>
            </w:r>
          </w:p>
        </w:tc>
        <w:tc>
          <w:tcPr>
            <w:tcW w:w="8501" w:type="dxa"/>
          </w:tcPr>
          <w:p w14:paraId="4F7B067A" w14:textId="6EC8C1AE" w:rsidR="009B7C08" w:rsidRPr="00942976"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 xml:space="preserve">Through the global capacity-building programme that the Secretariat initiated in 2009, a set of capacity-building materials </w:t>
            </w:r>
            <w:proofErr w:type="gramStart"/>
            <w:r w:rsidRPr="00942976">
              <w:rPr>
                <w:rFonts w:ascii="Arial" w:hAnsi="Arial" w:cs="Arial"/>
                <w:snapToGrid w:val="0"/>
                <w:sz w:val="22"/>
                <w:szCs w:val="22"/>
                <w:lang w:val="en-GB" w:eastAsia="en-US"/>
              </w:rPr>
              <w:t>has been developed</w:t>
            </w:r>
            <w:proofErr w:type="gramEnd"/>
            <w:r w:rsidRPr="00942976">
              <w:rPr>
                <w:rFonts w:ascii="Arial" w:hAnsi="Arial" w:cs="Arial"/>
                <w:snapToGrid w:val="0"/>
                <w:sz w:val="22"/>
                <w:szCs w:val="22"/>
                <w:lang w:val="en-GB" w:eastAsia="en-US"/>
              </w:rPr>
              <w:t>, covering topics such as UNESCO and its conventions on culture and heritage, with a comparison between the 2003, 1972 and 2005 Convention</w:t>
            </w:r>
            <w:r>
              <w:rPr>
                <w:rFonts w:ascii="Arial" w:hAnsi="Arial" w:cs="Arial"/>
                <w:snapToGrid w:val="0"/>
                <w:sz w:val="22"/>
                <w:szCs w:val="22"/>
                <w:lang w:val="en-GB" w:eastAsia="en-US"/>
              </w:rPr>
              <w:t>s</w:t>
            </w:r>
            <w:r w:rsidRPr="00942976">
              <w:rPr>
                <w:rFonts w:ascii="Arial" w:hAnsi="Arial" w:cs="Arial"/>
                <w:snapToGrid w:val="0"/>
                <w:sz w:val="22"/>
                <w:szCs w:val="22"/>
                <w:lang w:val="en-GB" w:eastAsia="en-US"/>
              </w:rPr>
              <w:t>.</w:t>
            </w:r>
          </w:p>
          <w:p w14:paraId="3DB449CA" w14:textId="26BB2361" w:rsidR="009B7C08" w:rsidRPr="001F1B91"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 xml:space="preserve">However, these materials </w:t>
            </w:r>
            <w:proofErr w:type="gramStart"/>
            <w:r w:rsidRPr="00942976">
              <w:rPr>
                <w:rFonts w:ascii="Arial" w:hAnsi="Arial" w:cs="Arial"/>
                <w:snapToGrid w:val="0"/>
                <w:sz w:val="22"/>
                <w:szCs w:val="22"/>
                <w:lang w:val="en-GB" w:eastAsia="en-US"/>
              </w:rPr>
              <w:t>have not been updated</w:t>
            </w:r>
            <w:proofErr w:type="gramEnd"/>
            <w:r w:rsidRPr="00942976">
              <w:rPr>
                <w:rFonts w:ascii="Arial" w:hAnsi="Arial" w:cs="Arial"/>
                <w:snapToGrid w:val="0"/>
                <w:sz w:val="22"/>
                <w:szCs w:val="22"/>
                <w:lang w:val="en-GB" w:eastAsia="en-US"/>
              </w:rPr>
              <w:t xml:space="preserve"> since 2015 due to budget constraints. It is important to note that the implementation of the global capacity-building programme of the 2003 Convention is highly dependent on the budget allocated </w:t>
            </w:r>
            <w:r w:rsidR="00B266CF">
              <w:rPr>
                <w:rFonts w:ascii="Arial" w:hAnsi="Arial" w:cs="Arial"/>
                <w:snapToGrid w:val="0"/>
                <w:sz w:val="22"/>
                <w:szCs w:val="22"/>
                <w:lang w:val="en-GB" w:eastAsia="en-US"/>
              </w:rPr>
              <w:t xml:space="preserve">to </w:t>
            </w:r>
            <w:r w:rsidRPr="00942976">
              <w:rPr>
                <w:rFonts w:ascii="Arial" w:hAnsi="Arial" w:cs="Arial"/>
                <w:snapToGrid w:val="0"/>
                <w:sz w:val="22"/>
                <w:szCs w:val="22"/>
                <w:lang w:val="en-GB" w:eastAsia="en-US"/>
              </w:rPr>
              <w:t>‘other functions of the Committee’ from the Intangible Cultural Heritage Fund, as well as voluntary supplementary contributions and Funds-In-Trust.</w:t>
            </w:r>
          </w:p>
        </w:tc>
      </w:tr>
      <w:tr w:rsidR="009B7C08" w:rsidRPr="008240F2" w14:paraId="26F95F1F" w14:textId="77777777" w:rsidTr="00B04CDE">
        <w:tc>
          <w:tcPr>
            <w:tcW w:w="6059" w:type="dxa"/>
          </w:tcPr>
          <w:p w14:paraId="65CB995B" w14:textId="12F1EE47" w:rsidR="009B7C08" w:rsidRPr="0049025A" w:rsidRDefault="009B7C08" w:rsidP="00A741D3">
            <w:pPr>
              <w:pStyle w:val="ListParagraph"/>
              <w:numPr>
                <w:ilvl w:val="0"/>
                <w:numId w:val="13"/>
              </w:numPr>
              <w:spacing w:after="120"/>
              <w:ind w:left="562" w:hanging="562"/>
              <w:contextualSpacing w:val="0"/>
              <w:jc w:val="both"/>
              <w:rPr>
                <w:rFonts w:ascii="Arial" w:hAnsi="Arial" w:cs="Arial"/>
                <w:snapToGrid w:val="0"/>
                <w:sz w:val="22"/>
                <w:szCs w:val="22"/>
                <w:lang w:val="en-US" w:eastAsia="en-US"/>
              </w:rPr>
            </w:pPr>
            <w:r w:rsidRPr="0049025A">
              <w:rPr>
                <w:rFonts w:ascii="Arial" w:hAnsi="Arial" w:cs="Arial"/>
                <w:snapToGrid w:val="0"/>
                <w:sz w:val="22"/>
                <w:szCs w:val="22"/>
                <w:lang w:val="en-US" w:eastAsia="en-US"/>
              </w:rPr>
              <w:t>Governing bodies of Conventions and their Secretariats are encouraged to develop appropriate ratification strategies.</w:t>
            </w:r>
          </w:p>
          <w:p w14:paraId="4EC7332A" w14:textId="77777777" w:rsidR="009B7C08" w:rsidRPr="0049025A" w:rsidRDefault="009B7C08" w:rsidP="00B04CDE">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Closed</w:t>
            </w:r>
          </w:p>
        </w:tc>
        <w:tc>
          <w:tcPr>
            <w:tcW w:w="8501" w:type="dxa"/>
          </w:tcPr>
          <w:p w14:paraId="4B02BCCE" w14:textId="2EC8B8FF"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work accomplished by the Secretariat is bearing fruit; this includes, for example, the development of capacity-building materials on ratifications, and the organization of workshops on this topic, as well as the support provided by the Regional Officers in the Intangible Cultural Heritage Section to </w:t>
            </w:r>
            <w:proofErr w:type="gramStart"/>
            <w:r>
              <w:rPr>
                <w:rFonts w:ascii="Arial" w:hAnsi="Arial" w:cs="Arial"/>
                <w:snapToGrid w:val="0"/>
                <w:sz w:val="22"/>
                <w:szCs w:val="22"/>
                <w:lang w:val="en-GB" w:eastAsia="en-US"/>
              </w:rPr>
              <w:t>States which</w:t>
            </w:r>
            <w:proofErr w:type="gramEnd"/>
            <w:r>
              <w:rPr>
                <w:rFonts w:ascii="Arial" w:hAnsi="Arial" w:cs="Arial"/>
                <w:snapToGrid w:val="0"/>
                <w:sz w:val="22"/>
                <w:szCs w:val="22"/>
                <w:lang w:val="en-GB" w:eastAsia="en-US"/>
              </w:rPr>
              <w:t xml:space="preserve"> were not parties to the Convention. With 177 States Parties at the time of writing, the 2003 Convention is approaching universal ratification.</w:t>
            </w:r>
          </w:p>
          <w:p w14:paraId="43120FEA" w14:textId="6642D18E" w:rsidR="00B341EF" w:rsidRPr="00EE4900" w:rsidRDefault="00B341EF" w:rsidP="00A741D3">
            <w:pPr>
              <w:pStyle w:val="ListParagraph"/>
              <w:numPr>
                <w:ilvl w:val="0"/>
                <w:numId w:val="7"/>
              </w:numPr>
              <w:spacing w:after="120"/>
              <w:ind w:left="357" w:hanging="357"/>
              <w:contextualSpacing w:val="0"/>
              <w:jc w:val="both"/>
              <w:rPr>
                <w:rFonts w:ascii="Arial" w:hAnsi="Arial" w:cs="Arial"/>
                <w:snapToGrid w:val="0"/>
                <w:sz w:val="22"/>
                <w:szCs w:val="22"/>
                <w:u w:val="single"/>
                <w:lang w:val="en-GB" w:eastAsia="en-US"/>
              </w:rPr>
            </w:pPr>
            <w:r w:rsidRPr="00EE4900">
              <w:rPr>
                <w:rFonts w:ascii="Arial" w:hAnsi="Arial" w:cs="Arial"/>
                <w:b/>
                <w:snapToGrid w:val="0"/>
                <w:sz w:val="22"/>
                <w:szCs w:val="22"/>
                <w:u w:val="single"/>
                <w:lang w:val="en-GB" w:eastAsia="en-US"/>
              </w:rPr>
              <w:t>Update:</w:t>
            </w:r>
            <w:r w:rsidRPr="00EE4900">
              <w:rPr>
                <w:rFonts w:ascii="Arial" w:hAnsi="Arial" w:cs="Arial"/>
                <w:snapToGrid w:val="0"/>
                <w:sz w:val="22"/>
                <w:szCs w:val="22"/>
                <w:u w:val="single"/>
                <w:lang w:val="en-GB" w:eastAsia="en-US"/>
              </w:rPr>
              <w:t xml:space="preserve"> the number of States Parties to the 2003 Convention </w:t>
            </w:r>
            <w:r w:rsidR="00B266CF">
              <w:rPr>
                <w:rFonts w:ascii="Arial" w:hAnsi="Arial" w:cs="Arial"/>
                <w:snapToGrid w:val="0"/>
                <w:sz w:val="22"/>
                <w:szCs w:val="22"/>
                <w:u w:val="single"/>
                <w:lang w:val="en-GB" w:eastAsia="en-US"/>
              </w:rPr>
              <w:t>is</w:t>
            </w:r>
            <w:r w:rsidRPr="00EE4900">
              <w:rPr>
                <w:rFonts w:ascii="Arial" w:hAnsi="Arial" w:cs="Arial"/>
                <w:snapToGrid w:val="0"/>
                <w:sz w:val="22"/>
                <w:szCs w:val="22"/>
                <w:u w:val="single"/>
                <w:lang w:val="en-GB" w:eastAsia="en-US"/>
              </w:rPr>
              <w:t xml:space="preserve"> 178</w:t>
            </w:r>
            <w:r w:rsidR="00025677">
              <w:rPr>
                <w:rFonts w:ascii="Arial" w:hAnsi="Arial" w:cs="Arial"/>
                <w:snapToGrid w:val="0"/>
                <w:sz w:val="22"/>
                <w:szCs w:val="22"/>
                <w:u w:val="single"/>
                <w:lang w:val="en-GB" w:eastAsia="en-US"/>
              </w:rPr>
              <w:t xml:space="preserve"> (as at October 2018)</w:t>
            </w:r>
            <w:r w:rsidR="00B266CF">
              <w:rPr>
                <w:rFonts w:ascii="Arial" w:hAnsi="Arial" w:cs="Arial"/>
                <w:snapToGrid w:val="0"/>
                <w:sz w:val="22"/>
                <w:szCs w:val="22"/>
                <w:u w:val="single"/>
                <w:lang w:val="en-GB" w:eastAsia="en-US"/>
              </w:rPr>
              <w:t>.</w:t>
            </w:r>
          </w:p>
        </w:tc>
      </w:tr>
      <w:tr w:rsidR="009B7C08" w:rsidRPr="008240F2" w14:paraId="1E7C7965"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47C2FD4E" w14:textId="77777777" w:rsidR="009B7C08" w:rsidRPr="0049025A" w:rsidRDefault="009B7C08" w:rsidP="00B04CDE">
            <w:pPr>
              <w:keepNext/>
              <w:rPr>
                <w:rFonts w:ascii="Arial" w:hAnsi="Arial" w:cs="Arial"/>
                <w:b/>
                <w:snapToGrid w:val="0"/>
                <w:sz w:val="22"/>
                <w:szCs w:val="22"/>
                <w:lang w:val="en-US" w:eastAsia="en-US"/>
              </w:rPr>
            </w:pPr>
            <w:r w:rsidRPr="0049025A">
              <w:rPr>
                <w:rFonts w:ascii="Arial" w:hAnsi="Arial" w:cs="Arial"/>
                <w:b/>
                <w:snapToGrid w:val="0"/>
                <w:sz w:val="22"/>
                <w:szCs w:val="22"/>
                <w:lang w:val="en-US" w:eastAsia="en-US"/>
              </w:rPr>
              <w:t>Convention for the Safeguarding of the Intangible Cultural Heritage (2003)</w:t>
            </w:r>
          </w:p>
        </w:tc>
      </w:tr>
      <w:tr w:rsidR="009B7C08" w:rsidRPr="00B077E8" w14:paraId="708B450F" w14:textId="77777777" w:rsidTr="00B04CDE">
        <w:tc>
          <w:tcPr>
            <w:tcW w:w="6059" w:type="dxa"/>
          </w:tcPr>
          <w:p w14:paraId="2849EC4A" w14:textId="6ADFBF98" w:rsidR="009B7C08" w:rsidRPr="0000757E" w:rsidRDefault="009B7C08" w:rsidP="00B04CDE">
            <w:pPr>
              <w:spacing w:after="120"/>
              <w:ind w:left="567" w:hanging="567"/>
              <w:jc w:val="both"/>
              <w:rPr>
                <w:rFonts w:ascii="Arial" w:hAnsi="Arial" w:cs="Arial"/>
                <w:snapToGrid w:val="0"/>
                <w:sz w:val="22"/>
                <w:szCs w:val="22"/>
                <w:lang w:val="en-US" w:eastAsia="en-US"/>
              </w:rPr>
            </w:pPr>
            <w:r w:rsidRPr="0000757E">
              <w:rPr>
                <w:rFonts w:ascii="Arial" w:hAnsi="Arial" w:cs="Arial"/>
                <w:snapToGrid w:val="0"/>
                <w:sz w:val="22"/>
                <w:szCs w:val="22"/>
                <w:lang w:val="en-GB" w:eastAsia="en-US"/>
              </w:rPr>
              <w:t>107.</w:t>
            </w:r>
            <w:r w:rsidRPr="0000757E">
              <w:rPr>
                <w:rFonts w:ascii="Arial" w:hAnsi="Arial" w:cs="Arial"/>
                <w:snapToGrid w:val="0"/>
                <w:sz w:val="22"/>
                <w:szCs w:val="22"/>
                <w:lang w:val="en-GB" w:eastAsia="en-US"/>
              </w:rPr>
              <w:tab/>
            </w:r>
            <w:r w:rsidRPr="0000757E">
              <w:rPr>
                <w:rFonts w:ascii="Arial" w:hAnsi="Arial" w:cs="Arial"/>
                <w:snapToGrid w:val="0"/>
                <w:sz w:val="22"/>
                <w:szCs w:val="22"/>
                <w:lang w:val="en-US" w:eastAsia="en-US"/>
              </w:rPr>
              <w:t>Need to strengthen decision-making procedures and credibility of Committee, taking due note of</w:t>
            </w:r>
            <w:r w:rsidR="00A741D3">
              <w:rPr>
                <w:rFonts w:ascii="Arial" w:hAnsi="Arial" w:cs="Arial"/>
                <w:snapToGrid w:val="0"/>
                <w:sz w:val="22"/>
                <w:szCs w:val="22"/>
                <w:lang w:val="en-US" w:eastAsia="en-US"/>
              </w:rPr>
              <w:t xml:space="preserve"> </w:t>
            </w:r>
            <w:r w:rsidRPr="0000757E">
              <w:rPr>
                <w:rFonts w:ascii="Arial" w:hAnsi="Arial" w:cs="Arial"/>
                <w:snapToGrid w:val="0"/>
                <w:sz w:val="22"/>
                <w:szCs w:val="22"/>
                <w:lang w:val="en-US" w:eastAsia="en-US"/>
              </w:rPr>
              <w:t>Ad Hoc Working Group established to address these issues.</w:t>
            </w:r>
          </w:p>
          <w:p w14:paraId="36FA8922" w14:textId="77777777" w:rsidR="009B7C08" w:rsidRPr="0000757E" w:rsidRDefault="009B7C08" w:rsidP="00B04CDE">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Borders>
              <w:right w:val="single" w:sz="4" w:space="0" w:color="auto"/>
            </w:tcBorders>
          </w:tcPr>
          <w:p w14:paraId="446BA44F"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US" w:eastAsia="en-US"/>
              </w:rPr>
              <w:t>See recommendation 60.</w:t>
            </w:r>
          </w:p>
        </w:tc>
      </w:tr>
    </w:tbl>
    <w:p w14:paraId="39E1A640" w14:textId="77777777" w:rsidR="00404512" w:rsidRDefault="00404512" w:rsidP="00EE4900">
      <w:pPr>
        <w:rPr>
          <w:rFonts w:ascii="Arial" w:hAnsi="Arial" w:cs="Arial"/>
          <w:snapToGrid w:val="0"/>
          <w:sz w:val="22"/>
          <w:szCs w:val="22"/>
          <w:lang w:val="en-GB" w:eastAsia="en-US"/>
        </w:rPr>
      </w:pPr>
    </w:p>
    <w:sectPr w:rsidR="00404512" w:rsidSect="00404512">
      <w:headerReference w:type="even" r:id="rId75"/>
      <w:headerReference w:type="default" r:id="rId76"/>
      <w:headerReference w:type="first" r:id="rId77"/>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9250" w14:textId="77777777" w:rsidR="005E778C" w:rsidRDefault="005E778C" w:rsidP="00655736">
      <w:r>
        <w:separator/>
      </w:r>
    </w:p>
  </w:endnote>
  <w:endnote w:type="continuationSeparator" w:id="0">
    <w:p w14:paraId="2DC7C648" w14:textId="77777777" w:rsidR="005E778C" w:rsidRDefault="005E778C" w:rsidP="00655736">
      <w:r>
        <w:continuationSeparator/>
      </w:r>
    </w:p>
  </w:endnote>
  <w:endnote w:type="continuationNotice" w:id="1">
    <w:p w14:paraId="19B9A6B7" w14:textId="77777777" w:rsidR="005E778C" w:rsidRDefault="005E7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68E5E" w14:textId="77777777" w:rsidR="005E778C" w:rsidRDefault="005E778C" w:rsidP="00655736">
      <w:r>
        <w:separator/>
      </w:r>
    </w:p>
  </w:footnote>
  <w:footnote w:type="continuationSeparator" w:id="0">
    <w:p w14:paraId="4525D9B7" w14:textId="77777777" w:rsidR="005E778C" w:rsidRDefault="005E778C" w:rsidP="00655736">
      <w:r>
        <w:continuationSeparator/>
      </w:r>
    </w:p>
  </w:footnote>
  <w:footnote w:type="continuationNotice" w:id="1">
    <w:p w14:paraId="18CB41C8" w14:textId="77777777" w:rsidR="005E778C" w:rsidRDefault="005E778C"/>
  </w:footnote>
  <w:footnote w:id="2">
    <w:p w14:paraId="16C4F3E0" w14:textId="5360FCC9" w:rsidR="005E778C" w:rsidRPr="006409D7" w:rsidRDefault="005E778C" w:rsidP="009B7C08">
      <w:pPr>
        <w:pStyle w:val="FootnoteText"/>
        <w:tabs>
          <w:tab w:val="left" w:pos="567"/>
        </w:tabs>
        <w:ind w:left="567" w:hanging="567"/>
        <w:rPr>
          <w:rFonts w:ascii="Arial" w:eastAsiaTheme="minorEastAsia" w:hAnsi="Arial" w:cs="Arial"/>
          <w:sz w:val="18"/>
          <w:szCs w:val="18"/>
          <w:lang w:val="en-US" w:eastAsia="ko-KR"/>
        </w:rPr>
      </w:pPr>
      <w:r w:rsidRPr="006409D7">
        <w:rPr>
          <w:rStyle w:val="FootnoteReference"/>
          <w:rFonts w:ascii="Arial" w:hAnsi="Arial" w:cs="Arial"/>
          <w:sz w:val="18"/>
          <w:szCs w:val="18"/>
          <w:vertAlign w:val="baseline"/>
        </w:rPr>
        <w:footnoteRef/>
      </w:r>
      <w:r w:rsidRPr="006409D7">
        <w:rPr>
          <w:rFonts w:ascii="Arial" w:hAnsi="Arial" w:cs="Arial"/>
          <w:sz w:val="18"/>
          <w:szCs w:val="18"/>
          <w:lang w:val="en-US"/>
        </w:rPr>
        <w:t xml:space="preserve">. </w:t>
      </w:r>
      <w:r w:rsidRPr="006409D7">
        <w:rPr>
          <w:rFonts w:ascii="Arial" w:hAnsi="Arial" w:cs="Arial"/>
          <w:sz w:val="18"/>
          <w:szCs w:val="18"/>
          <w:lang w:val="en-US"/>
        </w:rPr>
        <w:tab/>
        <w:t>For the full recommendation</w:t>
      </w:r>
      <w:r>
        <w:rPr>
          <w:rFonts w:ascii="Arial" w:hAnsi="Arial" w:cs="Arial"/>
          <w:sz w:val="18"/>
          <w:szCs w:val="18"/>
          <w:lang w:val="en-US"/>
        </w:rPr>
        <w:t>,</w:t>
      </w:r>
      <w:r w:rsidRPr="006409D7">
        <w:rPr>
          <w:rFonts w:ascii="Arial" w:hAnsi="Arial" w:cs="Arial"/>
          <w:sz w:val="18"/>
          <w:szCs w:val="18"/>
          <w:lang w:val="en-US"/>
        </w:rPr>
        <w:t xml:space="preserve"> including Part 1 which concerns </w:t>
      </w:r>
      <w:r>
        <w:rPr>
          <w:rFonts w:ascii="Arial" w:hAnsi="Arial" w:cs="Arial"/>
          <w:sz w:val="18"/>
          <w:szCs w:val="18"/>
          <w:lang w:val="en-US"/>
        </w:rPr>
        <w:t xml:space="preserve">the </w:t>
      </w:r>
      <w:r w:rsidRPr="006409D7">
        <w:rPr>
          <w:rFonts w:ascii="Arial" w:hAnsi="Arial" w:cs="Arial"/>
          <w:sz w:val="18"/>
          <w:szCs w:val="18"/>
          <w:lang w:val="en-US"/>
        </w:rPr>
        <w:t xml:space="preserve">governing bodies of UNESCO (General Conference and Executive Board), see </w:t>
      </w:r>
      <w:r>
        <w:rPr>
          <w:rFonts w:ascii="Arial" w:hAnsi="Arial" w:cs="Arial"/>
          <w:sz w:val="18"/>
          <w:szCs w:val="18"/>
          <w:lang w:val="en-US"/>
        </w:rPr>
        <w:t>d</w:t>
      </w:r>
      <w:r w:rsidRPr="006409D7">
        <w:rPr>
          <w:rFonts w:ascii="Arial" w:hAnsi="Arial" w:cs="Arial"/>
          <w:sz w:val="18"/>
          <w:szCs w:val="18"/>
          <w:lang w:val="en-US"/>
        </w:rPr>
        <w:t>ocuments 39 C/20 (</w:t>
      </w:r>
      <w:hyperlink r:id="rId1" w:history="1">
        <w:r w:rsidRPr="006409D7">
          <w:rPr>
            <w:rStyle w:val="Hyperlink"/>
            <w:rFonts w:ascii="Arial" w:hAnsi="Arial" w:cs="Arial"/>
            <w:sz w:val="18"/>
            <w:szCs w:val="18"/>
            <w:lang w:val="en-US"/>
          </w:rPr>
          <w:t>http://unesdoc.unesco.org/images/0025/002590/259081e.pdf</w:t>
        </w:r>
      </w:hyperlink>
      <w:r w:rsidRPr="006409D7">
        <w:rPr>
          <w:rFonts w:ascii="Arial" w:hAnsi="Arial" w:cs="Arial"/>
          <w:sz w:val="18"/>
          <w:szCs w:val="18"/>
          <w:lang w:val="en-US"/>
        </w:rPr>
        <w:t>) and 39 C/70 (</w:t>
      </w:r>
      <w:hyperlink r:id="rId2" w:history="1">
        <w:r w:rsidRPr="006409D7">
          <w:rPr>
            <w:rStyle w:val="Hyperlink"/>
            <w:rFonts w:ascii="Arial" w:hAnsi="Arial" w:cs="Arial"/>
            <w:sz w:val="18"/>
            <w:szCs w:val="18"/>
            <w:lang w:val="en-US"/>
          </w:rPr>
          <w:t>http://unesdoc.unesco.org/images/0026/002600/260089E.pdf</w:t>
        </w:r>
      </w:hyperlink>
      <w:r w:rsidRPr="006409D7">
        <w:rPr>
          <w:rStyle w:val="Hyperlink"/>
          <w:rFonts w:ascii="Arial" w:hAnsi="Arial" w:cs="Arial"/>
          <w:color w:val="auto"/>
          <w:sz w:val="18"/>
          <w:szCs w:val="18"/>
          <w:u w:val="non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A39A" w14:textId="2106F05D" w:rsidR="005E778C" w:rsidRPr="00C23A97" w:rsidRDefault="005E778C">
    <w:pPr>
      <w:pStyle w:val="Header"/>
      <w:rPr>
        <w:rFonts w:ascii="Arial" w:hAnsi="Arial" w:cs="Arial"/>
        <w:lang w:val="en-GB"/>
      </w:rPr>
    </w:pPr>
    <w:r>
      <w:rPr>
        <w:rFonts w:ascii="Arial" w:hAnsi="Arial" w:cs="Arial"/>
        <w:sz w:val="20"/>
        <w:szCs w:val="20"/>
        <w:lang w:val="en-GB"/>
      </w:rPr>
      <w:t>ITH/18/13</w:t>
    </w:r>
    <w:r w:rsidRPr="00C23A97">
      <w:rPr>
        <w:rFonts w:ascii="Arial" w:hAnsi="Arial" w:cs="Arial"/>
        <w:sz w:val="20"/>
        <w:szCs w:val="20"/>
        <w:lang w:val="en-GB"/>
      </w:rPr>
      <w:t>.</w:t>
    </w:r>
    <w:r>
      <w:rPr>
        <w:rFonts w:ascii="Arial" w:hAnsi="Arial" w:cs="Arial"/>
        <w:sz w:val="20"/>
        <w:szCs w:val="20"/>
        <w:lang w:val="en-GB"/>
      </w:rPr>
      <w:t>COM/</w:t>
    </w:r>
    <w:r>
      <w:rPr>
        <w:rFonts w:ascii="Arial" w:hAnsi="Arial" w:cs="Arial"/>
        <w:sz w:val="20"/>
        <w:szCs w:val="20"/>
        <w:lang w:val="en-US"/>
      </w:rPr>
      <w:t>17</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8240F2">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6A80" w14:textId="593C767C" w:rsidR="005E778C" w:rsidRPr="0063300C" w:rsidRDefault="005E778C" w:rsidP="0063300C">
    <w:pPr>
      <w:pStyle w:val="Header"/>
      <w:jc w:val="right"/>
      <w:rPr>
        <w:rFonts w:ascii="Arial" w:hAnsi="Arial" w:cs="Arial"/>
        <w:lang w:val="en-GB"/>
      </w:rPr>
    </w:pPr>
    <w:r>
      <w:rPr>
        <w:rFonts w:ascii="Arial" w:hAnsi="Arial" w:cs="Arial"/>
        <w:sz w:val="20"/>
        <w:szCs w:val="20"/>
        <w:lang w:val="en-GB"/>
      </w:rPr>
      <w:t>ITH/18/13</w:t>
    </w:r>
    <w:r w:rsidRPr="0063300C">
      <w:rPr>
        <w:rFonts w:ascii="Arial" w:hAnsi="Arial" w:cs="Arial"/>
        <w:sz w:val="20"/>
        <w:szCs w:val="20"/>
        <w:lang w:val="en-GB"/>
      </w:rPr>
      <w:t>.</w:t>
    </w:r>
    <w:r>
      <w:rPr>
        <w:rFonts w:ascii="Arial" w:hAnsi="Arial" w:cs="Arial"/>
        <w:sz w:val="20"/>
        <w:szCs w:val="20"/>
        <w:lang w:val="en-GB"/>
      </w:rPr>
      <w:t>COM</w:t>
    </w:r>
    <w:r w:rsidRPr="0063300C">
      <w:rPr>
        <w:rFonts w:ascii="Arial" w:hAnsi="Arial" w:cs="Arial"/>
        <w:sz w:val="20"/>
        <w:szCs w:val="20"/>
        <w:lang w:val="en-GB"/>
      </w:rPr>
      <w:t>/</w:t>
    </w:r>
    <w:r>
      <w:rPr>
        <w:rFonts w:ascii="Arial" w:hAnsi="Arial" w:cs="Arial"/>
        <w:sz w:val="20"/>
        <w:szCs w:val="20"/>
        <w:lang w:val="en-GB"/>
      </w:rPr>
      <w:t>17</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8240F2">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F2D2" w14:textId="77777777" w:rsidR="005E778C" w:rsidRPr="008724E5" w:rsidRDefault="005E778C">
    <w:pPr>
      <w:pStyle w:val="Header"/>
    </w:pPr>
    <w:r>
      <w:rPr>
        <w:noProof/>
      </w:rPr>
      <w:drawing>
        <wp:anchor distT="0" distB="0" distL="114300" distR="114300" simplePos="0" relativeHeight="251659776" behindDoc="0" locked="0" layoutInCell="1" allowOverlap="1" wp14:anchorId="24E3241F" wp14:editId="38ED77AE">
          <wp:simplePos x="0" y="0"/>
          <wp:positionH relativeFrom="column">
            <wp:posOffset>-567690</wp:posOffset>
          </wp:positionH>
          <wp:positionV relativeFrom="paragraph">
            <wp:posOffset>3810</wp:posOffset>
          </wp:positionV>
          <wp:extent cx="2228215" cy="1367790"/>
          <wp:effectExtent l="0" t="0" r="635" b="381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72773" w14:textId="77777777" w:rsidR="005E778C" w:rsidRPr="00F30DC6" w:rsidRDefault="005E778C" w:rsidP="007C0E13">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73F1335A" w14:textId="77777777" w:rsidR="005E778C" w:rsidRPr="009D5428" w:rsidRDefault="005E778C" w:rsidP="007C0E13">
    <w:pPr>
      <w:jc w:val="right"/>
      <w:rPr>
        <w:rFonts w:ascii="Arial" w:hAnsi="Arial" w:cs="Arial"/>
        <w:b/>
        <w:sz w:val="22"/>
        <w:szCs w:val="22"/>
        <w:lang w:val="en-GB"/>
      </w:rPr>
    </w:pPr>
    <w:r w:rsidRPr="007C0E13">
      <w:rPr>
        <w:rFonts w:ascii="Arial" w:hAnsi="Arial" w:cs="Arial"/>
        <w:b/>
        <w:sz w:val="22"/>
        <w:szCs w:val="22"/>
        <w:lang w:val="en-GB"/>
      </w:rPr>
      <w:t>ITH/1</w:t>
    </w:r>
    <w:r w:rsidRPr="007C0E13">
      <w:rPr>
        <w:rFonts w:ascii="Arial" w:eastAsiaTheme="minorEastAsia" w:hAnsi="Arial" w:cs="Arial"/>
        <w:b/>
        <w:sz w:val="22"/>
        <w:szCs w:val="22"/>
        <w:lang w:val="en-GB" w:eastAsia="ko-KR"/>
      </w:rPr>
      <w:t>8</w:t>
    </w:r>
    <w:r w:rsidRPr="007C0E13">
      <w:rPr>
        <w:rFonts w:ascii="Arial" w:hAnsi="Arial" w:cs="Arial"/>
        <w:b/>
        <w:sz w:val="22"/>
        <w:szCs w:val="22"/>
        <w:lang w:val="en-GB"/>
      </w:rPr>
      <w:t>/13.COM/</w:t>
    </w:r>
    <w:r w:rsidRPr="00E22F29">
      <w:rPr>
        <w:rFonts w:ascii="Arial" w:hAnsi="Arial" w:cs="Arial"/>
        <w:b/>
        <w:sz w:val="22"/>
        <w:szCs w:val="22"/>
        <w:lang w:val="en-GB"/>
      </w:rPr>
      <w:t>17</w:t>
    </w:r>
  </w:p>
  <w:p w14:paraId="074BF5F7" w14:textId="5B0C24DC" w:rsidR="005E778C" w:rsidRPr="00337CEB" w:rsidRDefault="005E778C" w:rsidP="00AC000C">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AC000C">
      <w:rPr>
        <w:rFonts w:ascii="Arial" w:hAnsi="Arial" w:cs="Arial"/>
        <w:b/>
        <w:sz w:val="22"/>
        <w:szCs w:val="22"/>
        <w:lang w:val="en-GB"/>
      </w:rPr>
      <w:t>29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0827B85C" w14:textId="77777777" w:rsidR="005E778C" w:rsidRPr="00F32C23" w:rsidRDefault="005E778C" w:rsidP="007C0E13">
    <w:pPr>
      <w:jc w:val="right"/>
      <w:rPr>
        <w:rFonts w:ascii="Arial" w:hAnsi="Arial" w:cs="Arial"/>
        <w:b/>
        <w:sz w:val="22"/>
        <w:szCs w:val="22"/>
        <w:lang w:val="en-GB"/>
      </w:rPr>
    </w:pPr>
    <w:r w:rsidRPr="007C0E13">
      <w:rPr>
        <w:rFonts w:ascii="Arial" w:hAnsi="Arial" w:cs="Arial"/>
        <w:b/>
        <w:sz w:val="22"/>
        <w:szCs w:val="22"/>
        <w:lang w:val="en-GB"/>
      </w:rPr>
      <w:t xml:space="preserve">Original: </w:t>
    </w:r>
    <w:r w:rsidRPr="00E22F29">
      <w:rPr>
        <w:rFonts w:ascii="Arial" w:hAnsi="Arial" w:cs="Arial"/>
        <w:b/>
        <w:sz w:val="22"/>
        <w:szCs w:val="22"/>
        <w:lang w:val="en-GB"/>
      </w:rPr>
      <w:t>English</w:t>
    </w:r>
  </w:p>
  <w:p w14:paraId="3D8159C6" w14:textId="77777777" w:rsidR="005E778C" w:rsidRPr="00C23A97" w:rsidRDefault="005E778C" w:rsidP="00B04CDE">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D5F7" w14:textId="23F7C8FA" w:rsidR="005E778C" w:rsidRPr="00C23A97" w:rsidRDefault="005E778C" w:rsidP="001D14FE">
    <w:pPr>
      <w:pStyle w:val="Header"/>
      <w:rPr>
        <w:rFonts w:ascii="Arial" w:hAnsi="Arial" w:cs="Arial"/>
        <w:lang w:val="en-GB"/>
      </w:rPr>
    </w:pPr>
    <w:r w:rsidRPr="00910B30">
      <w:rPr>
        <w:rFonts w:ascii="Arial" w:hAnsi="Arial" w:cs="Arial"/>
        <w:sz w:val="20"/>
        <w:szCs w:val="20"/>
        <w:lang w:val="en-GB"/>
      </w:rPr>
      <w:t xml:space="preserve">ITH/18/13.COM/17 – page </w:t>
    </w:r>
    <w:r w:rsidRPr="00910B30">
      <w:rPr>
        <w:rStyle w:val="PageNumber"/>
        <w:rFonts w:ascii="Arial" w:hAnsi="Arial" w:cs="Arial"/>
        <w:sz w:val="20"/>
        <w:szCs w:val="20"/>
        <w:lang w:val="en-GB"/>
      </w:rPr>
      <w:fldChar w:fldCharType="begin"/>
    </w:r>
    <w:r w:rsidRPr="00910B30">
      <w:rPr>
        <w:rStyle w:val="PageNumber"/>
        <w:rFonts w:ascii="Arial" w:hAnsi="Arial" w:cs="Arial"/>
        <w:sz w:val="20"/>
        <w:szCs w:val="20"/>
        <w:lang w:val="en-GB"/>
      </w:rPr>
      <w:instrText xml:space="preserve"> PAGE </w:instrText>
    </w:r>
    <w:r w:rsidRPr="00910B30">
      <w:rPr>
        <w:rStyle w:val="PageNumber"/>
        <w:rFonts w:ascii="Arial" w:hAnsi="Arial" w:cs="Arial"/>
        <w:sz w:val="20"/>
        <w:szCs w:val="20"/>
        <w:lang w:val="en-GB"/>
      </w:rPr>
      <w:fldChar w:fldCharType="separate"/>
    </w:r>
    <w:r w:rsidR="008240F2">
      <w:rPr>
        <w:rStyle w:val="PageNumber"/>
        <w:rFonts w:ascii="Arial" w:hAnsi="Arial" w:cs="Arial"/>
        <w:noProof/>
        <w:sz w:val="20"/>
        <w:szCs w:val="20"/>
        <w:lang w:val="en-GB"/>
      </w:rPr>
      <w:t>12</w:t>
    </w:r>
    <w:r w:rsidRPr="00910B30">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17CF" w14:textId="54458DD2" w:rsidR="005E778C" w:rsidRPr="0063300C" w:rsidRDefault="005E778C" w:rsidP="001D14FE">
    <w:pPr>
      <w:pStyle w:val="Header"/>
      <w:jc w:val="right"/>
      <w:rPr>
        <w:rFonts w:ascii="Arial" w:hAnsi="Arial" w:cs="Arial"/>
        <w:lang w:val="en-GB"/>
      </w:rPr>
    </w:pPr>
    <w:r w:rsidRPr="00910B30">
      <w:rPr>
        <w:rFonts w:ascii="Arial" w:hAnsi="Arial" w:cs="Arial"/>
        <w:sz w:val="20"/>
        <w:szCs w:val="20"/>
        <w:lang w:val="en-GB"/>
      </w:rPr>
      <w:t>ITH/18/13.COM/17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8240F2">
      <w:rPr>
        <w:rStyle w:val="PageNumber"/>
        <w:rFonts w:ascii="Arial" w:hAnsi="Arial" w:cs="Arial"/>
        <w:noProof/>
        <w:sz w:val="20"/>
        <w:szCs w:val="20"/>
        <w:lang w:val="en-GB"/>
      </w:rPr>
      <w:t>13</w:t>
    </w:r>
    <w:r w:rsidRPr="0063300C">
      <w:rPr>
        <w:rStyle w:val="PageNumber"/>
        <w:rFonts w:ascii="Arial" w:hAnsi="Arial" w:cs="Arial"/>
        <w:sz w:val="20"/>
        <w:szCs w:val="20"/>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F9B1" w14:textId="77777777" w:rsidR="005E778C" w:rsidRPr="00E95AE2" w:rsidRDefault="005E778C">
    <w:pPr>
      <w:pStyle w:val="Header"/>
      <w:rPr>
        <w:sz w:val="22"/>
        <w:szCs w:val="22"/>
        <w:lang w:val="en-GB"/>
      </w:rPr>
    </w:pPr>
    <w:r>
      <w:rPr>
        <w:noProof/>
      </w:rPr>
      <w:drawing>
        <wp:anchor distT="0" distB="0" distL="114300" distR="114300" simplePos="0" relativeHeight="251657728" behindDoc="0" locked="0" layoutInCell="1" allowOverlap="1" wp14:anchorId="09150D74" wp14:editId="07B1DA4F">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AB91D" w14:textId="77777777" w:rsidR="005E778C" w:rsidRPr="00F30DC6" w:rsidRDefault="005E778C"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0B1C881F" w14:textId="77777777" w:rsidR="005E778C" w:rsidRPr="009D5428" w:rsidRDefault="005E778C" w:rsidP="001D14FE">
    <w:pPr>
      <w:jc w:val="right"/>
      <w:rPr>
        <w:rFonts w:ascii="Arial" w:hAnsi="Arial" w:cs="Arial"/>
        <w:b/>
        <w:sz w:val="22"/>
        <w:szCs w:val="22"/>
        <w:lang w:val="en-GB"/>
      </w:rPr>
    </w:pPr>
    <w:r w:rsidRPr="00992B89">
      <w:rPr>
        <w:rFonts w:ascii="Arial" w:hAnsi="Arial" w:cs="Arial"/>
        <w:b/>
        <w:sz w:val="22"/>
        <w:szCs w:val="22"/>
        <w:lang w:val="en-GB"/>
      </w:rPr>
      <w:t>ITH/1</w:t>
    </w:r>
    <w:r w:rsidRPr="00992B89">
      <w:rPr>
        <w:rFonts w:ascii="Arial" w:eastAsiaTheme="minorEastAsia" w:hAnsi="Arial" w:cs="Arial"/>
        <w:b/>
        <w:sz w:val="22"/>
        <w:szCs w:val="22"/>
        <w:lang w:val="en-GB" w:eastAsia="ko-KR"/>
      </w:rPr>
      <w:t>8</w:t>
    </w:r>
    <w:r w:rsidRPr="00992B89">
      <w:rPr>
        <w:rFonts w:ascii="Arial" w:hAnsi="Arial" w:cs="Arial"/>
        <w:b/>
        <w:sz w:val="22"/>
        <w:szCs w:val="22"/>
        <w:lang w:val="en-GB"/>
      </w:rPr>
      <w:t>/13.COM/17</w:t>
    </w:r>
  </w:p>
  <w:p w14:paraId="609EC708" w14:textId="77777777" w:rsidR="005E778C" w:rsidRPr="00337CEB" w:rsidRDefault="005E778C" w:rsidP="0065573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Pr="00F32C23">
      <w:rPr>
        <w:rFonts w:ascii="Arial" w:hAnsi="Arial" w:cs="Arial"/>
        <w:b/>
        <w:sz w:val="22"/>
        <w:szCs w:val="22"/>
        <w:highlight w:val="yellow"/>
        <w:lang w:val="en-GB"/>
      </w:rPr>
      <w:t xml:space="preserve">xxx </w:t>
    </w:r>
    <w:proofErr w:type="spellStart"/>
    <w:r w:rsidRPr="00F32C23">
      <w:rPr>
        <w:rFonts w:ascii="Arial" w:hAnsi="Arial" w:cs="Arial"/>
        <w:b/>
        <w:sz w:val="22"/>
        <w:szCs w:val="22"/>
        <w:highlight w:val="yellow"/>
        <w:lang w:val="en-GB"/>
      </w:rPr>
      <w:t>xxx</w:t>
    </w:r>
    <w:proofErr w:type="spellEnd"/>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46465978" w14:textId="77777777" w:rsidR="005E778C" w:rsidRPr="00F32C23" w:rsidRDefault="005E778C" w:rsidP="000048ED">
    <w:pPr>
      <w:jc w:val="right"/>
      <w:rPr>
        <w:rFonts w:ascii="Arial" w:hAnsi="Arial" w:cs="Arial"/>
        <w:b/>
        <w:sz w:val="22"/>
        <w:szCs w:val="22"/>
        <w:lang w:val="en-GB"/>
      </w:rPr>
    </w:pPr>
    <w:r w:rsidRPr="00992B89">
      <w:rPr>
        <w:rFonts w:ascii="Arial" w:hAnsi="Arial" w:cs="Arial"/>
        <w:b/>
        <w:sz w:val="22"/>
        <w:szCs w:val="22"/>
        <w:lang w:val="en-GB"/>
      </w:rPr>
      <w:t>Original: English</w:t>
    </w:r>
  </w:p>
  <w:p w14:paraId="13E32916" w14:textId="77777777" w:rsidR="005E778C" w:rsidRPr="00E95AE2" w:rsidRDefault="005E778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6390" w:hanging="360"/>
      </w:pPr>
      <w:rPr>
        <w:rFonts w:hint="default"/>
      </w:rPr>
    </w:lvl>
    <w:lvl w:ilvl="1" w:tplc="04090019">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57A5BCF"/>
    <w:multiLevelType w:val="hybridMultilevel"/>
    <w:tmpl w:val="BF743752"/>
    <w:lvl w:ilvl="0" w:tplc="88103CC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BF51875"/>
    <w:multiLevelType w:val="hybridMultilevel"/>
    <w:tmpl w:val="B2201524"/>
    <w:lvl w:ilvl="0" w:tplc="E92838C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76A9"/>
    <w:multiLevelType w:val="hybridMultilevel"/>
    <w:tmpl w:val="3A5EB622"/>
    <w:lvl w:ilvl="0" w:tplc="2F540118">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CF45F3"/>
    <w:multiLevelType w:val="multilevel"/>
    <w:tmpl w:val="794A9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961D47"/>
    <w:multiLevelType w:val="hybridMultilevel"/>
    <w:tmpl w:val="D360CBCA"/>
    <w:lvl w:ilvl="0" w:tplc="A3381420">
      <w:start w:val="78"/>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22308"/>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D758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A3193"/>
    <w:multiLevelType w:val="hybridMultilevel"/>
    <w:tmpl w:val="369C82DA"/>
    <w:lvl w:ilvl="0" w:tplc="0126783A">
      <w:start w:val="99"/>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50F71"/>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3"/>
  </w:num>
  <w:num w:numId="8">
    <w:abstractNumId w:val="13"/>
  </w:num>
  <w:num w:numId="9">
    <w:abstractNumId w:val="4"/>
  </w:num>
  <w:num w:numId="10">
    <w:abstractNumId w:val="10"/>
  </w:num>
  <w:num w:numId="11">
    <w:abstractNumId w:val="11"/>
  </w:num>
  <w:num w:numId="12">
    <w:abstractNumId w:val="9"/>
  </w:num>
  <w:num w:numId="13">
    <w:abstractNumId w:val="12"/>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768A"/>
    <w:rsid w:val="00025677"/>
    <w:rsid w:val="00026A2B"/>
    <w:rsid w:val="000271E7"/>
    <w:rsid w:val="00037790"/>
    <w:rsid w:val="00041A66"/>
    <w:rsid w:val="000428DD"/>
    <w:rsid w:val="00047B77"/>
    <w:rsid w:val="0005176E"/>
    <w:rsid w:val="00064F3A"/>
    <w:rsid w:val="000765F7"/>
    <w:rsid w:val="00077AB7"/>
    <w:rsid w:val="00081CD8"/>
    <w:rsid w:val="000971FD"/>
    <w:rsid w:val="000A7F0E"/>
    <w:rsid w:val="000B1C8F"/>
    <w:rsid w:val="000B4451"/>
    <w:rsid w:val="000C0D61"/>
    <w:rsid w:val="000D7530"/>
    <w:rsid w:val="000F3A3F"/>
    <w:rsid w:val="0010105C"/>
    <w:rsid w:val="00102557"/>
    <w:rsid w:val="001039E0"/>
    <w:rsid w:val="00127C55"/>
    <w:rsid w:val="00164D56"/>
    <w:rsid w:val="00167B10"/>
    <w:rsid w:val="00170443"/>
    <w:rsid w:val="00170D00"/>
    <w:rsid w:val="00173039"/>
    <w:rsid w:val="0017402F"/>
    <w:rsid w:val="0018294A"/>
    <w:rsid w:val="00196C1B"/>
    <w:rsid w:val="001A0799"/>
    <w:rsid w:val="001A50F7"/>
    <w:rsid w:val="001A6302"/>
    <w:rsid w:val="001B0F73"/>
    <w:rsid w:val="001B1D24"/>
    <w:rsid w:val="001C2DB7"/>
    <w:rsid w:val="001C48F8"/>
    <w:rsid w:val="001D14FE"/>
    <w:rsid w:val="001D5C04"/>
    <w:rsid w:val="001E4A3D"/>
    <w:rsid w:val="001F26CF"/>
    <w:rsid w:val="002008AE"/>
    <w:rsid w:val="00205B30"/>
    <w:rsid w:val="00222A2D"/>
    <w:rsid w:val="00223029"/>
    <w:rsid w:val="0022413F"/>
    <w:rsid w:val="00224A14"/>
    <w:rsid w:val="0023436D"/>
    <w:rsid w:val="00234745"/>
    <w:rsid w:val="002351A6"/>
    <w:rsid w:val="00236BBD"/>
    <w:rsid w:val="002377DB"/>
    <w:rsid w:val="002407AF"/>
    <w:rsid w:val="0025748D"/>
    <w:rsid w:val="0027466B"/>
    <w:rsid w:val="002838A5"/>
    <w:rsid w:val="00285BB4"/>
    <w:rsid w:val="0029706C"/>
    <w:rsid w:val="002B642E"/>
    <w:rsid w:val="002C09E3"/>
    <w:rsid w:val="002D0591"/>
    <w:rsid w:val="002E44DD"/>
    <w:rsid w:val="00305AD5"/>
    <w:rsid w:val="00310F56"/>
    <w:rsid w:val="0033460F"/>
    <w:rsid w:val="00334F6F"/>
    <w:rsid w:val="00337CEB"/>
    <w:rsid w:val="00341F12"/>
    <w:rsid w:val="00344B58"/>
    <w:rsid w:val="0034539A"/>
    <w:rsid w:val="00345CB4"/>
    <w:rsid w:val="0034611B"/>
    <w:rsid w:val="00350C2F"/>
    <w:rsid w:val="00354500"/>
    <w:rsid w:val="00354523"/>
    <w:rsid w:val="00367601"/>
    <w:rsid w:val="00370A48"/>
    <w:rsid w:val="00375D42"/>
    <w:rsid w:val="00376821"/>
    <w:rsid w:val="0039162F"/>
    <w:rsid w:val="003D0369"/>
    <w:rsid w:val="003D069C"/>
    <w:rsid w:val="003D7646"/>
    <w:rsid w:val="003F113A"/>
    <w:rsid w:val="003F3E63"/>
    <w:rsid w:val="003F6AAD"/>
    <w:rsid w:val="00404512"/>
    <w:rsid w:val="00407480"/>
    <w:rsid w:val="00414643"/>
    <w:rsid w:val="004421E5"/>
    <w:rsid w:val="00444E26"/>
    <w:rsid w:val="00452284"/>
    <w:rsid w:val="00457C8E"/>
    <w:rsid w:val="004614F2"/>
    <w:rsid w:val="00473183"/>
    <w:rsid w:val="004856CA"/>
    <w:rsid w:val="00487E67"/>
    <w:rsid w:val="0049705E"/>
    <w:rsid w:val="004A34A0"/>
    <w:rsid w:val="004B19FF"/>
    <w:rsid w:val="004D7A1E"/>
    <w:rsid w:val="004E28E5"/>
    <w:rsid w:val="004E693C"/>
    <w:rsid w:val="004F5795"/>
    <w:rsid w:val="005008A8"/>
    <w:rsid w:val="005141A0"/>
    <w:rsid w:val="00514D10"/>
    <w:rsid w:val="00524679"/>
    <w:rsid w:val="00526B7B"/>
    <w:rsid w:val="005308CE"/>
    <w:rsid w:val="0053318C"/>
    <w:rsid w:val="00560EE6"/>
    <w:rsid w:val="00561E4C"/>
    <w:rsid w:val="00564EBA"/>
    <w:rsid w:val="0057439C"/>
    <w:rsid w:val="00575F8F"/>
    <w:rsid w:val="005B0127"/>
    <w:rsid w:val="005B3194"/>
    <w:rsid w:val="005B4056"/>
    <w:rsid w:val="005B7A35"/>
    <w:rsid w:val="005B7C4E"/>
    <w:rsid w:val="005C032F"/>
    <w:rsid w:val="005C4B73"/>
    <w:rsid w:val="005D2A8B"/>
    <w:rsid w:val="005E1D16"/>
    <w:rsid w:val="005E1D2B"/>
    <w:rsid w:val="005E5FF3"/>
    <w:rsid w:val="005E7074"/>
    <w:rsid w:val="005E778C"/>
    <w:rsid w:val="005F2A8E"/>
    <w:rsid w:val="005F2BAF"/>
    <w:rsid w:val="005F4D27"/>
    <w:rsid w:val="00600D93"/>
    <w:rsid w:val="0061763E"/>
    <w:rsid w:val="006300F5"/>
    <w:rsid w:val="0063300C"/>
    <w:rsid w:val="006337E7"/>
    <w:rsid w:val="006501D3"/>
    <w:rsid w:val="00655736"/>
    <w:rsid w:val="006618BE"/>
    <w:rsid w:val="00663B8D"/>
    <w:rsid w:val="006840D3"/>
    <w:rsid w:val="00696C8D"/>
    <w:rsid w:val="006A2AC2"/>
    <w:rsid w:val="006A3617"/>
    <w:rsid w:val="006D2AC8"/>
    <w:rsid w:val="006E46E4"/>
    <w:rsid w:val="006E4BA7"/>
    <w:rsid w:val="00703C30"/>
    <w:rsid w:val="00707A99"/>
    <w:rsid w:val="00712C7B"/>
    <w:rsid w:val="00715E42"/>
    <w:rsid w:val="00717DA5"/>
    <w:rsid w:val="00730099"/>
    <w:rsid w:val="0073043D"/>
    <w:rsid w:val="00731ED9"/>
    <w:rsid w:val="007339FC"/>
    <w:rsid w:val="00744484"/>
    <w:rsid w:val="00747566"/>
    <w:rsid w:val="007633B9"/>
    <w:rsid w:val="0076683D"/>
    <w:rsid w:val="007705AC"/>
    <w:rsid w:val="0077135B"/>
    <w:rsid w:val="00773188"/>
    <w:rsid w:val="00773EEB"/>
    <w:rsid w:val="0078112B"/>
    <w:rsid w:val="00783782"/>
    <w:rsid w:val="00784B8C"/>
    <w:rsid w:val="0078716D"/>
    <w:rsid w:val="007879E1"/>
    <w:rsid w:val="00792CEB"/>
    <w:rsid w:val="007941BE"/>
    <w:rsid w:val="007B3206"/>
    <w:rsid w:val="007C0E13"/>
    <w:rsid w:val="007D1063"/>
    <w:rsid w:val="007F5839"/>
    <w:rsid w:val="00811ADE"/>
    <w:rsid w:val="008204EF"/>
    <w:rsid w:val="0082153B"/>
    <w:rsid w:val="00823A11"/>
    <w:rsid w:val="008240F2"/>
    <w:rsid w:val="00830962"/>
    <w:rsid w:val="0085405E"/>
    <w:rsid w:val="0085414A"/>
    <w:rsid w:val="00854209"/>
    <w:rsid w:val="0086269D"/>
    <w:rsid w:val="0086543A"/>
    <w:rsid w:val="008724E5"/>
    <w:rsid w:val="00880511"/>
    <w:rsid w:val="00884A9D"/>
    <w:rsid w:val="0088512B"/>
    <w:rsid w:val="008A2B2D"/>
    <w:rsid w:val="008A4E1E"/>
    <w:rsid w:val="008A5C2D"/>
    <w:rsid w:val="008C296C"/>
    <w:rsid w:val="008C503F"/>
    <w:rsid w:val="008D0D0F"/>
    <w:rsid w:val="008D4305"/>
    <w:rsid w:val="008E00A0"/>
    <w:rsid w:val="008E181D"/>
    <w:rsid w:val="008E1A85"/>
    <w:rsid w:val="008E2FC2"/>
    <w:rsid w:val="008E3187"/>
    <w:rsid w:val="008F2203"/>
    <w:rsid w:val="00905394"/>
    <w:rsid w:val="0091055A"/>
    <w:rsid w:val="00910B30"/>
    <w:rsid w:val="009163A7"/>
    <w:rsid w:val="00926610"/>
    <w:rsid w:val="00946D0B"/>
    <w:rsid w:val="0095252E"/>
    <w:rsid w:val="00955877"/>
    <w:rsid w:val="009562A5"/>
    <w:rsid w:val="00956E8B"/>
    <w:rsid w:val="00957128"/>
    <w:rsid w:val="009732FB"/>
    <w:rsid w:val="00974C6E"/>
    <w:rsid w:val="00992B89"/>
    <w:rsid w:val="009977A8"/>
    <w:rsid w:val="009A18CD"/>
    <w:rsid w:val="009B7C08"/>
    <w:rsid w:val="009D5428"/>
    <w:rsid w:val="009E2C50"/>
    <w:rsid w:val="009E74D0"/>
    <w:rsid w:val="009F0428"/>
    <w:rsid w:val="00A12558"/>
    <w:rsid w:val="00A13903"/>
    <w:rsid w:val="00A34ED5"/>
    <w:rsid w:val="00A442B6"/>
    <w:rsid w:val="00A45DBF"/>
    <w:rsid w:val="00A57F54"/>
    <w:rsid w:val="00A741D3"/>
    <w:rsid w:val="00A755A2"/>
    <w:rsid w:val="00A84746"/>
    <w:rsid w:val="00A92A51"/>
    <w:rsid w:val="00A96C3E"/>
    <w:rsid w:val="00AA6660"/>
    <w:rsid w:val="00AB2C36"/>
    <w:rsid w:val="00AB6DDE"/>
    <w:rsid w:val="00AB70B6"/>
    <w:rsid w:val="00AC000C"/>
    <w:rsid w:val="00AC370B"/>
    <w:rsid w:val="00AD0B6B"/>
    <w:rsid w:val="00AD1A86"/>
    <w:rsid w:val="00AD1B42"/>
    <w:rsid w:val="00AE103E"/>
    <w:rsid w:val="00AE1D84"/>
    <w:rsid w:val="00AF0A07"/>
    <w:rsid w:val="00AF2E1D"/>
    <w:rsid w:val="00AF4AEC"/>
    <w:rsid w:val="00AF625E"/>
    <w:rsid w:val="00B0094D"/>
    <w:rsid w:val="00B016F9"/>
    <w:rsid w:val="00B04CDE"/>
    <w:rsid w:val="00B07CEE"/>
    <w:rsid w:val="00B1372C"/>
    <w:rsid w:val="00B2011F"/>
    <w:rsid w:val="00B23BBA"/>
    <w:rsid w:val="00B266CF"/>
    <w:rsid w:val="00B26DD7"/>
    <w:rsid w:val="00B341EF"/>
    <w:rsid w:val="00B42D0F"/>
    <w:rsid w:val="00B44D76"/>
    <w:rsid w:val="00B50E79"/>
    <w:rsid w:val="00B53647"/>
    <w:rsid w:val="00BA7F29"/>
    <w:rsid w:val="00BB04AF"/>
    <w:rsid w:val="00BB75A1"/>
    <w:rsid w:val="00BC6998"/>
    <w:rsid w:val="00BD1CC3"/>
    <w:rsid w:val="00BD52C9"/>
    <w:rsid w:val="00BE5F5C"/>
    <w:rsid w:val="00BE6354"/>
    <w:rsid w:val="00BF242D"/>
    <w:rsid w:val="00C02F42"/>
    <w:rsid w:val="00C12926"/>
    <w:rsid w:val="00C138D1"/>
    <w:rsid w:val="00C1747C"/>
    <w:rsid w:val="00C22E6A"/>
    <w:rsid w:val="00C23A97"/>
    <w:rsid w:val="00C32846"/>
    <w:rsid w:val="00C330C7"/>
    <w:rsid w:val="00C50091"/>
    <w:rsid w:val="00C56349"/>
    <w:rsid w:val="00C64855"/>
    <w:rsid w:val="00C70EA7"/>
    <w:rsid w:val="00C727C9"/>
    <w:rsid w:val="00C7433F"/>
    <w:rsid w:val="00C7516E"/>
    <w:rsid w:val="00C75770"/>
    <w:rsid w:val="00C860A2"/>
    <w:rsid w:val="00CA56BB"/>
    <w:rsid w:val="00CA6401"/>
    <w:rsid w:val="00CB0542"/>
    <w:rsid w:val="00CB0C0B"/>
    <w:rsid w:val="00CB5E2C"/>
    <w:rsid w:val="00CC1893"/>
    <w:rsid w:val="00CD4B28"/>
    <w:rsid w:val="00CF1756"/>
    <w:rsid w:val="00D00B2B"/>
    <w:rsid w:val="00D24877"/>
    <w:rsid w:val="00D44A4B"/>
    <w:rsid w:val="00D4777F"/>
    <w:rsid w:val="00D50224"/>
    <w:rsid w:val="00D515E2"/>
    <w:rsid w:val="00D55E04"/>
    <w:rsid w:val="00D6399B"/>
    <w:rsid w:val="00D72650"/>
    <w:rsid w:val="00D8075A"/>
    <w:rsid w:val="00D8250F"/>
    <w:rsid w:val="00D95C4C"/>
    <w:rsid w:val="00DA2BCF"/>
    <w:rsid w:val="00DA36ED"/>
    <w:rsid w:val="00DB215D"/>
    <w:rsid w:val="00DD2277"/>
    <w:rsid w:val="00DE34F1"/>
    <w:rsid w:val="00DE6160"/>
    <w:rsid w:val="00DE744D"/>
    <w:rsid w:val="00DF1845"/>
    <w:rsid w:val="00DF4942"/>
    <w:rsid w:val="00E07816"/>
    <w:rsid w:val="00E14908"/>
    <w:rsid w:val="00E22F29"/>
    <w:rsid w:val="00E2382C"/>
    <w:rsid w:val="00E244E1"/>
    <w:rsid w:val="00E354E6"/>
    <w:rsid w:val="00E627B1"/>
    <w:rsid w:val="00E62BB5"/>
    <w:rsid w:val="00E63922"/>
    <w:rsid w:val="00E70169"/>
    <w:rsid w:val="00E9376C"/>
    <w:rsid w:val="00E95AE2"/>
    <w:rsid w:val="00EA335E"/>
    <w:rsid w:val="00EA528C"/>
    <w:rsid w:val="00EA580C"/>
    <w:rsid w:val="00EC628C"/>
    <w:rsid w:val="00EC6F8D"/>
    <w:rsid w:val="00EE4900"/>
    <w:rsid w:val="00EE49F4"/>
    <w:rsid w:val="00EE60E8"/>
    <w:rsid w:val="00EF2ED6"/>
    <w:rsid w:val="00EF34E2"/>
    <w:rsid w:val="00EF6AE6"/>
    <w:rsid w:val="00F0634F"/>
    <w:rsid w:val="00F06CBA"/>
    <w:rsid w:val="00F102F7"/>
    <w:rsid w:val="00F11269"/>
    <w:rsid w:val="00F25F99"/>
    <w:rsid w:val="00F30DC6"/>
    <w:rsid w:val="00F32C23"/>
    <w:rsid w:val="00F41FA6"/>
    <w:rsid w:val="00F43176"/>
    <w:rsid w:val="00F445DE"/>
    <w:rsid w:val="00F466D2"/>
    <w:rsid w:val="00F520ED"/>
    <w:rsid w:val="00F53DE9"/>
    <w:rsid w:val="00F576CB"/>
    <w:rsid w:val="00F7035D"/>
    <w:rsid w:val="00F71A02"/>
    <w:rsid w:val="00F93C00"/>
    <w:rsid w:val="00FA06B4"/>
    <w:rsid w:val="00FA0D63"/>
    <w:rsid w:val="00FB6E64"/>
    <w:rsid w:val="00FC1E9A"/>
    <w:rsid w:val="00FD1226"/>
    <w:rsid w:val="00FE0D1B"/>
    <w:rsid w:val="00FE31A1"/>
    <w:rsid w:val="00FF4830"/>
    <w:rsid w:val="00FF54B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5022D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9B7C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GA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GA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10B30"/>
    <w:pPr>
      <w:ind w:left="720"/>
      <w:contextualSpacing/>
    </w:pPr>
  </w:style>
  <w:style w:type="paragraph" w:styleId="FootnoteText">
    <w:name w:val="footnote text"/>
    <w:basedOn w:val="Normal"/>
    <w:link w:val="FootnoteTextChar"/>
    <w:uiPriority w:val="99"/>
    <w:semiHidden/>
    <w:unhideWhenUsed/>
    <w:rsid w:val="00910B30"/>
    <w:rPr>
      <w:sz w:val="20"/>
      <w:szCs w:val="20"/>
    </w:rPr>
  </w:style>
  <w:style w:type="character" w:customStyle="1" w:styleId="FootnoteTextChar">
    <w:name w:val="Footnote Text Char"/>
    <w:basedOn w:val="DefaultParagraphFont"/>
    <w:link w:val="FootnoteText"/>
    <w:uiPriority w:val="99"/>
    <w:semiHidden/>
    <w:rsid w:val="00910B30"/>
    <w:rPr>
      <w:rFonts w:ascii="Times New Roman" w:eastAsia="Times New Roman" w:hAnsi="Times New Roman"/>
    </w:rPr>
  </w:style>
  <w:style w:type="character" w:styleId="FootnoteReference">
    <w:name w:val="footnote reference"/>
    <w:basedOn w:val="DefaultParagraphFont"/>
    <w:uiPriority w:val="99"/>
    <w:semiHidden/>
    <w:unhideWhenUsed/>
    <w:rsid w:val="00910B30"/>
    <w:rPr>
      <w:vertAlign w:val="superscript"/>
    </w:rPr>
  </w:style>
  <w:style w:type="character" w:styleId="Hyperlink">
    <w:name w:val="Hyperlink"/>
    <w:basedOn w:val="DefaultParagraphFont"/>
    <w:uiPriority w:val="99"/>
    <w:unhideWhenUsed/>
    <w:rsid w:val="00910B30"/>
    <w:rPr>
      <w:color w:val="0000FF" w:themeColor="hyperlink"/>
      <w:u w:val="single"/>
    </w:rPr>
  </w:style>
  <w:style w:type="character" w:customStyle="1" w:styleId="Heading3Char">
    <w:name w:val="Heading 3 Char"/>
    <w:basedOn w:val="DefaultParagraphFont"/>
    <w:link w:val="Heading3"/>
    <w:uiPriority w:val="9"/>
    <w:semiHidden/>
    <w:rsid w:val="009B7C08"/>
    <w:rPr>
      <w:rFonts w:asciiTheme="majorHAnsi" w:eastAsiaTheme="majorEastAsia" w:hAnsiTheme="majorHAnsi" w:cstheme="majorBidi"/>
      <w:color w:val="243F60" w:themeColor="accent1" w:themeShade="7F"/>
      <w:sz w:val="24"/>
      <w:szCs w:val="24"/>
    </w:rPr>
  </w:style>
  <w:style w:type="paragraph" w:customStyle="1" w:styleId="GAPara">
    <w:name w:val="GA Para"/>
    <w:qFormat/>
    <w:rsid w:val="009B7C08"/>
    <w:pPr>
      <w:spacing w:after="120"/>
      <w:ind w:left="720" w:hanging="360"/>
    </w:pPr>
    <w:rPr>
      <w:rFonts w:ascii="Arial" w:eastAsia="Times New Roman" w:hAnsi="Arial" w:cs="Arial"/>
      <w:snapToGrid w:val="0"/>
      <w:sz w:val="22"/>
      <w:szCs w:val="22"/>
      <w:lang w:val="en-GB" w:eastAsia="en-US"/>
    </w:rPr>
  </w:style>
  <w:style w:type="paragraph" w:customStyle="1" w:styleId="GATitleResolution">
    <w:name w:val="GA Title Resolution"/>
    <w:basedOn w:val="Normal"/>
    <w:qFormat/>
    <w:rsid w:val="009B7C08"/>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9B7C08"/>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9B7C08"/>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9B7C08"/>
    <w:rPr>
      <w:sz w:val="16"/>
      <w:szCs w:val="16"/>
    </w:rPr>
  </w:style>
  <w:style w:type="paragraph" w:styleId="CommentText">
    <w:name w:val="annotation text"/>
    <w:basedOn w:val="Normal"/>
    <w:link w:val="CommentTextChar"/>
    <w:uiPriority w:val="99"/>
    <w:semiHidden/>
    <w:unhideWhenUsed/>
    <w:rsid w:val="009B7C08"/>
    <w:rPr>
      <w:sz w:val="20"/>
      <w:szCs w:val="20"/>
    </w:rPr>
  </w:style>
  <w:style w:type="character" w:customStyle="1" w:styleId="CommentTextChar">
    <w:name w:val="Comment Text Char"/>
    <w:basedOn w:val="DefaultParagraphFont"/>
    <w:link w:val="CommentText"/>
    <w:uiPriority w:val="99"/>
    <w:semiHidden/>
    <w:rsid w:val="009B7C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7C08"/>
    <w:rPr>
      <w:b/>
      <w:bCs/>
    </w:rPr>
  </w:style>
  <w:style w:type="character" w:customStyle="1" w:styleId="CommentSubjectChar">
    <w:name w:val="Comment Subject Char"/>
    <w:basedOn w:val="CommentTextChar"/>
    <w:link w:val="CommentSubject"/>
    <w:uiPriority w:val="99"/>
    <w:semiHidden/>
    <w:rsid w:val="009B7C08"/>
    <w:rPr>
      <w:rFonts w:ascii="Times New Roman" w:eastAsia="Times New Roman" w:hAnsi="Times New Roman"/>
      <w:b/>
      <w:bCs/>
    </w:rPr>
  </w:style>
  <w:style w:type="character" w:styleId="FollowedHyperlink">
    <w:name w:val="FollowedHyperlink"/>
    <w:basedOn w:val="DefaultParagraphFont"/>
    <w:uiPriority w:val="99"/>
    <w:semiHidden/>
    <w:unhideWhenUsed/>
    <w:rsid w:val="009B7C08"/>
    <w:rPr>
      <w:color w:val="800080" w:themeColor="followedHyperlink"/>
      <w:u w:val="single"/>
    </w:rPr>
  </w:style>
  <w:style w:type="paragraph" w:styleId="Revision">
    <w:name w:val="Revision"/>
    <w:hidden/>
    <w:uiPriority w:val="99"/>
    <w:semiHidden/>
    <w:rsid w:val="009B7C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559228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2.COM/16" TargetMode="External"/><Relationship Id="rId18" Type="http://schemas.openxmlformats.org/officeDocument/2006/relationships/hyperlink" Target="https://ich.unesco.org/en/Resolutions/7.GA/12" TargetMode="External"/><Relationship Id="rId26" Type="http://schemas.openxmlformats.org/officeDocument/2006/relationships/hyperlink" Target="https://ich.unesco.org/en/Decisions/12.COM/16" TargetMode="External"/><Relationship Id="rId39" Type="http://schemas.openxmlformats.org/officeDocument/2006/relationships/hyperlink" Target="https://ich.unesco.org/en/rules-com" TargetMode="External"/><Relationship Id="rId21" Type="http://schemas.openxmlformats.org/officeDocument/2006/relationships/hyperlink" Target="https://ich.unesco.org/en/Resolutions/7.GA/13" TargetMode="External"/><Relationship Id="rId34" Type="http://schemas.openxmlformats.org/officeDocument/2006/relationships/hyperlink" Target="https://ich.unesco.org/en/convention" TargetMode="External"/><Relationship Id="rId42" Type="http://schemas.openxmlformats.org/officeDocument/2006/relationships/hyperlink" Target="https://ich.unesco.org/en/Resolutions/7.GA/13" TargetMode="External"/><Relationship Id="rId47" Type="http://schemas.openxmlformats.org/officeDocument/2006/relationships/hyperlink" Target="https://ich.unesco.org/en/rules-ga" TargetMode="External"/><Relationship Id="rId50" Type="http://schemas.openxmlformats.org/officeDocument/2006/relationships/hyperlink" Target="https://ich.unesco.org/en/rules-ga" TargetMode="External"/><Relationship Id="rId55" Type="http://schemas.openxmlformats.org/officeDocument/2006/relationships/hyperlink" Target="https://ich.unesco.org/en/Resolutions/7.GA/12" TargetMode="External"/><Relationship Id="rId63" Type="http://schemas.openxmlformats.org/officeDocument/2006/relationships/hyperlink" Target="https://ich.unesco.org/en/Resolutions/7.GA/13" TargetMode="External"/><Relationship Id="rId68" Type="http://schemas.openxmlformats.org/officeDocument/2006/relationships/hyperlink" Target="https://ich.unesco.org/en/rules-com"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ich.unesco.org/en/Resolutions/6.GA/11" TargetMode="External"/><Relationship Id="rId2" Type="http://schemas.openxmlformats.org/officeDocument/2006/relationships/numbering" Target="numbering.xml"/><Relationship Id="rId16" Type="http://schemas.openxmlformats.org/officeDocument/2006/relationships/hyperlink" Target="https://ich.unesco.org/en/Resolutions/6.GA/11" TargetMode="External"/><Relationship Id="rId29" Type="http://schemas.openxmlformats.org/officeDocument/2006/relationships/hyperlink" Target="https://ich.unesco.org/en/Resolutions/6.GA/11" TargetMode="External"/><Relationship Id="rId11" Type="http://schemas.openxmlformats.org/officeDocument/2006/relationships/hyperlink" Target="https://ich.unesco.org/en/Decisions/12.COM/16" TargetMode="External"/><Relationship Id="rId24" Type="http://schemas.openxmlformats.org/officeDocument/2006/relationships/hyperlink" Target="https://ich.unesco.org/doc/src/ITH-18-7.GA-13-EN.docx" TargetMode="External"/><Relationship Id="rId32" Type="http://schemas.openxmlformats.org/officeDocument/2006/relationships/header" Target="header2.xml"/><Relationship Id="rId37" Type="http://schemas.openxmlformats.org/officeDocument/2006/relationships/hyperlink" Target="https://ich.unesco.org/en/Decisions/12.COM/6" TargetMode="External"/><Relationship Id="rId40" Type="http://schemas.openxmlformats.org/officeDocument/2006/relationships/hyperlink" Target="https://ich.unesco.org/doc/src/ITH-18-7.GA-2-EN.docx" TargetMode="External"/><Relationship Id="rId45" Type="http://schemas.openxmlformats.org/officeDocument/2006/relationships/hyperlink" Target="https://ich.unesco.org/en/Decisions/12.COM/13" TargetMode="External"/><Relationship Id="rId53" Type="http://schemas.openxmlformats.org/officeDocument/2006/relationships/hyperlink" Target="https://ich.unesco.org/en/Resolutions/7.GA/13" TargetMode="External"/><Relationship Id="rId58" Type="http://schemas.openxmlformats.org/officeDocument/2006/relationships/hyperlink" Target="https://ich.unesco.org/en/Resolutions/7.GA/13" TargetMode="External"/><Relationship Id="rId66" Type="http://schemas.openxmlformats.org/officeDocument/2006/relationships/hyperlink" Target="https://ich.unesco.org/en/rules-ga" TargetMode="External"/><Relationship Id="rId74" Type="http://schemas.openxmlformats.org/officeDocument/2006/relationships/hyperlink" Target="https://ich.unesco.org/en/Resolutions/7.GA/1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ch.unesco.org/en/rules-com" TargetMode="External"/><Relationship Id="rId10" Type="http://schemas.openxmlformats.org/officeDocument/2006/relationships/hyperlink" Target="http://unesdoc.unesco.org/images/0026/002600/260089e.pdf" TargetMode="External"/><Relationship Id="rId19" Type="http://schemas.openxmlformats.org/officeDocument/2006/relationships/hyperlink" Target="https://ich.unesco.org/en/Resolutions/7.GA/13" TargetMode="External"/><Relationship Id="rId31" Type="http://schemas.openxmlformats.org/officeDocument/2006/relationships/header" Target="header1.xml"/><Relationship Id="rId44" Type="http://schemas.openxmlformats.org/officeDocument/2006/relationships/hyperlink" Target="https://ich.unesco.org/doc/src/ITH-18-7.GA-6-EN.docx" TargetMode="External"/><Relationship Id="rId52" Type="http://schemas.openxmlformats.org/officeDocument/2006/relationships/hyperlink" Target="https://ich.unesco.org/en/Resolutions/7.GA/12" TargetMode="External"/><Relationship Id="rId60" Type="http://schemas.openxmlformats.org/officeDocument/2006/relationships/hyperlink" Target="https://ich.unesco.org/en/Decisions/12.COM/16" TargetMode="External"/><Relationship Id="rId65" Type="http://schemas.openxmlformats.org/officeDocument/2006/relationships/hyperlink" Target="https://ich.unesco.org/en/Resolutions/7.GA/12" TargetMode="External"/><Relationship Id="rId73" Type="http://schemas.openxmlformats.org/officeDocument/2006/relationships/hyperlink" Target="https://ich.unesco.org/en/Resolutions/7.GA/12"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ITH-17-12.COM-16-EN.docx" TargetMode="External"/><Relationship Id="rId14" Type="http://schemas.openxmlformats.org/officeDocument/2006/relationships/hyperlink" Target="https://ich.unesco.org/doc/src/ITH-18-13.COM-16-EN.docx" TargetMode="External"/><Relationship Id="rId22" Type="http://schemas.openxmlformats.org/officeDocument/2006/relationships/hyperlink" Target="https://ich.unesco.org/en/Resolutions/7.GA/12" TargetMode="External"/><Relationship Id="rId27" Type="http://schemas.openxmlformats.org/officeDocument/2006/relationships/hyperlink" Target="https://ich.unesco.org/en/Resolutions/7.GA/12" TargetMode="External"/><Relationship Id="rId30" Type="http://schemas.openxmlformats.org/officeDocument/2006/relationships/hyperlink" Target="https://ich.unesco.org/en/Resolutions/7.GA/13" TargetMode="External"/><Relationship Id="rId35" Type="http://schemas.openxmlformats.org/officeDocument/2006/relationships/hyperlink" Target="https://ich.unesco.org/en/convention" TargetMode="External"/><Relationship Id="rId43" Type="http://schemas.openxmlformats.org/officeDocument/2006/relationships/hyperlink" Target="https://ich.unesco.org/en/convention" TargetMode="External"/><Relationship Id="rId48" Type="http://schemas.openxmlformats.org/officeDocument/2006/relationships/hyperlink" Target="https://ich.unesco.org/en/rules-com" TargetMode="External"/><Relationship Id="rId56" Type="http://schemas.openxmlformats.org/officeDocument/2006/relationships/hyperlink" Target="https://ich.unesco.org/en/Resolutions/7.GA/13" TargetMode="External"/><Relationship Id="rId64" Type="http://schemas.openxmlformats.org/officeDocument/2006/relationships/hyperlink" Target="https://ich.unesco.org/en/rules-com" TargetMode="External"/><Relationship Id="rId69" Type="http://schemas.openxmlformats.org/officeDocument/2006/relationships/hyperlink" Target="https://ich.unesco.org/doc/src/ITH-17-12.COM-7-EN.docx" TargetMode="External"/><Relationship Id="rId77" Type="http://schemas.openxmlformats.org/officeDocument/2006/relationships/header" Target="header6.xml"/><Relationship Id="rId8" Type="http://schemas.openxmlformats.org/officeDocument/2006/relationships/hyperlink" Target="http://unesdoc.unesco.org/images/0026/002600/260089e.pdf" TargetMode="External"/><Relationship Id="rId51" Type="http://schemas.openxmlformats.org/officeDocument/2006/relationships/hyperlink" Target="https://ich.unesco.org/en/rules-ga" TargetMode="External"/><Relationship Id="rId72" Type="http://schemas.openxmlformats.org/officeDocument/2006/relationships/hyperlink" Target="https://ich.unesco.org/doc/src/ITH-18-7.GA-13-EN.docx" TargetMode="External"/><Relationship Id="rId3" Type="http://schemas.openxmlformats.org/officeDocument/2006/relationships/styles" Target="styles.xml"/><Relationship Id="rId12" Type="http://schemas.openxmlformats.org/officeDocument/2006/relationships/hyperlink" Target="https://ich.unesco.org/en/Decisions/12.COM/13" TargetMode="External"/><Relationship Id="rId17" Type="http://schemas.openxmlformats.org/officeDocument/2006/relationships/hyperlink" Target="https://ich.unesco.org/doc/src/ITH-18-7.GA-13-EN.docx" TargetMode="External"/><Relationship Id="rId25" Type="http://schemas.openxmlformats.org/officeDocument/2006/relationships/hyperlink" Target="https://ich.unesco.org/en/Decisions/12.COM/13" TargetMode="External"/><Relationship Id="rId33" Type="http://schemas.openxmlformats.org/officeDocument/2006/relationships/header" Target="header3.xml"/><Relationship Id="rId38" Type="http://schemas.openxmlformats.org/officeDocument/2006/relationships/hyperlink" Target="https://ich.unesco.org/en/convention" TargetMode="External"/><Relationship Id="rId46" Type="http://schemas.openxmlformats.org/officeDocument/2006/relationships/hyperlink" Target="https://ich.unesco.org/doc/src/ITH-18-13.COM-16-EN.docx" TargetMode="External"/><Relationship Id="rId59" Type="http://schemas.openxmlformats.org/officeDocument/2006/relationships/hyperlink" Target="http://unesdoc.unesco.org/images/0025/002590/259081e.pdf" TargetMode="External"/><Relationship Id="rId67" Type="http://schemas.openxmlformats.org/officeDocument/2006/relationships/hyperlink" Target="https://ich.unesco.org/en/rules-ga" TargetMode="External"/><Relationship Id="rId20" Type="http://schemas.openxmlformats.org/officeDocument/2006/relationships/hyperlink" Target="https://ich.unesco.org/en/Resolutions/7.GA/13" TargetMode="External"/><Relationship Id="rId41" Type="http://schemas.openxmlformats.org/officeDocument/2006/relationships/hyperlink" Target="https://ich.unesco.org/en/Resolutions/7.GA/12" TargetMode="External"/><Relationship Id="rId54" Type="http://schemas.openxmlformats.org/officeDocument/2006/relationships/hyperlink" Target="https://ich.unesco.org/en/rules-com" TargetMode="External"/><Relationship Id="rId62" Type="http://schemas.openxmlformats.org/officeDocument/2006/relationships/hyperlink" Target="https://ich.unesco.org/en/Resolutions/7.GA/12" TargetMode="External"/><Relationship Id="rId70" Type="http://schemas.openxmlformats.org/officeDocument/2006/relationships/hyperlink" Target="https://ich.unesco.org/en/Decisions/12.COM/7"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8-7.GA-12-EN.docx" TargetMode="External"/><Relationship Id="rId23" Type="http://schemas.openxmlformats.org/officeDocument/2006/relationships/hyperlink" Target="https://ich.unesco.org/doc/src/ITH-18-7.GA-12-EN.docx" TargetMode="External"/><Relationship Id="rId28" Type="http://schemas.openxmlformats.org/officeDocument/2006/relationships/hyperlink" Target="https://ich.unesco.org/en/Resolutions/7.GA/13" TargetMode="External"/><Relationship Id="rId36" Type="http://schemas.openxmlformats.org/officeDocument/2006/relationships/hyperlink" Target="https://ich.unesco.org/en/Resolutions/6.GA/7" TargetMode="External"/><Relationship Id="rId49" Type="http://schemas.openxmlformats.org/officeDocument/2006/relationships/hyperlink" Target="https://ich.unesco.org/en/rules-com" TargetMode="External"/><Relationship Id="rId57" Type="http://schemas.openxmlformats.org/officeDocument/2006/relationships/hyperlink" Target="https://ich.unesco.org/en/Resolutions/7.GA/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00/260089E.pdf" TargetMode="External"/><Relationship Id="rId1" Type="http://schemas.openxmlformats.org/officeDocument/2006/relationships/hyperlink" Target="http://unesdoc.unesco.org/images/0025/002590/259081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9590-BDAA-4D0B-A404-7094E7DC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3085</TotalTime>
  <Pages>13</Pages>
  <Words>5397</Words>
  <Characters>29685</Characters>
  <Application>Microsoft Office Word</Application>
  <DocSecurity>0</DocSecurity>
  <Lines>247</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Keiichi Julien Nakata Glenat</cp:lastModifiedBy>
  <cp:revision>22</cp:revision>
  <cp:lastPrinted>2018-10-12T12:13:00Z</cp:lastPrinted>
  <dcterms:created xsi:type="dcterms:W3CDTF">2018-08-17T10:33:00Z</dcterms:created>
  <dcterms:modified xsi:type="dcterms:W3CDTF">2018-10-29T17:10:00Z</dcterms:modified>
</cp:coreProperties>
</file>