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33E90" w14:textId="77777777" w:rsidR="000A6378" w:rsidRPr="00A61C6E" w:rsidRDefault="000A6378" w:rsidP="000A6378">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4B33FBB8" w14:textId="77777777" w:rsidR="000A6378" w:rsidRPr="00A61C6E" w:rsidRDefault="000A6378" w:rsidP="000A6378">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244CA0C8" w14:textId="77777777" w:rsidR="000A6378" w:rsidRPr="00B43974" w:rsidRDefault="000A6378" w:rsidP="000A6378">
      <w:pPr>
        <w:spacing w:before="840"/>
        <w:jc w:val="center"/>
        <w:rPr>
          <w:rFonts w:ascii="Arial" w:hAnsi="Arial" w:cs="Arial"/>
          <w:b/>
          <w:sz w:val="22"/>
          <w:szCs w:val="22"/>
        </w:rPr>
      </w:pPr>
      <w:r w:rsidRPr="00996303">
        <w:rPr>
          <w:rFonts w:ascii="Arial" w:hAnsi="Arial" w:cs="Arial"/>
          <w:b/>
          <w:sz w:val="22"/>
          <w:szCs w:val="22"/>
        </w:rPr>
        <w:t>Douzième</w:t>
      </w:r>
      <w:r>
        <w:rPr>
          <w:rFonts w:ascii="Arial" w:eastAsiaTheme="minorEastAsia" w:hAnsi="Arial" w:cs="Arial" w:hint="eastAsia"/>
          <w:b/>
          <w:sz w:val="22"/>
          <w:szCs w:val="22"/>
          <w:lang w:eastAsia="ko-KR"/>
        </w:rPr>
        <w:t xml:space="preserve"> </w:t>
      </w:r>
      <w:r w:rsidRPr="00B43974">
        <w:rPr>
          <w:rFonts w:ascii="Arial" w:hAnsi="Arial" w:cs="Arial"/>
          <w:b/>
          <w:sz w:val="22"/>
          <w:szCs w:val="22"/>
        </w:rPr>
        <w:t>session</w:t>
      </w:r>
    </w:p>
    <w:p w14:paraId="2AC0D174" w14:textId="77777777" w:rsidR="000A6378" w:rsidRPr="00A61C6E" w:rsidRDefault="000A6378" w:rsidP="000A6378">
      <w:pPr>
        <w:jc w:val="center"/>
        <w:rPr>
          <w:rFonts w:ascii="Arial" w:hAnsi="Arial" w:cs="Arial"/>
          <w:b/>
          <w:sz w:val="22"/>
          <w:szCs w:val="22"/>
        </w:rPr>
      </w:pPr>
      <w:r>
        <w:rPr>
          <w:rFonts w:ascii="Arial" w:hAnsi="Arial" w:cs="Arial"/>
          <w:b/>
          <w:sz w:val="22"/>
          <w:szCs w:val="22"/>
        </w:rPr>
        <w:t>Î</w:t>
      </w:r>
      <w:r w:rsidRPr="00717AAB">
        <w:rPr>
          <w:rFonts w:ascii="Arial" w:hAnsi="Arial" w:cs="Arial"/>
          <w:b/>
          <w:sz w:val="22"/>
          <w:szCs w:val="22"/>
        </w:rPr>
        <w:t>le de Jeju</w:t>
      </w:r>
      <w:r>
        <w:rPr>
          <w:rFonts w:ascii="Arial" w:eastAsiaTheme="minorEastAsia" w:hAnsi="Arial" w:cs="Arial" w:hint="eastAsia"/>
          <w:b/>
          <w:sz w:val="22"/>
          <w:szCs w:val="22"/>
          <w:lang w:eastAsia="ko-KR"/>
        </w:rPr>
        <w:t>,</w:t>
      </w:r>
      <w:r w:rsidRPr="00996303">
        <w:rPr>
          <w:rFonts w:ascii="Arial" w:hAnsi="Arial" w:cs="Arial"/>
          <w:b/>
          <w:sz w:val="22"/>
          <w:szCs w:val="22"/>
        </w:rPr>
        <w:t xml:space="preserve"> République de Corée</w:t>
      </w:r>
    </w:p>
    <w:p w14:paraId="42301CD7" w14:textId="35B85FA8" w:rsidR="000A6378" w:rsidRPr="00495C25" w:rsidRDefault="000A6378" w:rsidP="000A6378">
      <w:pPr>
        <w:jc w:val="center"/>
        <w:rPr>
          <w:rFonts w:ascii="Arial" w:eastAsiaTheme="minorEastAsia" w:hAnsi="Arial" w:cs="Arial"/>
          <w:b/>
          <w:sz w:val="22"/>
          <w:szCs w:val="22"/>
          <w:lang w:eastAsia="ko-KR"/>
        </w:rPr>
      </w:pPr>
      <w:r>
        <w:rPr>
          <w:rFonts w:ascii="Arial" w:eastAsiaTheme="minorEastAsia" w:hAnsi="Arial" w:cs="Arial" w:hint="eastAsia"/>
          <w:b/>
          <w:sz w:val="22"/>
          <w:szCs w:val="22"/>
          <w:lang w:eastAsia="ko-KR"/>
        </w:rPr>
        <w:t>4</w:t>
      </w:r>
      <w:r w:rsidRPr="00A61C6E">
        <w:rPr>
          <w:rFonts w:ascii="Arial" w:hAnsi="Arial" w:cs="Arial"/>
          <w:b/>
          <w:sz w:val="22"/>
          <w:szCs w:val="22"/>
        </w:rPr>
        <w:t xml:space="preserve"> – </w:t>
      </w:r>
      <w:r>
        <w:rPr>
          <w:rFonts w:ascii="Arial" w:eastAsiaTheme="minorEastAsia" w:hAnsi="Arial" w:cs="Arial"/>
          <w:b/>
          <w:sz w:val="22"/>
          <w:szCs w:val="22"/>
          <w:lang w:eastAsia="ko-KR"/>
        </w:rPr>
        <w:t>9</w:t>
      </w:r>
      <w:r w:rsidRPr="00A61C6E">
        <w:rPr>
          <w:rFonts w:ascii="Arial" w:hAnsi="Arial" w:cs="Arial"/>
          <w:b/>
          <w:sz w:val="22"/>
          <w:szCs w:val="22"/>
        </w:rPr>
        <w:t xml:space="preserve"> </w:t>
      </w:r>
      <w:r>
        <w:rPr>
          <w:rFonts w:ascii="Arial" w:hAnsi="Arial" w:cs="Arial"/>
          <w:b/>
          <w:sz w:val="22"/>
          <w:szCs w:val="22"/>
        </w:rPr>
        <w:t>décembre 201</w:t>
      </w:r>
      <w:r>
        <w:rPr>
          <w:rFonts w:ascii="Arial" w:eastAsiaTheme="minorEastAsia" w:hAnsi="Arial" w:cs="Arial" w:hint="eastAsia"/>
          <w:b/>
          <w:sz w:val="22"/>
          <w:szCs w:val="22"/>
          <w:lang w:eastAsia="ko-KR"/>
        </w:rPr>
        <w:t>7</w:t>
      </w:r>
    </w:p>
    <w:p w14:paraId="4ACF4BCE" w14:textId="47D93FFA" w:rsidR="000A6378" w:rsidRDefault="000A6378" w:rsidP="000A6378">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Pr>
          <w:rFonts w:ascii="Arial" w:hAnsi="Arial" w:cs="Arial"/>
          <w:b/>
          <w:sz w:val="22"/>
          <w:szCs w:val="22"/>
          <w:u w:val="single"/>
        </w:rPr>
        <w:t>4</w:t>
      </w:r>
      <w:r w:rsidRPr="00B43974">
        <w:rPr>
          <w:rFonts w:ascii="Arial" w:hAnsi="Arial" w:cs="Arial"/>
          <w:b/>
          <w:sz w:val="22"/>
          <w:szCs w:val="22"/>
          <w:u w:val="single"/>
        </w:rPr>
        <w:t xml:space="preserve"> de l</w:t>
      </w:r>
      <w:r w:rsidR="00346F1B">
        <w:rPr>
          <w:rFonts w:ascii="Arial" w:hAnsi="Arial" w:cs="Arial"/>
          <w:b/>
          <w:sz w:val="22"/>
          <w:szCs w:val="22"/>
          <w:u w:val="single"/>
        </w:rPr>
        <w:t>’</w:t>
      </w:r>
      <w:r w:rsidRPr="00B43974">
        <w:rPr>
          <w:rFonts w:ascii="Arial" w:hAnsi="Arial" w:cs="Arial"/>
          <w:b/>
          <w:sz w:val="22"/>
          <w:szCs w:val="22"/>
          <w:u w:val="single"/>
        </w:rPr>
        <w:t>ordre du jour provisoire </w:t>
      </w:r>
      <w:r w:rsidRPr="00B43974">
        <w:rPr>
          <w:rFonts w:ascii="Arial" w:hAnsi="Arial" w:cs="Arial"/>
          <w:b/>
          <w:sz w:val="22"/>
          <w:szCs w:val="22"/>
        </w:rPr>
        <w:t>:</w:t>
      </w:r>
    </w:p>
    <w:p w14:paraId="578AA105" w14:textId="4E69A741" w:rsidR="000A6378" w:rsidRPr="00CB2196" w:rsidRDefault="00CB2196" w:rsidP="000A6378">
      <w:pPr>
        <w:pStyle w:val="NoSpacing"/>
        <w:spacing w:after="1200"/>
        <w:jc w:val="center"/>
        <w:rPr>
          <w:rFonts w:ascii="Arial" w:hAnsi="Arial" w:cs="Arial"/>
          <w:b/>
          <w:sz w:val="22"/>
          <w:szCs w:val="22"/>
          <w:lang w:val="fr-FR"/>
        </w:rPr>
      </w:pPr>
      <w:r w:rsidRPr="00CB2196">
        <w:rPr>
          <w:rFonts w:ascii="Arial" w:hAnsi="Arial" w:cs="Arial"/>
          <w:b/>
          <w:sz w:val="22"/>
          <w:szCs w:val="22"/>
          <w:lang w:val="fr-FR"/>
        </w:rPr>
        <w:t>Adoption du compte-rendu de la onzième session du Comité</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0A6378" w:rsidRPr="00B43974" w14:paraId="5D089B68" w14:textId="77777777" w:rsidTr="002A0E4E">
        <w:trPr>
          <w:jc w:val="center"/>
        </w:trPr>
        <w:tc>
          <w:tcPr>
            <w:tcW w:w="7825" w:type="dxa"/>
            <w:vAlign w:val="center"/>
          </w:tcPr>
          <w:p w14:paraId="5BC62F12" w14:textId="4F050761" w:rsidR="000A6378" w:rsidRPr="00B43974" w:rsidRDefault="000A6378" w:rsidP="002A0E4E">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2A0E4E">
              <w:rPr>
                <w:rFonts w:ascii="Arial" w:hAnsi="Arial" w:cs="Arial"/>
                <w:bCs/>
                <w:sz w:val="22"/>
                <w:szCs w:val="22"/>
              </w:rPr>
              <w:t>7</w:t>
            </w:r>
          </w:p>
        </w:tc>
      </w:tr>
    </w:tbl>
    <w:p w14:paraId="0777AC44" w14:textId="77777777" w:rsidR="005D11CF" w:rsidRDefault="00FF32CD">
      <w:r w:rsidRPr="00FB726D">
        <w:t xml:space="preserve"> </w:t>
      </w:r>
      <w:r w:rsidRPr="00FB726D">
        <w:br w:type="page"/>
      </w:r>
    </w:p>
    <w:p w14:paraId="45E858D6" w14:textId="2BDF98B3" w:rsidR="002A0E4E" w:rsidRPr="00137419" w:rsidRDefault="00A01564" w:rsidP="00CB2196">
      <w:pPr>
        <w:pStyle w:val="Orateurengris"/>
        <w:spacing w:before="240"/>
        <w:ind w:left="709" w:hanging="709"/>
      </w:pPr>
      <w:r w:rsidRPr="00137419">
        <w:lastRenderedPageBreak/>
        <w:t>Ce document est le compte rendu de l</w:t>
      </w:r>
      <w:r w:rsidR="002A0E4E" w:rsidRPr="00137419">
        <w:t xml:space="preserve">a onzième session du Comité intergouvernemental de sauvegarde du patrimoine culturel immatériel </w:t>
      </w:r>
      <w:r w:rsidRPr="00137419">
        <w:t xml:space="preserve">qui </w:t>
      </w:r>
      <w:r w:rsidR="002A0E4E" w:rsidRPr="00137419">
        <w:t>s</w:t>
      </w:r>
      <w:r w:rsidR="00346F1B" w:rsidRPr="00137419">
        <w:t>’</w:t>
      </w:r>
      <w:r w:rsidR="002A0E4E" w:rsidRPr="00137419">
        <w:t>est tenue du 28 novembre au 2 décembre 2016 à Addis Abeba,</w:t>
      </w:r>
      <w:r w:rsidRPr="00137419">
        <w:t xml:space="preserve"> en</w:t>
      </w:r>
      <w:r w:rsidR="002A0E4E" w:rsidRPr="00137419">
        <w:t xml:space="preserve"> Éthiopie.</w:t>
      </w:r>
    </w:p>
    <w:p w14:paraId="7DA4F1E4" w14:textId="16CCD9EC" w:rsidR="002A0E4E" w:rsidRPr="00137419" w:rsidRDefault="00A01564" w:rsidP="00CB2196">
      <w:pPr>
        <w:pStyle w:val="Orateurengris"/>
        <w:spacing w:before="240"/>
        <w:ind w:left="709" w:hanging="709"/>
      </w:pPr>
      <w:r w:rsidRPr="00137419">
        <w:t>Quelques 700 participants ont assistés à la session, comprenant d</w:t>
      </w:r>
      <w:r w:rsidR="002A0E4E" w:rsidRPr="00137419">
        <w:t>es délégations de vingt</w:t>
      </w:r>
      <w:r w:rsidR="00137419" w:rsidRPr="00137419">
        <w:t>-quatre États membres du Comité, quatre-vingt-treize États parties non membres du Comité, quatre États non parties à la Convention, deux organisations intergouvernementales, quatre centres de catégorie 2 sous le patronage de l’UNESCO, cinquante-cinq organisations non gouvernementales accréditées au Comité ainsi que vingt organes médiatiques</w:t>
      </w:r>
    </w:p>
    <w:p w14:paraId="3BE0AF90" w14:textId="3C67EA10" w:rsidR="002A0E4E" w:rsidRPr="000F054E" w:rsidRDefault="002A0E4E" w:rsidP="00CB2196">
      <w:pPr>
        <w:pStyle w:val="Orateurengris"/>
        <w:spacing w:before="240"/>
        <w:ind w:left="709" w:hanging="709"/>
      </w:pPr>
      <w:r w:rsidRPr="000F054E">
        <w:t xml:space="preserve">La liste complète des participants est disponible </w:t>
      </w:r>
      <w:hyperlink r:id="rId8" w:history="1">
        <w:r w:rsidRPr="000F054E">
          <w:rPr>
            <w:rStyle w:val="Hyperlink"/>
          </w:rPr>
          <w:t>ici</w:t>
        </w:r>
      </w:hyperlink>
      <w:r>
        <w:rPr>
          <w:rStyle w:val="Hyperlink"/>
          <w:u w:val="none"/>
        </w:rPr>
        <w:t>.</w:t>
      </w:r>
    </w:p>
    <w:p w14:paraId="35BC0B58" w14:textId="7963CFE2" w:rsidR="002A0E4E" w:rsidRPr="00C17175" w:rsidRDefault="002A0E4E" w:rsidP="00CB2196">
      <w:pPr>
        <w:pStyle w:val="Orateurengris"/>
        <w:spacing w:before="240"/>
        <w:ind w:left="709" w:hanging="709"/>
        <w:rPr>
          <w:bCs/>
        </w:rPr>
      </w:pPr>
      <w:r>
        <w:rPr>
          <w:bCs/>
        </w:rPr>
        <w:t>La session s</w:t>
      </w:r>
      <w:r w:rsidR="00346F1B">
        <w:rPr>
          <w:bCs/>
        </w:rPr>
        <w:t>’</w:t>
      </w:r>
      <w:r>
        <w:rPr>
          <w:bCs/>
        </w:rPr>
        <w:t>est déroulée</w:t>
      </w:r>
      <w:r w:rsidRPr="00C17175">
        <w:rPr>
          <w:bCs/>
        </w:rPr>
        <w:t xml:space="preserve"> en quatre langues</w:t>
      </w:r>
      <w:r>
        <w:rPr>
          <w:bCs/>
        </w:rPr>
        <w:t> : anglais, français (les deux langues de travail du Comité), arabe et espagnol.</w:t>
      </w:r>
    </w:p>
    <w:p w14:paraId="0A0BF541" w14:textId="5CF6951A" w:rsidR="002A0E4E" w:rsidRPr="00C17175" w:rsidRDefault="002A0E4E" w:rsidP="00CB2196">
      <w:pPr>
        <w:pStyle w:val="Orateurengris"/>
        <w:spacing w:before="240"/>
        <w:ind w:left="709" w:hanging="709"/>
      </w:pPr>
      <w:r>
        <w:t>La Section du patrimoine culturel immatériel de l</w:t>
      </w:r>
      <w:r w:rsidR="00346F1B">
        <w:t>’</w:t>
      </w:r>
      <w:r>
        <w:t>UNESCO a assuré le Secrétariat de la réunion.</w:t>
      </w:r>
    </w:p>
    <w:p w14:paraId="07CC80A1" w14:textId="77777777" w:rsidR="002A0E4E" w:rsidRDefault="002A0E4E" w:rsidP="00CB2196">
      <w:pPr>
        <w:pStyle w:val="Orateurengris"/>
        <w:spacing w:before="240"/>
        <w:ind w:left="709" w:hanging="709"/>
      </w:pPr>
      <w:r>
        <w:t>Les membres élus du Bureau de la onzième session du Comité étaient les suivants :</w:t>
      </w:r>
    </w:p>
    <w:p w14:paraId="4B6F54F0" w14:textId="22E9C0A9" w:rsidR="002A0E4E" w:rsidRPr="00C17175" w:rsidRDefault="002A0E4E" w:rsidP="004B3F49">
      <w:pPr>
        <w:pStyle w:val="alina"/>
        <w:tabs>
          <w:tab w:val="clear" w:pos="567"/>
          <w:tab w:val="left" w:pos="709"/>
          <w:tab w:val="left" w:pos="1418"/>
          <w:tab w:val="left" w:pos="2126"/>
          <w:tab w:val="left" w:pos="2835"/>
          <w:tab w:val="left" w:pos="3402"/>
        </w:tabs>
        <w:spacing w:after="0"/>
        <w:ind w:left="1418"/>
        <w:rPr>
          <w:lang w:val="fr-FR"/>
        </w:rPr>
      </w:pPr>
      <w:r>
        <w:rPr>
          <w:lang w:val="fr-FR"/>
        </w:rPr>
        <w:t>Président :</w:t>
      </w:r>
      <w:r w:rsidRPr="00C17175">
        <w:rPr>
          <w:lang w:val="fr-FR"/>
        </w:rPr>
        <w:tab/>
      </w:r>
      <w:r w:rsidRPr="00C17175">
        <w:rPr>
          <w:lang w:val="fr-FR"/>
        </w:rPr>
        <w:tab/>
      </w:r>
      <w:r>
        <w:rPr>
          <w:rFonts w:eastAsiaTheme="minorEastAsia"/>
          <w:color w:val="323133"/>
          <w:lang w:val="fr-FR" w:eastAsia="ja-JP"/>
        </w:rPr>
        <w:t>M</w:t>
      </w:r>
      <w:r w:rsidR="00926639">
        <w:rPr>
          <w:rFonts w:eastAsiaTheme="minorEastAsia"/>
          <w:color w:val="323133"/>
          <w:lang w:val="fr-FR" w:eastAsia="ja-JP"/>
        </w:rPr>
        <w:t>.</w:t>
      </w:r>
      <w:r>
        <w:rPr>
          <w:rFonts w:eastAsiaTheme="minorEastAsia"/>
          <w:color w:val="323133"/>
          <w:lang w:val="fr-FR" w:eastAsia="ja-JP"/>
        </w:rPr>
        <w:t xml:space="preserve"> Yonas Desta Tsegaye (</w:t>
      </w:r>
      <w:r w:rsidRPr="00C17175">
        <w:rPr>
          <w:rFonts w:eastAsiaTheme="minorEastAsia"/>
          <w:color w:val="323133"/>
          <w:lang w:val="fr-FR" w:eastAsia="ja-JP"/>
        </w:rPr>
        <w:t>Éthiopie)</w:t>
      </w:r>
    </w:p>
    <w:p w14:paraId="091A5ABA" w14:textId="77777777" w:rsidR="002A0E4E" w:rsidRPr="00C17175" w:rsidRDefault="002A0E4E" w:rsidP="004B3F49">
      <w:pPr>
        <w:pStyle w:val="alina"/>
        <w:tabs>
          <w:tab w:val="clear" w:pos="567"/>
          <w:tab w:val="left" w:pos="709"/>
          <w:tab w:val="left" w:pos="1418"/>
          <w:tab w:val="left" w:pos="2126"/>
          <w:tab w:val="left" w:pos="2835"/>
          <w:tab w:val="left" w:pos="3402"/>
        </w:tabs>
        <w:spacing w:after="0"/>
        <w:ind w:left="1418"/>
        <w:rPr>
          <w:lang w:val="fr-FR"/>
        </w:rPr>
      </w:pPr>
      <w:r>
        <w:rPr>
          <w:lang w:val="fr-FR"/>
        </w:rPr>
        <w:t xml:space="preserve">Vice-Présidents </w:t>
      </w:r>
      <w:r w:rsidRPr="00C17175">
        <w:rPr>
          <w:lang w:val="fr-FR"/>
        </w:rPr>
        <w:t xml:space="preserve">: </w:t>
      </w:r>
      <w:r w:rsidRPr="00C17175">
        <w:rPr>
          <w:lang w:val="fr-FR"/>
        </w:rPr>
        <w:tab/>
      </w:r>
      <w:r>
        <w:rPr>
          <w:lang w:val="fr-FR"/>
        </w:rPr>
        <w:t>Algérie</w:t>
      </w:r>
      <w:r w:rsidRPr="00C17175">
        <w:rPr>
          <w:lang w:val="fr-FR"/>
        </w:rPr>
        <w:t xml:space="preserve">, </w:t>
      </w:r>
      <w:r>
        <w:rPr>
          <w:rFonts w:eastAsiaTheme="minorEastAsia"/>
          <w:color w:val="323133"/>
          <w:lang w:val="fr-FR" w:eastAsia="ja-JP"/>
        </w:rPr>
        <w:t>Bulgarie</w:t>
      </w:r>
      <w:r w:rsidRPr="00C17175">
        <w:rPr>
          <w:rFonts w:eastAsiaTheme="minorEastAsia"/>
          <w:color w:val="323133"/>
          <w:lang w:val="fr-FR" w:eastAsia="ja-JP"/>
        </w:rPr>
        <w:t>, République</w:t>
      </w:r>
      <w:r>
        <w:rPr>
          <w:rFonts w:eastAsiaTheme="minorEastAsia"/>
          <w:color w:val="323133"/>
          <w:lang w:val="fr-FR" w:eastAsia="ja-JP"/>
        </w:rPr>
        <w:t xml:space="preserve"> de Corée</w:t>
      </w:r>
      <w:r w:rsidRPr="00C17175">
        <w:rPr>
          <w:rFonts w:eastAsiaTheme="minorEastAsia"/>
          <w:color w:val="323133"/>
          <w:lang w:val="fr-FR" w:eastAsia="ja-JP"/>
        </w:rPr>
        <w:t>, Saint</w:t>
      </w:r>
      <w:r>
        <w:rPr>
          <w:rFonts w:eastAsiaTheme="minorEastAsia"/>
          <w:color w:val="323133"/>
          <w:lang w:val="fr-FR" w:eastAsia="ja-JP"/>
        </w:rPr>
        <w:t>e-Lucie</w:t>
      </w:r>
      <w:r w:rsidRPr="00C17175">
        <w:rPr>
          <w:rFonts w:eastAsiaTheme="minorEastAsia"/>
          <w:color w:val="323133"/>
          <w:lang w:val="fr-FR" w:eastAsia="ja-JP"/>
        </w:rPr>
        <w:t xml:space="preserve"> </w:t>
      </w:r>
      <w:r>
        <w:rPr>
          <w:rFonts w:eastAsiaTheme="minorEastAsia"/>
          <w:color w:val="323133"/>
          <w:lang w:val="fr-FR" w:eastAsia="ja-JP"/>
        </w:rPr>
        <w:t>et Turquie</w:t>
      </w:r>
    </w:p>
    <w:p w14:paraId="53173563" w14:textId="7C90E79C" w:rsidR="002A0E4E" w:rsidRPr="00C17175" w:rsidRDefault="002A0E4E" w:rsidP="004B3F49">
      <w:pPr>
        <w:pStyle w:val="alina"/>
        <w:tabs>
          <w:tab w:val="clear" w:pos="567"/>
          <w:tab w:val="left" w:pos="709"/>
          <w:tab w:val="left" w:pos="1418"/>
          <w:tab w:val="left" w:pos="2126"/>
          <w:tab w:val="left" w:pos="2835"/>
          <w:tab w:val="left" w:pos="3402"/>
        </w:tabs>
        <w:spacing w:after="120"/>
        <w:ind w:left="1418"/>
        <w:rPr>
          <w:lang w:val="fr-FR"/>
        </w:rPr>
      </w:pPr>
      <w:r w:rsidRPr="00C17175">
        <w:rPr>
          <w:lang w:val="fr-FR"/>
        </w:rPr>
        <w:t>Rapporteur</w:t>
      </w:r>
      <w:r>
        <w:rPr>
          <w:lang w:val="fr-FR"/>
        </w:rPr>
        <w:t xml:space="preserve"> </w:t>
      </w:r>
      <w:r w:rsidRPr="00C17175">
        <w:rPr>
          <w:lang w:val="fr-FR"/>
        </w:rPr>
        <w:t xml:space="preserve">: </w:t>
      </w:r>
      <w:r w:rsidRPr="00C17175">
        <w:rPr>
          <w:lang w:val="fr-FR"/>
        </w:rPr>
        <w:tab/>
      </w:r>
      <w:r w:rsidRPr="00C17175">
        <w:rPr>
          <w:lang w:val="fr-FR"/>
        </w:rPr>
        <w:tab/>
      </w:r>
      <w:r>
        <w:rPr>
          <w:snapToGrid w:val="0"/>
          <w:lang w:val="fr-FR"/>
        </w:rPr>
        <w:t>M</w:t>
      </w:r>
      <w:r w:rsidR="00926639">
        <w:rPr>
          <w:snapToGrid w:val="0"/>
          <w:lang w:val="fr-FR"/>
        </w:rPr>
        <w:t>.</w:t>
      </w:r>
      <w:r>
        <w:rPr>
          <w:snapToGrid w:val="0"/>
          <w:lang w:val="fr-FR"/>
        </w:rPr>
        <w:t xml:space="preserve"> Murat Soğangöz (Turquie)</w:t>
      </w:r>
    </w:p>
    <w:p w14:paraId="457F7CD0" w14:textId="77777777" w:rsidR="004B3F49" w:rsidRPr="004B3F49" w:rsidRDefault="004B3F49" w:rsidP="00CB2196">
      <w:pPr>
        <w:pStyle w:val="Orateurengris"/>
        <w:spacing w:before="240"/>
        <w:ind w:left="709" w:hanging="709"/>
      </w:pPr>
      <w:r>
        <w:t xml:space="preserve">Le </w:t>
      </w:r>
      <w:r w:rsidRPr="004B3F49">
        <w:t>Comité intergouvernemental souhaitera peut-être adopter la décision suivante :</w:t>
      </w:r>
    </w:p>
    <w:p w14:paraId="72313575" w14:textId="64DCB553" w:rsidR="004B3F49" w:rsidRDefault="004B3F49" w:rsidP="004B3F49">
      <w:pPr>
        <w:pStyle w:val="BODYTEXT0"/>
        <w:keepNext/>
        <w:tabs>
          <w:tab w:val="clear" w:pos="709"/>
          <w:tab w:val="clear" w:pos="1418"/>
        </w:tabs>
        <w:spacing w:before="360"/>
        <w:ind w:left="709"/>
        <w:rPr>
          <w:b/>
          <w:lang w:val="fr-FR"/>
        </w:rPr>
      </w:pPr>
      <w:r w:rsidRPr="004B3F49">
        <w:rPr>
          <w:b/>
          <w:lang w:val="fr-FR"/>
        </w:rPr>
        <w:t>PROJET DE DÉCISION 12.COM 4</w:t>
      </w:r>
    </w:p>
    <w:p w14:paraId="0D55D6C3" w14:textId="57F85E08" w:rsidR="004B3F49" w:rsidRPr="004B3F49" w:rsidRDefault="004B3F49" w:rsidP="004B3F49">
      <w:pPr>
        <w:pStyle w:val="BODYTEXT0"/>
        <w:keepNext/>
        <w:tabs>
          <w:tab w:val="clear" w:pos="709"/>
          <w:tab w:val="clear" w:pos="1418"/>
        </w:tabs>
        <w:spacing w:before="0"/>
        <w:ind w:left="709"/>
        <w:rPr>
          <w:lang w:val="fr-FR"/>
        </w:rPr>
      </w:pPr>
      <w:r w:rsidRPr="004B3F49">
        <w:rPr>
          <w:lang w:val="fr-FR"/>
        </w:rPr>
        <w:t>Le Comité,</w:t>
      </w:r>
    </w:p>
    <w:p w14:paraId="311CC01F" w14:textId="3FBFC466" w:rsidR="004B3F49" w:rsidRPr="004B3F49" w:rsidRDefault="004B3F49" w:rsidP="004B3F49">
      <w:pPr>
        <w:pStyle w:val="BODYTEXT0"/>
        <w:tabs>
          <w:tab w:val="clear" w:pos="709"/>
          <w:tab w:val="clear" w:pos="1418"/>
          <w:tab w:val="left" w:pos="1134"/>
        </w:tabs>
        <w:spacing w:before="0"/>
        <w:ind w:left="709"/>
        <w:rPr>
          <w:lang w:val="fr-FR"/>
        </w:rPr>
      </w:pPr>
      <w:r w:rsidRPr="004B3F49">
        <w:rPr>
          <w:lang w:val="fr-FR"/>
        </w:rPr>
        <w:t>1.</w:t>
      </w:r>
      <w:r w:rsidRPr="004B3F49">
        <w:rPr>
          <w:lang w:val="fr-FR"/>
        </w:rPr>
        <w:tab/>
      </w:r>
      <w:r w:rsidRPr="004B3F49">
        <w:rPr>
          <w:u w:val="single"/>
          <w:lang w:val="fr-FR"/>
        </w:rPr>
        <w:t>Ayant examiné</w:t>
      </w:r>
      <w:r w:rsidRPr="004B3F49">
        <w:rPr>
          <w:lang w:val="fr-FR"/>
        </w:rPr>
        <w:t xml:space="preserve"> le document ITH/1</w:t>
      </w:r>
      <w:r w:rsidRPr="004B3F49">
        <w:rPr>
          <w:rFonts w:eastAsia="Malgun Gothic"/>
          <w:lang w:val="fr-FR" w:eastAsia="ko-KR"/>
        </w:rPr>
        <w:t>7</w:t>
      </w:r>
      <w:r w:rsidRPr="004B3F49">
        <w:rPr>
          <w:lang w:val="fr-FR"/>
        </w:rPr>
        <w:t>/1</w:t>
      </w:r>
      <w:r w:rsidRPr="004B3F49">
        <w:rPr>
          <w:rFonts w:eastAsia="Malgun Gothic"/>
          <w:lang w:val="fr-FR" w:eastAsia="ko-KR"/>
        </w:rPr>
        <w:t>2</w:t>
      </w:r>
      <w:r w:rsidRPr="004B3F49">
        <w:rPr>
          <w:lang w:val="fr-FR"/>
        </w:rPr>
        <w:t>.COM/4,</w:t>
      </w:r>
    </w:p>
    <w:p w14:paraId="022519AE" w14:textId="25107119" w:rsidR="004B3F49" w:rsidRPr="004B3F49" w:rsidRDefault="004B3F49" w:rsidP="004B3F49">
      <w:pPr>
        <w:pStyle w:val="BODYTEXT0"/>
        <w:tabs>
          <w:tab w:val="clear" w:pos="709"/>
          <w:tab w:val="clear" w:pos="1418"/>
          <w:tab w:val="left" w:pos="1134"/>
        </w:tabs>
        <w:spacing w:before="0"/>
        <w:ind w:left="1134" w:hanging="425"/>
        <w:rPr>
          <w:lang w:val="fr-FR"/>
        </w:rPr>
      </w:pPr>
      <w:r w:rsidRPr="004B3F49">
        <w:rPr>
          <w:lang w:val="fr-FR"/>
        </w:rPr>
        <w:t>2.</w:t>
      </w:r>
      <w:r w:rsidRPr="004B3F49">
        <w:rPr>
          <w:lang w:val="fr-FR"/>
        </w:rPr>
        <w:tab/>
      </w:r>
      <w:r w:rsidRPr="004B3F49">
        <w:rPr>
          <w:u w:val="single"/>
          <w:lang w:val="fr-FR"/>
        </w:rPr>
        <w:t>Adopte</w:t>
      </w:r>
      <w:r w:rsidRPr="004B3F49">
        <w:rPr>
          <w:lang w:val="fr-FR"/>
        </w:rPr>
        <w:t xml:space="preserve"> le compte rendu de la onzième session du Comité contenu dans ce document.</w:t>
      </w:r>
    </w:p>
    <w:p w14:paraId="2934BAE3" w14:textId="77777777" w:rsidR="004B3F49" w:rsidRPr="00FB726D" w:rsidRDefault="00FF32CD" w:rsidP="004B3F49">
      <w:pPr>
        <w:pStyle w:val="b"/>
        <w:tabs>
          <w:tab w:val="clear" w:pos="-737"/>
          <w:tab w:val="clear" w:pos="1134"/>
          <w:tab w:val="left" w:pos="709"/>
          <w:tab w:val="left" w:pos="1418"/>
          <w:tab w:val="left" w:pos="2126"/>
          <w:tab w:val="left" w:pos="2835"/>
        </w:tabs>
        <w:ind w:left="567"/>
        <w:jc w:val="center"/>
        <w:outlineLvl w:val="0"/>
        <w:rPr>
          <w:rFonts w:cs="Arial"/>
          <w:b/>
          <w:szCs w:val="22"/>
        </w:rPr>
      </w:pPr>
      <w:r w:rsidRPr="004B3F49">
        <w:rPr>
          <w:rFonts w:cs="Arial"/>
          <w:i/>
          <w:szCs w:val="22"/>
        </w:rPr>
        <w:br w:type="column"/>
      </w:r>
      <w:r w:rsidR="004B3F49" w:rsidRPr="00FB726D">
        <w:rPr>
          <w:rFonts w:cs="Arial"/>
          <w:b/>
          <w:szCs w:val="22"/>
        </w:rPr>
        <w:lastRenderedPageBreak/>
        <w:t>COMPTE-RENDU</w:t>
      </w:r>
      <w:r w:rsidR="004B3F49">
        <w:rPr>
          <w:rFonts w:cs="Arial"/>
          <w:b/>
          <w:szCs w:val="22"/>
        </w:rPr>
        <w:t xml:space="preserve"> </w:t>
      </w:r>
      <w:r w:rsidR="004B3F49" w:rsidRPr="00FB726D">
        <w:rPr>
          <w:rFonts w:cs="Arial"/>
          <w:b/>
          <w:szCs w:val="22"/>
        </w:rPr>
        <w:t>DE LA ONZIÈME SESSION DU COMITÉ</w:t>
      </w:r>
    </w:p>
    <w:p w14:paraId="467DC311" w14:textId="78EE8A01" w:rsidR="00BC472E" w:rsidRPr="000F054E" w:rsidRDefault="000F054E" w:rsidP="002B4948">
      <w:pPr>
        <w:pStyle w:val="Marge"/>
        <w:keepNext/>
        <w:tabs>
          <w:tab w:val="clear" w:pos="567"/>
          <w:tab w:val="left" w:pos="709"/>
          <w:tab w:val="left" w:pos="1418"/>
          <w:tab w:val="left" w:pos="2126"/>
          <w:tab w:val="left" w:pos="2835"/>
        </w:tabs>
        <w:spacing w:before="240"/>
        <w:ind w:left="567" w:hanging="567"/>
        <w:jc w:val="center"/>
        <w:outlineLvl w:val="0"/>
        <w:rPr>
          <w:rFonts w:cs="Arial"/>
          <w:b/>
          <w:szCs w:val="22"/>
        </w:rPr>
      </w:pPr>
      <w:r w:rsidRPr="000F054E">
        <w:rPr>
          <w:rFonts w:cs="Arial"/>
          <w:i/>
          <w:szCs w:val="22"/>
        </w:rPr>
        <w:t>[Lundi 28 novembre, séance du matin</w:t>
      </w:r>
      <w:r w:rsidR="00FF32CD" w:rsidRPr="000F054E">
        <w:rPr>
          <w:rFonts w:cs="Arial"/>
          <w:i/>
          <w:szCs w:val="22"/>
        </w:rPr>
        <w:t>]</w:t>
      </w:r>
    </w:p>
    <w:p w14:paraId="387F1315" w14:textId="2575D067" w:rsidR="00B404F1" w:rsidRPr="000F054E" w:rsidRDefault="000F054E" w:rsidP="00AB6B4E">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lang w:eastAsia="ko-KR"/>
        </w:rPr>
      </w:pPr>
      <w:bookmarkStart w:id="0" w:name="Item1"/>
      <w:r>
        <w:rPr>
          <w:rFonts w:cs="Arial"/>
          <w:b/>
          <w:szCs w:val="22"/>
          <w:u w:val="single"/>
        </w:rPr>
        <w:t>POINT 1 DE L</w:t>
      </w:r>
      <w:r w:rsidR="00346F1B">
        <w:rPr>
          <w:rFonts w:cs="Arial"/>
          <w:b/>
          <w:szCs w:val="22"/>
          <w:u w:val="single"/>
        </w:rPr>
        <w:t>’</w:t>
      </w:r>
      <w:r w:rsidRPr="000F054E">
        <w:rPr>
          <w:rFonts w:cs="Arial"/>
          <w:b/>
          <w:szCs w:val="22"/>
          <w:u w:val="single"/>
        </w:rPr>
        <w:t>ORDRE DU JOUR</w:t>
      </w:r>
      <w:r>
        <w:rPr>
          <w:rFonts w:cs="Arial"/>
          <w:b/>
          <w:szCs w:val="22"/>
          <w:u w:val="single"/>
        </w:rPr>
        <w:t xml:space="preserve"> </w:t>
      </w:r>
      <w:r w:rsidRPr="000F054E">
        <w:rPr>
          <w:rFonts w:cs="Arial"/>
          <w:b/>
          <w:szCs w:val="22"/>
        </w:rPr>
        <w:t>:</w:t>
      </w:r>
    </w:p>
    <w:bookmarkEnd w:id="0"/>
    <w:p w14:paraId="33C27D4D" w14:textId="5F741E6F" w:rsidR="004963BE" w:rsidRPr="000F054E" w:rsidRDefault="000F054E" w:rsidP="00AB6B4E">
      <w:pPr>
        <w:pStyle w:val="Marge"/>
        <w:keepNext/>
        <w:tabs>
          <w:tab w:val="clear" w:pos="567"/>
          <w:tab w:val="left" w:pos="709"/>
          <w:tab w:val="left" w:pos="1418"/>
          <w:tab w:val="left" w:pos="2126"/>
          <w:tab w:val="left" w:pos="2835"/>
        </w:tabs>
        <w:spacing w:after="120"/>
        <w:ind w:left="567" w:hanging="567"/>
        <w:jc w:val="left"/>
        <w:outlineLvl w:val="0"/>
        <w:rPr>
          <w:rFonts w:cs="Arial"/>
          <w:b/>
          <w:szCs w:val="22"/>
        </w:rPr>
      </w:pPr>
      <w:r>
        <w:rPr>
          <w:rFonts w:cs="Arial"/>
          <w:b/>
          <w:szCs w:val="22"/>
        </w:rPr>
        <w:t>OUVERTURE DE LA SESSION</w:t>
      </w:r>
    </w:p>
    <w:p w14:paraId="46B35630" w14:textId="2B7BDD6C" w:rsidR="00105D08" w:rsidRPr="00AE1302" w:rsidRDefault="00105D08" w:rsidP="002B4948">
      <w:pPr>
        <w:widowControl w:val="0"/>
        <w:autoSpaceDE w:val="0"/>
        <w:autoSpaceDN w:val="0"/>
        <w:adjustRightInd w:val="0"/>
        <w:spacing w:before="120" w:after="240"/>
        <w:ind w:left="1276" w:hanging="567"/>
        <w:rPr>
          <w:rFonts w:ascii="Arial" w:hAnsi="Arial" w:cs="Arial"/>
          <w:i/>
          <w:sz w:val="22"/>
          <w:szCs w:val="22"/>
        </w:rPr>
      </w:pPr>
      <w:r w:rsidRPr="00AE1302">
        <w:rPr>
          <w:rFonts w:ascii="Arial" w:hAnsi="Arial" w:cs="Arial"/>
          <w:b/>
          <w:sz w:val="22"/>
          <w:szCs w:val="22"/>
        </w:rPr>
        <w:t>Document</w:t>
      </w:r>
      <w:r w:rsidR="000F054E" w:rsidRPr="00AE1302">
        <w:rPr>
          <w:rFonts w:ascii="Arial" w:hAnsi="Arial" w:cs="Arial"/>
          <w:b/>
          <w:sz w:val="22"/>
          <w:szCs w:val="22"/>
        </w:rPr>
        <w:t xml:space="preserve"> </w:t>
      </w:r>
      <w:r w:rsidRPr="00AE1302">
        <w:rPr>
          <w:rFonts w:cs="Arial"/>
          <w:b/>
          <w:szCs w:val="22"/>
        </w:rPr>
        <w:t xml:space="preserve">: </w:t>
      </w:r>
      <w:hyperlink r:id="rId9" w:history="1">
        <w:r w:rsidR="00531EA5" w:rsidRPr="00AE1302">
          <w:rPr>
            <w:rStyle w:val="Hyperlink"/>
            <w:rFonts w:ascii="Arial" w:hAnsi="Arial" w:cs="Arial"/>
            <w:i/>
            <w:sz w:val="22"/>
            <w:szCs w:val="22"/>
          </w:rPr>
          <w:t>ITH/16/11.COM/INF.1 Rev</w:t>
        </w:r>
      </w:hyperlink>
      <w:r w:rsidR="00531EA5" w:rsidRPr="00AE1302">
        <w:rPr>
          <w:rFonts w:ascii="Arial" w:hAnsi="Arial" w:cs="Arial"/>
          <w:i/>
          <w:sz w:val="22"/>
          <w:szCs w:val="22"/>
        </w:rPr>
        <w:t>.</w:t>
      </w:r>
    </w:p>
    <w:p w14:paraId="6E0671EB" w14:textId="5548D3BB" w:rsidR="009A0314" w:rsidRPr="009A0314" w:rsidRDefault="000F054E" w:rsidP="00AF7860">
      <w:pPr>
        <w:pStyle w:val="Orateurengris"/>
        <w:tabs>
          <w:tab w:val="clear" w:pos="709"/>
          <w:tab w:val="clear" w:pos="1418"/>
          <w:tab w:val="clear" w:pos="2126"/>
          <w:tab w:val="clear" w:pos="2835"/>
          <w:tab w:val="clear" w:pos="3686"/>
        </w:tabs>
        <w:spacing w:before="120"/>
        <w:ind w:left="709" w:hanging="709"/>
      </w:pPr>
      <w:r w:rsidRPr="009A0314">
        <w:t xml:space="preserve">Le </w:t>
      </w:r>
      <w:r w:rsidRPr="009A0314">
        <w:rPr>
          <w:b/>
        </w:rPr>
        <w:t>Président</w:t>
      </w:r>
      <w:r w:rsidRPr="009A0314">
        <w:t xml:space="preserve"> de la onzième session du Comité intergouvernemental</w:t>
      </w:r>
      <w:r w:rsidR="00CD238D" w:rsidRPr="009A0314">
        <w:t xml:space="preserve"> de</w:t>
      </w:r>
      <w:r w:rsidRPr="009A0314">
        <w:t xml:space="preserve"> sauvegarde du patrimoine culturel immatériel, </w:t>
      </w:r>
      <w:r w:rsidR="009A0314">
        <w:rPr>
          <w:b/>
        </w:rPr>
        <w:t xml:space="preserve">M. </w:t>
      </w:r>
      <w:r w:rsidRPr="009A0314">
        <w:rPr>
          <w:b/>
        </w:rPr>
        <w:t>Yona Desta Tsegaye</w:t>
      </w:r>
      <w:r w:rsidRPr="009A0314">
        <w:t xml:space="preserve">, a </w:t>
      </w:r>
      <w:r w:rsidR="009A0314">
        <w:t xml:space="preserve">ouvert </w:t>
      </w:r>
      <w:r w:rsidRPr="009A0314">
        <w:t xml:space="preserve">officiellement </w:t>
      </w:r>
      <w:r w:rsidR="00CD238D" w:rsidRPr="009A0314">
        <w:t>la réunion en précisant</w:t>
      </w:r>
      <w:r w:rsidRPr="009A0314">
        <w:t xml:space="preserve"> que 650 participants étaient enregistrés. </w:t>
      </w:r>
      <w:r w:rsidR="0085294C" w:rsidRPr="009A0314">
        <w:t>Il a débuté son intervention en annonçant que les débats seraient interprétés en quatre langues : anglais ; français ; arabe, grâce au généreux soutien du Royaume d</w:t>
      </w:r>
      <w:r w:rsidR="00346F1B">
        <w:t>’</w:t>
      </w:r>
      <w:r w:rsidR="0085294C" w:rsidRPr="009A0314">
        <w:t>Arabie saoudite ; et espagnol, grâce au généreux soutien du Gouvernement espagnol. Il</w:t>
      </w:r>
      <w:r w:rsidR="009A0314">
        <w:t xml:space="preserve"> a évoqué l</w:t>
      </w:r>
      <w:r w:rsidR="00346F1B">
        <w:t>’</w:t>
      </w:r>
      <w:r w:rsidR="009A0314">
        <w:t xml:space="preserve">honneur </w:t>
      </w:r>
      <w:r w:rsidR="0085294C" w:rsidRPr="009A0314">
        <w:t>d</w:t>
      </w:r>
      <w:r w:rsidR="00346F1B">
        <w:t>’</w:t>
      </w:r>
      <w:r w:rsidR="0085294C" w:rsidRPr="009A0314">
        <w:t>accueillir les participants à la onzième session du Comité</w:t>
      </w:r>
      <w:r w:rsidR="0027304B">
        <w:t xml:space="preserve"> intergouvernemental, en soulignant la présence de tous les m</w:t>
      </w:r>
      <w:r w:rsidR="0085294C" w:rsidRPr="009A0314">
        <w:t>inistres et dignitaires des États parties, ainsi que des États non parties à la Convention, des experts et représentants des ONG et de la société civile. Parmi ceux-ci, on pouvait citer Son Excellence (S.E.) Mme Meaza Gebremedinh, ministre d</w:t>
      </w:r>
      <w:r w:rsidR="00346F1B">
        <w:t>’</w:t>
      </w:r>
      <w:r w:rsidR="0085294C" w:rsidRPr="009A0314">
        <w:t>état de la Culture de la République fédérale démocratique d</w:t>
      </w:r>
      <w:r w:rsidR="00346F1B">
        <w:t>’</w:t>
      </w:r>
      <w:r w:rsidR="0085294C" w:rsidRPr="009A0314">
        <w:t>Éthiopie</w:t>
      </w:r>
      <w:r w:rsidR="001452F9" w:rsidRPr="009A0314">
        <w:t xml:space="preserve">, M. </w:t>
      </w:r>
      <w:r w:rsidR="0085294C" w:rsidRPr="009A0314">
        <w:t>Michael Worbs, Président du Conseil exécutif de l</w:t>
      </w:r>
      <w:r w:rsidR="00346F1B">
        <w:t>’</w:t>
      </w:r>
      <w:r w:rsidR="0085294C" w:rsidRPr="009A0314">
        <w:t>UNESCO</w:t>
      </w:r>
      <w:r w:rsidR="001452F9" w:rsidRPr="009A0314">
        <w:t>, M. Getachew Engida, Directeur général adjoint de l</w:t>
      </w:r>
      <w:r w:rsidR="00346F1B">
        <w:t>’</w:t>
      </w:r>
      <w:r w:rsidR="001452F9" w:rsidRPr="009A0314">
        <w:t>UNESCO, M. Francesco Bandarin, Sous-Directeur général pour la culture à l</w:t>
      </w:r>
      <w:r w:rsidR="00346F1B">
        <w:t>’</w:t>
      </w:r>
      <w:r w:rsidR="001452F9" w:rsidRPr="009A0314">
        <w:t>UNESCO et Mme Jyothi Hosagrahar, Directrice de la Division de la créativité du Secteur de la culture à l</w:t>
      </w:r>
      <w:r w:rsidR="00346F1B">
        <w:t>’</w:t>
      </w:r>
      <w:r w:rsidR="001452F9" w:rsidRPr="009A0314">
        <w:t>UNESCO</w:t>
      </w:r>
      <w:r w:rsidR="00694C6E" w:rsidRPr="009A0314">
        <w:t>. Il a égale</w:t>
      </w:r>
      <w:r w:rsidR="00BC4651">
        <w:t xml:space="preserve">ment souhaité la bienvenue à M. </w:t>
      </w:r>
      <w:r w:rsidR="00694C6E" w:rsidRPr="009A0314">
        <w:t xml:space="preserve">Tim Curtis pour son premier Comité en tant que Secrétaire de la Convention. Le Président attendait avec impatience les délibérations et prises de décision sur de nombreuses </w:t>
      </w:r>
      <w:r w:rsidR="00BC4651">
        <w:t xml:space="preserve">et </w:t>
      </w:r>
      <w:r w:rsidR="00694C6E" w:rsidRPr="009A0314">
        <w:t xml:space="preserve">importantes questions au cours de la semaine à venir, pour la sauvegarde efficace du patrimoine vivant. </w:t>
      </w:r>
      <w:r w:rsidR="009C510B" w:rsidRPr="009A0314">
        <w:t>Notant que l</w:t>
      </w:r>
      <w:r w:rsidR="00346F1B">
        <w:t>’</w:t>
      </w:r>
      <w:r w:rsidR="009C510B" w:rsidRPr="009A0314">
        <w:t xml:space="preserve">ordre du jour de la session était très chargé, le Président a demandé aux participants de coopérer en intervenant de façon </w:t>
      </w:r>
      <w:r w:rsidR="00BC4651">
        <w:t xml:space="preserve">concise, </w:t>
      </w:r>
      <w:r w:rsidR="009C510B" w:rsidRPr="009A0314">
        <w:t xml:space="preserve">et </w:t>
      </w:r>
      <w:r w:rsidR="00BC4651">
        <w:t>a déclaré compter</w:t>
      </w:r>
      <w:r w:rsidR="009C510B" w:rsidRPr="009A0314">
        <w:t xml:space="preserve"> sur les </w:t>
      </w:r>
      <w:r w:rsidR="00754EC3">
        <w:t>Vice-Président</w:t>
      </w:r>
      <w:r w:rsidR="009C510B" w:rsidRPr="009A0314">
        <w:t>s (de l</w:t>
      </w:r>
      <w:r w:rsidR="00346F1B">
        <w:t>’</w:t>
      </w:r>
      <w:r w:rsidR="009C510B" w:rsidRPr="009A0314">
        <w:t>Algérie, la Bulgarie, la République de Corée, Sainte-Lucie et la Turquie) pour as</w:t>
      </w:r>
      <w:r w:rsidR="00BC4651">
        <w:t>surer le bon déroulement</w:t>
      </w:r>
      <w:r w:rsidR="009C510B" w:rsidRPr="009A0314">
        <w:t xml:space="preserve"> de la session. La Rapporteur était M. Mu</w:t>
      </w:r>
      <w:r w:rsidR="00BC4651">
        <w:t xml:space="preserve">rat Soğangöz (de la Turquie). Le Président </w:t>
      </w:r>
      <w:r w:rsidR="009C510B" w:rsidRPr="009A0314">
        <w:t xml:space="preserve">a invité </w:t>
      </w:r>
      <w:r w:rsidR="00BC4651">
        <w:t xml:space="preserve">S.E. </w:t>
      </w:r>
      <w:r w:rsidR="009A0314" w:rsidRPr="009A0314">
        <w:t>Mme Meaza Ge</w:t>
      </w:r>
      <w:r w:rsidR="009A0314">
        <w:t>bremedinh à prononcer quelques paroles de bienvenue</w:t>
      </w:r>
      <w:r w:rsidR="00CB2196">
        <w:t>.</w:t>
      </w:r>
    </w:p>
    <w:p w14:paraId="26F12AE9" w14:textId="04C0720D" w:rsidR="0059430A" w:rsidRPr="00316CAD" w:rsidRDefault="009A0314" w:rsidP="00AF7860">
      <w:pPr>
        <w:pStyle w:val="Orateurengris"/>
        <w:tabs>
          <w:tab w:val="clear" w:pos="709"/>
          <w:tab w:val="clear" w:pos="1418"/>
          <w:tab w:val="clear" w:pos="2126"/>
          <w:tab w:val="clear" w:pos="2835"/>
          <w:tab w:val="clear" w:pos="3686"/>
        </w:tabs>
        <w:spacing w:before="120"/>
        <w:ind w:left="709" w:hanging="709"/>
      </w:pPr>
      <w:r w:rsidRPr="009A0314">
        <w:rPr>
          <w:b/>
        </w:rPr>
        <w:t>S.E. Mme Meaza Gebremedinh</w:t>
      </w:r>
      <w:r w:rsidR="004A7B30">
        <w:t xml:space="preserve"> a rappelé l</w:t>
      </w:r>
      <w:r w:rsidR="00346F1B">
        <w:t>’</w:t>
      </w:r>
      <w:r w:rsidR="004A7B30">
        <w:t>invitation, lancée lors de la dixième session du Comité à Windhoek, à accueillir cette session et a évoqué l</w:t>
      </w:r>
      <w:r w:rsidR="00346F1B">
        <w:t>’</w:t>
      </w:r>
      <w:r w:rsidR="004A7B30">
        <w:t>honneur que le ministère</w:t>
      </w:r>
      <w:r w:rsidR="00BC4651">
        <w:t xml:space="preserve"> et son personnel ressentaient de</w:t>
      </w:r>
      <w:r w:rsidR="004A7B30">
        <w:t xml:space="preserve"> recevoir aujourd</w:t>
      </w:r>
      <w:r w:rsidR="00346F1B">
        <w:t>’</w:t>
      </w:r>
      <w:r w:rsidR="004A7B30">
        <w:t>hui les délégués dans la belle ville d</w:t>
      </w:r>
      <w:r w:rsidR="00346F1B">
        <w:t>’</w:t>
      </w:r>
      <w:r w:rsidR="004A7B30" w:rsidRPr="004A7B30">
        <w:t>Addis Abeba</w:t>
      </w:r>
      <w:r w:rsidR="004A7B30">
        <w:t>. Mme Gebr</w:t>
      </w:r>
      <w:r w:rsidR="00CF11B7">
        <w:t>emedinh a profité de l</w:t>
      </w:r>
      <w:r w:rsidR="00346F1B">
        <w:t>’</w:t>
      </w:r>
      <w:r w:rsidR="00CF11B7">
        <w:t xml:space="preserve">occasion pour exprimer </w:t>
      </w:r>
      <w:r w:rsidR="00CF11B7" w:rsidRPr="00CF11B7">
        <w:t>également</w:t>
      </w:r>
      <w:r w:rsidR="00CF11B7">
        <w:t xml:space="preserve"> tous ses remerciements au Comité d</w:t>
      </w:r>
      <w:r w:rsidR="00346F1B">
        <w:t>’</w:t>
      </w:r>
      <w:r w:rsidR="00CF11B7">
        <w:t xml:space="preserve">avoir accepté sa </w:t>
      </w:r>
      <w:r w:rsidR="00CF11B7" w:rsidRPr="00CF11B7">
        <w:t xml:space="preserve">proposition </w:t>
      </w:r>
      <w:r w:rsidR="00CF11B7">
        <w:t>d</w:t>
      </w:r>
      <w:r w:rsidR="00346F1B">
        <w:t>’</w:t>
      </w:r>
      <w:r w:rsidR="00CF11B7">
        <w:t xml:space="preserve">accueillir la réunion, et a remercié tous </w:t>
      </w:r>
      <w:r w:rsidR="000954B9">
        <w:t>c</w:t>
      </w:r>
      <w:r w:rsidR="00CF11B7">
        <w:t>eux qui avaient assisté à la cérémoni</w:t>
      </w:r>
      <w:r w:rsidR="00BC4651">
        <w:t>e d</w:t>
      </w:r>
      <w:r w:rsidR="00346F1B">
        <w:t>’</w:t>
      </w:r>
      <w:r w:rsidR="00BC4651">
        <w:t xml:space="preserve">ouverture le soir précédent, cérémonie </w:t>
      </w:r>
      <w:r w:rsidR="00CF11B7">
        <w:t>qui avait permis d</w:t>
      </w:r>
      <w:r w:rsidR="00346F1B">
        <w:t>’</w:t>
      </w:r>
      <w:r w:rsidR="00CF11B7">
        <w:t>avoir un aperçu de la culture, de la richesse et de l</w:t>
      </w:r>
      <w:r w:rsidR="00346F1B">
        <w:t>’</w:t>
      </w:r>
      <w:r w:rsidR="00CF11B7">
        <w:t>originalité de l</w:t>
      </w:r>
      <w:r w:rsidR="00346F1B">
        <w:t>’</w:t>
      </w:r>
      <w:r w:rsidR="00CF11B7" w:rsidRPr="00CF11B7">
        <w:t>Éthiopie</w:t>
      </w:r>
      <w:r w:rsidR="00CF11B7">
        <w:t xml:space="preserve">. </w:t>
      </w:r>
      <w:r w:rsidR="00C82E86">
        <w:t>Au-delà</w:t>
      </w:r>
      <w:r w:rsidR="00CF11B7">
        <w:t xml:space="preserve"> de la représentation par les artistes et populations </w:t>
      </w:r>
      <w:r w:rsidR="00CF11B7" w:rsidRPr="00CF11B7">
        <w:t>autochtones</w:t>
      </w:r>
      <w:r w:rsidR="00CF11B7">
        <w:t>, Mme</w:t>
      </w:r>
      <w:r w:rsidR="008F45DA">
        <w:t> </w:t>
      </w:r>
      <w:r w:rsidR="00CF11B7">
        <w:t xml:space="preserve">Gebremedhin a évoqué les </w:t>
      </w:r>
      <w:r w:rsidR="00237724">
        <w:t xml:space="preserve">multiples </w:t>
      </w:r>
      <w:r w:rsidR="00CF11B7">
        <w:t xml:space="preserve">pratiques et représentations culturelles, traditions et </w:t>
      </w:r>
      <w:r w:rsidR="00CF11B7" w:rsidRPr="00CF11B7">
        <w:t>expressions</w:t>
      </w:r>
      <w:r w:rsidR="00CF11B7">
        <w:t xml:space="preserve"> orales</w:t>
      </w:r>
      <w:r w:rsidR="00237724">
        <w:t xml:space="preserve">, arts du spectacle, rituels et événements festifs, connaissances et pratiques </w:t>
      </w:r>
      <w:r w:rsidR="00237724" w:rsidRPr="00237724">
        <w:t>autochtones</w:t>
      </w:r>
      <w:r w:rsidR="00237724">
        <w:t xml:space="preserve"> et </w:t>
      </w:r>
      <w:r w:rsidR="00237724" w:rsidRPr="00237724">
        <w:t>savoir-faire</w:t>
      </w:r>
      <w:r w:rsidR="00237724">
        <w:t xml:space="preserve"> liés à l</w:t>
      </w:r>
      <w:r w:rsidR="00346F1B">
        <w:t>’</w:t>
      </w:r>
      <w:r w:rsidR="00237724">
        <w:t>artisanat traditionnel</w:t>
      </w:r>
      <w:r w:rsidR="0059430A">
        <w:t xml:space="preserve"> qui restaient à explorer, ajoutant que la majorité</w:t>
      </w:r>
      <w:r w:rsidR="000954B9">
        <w:t xml:space="preserve"> des interprètes du spectacle donné le</w:t>
      </w:r>
      <w:r w:rsidR="0059430A">
        <w:t xml:space="preserve"> jour précédent avaient parcouru des centaines de kilomètres, venant de tous les coins du pays, pour témoigner de la diversité et de l</w:t>
      </w:r>
      <w:r w:rsidR="00346F1B">
        <w:t>’</w:t>
      </w:r>
      <w:r w:rsidR="0059430A">
        <w:t>originalité débordante de l</w:t>
      </w:r>
      <w:r w:rsidR="00346F1B">
        <w:t>’</w:t>
      </w:r>
      <w:r w:rsidR="0059430A" w:rsidRPr="0059430A">
        <w:t>Éthiopie</w:t>
      </w:r>
      <w:r w:rsidR="0059430A">
        <w:t>. Elle espérait que les délégués conviendraient que la décision d</w:t>
      </w:r>
      <w:r w:rsidR="00346F1B">
        <w:t>’</w:t>
      </w:r>
      <w:r w:rsidR="0059430A">
        <w:t xml:space="preserve">accueillir cet </w:t>
      </w:r>
      <w:r w:rsidR="0059430A" w:rsidRPr="0059430A">
        <w:t xml:space="preserve">événement </w:t>
      </w:r>
      <w:r w:rsidR="0059430A">
        <w:t>était judicieuse. En outre, tout au long de l</w:t>
      </w:r>
      <w:r w:rsidR="00346F1B">
        <w:t>’</w:t>
      </w:r>
      <w:r w:rsidR="00B95D0F">
        <w:t>année passée,</w:t>
      </w:r>
      <w:r w:rsidR="0059430A">
        <w:t xml:space="preserve"> </w:t>
      </w:r>
      <w:r w:rsidR="00B95D0F">
        <w:t xml:space="preserve">au cours des phases de </w:t>
      </w:r>
      <w:r w:rsidR="00B95D0F" w:rsidRPr="0059430A">
        <w:t>préparation</w:t>
      </w:r>
      <w:r w:rsidR="00B95D0F">
        <w:t xml:space="preserve"> méticuleuse, </w:t>
      </w:r>
      <w:r w:rsidR="0059430A">
        <w:t>le ministère avait montré un grand enthousiasme pour la réunion</w:t>
      </w:r>
      <w:r w:rsidR="00B95D0F">
        <w:t xml:space="preserve">, </w:t>
      </w:r>
      <w:r w:rsidR="0059430A">
        <w:t>dont l</w:t>
      </w:r>
      <w:r w:rsidR="00346F1B">
        <w:t>’</w:t>
      </w:r>
      <w:r w:rsidR="0059430A">
        <w:t>orientation stratégique, les buts et les valeurs institutionnelles en ce qui concerne l</w:t>
      </w:r>
      <w:r w:rsidR="00346F1B">
        <w:t>’</w:t>
      </w:r>
      <w:r w:rsidR="0059430A">
        <w:t xml:space="preserve">exploration, le </w:t>
      </w:r>
      <w:r w:rsidR="0059430A" w:rsidRPr="0059430A">
        <w:t>développement</w:t>
      </w:r>
      <w:r w:rsidR="0059430A">
        <w:t xml:space="preserve">, la préservation et la </w:t>
      </w:r>
      <w:r w:rsidR="0059430A" w:rsidRPr="0059430A">
        <w:t>protection</w:t>
      </w:r>
      <w:r w:rsidR="0059430A">
        <w:t xml:space="preserve"> du </w:t>
      </w:r>
      <w:r w:rsidR="0059430A" w:rsidRPr="0059430A">
        <w:t>patrimoine</w:t>
      </w:r>
      <w:r w:rsidR="0059430A">
        <w:t xml:space="preserve"> </w:t>
      </w:r>
      <w:r w:rsidR="0059430A" w:rsidRPr="0059430A">
        <w:t>culturel</w:t>
      </w:r>
      <w:r w:rsidR="00B95D0F">
        <w:t xml:space="preserve"> de cette nation, étaient conformes à ceux de l</w:t>
      </w:r>
      <w:r w:rsidR="00346F1B">
        <w:t>’</w:t>
      </w:r>
      <w:r w:rsidR="00B95D0F">
        <w:t>UNESCO</w:t>
      </w:r>
      <w:r w:rsidR="00316CAD">
        <w:t>. L</w:t>
      </w:r>
      <w:r w:rsidR="00B95D0F">
        <w:t xml:space="preserve">a réunion </w:t>
      </w:r>
      <w:r w:rsidR="006D7DC9">
        <w:t xml:space="preserve">revêtait </w:t>
      </w:r>
      <w:r w:rsidR="00316CAD">
        <w:t xml:space="preserve">donc </w:t>
      </w:r>
      <w:r w:rsidR="006D7DC9">
        <w:t xml:space="preserve">une grande importance pour la promotion du respect </w:t>
      </w:r>
      <w:r w:rsidR="0027304B">
        <w:t>vis à vis de</w:t>
      </w:r>
      <w:r w:rsidR="006D7DC9">
        <w:t xml:space="preserve"> </w:t>
      </w:r>
      <w:r w:rsidR="00316CAD">
        <w:t xml:space="preserve">la très grande </w:t>
      </w:r>
      <w:r w:rsidR="006D7DC9" w:rsidRPr="00316CAD">
        <w:t xml:space="preserve">diversité </w:t>
      </w:r>
      <w:r w:rsidR="00E07F60" w:rsidRPr="00316CAD">
        <w:t xml:space="preserve">et </w:t>
      </w:r>
      <w:r w:rsidR="00BC4651">
        <w:t xml:space="preserve">de la </w:t>
      </w:r>
      <w:r w:rsidR="00E07F60" w:rsidRPr="00316CAD">
        <w:t>créativité culturelles de l</w:t>
      </w:r>
      <w:r w:rsidR="00346F1B">
        <w:t>’</w:t>
      </w:r>
      <w:r w:rsidR="00E07F60" w:rsidRPr="00316CAD">
        <w:t xml:space="preserve">Éthiopie. </w:t>
      </w:r>
      <w:r w:rsidR="0027304B">
        <w:t xml:space="preserve">Au nom du </w:t>
      </w:r>
      <w:r w:rsidR="0027304B" w:rsidRPr="0027304B">
        <w:t>ministère</w:t>
      </w:r>
      <w:r w:rsidR="0027304B">
        <w:t xml:space="preserve">, Mme Meaza Gebremedinh a </w:t>
      </w:r>
      <w:r w:rsidR="00BC4651">
        <w:t xml:space="preserve">adressé </w:t>
      </w:r>
      <w:r w:rsidR="0027304B">
        <w:t>ses chaleureux remerciements à tous l</w:t>
      </w:r>
      <w:r w:rsidR="00BC4651">
        <w:t xml:space="preserve">es délégués qui avaient assisté, malgré leurs longs voyages, </w:t>
      </w:r>
      <w:r w:rsidR="0027304B">
        <w:t>à la cérémonie d</w:t>
      </w:r>
      <w:r w:rsidR="00346F1B">
        <w:t>’</w:t>
      </w:r>
      <w:r w:rsidR="0027304B">
        <w:t>ouverture, ajoutant qu</w:t>
      </w:r>
      <w:r w:rsidR="00346F1B">
        <w:t>’</w:t>
      </w:r>
      <w:r w:rsidR="0027304B">
        <w:t>elle était certaine qu</w:t>
      </w:r>
      <w:r w:rsidR="00346F1B">
        <w:t>’</w:t>
      </w:r>
      <w:r w:rsidR="0027304B">
        <w:t xml:space="preserve">ils découvriraient </w:t>
      </w:r>
      <w:r w:rsidR="00BC4651">
        <w:t xml:space="preserve">plus avant </w:t>
      </w:r>
      <w:r w:rsidR="0027304B">
        <w:t>l</w:t>
      </w:r>
      <w:r w:rsidR="00346F1B">
        <w:t>’</w:t>
      </w:r>
      <w:r w:rsidR="0027304B">
        <w:t xml:space="preserve">originalité et la diversité du </w:t>
      </w:r>
      <w:r w:rsidR="0027304B" w:rsidRPr="0027304B">
        <w:t>patrimoine</w:t>
      </w:r>
      <w:r w:rsidR="0027304B">
        <w:t xml:space="preserve"> culturel de l</w:t>
      </w:r>
      <w:r w:rsidR="00346F1B">
        <w:t>’</w:t>
      </w:r>
      <w:r w:rsidR="0027304B" w:rsidRPr="0027304B">
        <w:t>Éthiopie</w:t>
      </w:r>
      <w:r w:rsidR="0027304B">
        <w:t>, et apprécieraient l</w:t>
      </w:r>
      <w:r w:rsidR="00346F1B">
        <w:t>’</w:t>
      </w:r>
      <w:r w:rsidR="0027304B">
        <w:t xml:space="preserve">hospitalité du peuple éthiopien. Elle pensait </w:t>
      </w:r>
      <w:r w:rsidR="0027304B" w:rsidRPr="0027304B">
        <w:t>également</w:t>
      </w:r>
      <w:r w:rsidR="0027304B">
        <w:t xml:space="preserve"> que la réunion serait l</w:t>
      </w:r>
      <w:r w:rsidR="00346F1B">
        <w:t>’</w:t>
      </w:r>
      <w:r w:rsidR="0027304B">
        <w:t xml:space="preserve">occasion de prendre des décisions importantes afin de promouvoir le patrimoine culturel immatériel mondial et de traiter les questions de sa </w:t>
      </w:r>
      <w:r w:rsidR="0027304B" w:rsidRPr="0027304B">
        <w:t>vulnérabilité</w:t>
      </w:r>
      <w:r w:rsidR="0027304B">
        <w:t xml:space="preserve"> permettant ainsi de transmette à la prochaine génération un </w:t>
      </w:r>
      <w:r w:rsidR="0027304B" w:rsidRPr="0027304B">
        <w:t>patrimoine</w:t>
      </w:r>
      <w:r w:rsidR="0027304B">
        <w:t xml:space="preserve"> </w:t>
      </w:r>
      <w:r w:rsidR="0027304B" w:rsidRPr="0027304B">
        <w:t>culturel</w:t>
      </w:r>
      <w:r w:rsidR="0027304B">
        <w:t xml:space="preserve"> correctement développé et préservé. Elle a conclu son </w:t>
      </w:r>
      <w:r w:rsidR="0027304B" w:rsidRPr="0027304B">
        <w:t>intervention</w:t>
      </w:r>
      <w:r w:rsidR="0027304B">
        <w:t xml:space="preserve"> en souhaitant à chacun des </w:t>
      </w:r>
      <w:r w:rsidR="0027304B" w:rsidRPr="0027304B">
        <w:t>délibérations</w:t>
      </w:r>
      <w:r w:rsidR="0027304B">
        <w:t xml:space="preserve"> fructueuses et un agréable séjour à </w:t>
      </w:r>
      <w:r w:rsidR="0027304B" w:rsidRPr="0027304B">
        <w:t>Addis Abeba</w:t>
      </w:r>
      <w:r w:rsidR="0027304B">
        <w:t>.</w:t>
      </w:r>
    </w:p>
    <w:p w14:paraId="05B9453A" w14:textId="60889112" w:rsidR="00FF6D6A" w:rsidRPr="00210B08" w:rsidRDefault="00D57C04" w:rsidP="00AF7860">
      <w:pPr>
        <w:pStyle w:val="Orateurengris"/>
        <w:tabs>
          <w:tab w:val="clear" w:pos="709"/>
          <w:tab w:val="clear" w:pos="1418"/>
          <w:tab w:val="clear" w:pos="2126"/>
          <w:tab w:val="clear" w:pos="2835"/>
          <w:tab w:val="clear" w:pos="3686"/>
        </w:tabs>
        <w:spacing w:before="120"/>
        <w:ind w:left="709" w:hanging="709"/>
      </w:pPr>
      <w:r w:rsidRPr="00210B08">
        <w:t xml:space="preserve">Le </w:t>
      </w:r>
      <w:r w:rsidRPr="00210B08">
        <w:rPr>
          <w:b/>
        </w:rPr>
        <w:t>Sous-Directeur général pour la culture à l</w:t>
      </w:r>
      <w:r w:rsidR="00346F1B">
        <w:rPr>
          <w:b/>
        </w:rPr>
        <w:t>’</w:t>
      </w:r>
      <w:r w:rsidRPr="00210B08">
        <w:rPr>
          <w:b/>
        </w:rPr>
        <w:t>UNESCO</w:t>
      </w:r>
      <w:r w:rsidRPr="00210B08">
        <w:t>, M. Francesco Bandarin, a remercié Mme Meaza Gebremedhin et le Président, M. Yonas Tsegaye, et a évoqué le plaisir et l</w:t>
      </w:r>
      <w:r w:rsidR="00346F1B">
        <w:t>’</w:t>
      </w:r>
      <w:r w:rsidRPr="00210B08">
        <w:t>honneur d</w:t>
      </w:r>
      <w:r w:rsidR="00346F1B">
        <w:t>’</w:t>
      </w:r>
      <w:r w:rsidRPr="00210B08">
        <w:t>ouvrir la onzième session du Comité. Il a débuté son intervention en remerciant les délégués au nom de la Directrice générale, Mme Irina Bokova, et a souhaité la bienvenue à tous les participants qui avaient parcouru de longues distances pour atteindre le beau pays qu</w:t>
      </w:r>
      <w:r w:rsidR="00346F1B">
        <w:t>’</w:t>
      </w:r>
      <w:r w:rsidRPr="00210B08">
        <w:t>est l</w:t>
      </w:r>
      <w:r w:rsidR="00346F1B">
        <w:t>’</w:t>
      </w:r>
      <w:r w:rsidRPr="00210B08">
        <w:t>Éthiopie. M. Bandarin a évoqué le plaisir très particulier qu</w:t>
      </w:r>
      <w:r w:rsidR="00346F1B">
        <w:t>’</w:t>
      </w:r>
      <w:r w:rsidRPr="00210B08">
        <w:t>il avait à revenir en Éthiopie, là où il avait travaillé pendant de nombreuses années au projet de réinstallation de l</w:t>
      </w:r>
      <w:r w:rsidR="00346F1B">
        <w:t>’</w:t>
      </w:r>
      <w:r w:rsidRPr="00210B08">
        <w:t>obélisque d</w:t>
      </w:r>
      <w:r w:rsidR="00346F1B">
        <w:t>’</w:t>
      </w:r>
      <w:r w:rsidRPr="00210B08">
        <w:t>Axoum, un programme de coopération de l</w:t>
      </w:r>
      <w:r w:rsidR="00346F1B">
        <w:t>’</w:t>
      </w:r>
      <w:r w:rsidRPr="00210B08">
        <w:t>UNESCO qui avait été mis en œuvre avec grand succès quelques années auparavant. Il s</w:t>
      </w:r>
      <w:r w:rsidR="00346F1B">
        <w:t>’</w:t>
      </w:r>
      <w:r w:rsidRPr="00210B08">
        <w:t>est dit très touché par l</w:t>
      </w:r>
      <w:r w:rsidR="00346F1B">
        <w:t>’</w:t>
      </w:r>
      <w:r w:rsidRPr="00210B08">
        <w:t xml:space="preserve">hospitalité </w:t>
      </w:r>
      <w:r w:rsidR="000954B9">
        <w:t xml:space="preserve">des autorités éthiopiennes et </w:t>
      </w:r>
      <w:r w:rsidRPr="00210B08">
        <w:t>a remercié le représentant du gouvernement</w:t>
      </w:r>
      <w:r w:rsidR="00E73847" w:rsidRPr="00210B08">
        <w:t xml:space="preserve"> et la Commission économique </w:t>
      </w:r>
      <w:r w:rsidR="008C51EB">
        <w:t>des Nations Unies pour l</w:t>
      </w:r>
      <w:r w:rsidR="00346F1B">
        <w:t>’</w:t>
      </w:r>
      <w:r w:rsidR="008C51EB">
        <w:t xml:space="preserve">Afrique </w:t>
      </w:r>
      <w:r w:rsidR="00E73847" w:rsidRPr="00210B08">
        <w:t>d</w:t>
      </w:r>
      <w:r w:rsidR="00346F1B">
        <w:t>’</w:t>
      </w:r>
      <w:r w:rsidR="00E73847" w:rsidRPr="00210B08">
        <w:t>avoir organisé cette réunion. M. Bandarin a rappelé que c</w:t>
      </w:r>
      <w:r w:rsidR="00346F1B">
        <w:t>’</w:t>
      </w:r>
      <w:r w:rsidR="00E73847" w:rsidRPr="00210B08">
        <w:t>était le dixième anniversaire de l</w:t>
      </w:r>
      <w:r w:rsidR="00346F1B">
        <w:t>’</w:t>
      </w:r>
      <w:r w:rsidR="00E73847" w:rsidRPr="00210B08">
        <w:t xml:space="preserve">entrée en vigueur de la Convention, ce qui constituait une excellente occasion pour dresser un bilan de sa mise en œuvre. </w:t>
      </w:r>
      <w:r w:rsidR="00201524" w:rsidRPr="00210B08">
        <w:t>En mettant les communautés au cœur de so</w:t>
      </w:r>
      <w:r w:rsidR="00FF6D6A" w:rsidRPr="00210B08">
        <w:t>n action, la Convention continuait</w:t>
      </w:r>
      <w:r w:rsidR="00201524" w:rsidRPr="00210B08">
        <w:t xml:space="preserve"> à être une source d</w:t>
      </w:r>
      <w:r w:rsidR="00346F1B">
        <w:t>’</w:t>
      </w:r>
      <w:r w:rsidR="00201524" w:rsidRPr="00210B08">
        <w:t>innovation dans le domaine du patrimoine culturel</w:t>
      </w:r>
      <w:r w:rsidR="00FF6D6A" w:rsidRPr="00210B08">
        <w:t xml:space="preserve"> comme en témoignait</w:t>
      </w:r>
      <w:r w:rsidR="00201524" w:rsidRPr="00210B08">
        <w:t xml:space="preserve"> le nombre croissant de rapports périodiques à examiner par le Comité au cours des jours à venir. </w:t>
      </w:r>
      <w:r w:rsidR="00FF6D6A" w:rsidRPr="00210B08">
        <w:t>Il étai</w:t>
      </w:r>
      <w:r w:rsidR="00210B08">
        <w:t>t convaincu que la discussion sur</w:t>
      </w:r>
      <w:r w:rsidR="00FF6D6A" w:rsidRPr="00210B08">
        <w:t xml:space="preserve"> l</w:t>
      </w:r>
      <w:r w:rsidR="00346F1B">
        <w:t>’</w:t>
      </w:r>
      <w:r w:rsidR="00FF6D6A" w:rsidRPr="00210B08">
        <w:t xml:space="preserve">élaboration du cadre </w:t>
      </w:r>
      <w:r w:rsidR="007538D3" w:rsidRPr="00210B08">
        <w:t>global des</w:t>
      </w:r>
      <w:r w:rsidR="00FF6D6A" w:rsidRPr="00210B08">
        <w:t xml:space="preserve"> résultats de la Convention permettrait de réfléchir sur les enseignements tirés et les progrès accomplis jusqu</w:t>
      </w:r>
      <w:r w:rsidR="00346F1B">
        <w:t>’</w:t>
      </w:r>
      <w:r w:rsidR="00FF6D6A" w:rsidRPr="00210B08">
        <w:t>alors, ce qui était essentiel pour le développement futur de la Convention. Il a également insisté sur le contexte général, à savoir l</w:t>
      </w:r>
      <w:r w:rsidR="00346F1B">
        <w:t>’</w:t>
      </w:r>
      <w:r w:rsidR="00FF6D6A" w:rsidRPr="00210B08">
        <w:t>Agenda 2030 pour le développement durable, approuvé par l</w:t>
      </w:r>
      <w:r w:rsidR="00346F1B">
        <w:t>’</w:t>
      </w:r>
      <w:r w:rsidR="00FF6D6A" w:rsidRPr="00210B08">
        <w:t xml:space="preserve">Assemblée des Nations Unies en 2015, qui reconnaissait </w:t>
      </w:r>
      <w:r w:rsidR="008C51EB">
        <w:t xml:space="preserve">que </w:t>
      </w:r>
      <w:r w:rsidR="00FF6D6A" w:rsidRPr="00210B08">
        <w:t>le patrimoine culturel et le développement durable</w:t>
      </w:r>
      <w:r w:rsidR="00EE2247" w:rsidRPr="00210B08">
        <w:t xml:space="preserve"> œuvra</w:t>
      </w:r>
      <w:r w:rsidR="008C51EB">
        <w:t>ie</w:t>
      </w:r>
      <w:r w:rsidR="00EE2247" w:rsidRPr="00210B08">
        <w:t xml:space="preserve">nt </w:t>
      </w:r>
      <w:r w:rsidR="008C51EB">
        <w:t>de concert</w:t>
      </w:r>
      <w:r w:rsidR="00FF6D6A" w:rsidRPr="00210B08">
        <w:t xml:space="preserve"> et </w:t>
      </w:r>
      <w:r w:rsidR="008C51EB">
        <w:t xml:space="preserve">que </w:t>
      </w:r>
      <w:r w:rsidR="00FF6D6A" w:rsidRPr="00210B08">
        <w:t xml:space="preserve">le patrimoine culturel immatériel </w:t>
      </w:r>
      <w:r w:rsidR="008C51EB">
        <w:t>jouait</w:t>
      </w:r>
      <w:r w:rsidR="00FF6D6A" w:rsidRPr="00210B08">
        <w:t xml:space="preserve"> </w:t>
      </w:r>
      <w:r w:rsidR="00EE2247" w:rsidRPr="00210B08">
        <w:t>un r</w:t>
      </w:r>
      <w:r w:rsidR="0049603B">
        <w:t>ôle essentiel dans la mise à disposition</w:t>
      </w:r>
      <w:r w:rsidR="00EE2247" w:rsidRPr="00210B08">
        <w:t xml:space="preserve"> d</w:t>
      </w:r>
      <w:r w:rsidR="00346F1B">
        <w:t>’</w:t>
      </w:r>
      <w:r w:rsidR="00EE2247" w:rsidRPr="00210B08">
        <w:t>une éducation de qualité, la garantie de la sécurité alimentaire et le traitement des questions environnementales. L</w:t>
      </w:r>
      <w:r w:rsidR="00346F1B">
        <w:t>’</w:t>
      </w:r>
      <w:r w:rsidR="00EE2247" w:rsidRPr="00210B08">
        <w:t xml:space="preserve">UNESCO </w:t>
      </w:r>
      <w:r w:rsidR="00331255" w:rsidRPr="00210B08">
        <w:t>accordait une très grande d</w:t>
      </w:r>
      <w:r w:rsidR="00346F1B">
        <w:t>’</w:t>
      </w:r>
      <w:r w:rsidR="00331255" w:rsidRPr="00210B08">
        <w:t xml:space="preserve">importance à </w:t>
      </w:r>
      <w:r w:rsidR="00EE2247" w:rsidRPr="00210B08">
        <w:t>l</w:t>
      </w:r>
      <w:r w:rsidR="00346F1B">
        <w:t>’</w:t>
      </w:r>
      <w:r w:rsidR="00EE2247" w:rsidRPr="00210B08">
        <w:t>Agenda 2030 des Nations Unies</w:t>
      </w:r>
      <w:r w:rsidR="00756F35" w:rsidRPr="00210B08">
        <w:t xml:space="preserve"> </w:t>
      </w:r>
      <w:r w:rsidR="00331255" w:rsidRPr="00210B08">
        <w:t>qu</w:t>
      </w:r>
      <w:r w:rsidR="00346F1B">
        <w:t>’</w:t>
      </w:r>
      <w:r w:rsidR="00331255" w:rsidRPr="00210B08">
        <w:t xml:space="preserve">elle considérait comme son principal outil de programmation pour les 14 années à venir, et élaborait des orientations </w:t>
      </w:r>
      <w:r w:rsidR="007538D3" w:rsidRPr="00210B08">
        <w:t>de politique générale pour l</w:t>
      </w:r>
      <w:r w:rsidR="00346F1B">
        <w:t>’</w:t>
      </w:r>
      <w:r w:rsidR="007538D3" w:rsidRPr="00210B08">
        <w:t>Agenda 2030</w:t>
      </w:r>
      <w:r w:rsidR="00756F35" w:rsidRPr="00210B08">
        <w:t xml:space="preserve"> pour la culture afin que</w:t>
      </w:r>
      <w:r w:rsidR="007538D3" w:rsidRPr="00210B08">
        <w:t xml:space="preserve"> tous les programmes culturels de l</w:t>
      </w:r>
      <w:r w:rsidR="00346F1B">
        <w:t>’</w:t>
      </w:r>
      <w:r w:rsidR="007538D3" w:rsidRPr="00210B08">
        <w:t>UNESCO</w:t>
      </w:r>
      <w:r w:rsidR="00756F35" w:rsidRPr="00210B08">
        <w:t xml:space="preserve"> soient conformes aux</w:t>
      </w:r>
      <w:r w:rsidR="008C51EB">
        <w:t xml:space="preserve"> objectifs du</w:t>
      </w:r>
      <w:r w:rsidR="007538D3" w:rsidRPr="00210B08">
        <w:t xml:space="preserve"> développement durable</w:t>
      </w:r>
      <w:r w:rsidR="00756F35" w:rsidRPr="00210B08">
        <w:t>,</w:t>
      </w:r>
      <w:r w:rsidR="007538D3" w:rsidRPr="00210B08">
        <w:t xml:space="preserve"> et </w:t>
      </w:r>
      <w:r w:rsidR="00756F35" w:rsidRPr="00210B08">
        <w:t xml:space="preserve">que </w:t>
      </w:r>
      <w:r w:rsidR="008C51EB">
        <w:t>soient conçus des outils de mesure de</w:t>
      </w:r>
      <w:r w:rsidR="007538D3" w:rsidRPr="00210B08">
        <w:t xml:space="preserve"> l</w:t>
      </w:r>
      <w:r w:rsidR="00346F1B">
        <w:t>’</w:t>
      </w:r>
      <w:r w:rsidR="007538D3" w:rsidRPr="00210B08">
        <w:t>impact des activités de l</w:t>
      </w:r>
      <w:r w:rsidR="00346F1B">
        <w:t>’</w:t>
      </w:r>
      <w:r w:rsidR="007538D3" w:rsidRPr="00210B08">
        <w:t>UNESCO</w:t>
      </w:r>
      <w:r w:rsidR="00756F35" w:rsidRPr="00210B08">
        <w:t xml:space="preserve"> </w:t>
      </w:r>
      <w:r w:rsidR="007538D3" w:rsidRPr="00210B08">
        <w:t xml:space="preserve">dans ce domaine, le patrimoine culturel immatériel étant </w:t>
      </w:r>
      <w:r w:rsidR="008C51EB">
        <w:t>à l</w:t>
      </w:r>
      <w:r w:rsidR="00346F1B">
        <w:t>’</w:t>
      </w:r>
      <w:r w:rsidR="008C51EB">
        <w:t xml:space="preserve">évidence </w:t>
      </w:r>
      <w:r w:rsidR="007538D3" w:rsidRPr="00210B08">
        <w:t xml:space="preserve">un facilitateur et un </w:t>
      </w:r>
      <w:r w:rsidR="00756F35" w:rsidRPr="00210B08">
        <w:t>vecteur du développement durable. Cela a été reconnu dans de nombreux rapports de l</w:t>
      </w:r>
      <w:r w:rsidR="00346F1B">
        <w:t>’</w:t>
      </w:r>
      <w:r w:rsidR="00756F35" w:rsidRPr="00210B08">
        <w:t>UNESCO consacrés à différents domaines de l</w:t>
      </w:r>
      <w:r w:rsidR="00346F1B">
        <w:t>’</w:t>
      </w:r>
      <w:r w:rsidR="00756F35" w:rsidRPr="00210B08">
        <w:t xml:space="preserve">éducation, des sciences sociales, etc., et, plus récemment encore, dans le Rapport global sur la culture pour le développement urbain durable, qui a été lancé pendant la troisième Conférence des Nations Unies sur le logement et le développement durable - HABITAT III – en octobre 2016. </w:t>
      </w:r>
      <w:r w:rsidR="00210B08" w:rsidRPr="00210B08">
        <w:t>Parmi ses principales conclusions, l</w:t>
      </w:r>
      <w:r w:rsidR="00756F35" w:rsidRPr="00210B08">
        <w:t xml:space="preserve">e rapport (disponible sur le </w:t>
      </w:r>
      <w:hyperlink r:id="rId10" w:history="1">
        <w:r w:rsidR="00756F35" w:rsidRPr="008C51EB">
          <w:rPr>
            <w:rStyle w:val="Hyperlink"/>
            <w:color w:val="3366FF"/>
          </w:rPr>
          <w:t>site web</w:t>
        </w:r>
        <w:r w:rsidR="00756F35" w:rsidRPr="00210B08">
          <w:rPr>
            <w:rStyle w:val="Hyperlink"/>
            <w:color w:val="auto"/>
            <w:u w:val="none"/>
          </w:rPr>
          <w:t xml:space="preserve"> </w:t>
        </w:r>
      </w:hyperlink>
      <w:r w:rsidR="00210B08" w:rsidRPr="00210B08">
        <w:rPr>
          <w:rStyle w:val="Hyperlink"/>
          <w:color w:val="auto"/>
          <w:u w:val="none"/>
        </w:rPr>
        <w:t>de l</w:t>
      </w:r>
      <w:r w:rsidR="00346F1B">
        <w:rPr>
          <w:rStyle w:val="Hyperlink"/>
          <w:color w:val="auto"/>
          <w:u w:val="none"/>
        </w:rPr>
        <w:t>’</w:t>
      </w:r>
      <w:r w:rsidR="00210B08" w:rsidRPr="00210B08">
        <w:rPr>
          <w:rStyle w:val="Hyperlink"/>
          <w:color w:val="auto"/>
          <w:u w:val="none"/>
        </w:rPr>
        <w:t>UNESCO) a souligné le rôle essentiel que le patrimoine culturel immatériel continuait à jouer dans la construction de sociétés pacifiques, inclusives et durables. Toutefois, bien que beaucoup de progrès aient été accomplis, il était essentiel de rester vigilant. Les urgences liées aux conflits et aux catastrophes naturelles constituaient une menace croissante pour le patrimoine cultu</w:t>
      </w:r>
      <w:r w:rsidR="0049603B">
        <w:rPr>
          <w:rStyle w:val="Hyperlink"/>
          <w:color w:val="auto"/>
          <w:u w:val="none"/>
        </w:rPr>
        <w:t>rel dans son ensemble, et notamment</w:t>
      </w:r>
      <w:r w:rsidR="00210B08" w:rsidRPr="00210B08">
        <w:rPr>
          <w:rStyle w:val="Hyperlink"/>
          <w:color w:val="auto"/>
          <w:u w:val="none"/>
        </w:rPr>
        <w:t xml:space="preserve"> pour le patrimoine culturel immatériel. Le débat sur le rôle du patrimoine culturel immatériel dans les situations d</w:t>
      </w:r>
      <w:r w:rsidR="00346F1B">
        <w:rPr>
          <w:rStyle w:val="Hyperlink"/>
          <w:color w:val="auto"/>
          <w:u w:val="none"/>
        </w:rPr>
        <w:t>’</w:t>
      </w:r>
      <w:r w:rsidR="00210B08" w:rsidRPr="00210B08">
        <w:rPr>
          <w:rStyle w:val="Hyperlink"/>
          <w:color w:val="auto"/>
          <w:u w:val="none"/>
        </w:rPr>
        <w:t>urgence serait donc essentiel pour orienter le futur travail de la Convention.</w:t>
      </w:r>
    </w:p>
    <w:p w14:paraId="335B2E48" w14:textId="20D43D82" w:rsidR="0049603B" w:rsidRPr="0049603B" w:rsidRDefault="0049603B" w:rsidP="00AF7860">
      <w:pPr>
        <w:pStyle w:val="Orateurengris"/>
        <w:tabs>
          <w:tab w:val="clear" w:pos="709"/>
          <w:tab w:val="clear" w:pos="1418"/>
          <w:tab w:val="clear" w:pos="2126"/>
          <w:tab w:val="clear" w:pos="2835"/>
          <w:tab w:val="clear" w:pos="3686"/>
        </w:tabs>
        <w:spacing w:before="120"/>
        <w:ind w:left="709" w:hanging="709"/>
      </w:pPr>
      <w:r w:rsidRPr="0049603B">
        <w:rPr>
          <w:b/>
        </w:rPr>
        <w:t>M. Bandarin</w:t>
      </w:r>
      <w:r>
        <w:t xml:space="preserve"> a évoqué les craintes de plus en plus vives exprimées par l</w:t>
      </w:r>
      <w:r w:rsidR="00346F1B">
        <w:t>’</w:t>
      </w:r>
      <w:r>
        <w:t>UNESCO quant à la situation observée dans de nombreux pays et régions, tels que le Moyen-Orient, la péninsule arabique et l</w:t>
      </w:r>
      <w:r w:rsidR="00346F1B">
        <w:t>’</w:t>
      </w:r>
      <w:r>
        <w:t xml:space="preserve">Afrique, où le </w:t>
      </w:r>
      <w:r w:rsidRPr="0049603B">
        <w:t>patrimoine</w:t>
      </w:r>
      <w:r>
        <w:t xml:space="preserve"> a été menacé et, dans de nombreux cas, détruit. Cette situation revêtait un caractère </w:t>
      </w:r>
      <w:r w:rsidRPr="0049603B">
        <w:t>prioritaire</w:t>
      </w:r>
      <w:r>
        <w:t xml:space="preserve"> pour l</w:t>
      </w:r>
      <w:r w:rsidR="00346F1B">
        <w:t>’</w:t>
      </w:r>
      <w:r>
        <w:t>UNESCO. En 2015, la Conférence générale de l</w:t>
      </w:r>
      <w:r w:rsidR="00346F1B">
        <w:t>’</w:t>
      </w:r>
      <w:r>
        <w:t xml:space="preserve">UNESCO avait adopté une « Stratégie pour la protection du </w:t>
      </w:r>
      <w:r w:rsidRPr="0049603B">
        <w:t>patrimoine</w:t>
      </w:r>
      <w:r>
        <w:t xml:space="preserve"> culturel et la promotion du pluralisme </w:t>
      </w:r>
      <w:r w:rsidRPr="0049603B">
        <w:t>culturel</w:t>
      </w:r>
      <w:r>
        <w:t xml:space="preserve"> en cas de conflit armé »</w:t>
      </w:r>
      <w:r>
        <w:rPr>
          <w:rStyle w:val="FootnoteReference"/>
        </w:rPr>
        <w:footnoteReference w:id="2"/>
      </w:r>
      <w:r>
        <w:t xml:space="preserve"> qui incluait le patrimoine culturel immatériel. Au cours de l</w:t>
      </w:r>
      <w:r w:rsidR="00346F1B">
        <w:t>’</w:t>
      </w:r>
      <w:r>
        <w:t>année précédente, l</w:t>
      </w:r>
      <w:r w:rsidR="00346F1B">
        <w:t>’</w:t>
      </w:r>
      <w:r>
        <w:t>UNESCO avait élaboré un important plan d</w:t>
      </w:r>
      <w:r w:rsidR="00346F1B">
        <w:t>’</w:t>
      </w:r>
      <w:r>
        <w:t>action afin de renforcer les capac</w:t>
      </w:r>
      <w:r w:rsidR="00B5771F">
        <w:t>ités nécessaires au traitement de c</w:t>
      </w:r>
      <w:r>
        <w:t>es questions, y compris en renforçant les Conventions. L</w:t>
      </w:r>
      <w:r w:rsidR="00346F1B">
        <w:t>’</w:t>
      </w:r>
      <w:r>
        <w:t xml:space="preserve">UNESCO avait été soutenue par </w:t>
      </w:r>
      <w:r w:rsidR="00EC358B">
        <w:t>de nombreux partenaires dans cette démarche, dont l</w:t>
      </w:r>
      <w:r w:rsidR="00346F1B">
        <w:t>’</w:t>
      </w:r>
      <w:r w:rsidR="00EC358B">
        <w:t>Union européenne pour un projet en Syrie et au Mali, et pour un projet à venir en Iraq, ainsi que d</w:t>
      </w:r>
      <w:r w:rsidR="00346F1B">
        <w:t>’</w:t>
      </w:r>
      <w:r w:rsidR="00EC358B">
        <w:t>autres</w:t>
      </w:r>
      <w:r w:rsidR="00AC63B9">
        <w:t xml:space="preserve"> bailleurs de fonds</w:t>
      </w:r>
      <w:r w:rsidR="00EC358B">
        <w:t>, notamment le Qatar, l</w:t>
      </w:r>
      <w:r w:rsidR="00346F1B">
        <w:t>’</w:t>
      </w:r>
      <w:r w:rsidR="00EC358B">
        <w:t>Espagne, la Norvège et de nombreux autres pays. Toutefois, Mr Bandarin a r</w:t>
      </w:r>
      <w:r w:rsidR="00AE09CC">
        <w:t>econnu qu</w:t>
      </w:r>
      <w:r w:rsidR="00346F1B">
        <w:t>’</w:t>
      </w:r>
      <w:r w:rsidR="00AE09CC">
        <w:t>il s</w:t>
      </w:r>
      <w:r w:rsidR="00346F1B">
        <w:t>’</w:t>
      </w:r>
      <w:r w:rsidR="00AE09CC">
        <w:t>agissait d</w:t>
      </w:r>
      <w:r w:rsidR="00346F1B">
        <w:t>’</w:t>
      </w:r>
      <w:r w:rsidR="00AE09CC">
        <w:t>une tâ</w:t>
      </w:r>
      <w:r w:rsidR="00EC358B">
        <w:t xml:space="preserve">che immense qui requérait un </w:t>
      </w:r>
      <w:r w:rsidR="00EC358B" w:rsidRPr="00EC358B">
        <w:t>engagement</w:t>
      </w:r>
      <w:r w:rsidR="00EC358B">
        <w:t xml:space="preserve"> total de toutes les Conventions et de tous les partenaires. Dans le cadre des débats du Comité, on définirait les modalités par lesquelles la </w:t>
      </w:r>
      <w:r w:rsidR="00EC358B" w:rsidRPr="00EC358B">
        <w:t>Convention</w:t>
      </w:r>
      <w:r w:rsidR="00EC358B">
        <w:t xml:space="preserve"> pourrait répondre et soutenir l</w:t>
      </w:r>
      <w:r w:rsidR="00346F1B">
        <w:t>’</w:t>
      </w:r>
      <w:r w:rsidR="00EC358B">
        <w:t xml:space="preserve">action </w:t>
      </w:r>
      <w:r w:rsidR="00EC358B" w:rsidRPr="00EC358B">
        <w:t xml:space="preserve">internationale </w:t>
      </w:r>
      <w:r w:rsidR="00EC358B">
        <w:t xml:space="preserve">afin de permettre aux communautés de sauvegarder leur patrimoine culturel immatériel et la </w:t>
      </w:r>
      <w:r w:rsidR="00EC358B" w:rsidRPr="00EC358B">
        <w:t>diversité</w:t>
      </w:r>
      <w:r w:rsidR="00EC358B">
        <w:t xml:space="preserve"> culturelle en général. M. Bandarin a conclu son intervention en soulignant les efforts déployés par l</w:t>
      </w:r>
      <w:r w:rsidR="00346F1B">
        <w:t>’</w:t>
      </w:r>
      <w:r w:rsidR="00EC358B">
        <w:t xml:space="preserve">UNESCO afin de préparer la proposition </w:t>
      </w:r>
      <w:r w:rsidR="00EC358B" w:rsidRPr="00EC358B">
        <w:t>préliminaire</w:t>
      </w:r>
      <w:r w:rsidR="00EC358B">
        <w:t xml:space="preserve"> pour le prochain « programme et budget », le 39 C/5, dont les questions budgétaires </w:t>
      </w:r>
      <w:r w:rsidR="00AC63B9">
        <w:t xml:space="preserve">rendaient </w:t>
      </w:r>
      <w:r w:rsidR="00EC358B">
        <w:t>d</w:t>
      </w:r>
      <w:r w:rsidR="00346F1B">
        <w:t>’</w:t>
      </w:r>
      <w:r w:rsidR="00AC63B9">
        <w:t xml:space="preserve">autant plus importante la réaffirmation de la pertinence de la </w:t>
      </w:r>
      <w:r w:rsidR="00AC63B9" w:rsidRPr="00AC63B9">
        <w:t>Convention</w:t>
      </w:r>
      <w:r w:rsidR="00AC63B9">
        <w:t xml:space="preserve"> au regard du travail et de la mission de l</w:t>
      </w:r>
      <w:r w:rsidR="00346F1B">
        <w:t>’</w:t>
      </w:r>
      <w:r w:rsidR="00AC63B9">
        <w:t xml:space="preserve">UNESCO. </w:t>
      </w:r>
      <w:r w:rsidR="00C936BD">
        <w:t>Il a rappelé aux délégués l</w:t>
      </w:r>
      <w:r w:rsidR="00346F1B">
        <w:t>’</w:t>
      </w:r>
      <w:r w:rsidR="00C936BD">
        <w:t xml:space="preserve">importance de soutenir le Fonds du patrimoine culturel immatériel. M. Bandarin a ensuite présenté le nouveau </w:t>
      </w:r>
      <w:r w:rsidR="00C936BD" w:rsidRPr="00C936BD">
        <w:t>Secrétaire</w:t>
      </w:r>
      <w:r w:rsidR="00C936BD">
        <w:t>, M. Tim Curtis, un collègue qui avait une grande expérience de cette région et qui avait ensuite travaillé au Bureau de l</w:t>
      </w:r>
      <w:r w:rsidR="00346F1B">
        <w:t>’</w:t>
      </w:r>
      <w:r w:rsidR="00C936BD">
        <w:t xml:space="preserve">UNESCO à Bangkok, et Mme Jyoti Hosagrahar, la nouvelle Directrice de la Division de la </w:t>
      </w:r>
      <w:r w:rsidR="00C936BD" w:rsidRPr="00C936BD">
        <w:t>créativité</w:t>
      </w:r>
      <w:r w:rsidR="00C936BD">
        <w:t xml:space="preserve"> qui comprenait la </w:t>
      </w:r>
      <w:r w:rsidR="00C936BD" w:rsidRPr="00C936BD">
        <w:t>Convention</w:t>
      </w:r>
      <w:r w:rsidR="00C936BD">
        <w:t xml:space="preserve"> de 2003 et la </w:t>
      </w:r>
      <w:r w:rsidR="00C936BD" w:rsidRPr="00C936BD">
        <w:t>Convention</w:t>
      </w:r>
      <w:r w:rsidR="00C936BD">
        <w:t xml:space="preserve"> de 2005 pour la diversité des expressions culturelles. M. Bandarin a souhaité aux délégués de fructueuses délibérations à venir.</w:t>
      </w:r>
    </w:p>
    <w:p w14:paraId="7D028684" w14:textId="3AE2DD53" w:rsidR="00B5771F" w:rsidRPr="00B5771F" w:rsidRDefault="00B5771F" w:rsidP="00AF7860">
      <w:pPr>
        <w:pStyle w:val="Orateurengris"/>
        <w:tabs>
          <w:tab w:val="clear" w:pos="709"/>
          <w:tab w:val="clear" w:pos="1418"/>
          <w:tab w:val="clear" w:pos="2126"/>
          <w:tab w:val="clear" w:pos="2835"/>
          <w:tab w:val="clear" w:pos="3686"/>
        </w:tabs>
        <w:spacing w:before="120"/>
        <w:ind w:left="709" w:hanging="709"/>
      </w:pPr>
      <w:r w:rsidRPr="00B5771F">
        <w:t xml:space="preserve">Le </w:t>
      </w:r>
      <w:r w:rsidRPr="00B5771F">
        <w:rPr>
          <w:b/>
        </w:rPr>
        <w:t>Président</w:t>
      </w:r>
      <w:r w:rsidRPr="00B5771F">
        <w:t xml:space="preserve"> a remercié </w:t>
      </w:r>
      <w:r>
        <w:t>M. Bandarin pour ses paroles d</w:t>
      </w:r>
      <w:r w:rsidR="00346F1B">
        <w:t>’</w:t>
      </w:r>
      <w:r>
        <w:t xml:space="preserve">encouragement et a déclaré la onzième session du Comité </w:t>
      </w:r>
      <w:r w:rsidRPr="00B5771F">
        <w:t>intergouvernemental</w:t>
      </w:r>
      <w:r>
        <w:t xml:space="preserve"> de </w:t>
      </w:r>
      <w:r w:rsidRPr="00B5771F">
        <w:t>sauvegarde</w:t>
      </w:r>
      <w:r>
        <w:t xml:space="preserve"> du patrimoine culturel immatériel ouverte. Il a invité le </w:t>
      </w:r>
      <w:r w:rsidRPr="00B5771F">
        <w:t>Secrétaire</w:t>
      </w:r>
      <w:r>
        <w:t xml:space="preserve"> à donner quelques </w:t>
      </w:r>
      <w:r w:rsidRPr="00B5771F">
        <w:t>informations</w:t>
      </w:r>
      <w:r w:rsidR="00CB2196">
        <w:t xml:space="preserve"> pratiques.</w:t>
      </w:r>
    </w:p>
    <w:p w14:paraId="520B2E1B" w14:textId="04E8A223" w:rsidR="004E76DB" w:rsidRPr="00DA206F" w:rsidRDefault="004E76DB" w:rsidP="00AF7860">
      <w:pPr>
        <w:pStyle w:val="Orateurengris"/>
        <w:tabs>
          <w:tab w:val="clear" w:pos="709"/>
          <w:tab w:val="clear" w:pos="1418"/>
          <w:tab w:val="clear" w:pos="2126"/>
          <w:tab w:val="clear" w:pos="2835"/>
          <w:tab w:val="clear" w:pos="3686"/>
        </w:tabs>
        <w:spacing w:before="120"/>
        <w:ind w:left="709" w:hanging="709"/>
      </w:pPr>
      <w:r w:rsidRPr="003C069A">
        <w:t xml:space="preserve">Le </w:t>
      </w:r>
      <w:r w:rsidRPr="003C069A">
        <w:rPr>
          <w:b/>
        </w:rPr>
        <w:t>Secrétaire</w:t>
      </w:r>
      <w:r w:rsidRPr="003C069A">
        <w:t xml:space="preserve"> a remercié le Président et a souhaité la bienvenue à tous les participants et à la presse, en remerciant tout particulièrement l</w:t>
      </w:r>
      <w:r w:rsidR="00346F1B">
        <w:t>’</w:t>
      </w:r>
      <w:r w:rsidRPr="003C069A">
        <w:t>Espagne et l</w:t>
      </w:r>
      <w:r w:rsidR="00346F1B">
        <w:t>’</w:t>
      </w:r>
      <w:r w:rsidRPr="003C069A">
        <w:t xml:space="preserve">Arabie Saoudite </w:t>
      </w:r>
      <w:r w:rsidR="00DA206F">
        <w:t xml:space="preserve">pour leur généreuse contribution à </w:t>
      </w:r>
      <w:r w:rsidRPr="003C069A">
        <w:t>l</w:t>
      </w:r>
      <w:r w:rsidR="00346F1B">
        <w:t>’</w:t>
      </w:r>
      <w:r w:rsidRPr="003C069A">
        <w:t>interprétation des débats en espagnol et en arabe. Le Secrétaire a précisé que la retransmission en direct et en vidéo serait disponible pendant la session. Il a également précisé qu</w:t>
      </w:r>
      <w:r w:rsidR="00346F1B">
        <w:t>’</w:t>
      </w:r>
      <w:r w:rsidRPr="003C069A">
        <w:t>il s</w:t>
      </w:r>
      <w:r w:rsidR="00346F1B">
        <w:t>’</w:t>
      </w:r>
      <w:r w:rsidRPr="003C069A">
        <w:t>agissait d</w:t>
      </w:r>
      <w:r w:rsidR="00346F1B">
        <w:t>’</w:t>
      </w:r>
      <w:r w:rsidRPr="003C069A">
        <w:t xml:space="preserve">une réunion « sans papier », à moins que des documents ne soient spécifiquement nécessaires, et que tous les documents étaient téléchargeables sur la </w:t>
      </w:r>
      <w:hyperlink r:id="rId11" w:history="1">
        <w:r w:rsidRPr="003C069A">
          <w:rPr>
            <w:rStyle w:val="Hyperlink"/>
          </w:rPr>
          <w:t>page web</w:t>
        </w:r>
      </w:hyperlink>
      <w:r w:rsidRPr="003C069A">
        <w:rPr>
          <w:rStyle w:val="Hyperlink"/>
          <w:u w:val="none"/>
        </w:rPr>
        <w:t xml:space="preserve"> </w:t>
      </w:r>
      <w:r w:rsidRPr="003C069A">
        <w:rPr>
          <w:rStyle w:val="Hyperlink"/>
          <w:color w:val="auto"/>
          <w:u w:val="none"/>
        </w:rPr>
        <w:t>de la session</w:t>
      </w:r>
      <w:r w:rsidRPr="003C069A">
        <w:rPr>
          <w:rStyle w:val="Hyperlink"/>
          <w:u w:val="none"/>
        </w:rPr>
        <w:t xml:space="preserve">. </w:t>
      </w:r>
      <w:r w:rsidR="00AE09CC" w:rsidRPr="00AE09CC">
        <w:rPr>
          <w:rStyle w:val="Hyperlink"/>
          <w:color w:val="auto"/>
          <w:u w:val="none"/>
        </w:rPr>
        <w:t>Par ailleurs,</w:t>
      </w:r>
      <w:r w:rsidR="00AE09CC">
        <w:rPr>
          <w:rStyle w:val="Hyperlink"/>
          <w:u w:val="none"/>
        </w:rPr>
        <w:t xml:space="preserve"> </w:t>
      </w:r>
      <w:r w:rsidR="00AE09CC">
        <w:rPr>
          <w:rStyle w:val="Hyperlink"/>
          <w:color w:val="auto"/>
          <w:u w:val="none"/>
        </w:rPr>
        <w:t>l</w:t>
      </w:r>
      <w:r w:rsidRPr="003C069A">
        <w:rPr>
          <w:rStyle w:val="Hyperlink"/>
          <w:color w:val="auto"/>
          <w:u w:val="none"/>
        </w:rPr>
        <w:t xml:space="preserve">e pays hôte avait </w:t>
      </w:r>
      <w:r w:rsidR="003C069A" w:rsidRPr="003C069A">
        <w:rPr>
          <w:rStyle w:val="Hyperlink"/>
          <w:color w:val="auto"/>
          <w:u w:val="none"/>
        </w:rPr>
        <w:t xml:space="preserve">généreusement </w:t>
      </w:r>
      <w:r w:rsidR="00AE09CC">
        <w:rPr>
          <w:rStyle w:val="Hyperlink"/>
          <w:color w:val="auto"/>
          <w:u w:val="none"/>
        </w:rPr>
        <w:t xml:space="preserve">mis à disposition </w:t>
      </w:r>
      <w:r w:rsidR="003C069A" w:rsidRPr="003C069A">
        <w:rPr>
          <w:rStyle w:val="Hyperlink"/>
          <w:color w:val="auto"/>
          <w:u w:val="none"/>
        </w:rPr>
        <w:t>des clefs USB. Un exemplaire de l</w:t>
      </w:r>
      <w:r w:rsidR="00346F1B">
        <w:rPr>
          <w:rStyle w:val="Hyperlink"/>
          <w:color w:val="auto"/>
          <w:u w:val="none"/>
        </w:rPr>
        <w:t>’</w:t>
      </w:r>
      <w:r w:rsidR="003C069A" w:rsidRPr="003C069A">
        <w:rPr>
          <w:rStyle w:val="Hyperlink"/>
          <w:color w:val="auto"/>
          <w:u w:val="none"/>
        </w:rPr>
        <w:t xml:space="preserve">édition 2016 des Textes fondamentaux avait été distribué en anglais ou en français à chaque délégation, il reflétait les </w:t>
      </w:r>
      <w:r w:rsidR="00DA206F">
        <w:rPr>
          <w:rStyle w:val="Hyperlink"/>
          <w:color w:val="auto"/>
          <w:u w:val="none"/>
        </w:rPr>
        <w:t xml:space="preserve">plus récentes </w:t>
      </w:r>
      <w:r w:rsidR="003C069A" w:rsidRPr="003C069A">
        <w:rPr>
          <w:rStyle w:val="Hyperlink"/>
          <w:color w:val="auto"/>
          <w:u w:val="none"/>
        </w:rPr>
        <w:t>résolutions de la dernière Assembl</w:t>
      </w:r>
      <w:r w:rsidR="00DA206F">
        <w:rPr>
          <w:rStyle w:val="Hyperlink"/>
          <w:color w:val="auto"/>
          <w:u w:val="none"/>
        </w:rPr>
        <w:t>ée générale et des dernières</w:t>
      </w:r>
      <w:r w:rsidR="003C069A" w:rsidRPr="003C069A">
        <w:rPr>
          <w:rStyle w:val="Hyperlink"/>
          <w:color w:val="auto"/>
          <w:u w:val="none"/>
        </w:rPr>
        <w:t xml:space="preserve"> réunions du Comité. Des exemplaires en arabe et en espagnol étaient également disponibles sur demande et des exemplaires électroniques étaient disponibles </w:t>
      </w:r>
      <w:hyperlink r:id="rId12" w:history="1">
        <w:r w:rsidR="003C069A" w:rsidRPr="003C069A">
          <w:rPr>
            <w:rStyle w:val="Hyperlink"/>
          </w:rPr>
          <w:t>en ligne</w:t>
        </w:r>
      </w:hyperlink>
      <w:r w:rsidR="003C069A" w:rsidRPr="003C069A">
        <w:rPr>
          <w:rStyle w:val="Hyperlink"/>
          <w:color w:val="auto"/>
          <w:u w:val="none"/>
        </w:rPr>
        <w:t xml:space="preserve">. </w:t>
      </w:r>
      <w:r w:rsidR="003C069A">
        <w:rPr>
          <w:rStyle w:val="Hyperlink"/>
          <w:color w:val="auto"/>
          <w:u w:val="none"/>
        </w:rPr>
        <w:t>Il a été rappelé que 650 personnes, originaires de 120 pays, s</w:t>
      </w:r>
      <w:r w:rsidR="00346F1B">
        <w:rPr>
          <w:rStyle w:val="Hyperlink"/>
          <w:color w:val="auto"/>
          <w:u w:val="none"/>
        </w:rPr>
        <w:t>’</w:t>
      </w:r>
      <w:r w:rsidR="003C069A">
        <w:rPr>
          <w:rStyle w:val="Hyperlink"/>
          <w:color w:val="auto"/>
          <w:u w:val="none"/>
        </w:rPr>
        <w:t xml:space="preserve">étaient inscrites pour participer à la session. Le </w:t>
      </w:r>
      <w:r w:rsidR="003C069A" w:rsidRPr="003C069A">
        <w:rPr>
          <w:rStyle w:val="Hyperlink"/>
          <w:color w:val="auto"/>
          <w:u w:val="none"/>
        </w:rPr>
        <w:t>Secrétaire</w:t>
      </w:r>
      <w:r w:rsidR="00DA206F">
        <w:rPr>
          <w:rStyle w:val="Hyperlink"/>
          <w:color w:val="auto"/>
          <w:u w:val="none"/>
        </w:rPr>
        <w:t xml:space="preserve"> a ensuite</w:t>
      </w:r>
      <w:r w:rsidR="003C069A">
        <w:rPr>
          <w:rStyle w:val="Hyperlink"/>
          <w:color w:val="auto"/>
          <w:u w:val="none"/>
        </w:rPr>
        <w:t xml:space="preserve"> donné des </w:t>
      </w:r>
      <w:r w:rsidR="003C069A" w:rsidRPr="003C069A">
        <w:rPr>
          <w:rStyle w:val="Hyperlink"/>
          <w:color w:val="auto"/>
          <w:u w:val="none"/>
        </w:rPr>
        <w:t>informations</w:t>
      </w:r>
      <w:r w:rsidR="003C069A">
        <w:rPr>
          <w:rStyle w:val="Hyperlink"/>
          <w:color w:val="auto"/>
          <w:u w:val="none"/>
        </w:rPr>
        <w:t xml:space="preserve"> pratiques à propos des repas, des transports et des rafraichissements, en précisant que le pays hôte avait généreusement mis à disposit</w:t>
      </w:r>
      <w:r w:rsidR="003C069A" w:rsidRPr="00DA206F">
        <w:rPr>
          <w:rStyle w:val="Hyperlink"/>
          <w:color w:val="auto"/>
          <w:u w:val="none"/>
        </w:rPr>
        <w:t xml:space="preserve">ion, à titre gracieux, les transports, des visites </w:t>
      </w:r>
      <w:r w:rsidR="00AE09CC">
        <w:rPr>
          <w:rStyle w:val="Hyperlink"/>
          <w:color w:val="auto"/>
          <w:u w:val="none"/>
        </w:rPr>
        <w:t xml:space="preserve">organisées </w:t>
      </w:r>
      <w:r w:rsidR="003C069A" w:rsidRPr="00DA206F">
        <w:rPr>
          <w:rStyle w:val="Hyperlink"/>
          <w:color w:val="auto"/>
          <w:u w:val="none"/>
        </w:rPr>
        <w:t xml:space="preserve">de </w:t>
      </w:r>
      <w:r w:rsidR="00CB2196">
        <w:rPr>
          <w:rStyle w:val="Hyperlink"/>
          <w:color w:val="auto"/>
          <w:u w:val="none"/>
        </w:rPr>
        <w:t>la ville et son célèbre café.</w:t>
      </w:r>
    </w:p>
    <w:p w14:paraId="12B9265A" w14:textId="13086280" w:rsidR="00DA206F" w:rsidRPr="00DA206F" w:rsidRDefault="00DA206F" w:rsidP="00AF7860">
      <w:pPr>
        <w:pStyle w:val="Orateurengris"/>
        <w:tabs>
          <w:tab w:val="clear" w:pos="709"/>
          <w:tab w:val="clear" w:pos="1418"/>
          <w:tab w:val="clear" w:pos="2126"/>
          <w:tab w:val="clear" w:pos="2835"/>
          <w:tab w:val="clear" w:pos="3686"/>
        </w:tabs>
        <w:spacing w:before="120"/>
        <w:ind w:left="709" w:hanging="709"/>
      </w:pPr>
      <w:r w:rsidRPr="00DA206F">
        <w:t xml:space="preserve">Après avoir remercié le Secrétaire, le </w:t>
      </w:r>
      <w:r w:rsidRPr="00DA206F">
        <w:rPr>
          <w:b/>
        </w:rPr>
        <w:t>Président</w:t>
      </w:r>
      <w:r w:rsidRPr="00DA206F">
        <w:t xml:space="preserve"> a invité </w:t>
      </w:r>
      <w:r w:rsidR="00562F3C">
        <w:t>Mme Mary Mone</w:t>
      </w:r>
      <w:r w:rsidR="00122A87">
        <w:t>, Chef adjoint de la sécurité à l</w:t>
      </w:r>
      <w:r w:rsidR="00346F1B">
        <w:t>’</w:t>
      </w:r>
      <w:r w:rsidR="00122A87">
        <w:t xml:space="preserve">UNESCO en charge de la </w:t>
      </w:r>
      <w:r w:rsidR="00122A87" w:rsidRPr="00122A87">
        <w:t>coordination</w:t>
      </w:r>
      <w:r w:rsidR="00122A87">
        <w:t xml:space="preserve"> avec les Nations Unies, à dire quelques mots.</w:t>
      </w:r>
    </w:p>
    <w:p w14:paraId="3266B759" w14:textId="03570C10" w:rsidR="00122A87" w:rsidRPr="00122A87" w:rsidRDefault="00122A87" w:rsidP="00AF7860">
      <w:pPr>
        <w:pStyle w:val="Orateurengris"/>
        <w:tabs>
          <w:tab w:val="clear" w:pos="709"/>
          <w:tab w:val="clear" w:pos="1418"/>
          <w:tab w:val="clear" w:pos="2126"/>
          <w:tab w:val="clear" w:pos="2835"/>
          <w:tab w:val="clear" w:pos="3686"/>
        </w:tabs>
        <w:spacing w:before="120"/>
        <w:ind w:left="709" w:hanging="709"/>
      </w:pPr>
      <w:r w:rsidRPr="00122A87">
        <w:rPr>
          <w:b/>
        </w:rPr>
        <w:t>Mme Mary Mone</w:t>
      </w:r>
      <w:r w:rsidRPr="00122A87">
        <w:t xml:space="preserve"> a évoqué le privilège et l</w:t>
      </w:r>
      <w:r w:rsidR="00346F1B">
        <w:t>’</w:t>
      </w:r>
      <w:r w:rsidRPr="00122A87">
        <w:t>honneur d</w:t>
      </w:r>
      <w:r w:rsidR="00346F1B">
        <w:t>’</w:t>
      </w:r>
      <w:r w:rsidRPr="00122A87">
        <w:t>être présente à la session. En tant de coordinatrice de la sécurité à l</w:t>
      </w:r>
      <w:r w:rsidR="00346F1B">
        <w:t>’</w:t>
      </w:r>
      <w:r>
        <w:t>UNESCO, riche d</w:t>
      </w:r>
      <w:r w:rsidR="00346F1B">
        <w:t>’</w:t>
      </w:r>
      <w:r>
        <w:t xml:space="preserve">une expérience de 29 ans au </w:t>
      </w:r>
      <w:r w:rsidR="00872C35">
        <w:t xml:space="preserve">sein du système des Nations Unies </w:t>
      </w:r>
      <w:r>
        <w:t xml:space="preserve">en tant que </w:t>
      </w:r>
      <w:r w:rsidRPr="00122A87">
        <w:t>professionnel</w:t>
      </w:r>
      <w:r>
        <w:t xml:space="preserve">le de la sécurité, </w:t>
      </w:r>
      <w:r w:rsidR="00872C35">
        <w:t>dont onze années passées à l</w:t>
      </w:r>
      <w:r w:rsidR="00346F1B">
        <w:t>’</w:t>
      </w:r>
      <w:r w:rsidR="00872C35">
        <w:t xml:space="preserve">UNESCO, </w:t>
      </w:r>
      <w:r>
        <w:t>elle s</w:t>
      </w:r>
      <w:r w:rsidR="0047661F">
        <w:t xml:space="preserve">ouhaitait rassurer les délégués. Tout avait été mis en place en matière de sécurité </w:t>
      </w:r>
      <w:r w:rsidR="00872C35">
        <w:t xml:space="preserve">grâce à </w:t>
      </w:r>
      <w:r w:rsidR="0047661F">
        <w:t xml:space="preserve">une excellente </w:t>
      </w:r>
      <w:r w:rsidR="0047661F" w:rsidRPr="0047661F">
        <w:t>coopération</w:t>
      </w:r>
      <w:r w:rsidR="0047661F">
        <w:t xml:space="preserve"> entre le pays hôte, l</w:t>
      </w:r>
      <w:r w:rsidR="00346F1B">
        <w:t>’</w:t>
      </w:r>
      <w:r w:rsidR="0047661F">
        <w:t>UNDSS et les collègues de la sécurité qui étaient présents dans l</w:t>
      </w:r>
      <w:r w:rsidR="00346F1B">
        <w:t>’</w:t>
      </w:r>
      <w:r w:rsidR="0047661F">
        <w:t>enceinte. Le niveau de sécurité était bas, stable et calme e</w:t>
      </w:r>
      <w:r w:rsidR="00A31001">
        <w:t>t elle resterait présente aux cô</w:t>
      </w:r>
      <w:r w:rsidR="0047661F">
        <w:t xml:space="preserve">tés des délégués </w:t>
      </w:r>
      <w:r w:rsidR="00AE09CC">
        <w:t xml:space="preserve">tout au long </w:t>
      </w:r>
      <w:r w:rsidR="0047661F">
        <w:t>de l</w:t>
      </w:r>
      <w:r w:rsidR="00346F1B">
        <w:t>’</w:t>
      </w:r>
      <w:r w:rsidR="0047661F" w:rsidRPr="0047661F">
        <w:t xml:space="preserve">événement </w:t>
      </w:r>
      <w:r w:rsidR="0047661F">
        <w:t xml:space="preserve">au cas où </w:t>
      </w:r>
      <w:r w:rsidR="00CB2196">
        <w:t>un problème surgirait.</w:t>
      </w:r>
    </w:p>
    <w:p w14:paraId="1063BF86" w14:textId="0F5F0EE4" w:rsidR="00FF1E46" w:rsidRPr="00872C35" w:rsidRDefault="00872C35" w:rsidP="00AF7860">
      <w:pPr>
        <w:pStyle w:val="Orateurengris"/>
        <w:tabs>
          <w:tab w:val="clear" w:pos="709"/>
          <w:tab w:val="clear" w:pos="1418"/>
          <w:tab w:val="clear" w:pos="2126"/>
          <w:tab w:val="clear" w:pos="2835"/>
          <w:tab w:val="clear" w:pos="3686"/>
        </w:tabs>
        <w:spacing w:before="120"/>
        <w:ind w:left="709" w:hanging="709"/>
        <w:rPr>
          <w:rFonts w:eastAsia="SimSun"/>
          <w:b/>
          <w:u w:val="single"/>
          <w:lang w:eastAsia="zh-CN"/>
        </w:rPr>
      </w:pPr>
      <w:r w:rsidRPr="00872C35">
        <w:t xml:space="preserve">Le </w:t>
      </w:r>
      <w:r w:rsidRPr="00872C35">
        <w:rPr>
          <w:b/>
        </w:rPr>
        <w:t>Président</w:t>
      </w:r>
      <w:r w:rsidRPr="00872C35">
        <w:t xml:space="preserve"> a remercié Mme Mone pour ses paroles rassurantes</w:t>
      </w:r>
      <w:r w:rsidR="000114F0" w:rsidRPr="00872C35">
        <w:t>.</w:t>
      </w:r>
    </w:p>
    <w:p w14:paraId="2EBD8F98" w14:textId="0D0F1332" w:rsidR="00945E2D" w:rsidRPr="00872C35" w:rsidRDefault="00872C35" w:rsidP="002B4948">
      <w:pPr>
        <w:pStyle w:val="Marge"/>
        <w:keepNext/>
        <w:tabs>
          <w:tab w:val="clear" w:pos="567"/>
          <w:tab w:val="left" w:pos="709"/>
          <w:tab w:val="left" w:pos="1418"/>
          <w:tab w:val="left" w:pos="2126"/>
          <w:tab w:val="left" w:pos="2835"/>
        </w:tabs>
        <w:spacing w:before="360" w:after="60"/>
        <w:jc w:val="left"/>
        <w:outlineLvl w:val="0"/>
        <w:rPr>
          <w:rFonts w:eastAsia="Malgun Gothic" w:cs="Arial"/>
          <w:b/>
          <w:szCs w:val="22"/>
          <w:u w:val="single"/>
          <w:lang w:eastAsia="ko-KR"/>
        </w:rPr>
      </w:pPr>
      <w:bookmarkStart w:id="1" w:name="Item2"/>
      <w:r>
        <w:rPr>
          <w:rFonts w:eastAsia="SimSun" w:cs="Arial"/>
          <w:b/>
          <w:szCs w:val="22"/>
          <w:u w:val="single"/>
          <w:lang w:eastAsia="zh-CN"/>
        </w:rPr>
        <w:t>POINT 2 DE L</w:t>
      </w:r>
      <w:r w:rsidR="00346F1B">
        <w:rPr>
          <w:rFonts w:eastAsia="SimSun" w:cs="Arial"/>
          <w:b/>
          <w:szCs w:val="22"/>
          <w:u w:val="single"/>
          <w:lang w:eastAsia="zh-CN"/>
        </w:rPr>
        <w:t>’</w:t>
      </w:r>
      <w:r>
        <w:rPr>
          <w:rFonts w:eastAsia="SimSun" w:cs="Arial"/>
          <w:b/>
          <w:szCs w:val="22"/>
          <w:u w:val="single"/>
          <w:lang w:eastAsia="zh-CN"/>
        </w:rPr>
        <w:t>ORDRE DU JOUR :</w:t>
      </w:r>
    </w:p>
    <w:bookmarkEnd w:id="1"/>
    <w:p w14:paraId="7F438051" w14:textId="0195269F" w:rsidR="00945E2D" w:rsidRPr="00872C35" w:rsidRDefault="00872C35" w:rsidP="002B4948">
      <w:pPr>
        <w:pStyle w:val="Marge"/>
        <w:keepNext/>
        <w:tabs>
          <w:tab w:val="clear" w:pos="567"/>
          <w:tab w:val="left" w:pos="709"/>
          <w:tab w:val="left" w:pos="1418"/>
          <w:tab w:val="left" w:pos="2126"/>
          <w:tab w:val="left" w:pos="2835"/>
        </w:tabs>
        <w:spacing w:after="120"/>
        <w:ind w:left="567" w:hanging="567"/>
        <w:jc w:val="left"/>
        <w:outlineLvl w:val="0"/>
        <w:rPr>
          <w:rFonts w:eastAsia="Cambria"/>
          <w:b/>
        </w:rPr>
      </w:pPr>
      <w:r>
        <w:rPr>
          <w:rFonts w:eastAsia="Cambria" w:cs="Arial"/>
          <w:b/>
          <w:szCs w:val="22"/>
        </w:rPr>
        <w:t>ADOPTION DE L</w:t>
      </w:r>
      <w:r w:rsidR="00346F1B">
        <w:rPr>
          <w:rFonts w:eastAsia="Cambria" w:cs="Arial"/>
          <w:b/>
          <w:szCs w:val="22"/>
        </w:rPr>
        <w:t>’</w:t>
      </w:r>
      <w:r w:rsidRPr="00872C35">
        <w:rPr>
          <w:rFonts w:eastAsia="Cambria" w:cs="Arial"/>
          <w:b/>
          <w:szCs w:val="22"/>
        </w:rPr>
        <w:t>ORDRE DU JOUR</w:t>
      </w:r>
      <w:r>
        <w:rPr>
          <w:rFonts w:eastAsia="Cambria" w:cs="Arial"/>
          <w:b/>
          <w:szCs w:val="22"/>
        </w:rPr>
        <w:t xml:space="preserve"> </w:t>
      </w:r>
      <w:r w:rsidR="00CF7298">
        <w:rPr>
          <w:rFonts w:eastAsia="Cambria" w:cs="Arial"/>
          <w:b/>
          <w:szCs w:val="22"/>
        </w:rPr>
        <w:t>DE LA ONZIÈME SESSION DU COMITÉ</w:t>
      </w:r>
    </w:p>
    <w:p w14:paraId="02B2EA5F" w14:textId="39D9D2E9" w:rsidR="00FF32CD" w:rsidRPr="000A6378" w:rsidRDefault="00FF32CD" w:rsidP="005A45C4">
      <w:pPr>
        <w:widowControl w:val="0"/>
        <w:autoSpaceDE w:val="0"/>
        <w:autoSpaceDN w:val="0"/>
        <w:adjustRightInd w:val="0"/>
        <w:spacing w:before="120"/>
        <w:ind w:left="709"/>
        <w:rPr>
          <w:rFonts w:ascii="Arial" w:eastAsiaTheme="minorEastAsia" w:hAnsi="Arial" w:cs="Arial"/>
          <w:color w:val="0000FF"/>
          <w:sz w:val="28"/>
          <w:szCs w:val="28"/>
          <w:lang w:val="en-US" w:eastAsia="ja-JP"/>
        </w:rPr>
      </w:pPr>
      <w:r w:rsidRPr="000A6378">
        <w:rPr>
          <w:rFonts w:ascii="Arial" w:hAnsi="Arial" w:cs="Arial"/>
          <w:b/>
          <w:sz w:val="22"/>
          <w:szCs w:val="22"/>
          <w:lang w:val="en-US"/>
        </w:rPr>
        <w:t>Documents</w:t>
      </w:r>
      <w:r w:rsidR="00B404F1" w:rsidRPr="000A6378">
        <w:rPr>
          <w:rFonts w:ascii="Arial" w:eastAsia="Malgun Gothic" w:hAnsi="Arial" w:cs="Arial" w:hint="eastAsia"/>
          <w:b/>
          <w:sz w:val="22"/>
          <w:szCs w:val="22"/>
          <w:lang w:val="en-US" w:eastAsia="ko-KR"/>
        </w:rPr>
        <w:tab/>
      </w:r>
      <w:r w:rsidR="007B1438">
        <w:fldChar w:fldCharType="begin"/>
      </w:r>
      <w:r w:rsidR="007B1438" w:rsidRPr="007B1438">
        <w:rPr>
          <w:lang w:val="en-US"/>
        </w:rPr>
        <w:instrText xml:space="preserve"> HYPERLINK "https://ich.unesco.org/doc/src/ITH-16-11.COM-2_Rev.-FR.docx" </w:instrText>
      </w:r>
      <w:r w:rsidR="007B1438">
        <w:fldChar w:fldCharType="separate"/>
      </w:r>
      <w:r w:rsidR="00531EA5" w:rsidRPr="000A6378">
        <w:rPr>
          <w:rStyle w:val="Hyperlink"/>
          <w:rFonts w:ascii="Arial" w:hAnsi="Arial" w:cs="Arial"/>
          <w:i/>
          <w:sz w:val="22"/>
          <w:szCs w:val="22"/>
          <w:lang w:val="en-US" w:eastAsia="en-US"/>
        </w:rPr>
        <w:t>ITH/16/11.COM/2 Rev.</w:t>
      </w:r>
      <w:r w:rsidR="007B1438">
        <w:rPr>
          <w:rStyle w:val="Hyperlink"/>
          <w:rFonts w:ascii="Arial" w:hAnsi="Arial" w:cs="Arial"/>
          <w:i/>
          <w:sz w:val="22"/>
          <w:szCs w:val="22"/>
          <w:lang w:val="en-US" w:eastAsia="en-US"/>
        </w:rPr>
        <w:fldChar w:fldCharType="end"/>
      </w:r>
    </w:p>
    <w:p w14:paraId="41FD88A0" w14:textId="32CE2490" w:rsidR="005A45C4" w:rsidRPr="00CF7298" w:rsidRDefault="007B1438" w:rsidP="002B4948">
      <w:pPr>
        <w:keepNext/>
        <w:tabs>
          <w:tab w:val="left" w:pos="567"/>
          <w:tab w:val="left" w:pos="1418"/>
          <w:tab w:val="left" w:pos="2126"/>
          <w:tab w:val="left" w:pos="2835"/>
        </w:tabs>
        <w:ind w:left="2127"/>
        <w:rPr>
          <w:rFonts w:ascii="Arial" w:hAnsi="Arial" w:cs="Arial"/>
          <w:i/>
          <w:color w:val="0000FF"/>
          <w:sz w:val="22"/>
          <w:szCs w:val="22"/>
          <w:u w:val="single"/>
          <w:lang w:val="en-US"/>
        </w:rPr>
      </w:pPr>
      <w:r>
        <w:fldChar w:fldCharType="begin"/>
      </w:r>
      <w:r w:rsidRPr="007B1438">
        <w:rPr>
          <w:lang w:val="en-US"/>
        </w:rPr>
        <w:instrText xml:space="preserve"> HYPERLINK "https://ich.unesco.org/doc/src/ITH-16-11.COM-INF.2.1_Rev.3-FR.docx" </w:instrText>
      </w:r>
      <w:r>
        <w:fldChar w:fldCharType="separate"/>
      </w:r>
      <w:r w:rsidR="005A45C4" w:rsidRPr="000A6378">
        <w:rPr>
          <w:rFonts w:ascii="Arial" w:hAnsi="Arial" w:cs="Arial"/>
          <w:i/>
          <w:color w:val="0000FF"/>
          <w:sz w:val="22"/>
          <w:szCs w:val="22"/>
          <w:u w:val="single"/>
          <w:lang w:val="en-US" w:eastAsia="en-US"/>
        </w:rPr>
        <w:t>ITH/16/11.COM/INF.2.1 Rev.3</w:t>
      </w:r>
      <w:r>
        <w:rPr>
          <w:rFonts w:ascii="Arial" w:hAnsi="Arial" w:cs="Arial"/>
          <w:i/>
          <w:color w:val="0000FF"/>
          <w:sz w:val="22"/>
          <w:szCs w:val="22"/>
          <w:u w:val="single"/>
          <w:lang w:val="en-US" w:eastAsia="en-US"/>
        </w:rPr>
        <w:fldChar w:fldCharType="end"/>
      </w:r>
      <w:r w:rsidR="005A45C4" w:rsidRPr="000A6378">
        <w:rPr>
          <w:rFonts w:ascii="Arial" w:hAnsi="Arial" w:cs="Arial"/>
          <w:i/>
          <w:color w:val="0000FF"/>
          <w:sz w:val="22"/>
          <w:szCs w:val="22"/>
          <w:u w:val="single"/>
          <w:lang w:val="en-US" w:eastAsia="en-US"/>
        </w:rPr>
        <w:br/>
      </w:r>
      <w:r>
        <w:fldChar w:fldCharType="begin"/>
      </w:r>
      <w:r w:rsidRPr="007B1438">
        <w:rPr>
          <w:lang w:val="en-US"/>
        </w:rPr>
        <w:instrText xml:space="preserve"> HYPERLINK "https://ich.unesco.org/doc/src/ITH-16-11.COM-INF.2.2_Rev.3-FR.docx" </w:instrText>
      </w:r>
      <w:r>
        <w:fldChar w:fldCharType="separate"/>
      </w:r>
      <w:r w:rsidR="005A45C4" w:rsidRPr="000A6378">
        <w:rPr>
          <w:rFonts w:ascii="Arial" w:hAnsi="Arial" w:cs="Arial"/>
          <w:i/>
          <w:color w:val="0000FF"/>
          <w:sz w:val="22"/>
          <w:szCs w:val="22"/>
          <w:u w:val="single"/>
          <w:lang w:val="en-US"/>
        </w:rPr>
        <w:t>ITH/16/11.COM/INF.2.2 Rev.3</w:t>
      </w:r>
      <w:r>
        <w:rPr>
          <w:rFonts w:ascii="Arial" w:hAnsi="Arial" w:cs="Arial"/>
          <w:i/>
          <w:color w:val="0000FF"/>
          <w:sz w:val="22"/>
          <w:szCs w:val="22"/>
          <w:u w:val="single"/>
          <w:lang w:val="en-US"/>
        </w:rPr>
        <w:fldChar w:fldCharType="end"/>
      </w:r>
    </w:p>
    <w:p w14:paraId="040CCFD3" w14:textId="786D027F" w:rsidR="00852D3C" w:rsidRPr="00872C35" w:rsidRDefault="005A45C4" w:rsidP="005A45C4">
      <w:pPr>
        <w:keepNext/>
        <w:tabs>
          <w:tab w:val="left" w:pos="567"/>
          <w:tab w:val="left" w:pos="1418"/>
          <w:tab w:val="left" w:pos="2126"/>
          <w:tab w:val="left" w:pos="2835"/>
        </w:tabs>
        <w:spacing w:before="60" w:after="240"/>
        <w:ind w:left="709"/>
        <w:rPr>
          <w:rFonts w:ascii="Arial" w:hAnsi="Arial" w:cs="Arial"/>
          <w:i/>
          <w:sz w:val="22"/>
          <w:szCs w:val="22"/>
        </w:rPr>
      </w:pPr>
      <w:r>
        <w:rPr>
          <w:rFonts w:ascii="Arial" w:hAnsi="Arial" w:cs="Arial"/>
          <w:b/>
          <w:sz w:val="22"/>
          <w:szCs w:val="22"/>
        </w:rPr>
        <w:t>Dé</w:t>
      </w:r>
      <w:r w:rsidR="00FF32CD" w:rsidRPr="00872C35">
        <w:rPr>
          <w:rFonts w:ascii="Arial" w:hAnsi="Arial" w:cs="Arial"/>
          <w:b/>
          <w:sz w:val="22"/>
          <w:szCs w:val="22"/>
        </w:rPr>
        <w:t>cision</w:t>
      </w:r>
      <w:r w:rsidR="00FF32CD" w:rsidRPr="00872C35">
        <w:rPr>
          <w:rFonts w:ascii="Arial" w:hAnsi="Arial" w:cs="Arial"/>
          <w:b/>
          <w:sz w:val="22"/>
          <w:szCs w:val="22"/>
        </w:rPr>
        <w:tab/>
      </w:r>
      <w:r w:rsidR="00531EA5" w:rsidRPr="00872C35">
        <w:rPr>
          <w:rFonts w:ascii="Arial" w:hAnsi="Arial" w:cs="Arial"/>
          <w:i/>
          <w:sz w:val="22"/>
          <w:szCs w:val="22"/>
        </w:rPr>
        <w:t>11</w:t>
      </w:r>
      <w:r w:rsidR="00FF32CD" w:rsidRPr="00872C35">
        <w:rPr>
          <w:rFonts w:ascii="Arial" w:hAnsi="Arial" w:cs="Arial"/>
          <w:i/>
          <w:sz w:val="22"/>
          <w:szCs w:val="22"/>
        </w:rPr>
        <w:t>.COM 2</w:t>
      </w:r>
    </w:p>
    <w:p w14:paraId="773110A0" w14:textId="19A4AA4B" w:rsidR="005A45C4" w:rsidRDefault="006E62D4" w:rsidP="00AF7860">
      <w:pPr>
        <w:pStyle w:val="Orateurengris"/>
        <w:tabs>
          <w:tab w:val="clear" w:pos="709"/>
          <w:tab w:val="clear" w:pos="1418"/>
          <w:tab w:val="clear" w:pos="2126"/>
          <w:tab w:val="clear" w:pos="2835"/>
          <w:tab w:val="clear" w:pos="3686"/>
        </w:tabs>
        <w:spacing w:before="120"/>
        <w:ind w:left="709" w:hanging="709"/>
      </w:pPr>
      <w:r>
        <w:t xml:space="preserve">Le </w:t>
      </w:r>
      <w:r w:rsidRPr="006E62D4">
        <w:rPr>
          <w:b/>
        </w:rPr>
        <w:t>Président</w:t>
      </w:r>
      <w:r w:rsidR="00484250">
        <w:t xml:space="preserve"> a invité le</w:t>
      </w:r>
      <w:r>
        <w:t xml:space="preserve"> </w:t>
      </w:r>
      <w:r w:rsidRPr="006E62D4">
        <w:t>Secrétaire</w:t>
      </w:r>
      <w:r>
        <w:t xml:space="preserve"> à présenter les points de l</w:t>
      </w:r>
      <w:r w:rsidR="00346F1B">
        <w:t>’</w:t>
      </w:r>
      <w:r w:rsidRPr="006E62D4">
        <w:t>ordre du jour</w:t>
      </w:r>
      <w:r w:rsidR="00CF7298">
        <w:t>.</w:t>
      </w:r>
    </w:p>
    <w:p w14:paraId="29DBA920" w14:textId="48C4546D" w:rsidR="00230679" w:rsidRPr="00230679" w:rsidRDefault="006E62D4" w:rsidP="00AF7860">
      <w:pPr>
        <w:pStyle w:val="Orateurengris"/>
        <w:tabs>
          <w:tab w:val="clear" w:pos="709"/>
          <w:tab w:val="clear" w:pos="1418"/>
          <w:tab w:val="clear" w:pos="2126"/>
          <w:tab w:val="clear" w:pos="2835"/>
          <w:tab w:val="clear" w:pos="3686"/>
        </w:tabs>
        <w:spacing w:before="120"/>
        <w:ind w:left="709" w:hanging="709"/>
      </w:pPr>
      <w:r w:rsidRPr="00230679">
        <w:t xml:space="preserve">Le </w:t>
      </w:r>
      <w:r w:rsidRPr="00230679">
        <w:rPr>
          <w:b/>
        </w:rPr>
        <w:t>Secrétaire</w:t>
      </w:r>
      <w:r w:rsidRPr="00230679">
        <w:t xml:space="preserve"> a signalé que l</w:t>
      </w:r>
      <w:r w:rsidR="00346F1B">
        <w:t>’</w:t>
      </w:r>
      <w:r w:rsidRPr="00230679">
        <w:t>ordre du jour complet comptait 20 points, certains d</w:t>
      </w:r>
      <w:r w:rsidR="00346F1B">
        <w:t>’</w:t>
      </w:r>
      <w:r w:rsidRPr="00230679">
        <w:t>entre eux étant composés de sous-points. Les points 2, 3, 4, 16</w:t>
      </w:r>
      <w:r w:rsidR="00230679">
        <w:t>, 17 et 18</w:t>
      </w:r>
      <w:r w:rsidRPr="00230679">
        <w:t xml:space="preserve"> étaient </w:t>
      </w:r>
      <w:r w:rsidR="00F773EE" w:rsidRPr="00230679">
        <w:t xml:space="preserve">abordés </w:t>
      </w:r>
      <w:r w:rsidRPr="00230679">
        <w:t xml:space="preserve">à chaque session du Comité, </w:t>
      </w:r>
      <w:r w:rsidR="00647E00">
        <w:t xml:space="preserve">car </w:t>
      </w:r>
      <w:r w:rsidRPr="00230679">
        <w:t>définis par le Règlement intérieur, tandis qu</w:t>
      </w:r>
      <w:r w:rsidR="00346F1B">
        <w:t>’</w:t>
      </w:r>
      <w:r w:rsidRPr="00230679">
        <w:t>un certain nombre de points étaient liés à des décisions particulières prises par la précédente session du Comité ou de l</w:t>
      </w:r>
      <w:r w:rsidR="00346F1B">
        <w:t>’</w:t>
      </w:r>
      <w:r w:rsidRPr="00230679">
        <w:t>Assemblée générale</w:t>
      </w:r>
      <w:r w:rsidR="00F773EE" w:rsidRPr="00230679">
        <w:t>. Tous les autres points, tels que l</w:t>
      </w:r>
      <w:r w:rsidR="00346F1B">
        <w:t>’</w:t>
      </w:r>
      <w:r w:rsidR="00F773EE" w:rsidRPr="00230679">
        <w:t xml:space="preserve">examen des candidatures et des rapports périodiques étaient liés aux articles de la Convention ou aux dispositions des Directives opérationnelles. Le Secrétaire a en outre précisé que tous les documents avaient été publiés en ligne, avant la date </w:t>
      </w:r>
      <w:r w:rsidR="00CF05D0">
        <w:t xml:space="preserve">butoir </w:t>
      </w:r>
      <w:r w:rsidR="00F773EE" w:rsidRPr="00230679">
        <w:t>statutaire du 31 octobre, soit quatre semaines avant l</w:t>
      </w:r>
      <w:r w:rsidR="00346F1B">
        <w:t>’</w:t>
      </w:r>
      <w:r w:rsidR="00F773EE" w:rsidRPr="00230679">
        <w:t>ouverture de cette session, conformément à l</w:t>
      </w:r>
      <w:r w:rsidR="00346F1B">
        <w:t>’</w:t>
      </w:r>
      <w:r w:rsidR="00F773EE" w:rsidRPr="00230679">
        <w:t xml:space="preserve">article 42 du Règlement intérieur du Comité. cf. </w:t>
      </w:r>
      <w:hyperlink r:id="rId13" w:history="1">
        <w:r w:rsidR="00F773EE" w:rsidRPr="00230679">
          <w:rPr>
            <w:rStyle w:val="Hyperlink"/>
          </w:rPr>
          <w:t>Liste provisoire des documents</w:t>
        </w:r>
      </w:hyperlink>
      <w:r w:rsidR="00F773EE" w:rsidRPr="00230679">
        <w:rPr>
          <w:rStyle w:val="Hyperlink"/>
          <w:color w:val="auto"/>
          <w:u w:val="none"/>
        </w:rPr>
        <w:t>.</w:t>
      </w:r>
      <w:r w:rsidR="00647E00">
        <w:rPr>
          <w:rStyle w:val="Hyperlink"/>
          <w:color w:val="auto"/>
          <w:u w:val="none"/>
        </w:rPr>
        <w:t xml:space="preserve"> Tous les documents portaient la cote</w:t>
      </w:r>
      <w:r w:rsidR="00F773EE" w:rsidRPr="00230679">
        <w:rPr>
          <w:rStyle w:val="Hyperlink"/>
          <w:color w:val="auto"/>
          <w:u w:val="none"/>
        </w:rPr>
        <w:t xml:space="preserve"> ITH/16/11.COM, suivi</w:t>
      </w:r>
      <w:r w:rsidR="00647E00">
        <w:rPr>
          <w:rStyle w:val="Hyperlink"/>
          <w:color w:val="auto"/>
          <w:u w:val="none"/>
        </w:rPr>
        <w:t>e</w:t>
      </w:r>
      <w:r w:rsidR="00F773EE" w:rsidRPr="00230679">
        <w:rPr>
          <w:rStyle w:val="Hyperlink"/>
          <w:color w:val="auto"/>
          <w:u w:val="none"/>
        </w:rPr>
        <w:t xml:space="preserve"> </w:t>
      </w:r>
      <w:r w:rsidR="00230679" w:rsidRPr="00230679">
        <w:rPr>
          <w:rStyle w:val="Hyperlink"/>
          <w:color w:val="auto"/>
          <w:u w:val="none"/>
        </w:rPr>
        <w:t>du numéro correspondant au point de l</w:t>
      </w:r>
      <w:r w:rsidR="00346F1B">
        <w:rPr>
          <w:rStyle w:val="Hyperlink"/>
          <w:color w:val="auto"/>
          <w:u w:val="none"/>
        </w:rPr>
        <w:t>’</w:t>
      </w:r>
      <w:r w:rsidR="00230679" w:rsidRPr="00230679">
        <w:rPr>
          <w:rStyle w:val="Hyperlink"/>
          <w:color w:val="auto"/>
          <w:u w:val="none"/>
        </w:rPr>
        <w:t>ordre du jour. Les documents d</w:t>
      </w:r>
      <w:r w:rsidR="00346F1B">
        <w:rPr>
          <w:rStyle w:val="Hyperlink"/>
          <w:color w:val="auto"/>
          <w:u w:val="none"/>
        </w:rPr>
        <w:t>’</w:t>
      </w:r>
      <w:r w:rsidR="00230679" w:rsidRPr="00230679">
        <w:rPr>
          <w:rStyle w:val="Hyperlink"/>
          <w:color w:val="auto"/>
          <w:u w:val="none"/>
        </w:rPr>
        <w:t>information étaient précédés de la référence « INF » et les documents révisés, complétés de corrections ou d</w:t>
      </w:r>
      <w:r w:rsidR="00346F1B">
        <w:rPr>
          <w:rStyle w:val="Hyperlink"/>
          <w:color w:val="auto"/>
          <w:u w:val="none"/>
        </w:rPr>
        <w:t>’</w:t>
      </w:r>
      <w:r w:rsidR="00230679" w:rsidRPr="00230679">
        <w:rPr>
          <w:rStyle w:val="Hyperlink"/>
          <w:color w:val="auto"/>
          <w:u w:val="none"/>
        </w:rPr>
        <w:t xml:space="preserve">addenda, portaient la référence « REV ». Le </w:t>
      </w:r>
      <w:hyperlink r:id="rId14" w:history="1">
        <w:r w:rsidR="00230679" w:rsidRPr="00230679">
          <w:rPr>
            <w:rStyle w:val="Hyperlink"/>
          </w:rPr>
          <w:t>calendrier provisoire</w:t>
        </w:r>
      </w:hyperlink>
      <w:r w:rsidR="00230679" w:rsidRPr="00230679">
        <w:rPr>
          <w:rStyle w:val="Hyperlink"/>
          <w:color w:val="auto"/>
          <w:u w:val="none"/>
        </w:rPr>
        <w:t xml:space="preserve"> de cette session de cinq jours avait été </w:t>
      </w:r>
      <w:r w:rsidR="00230679">
        <w:rPr>
          <w:rStyle w:val="Hyperlink"/>
          <w:color w:val="auto"/>
          <w:u w:val="none"/>
        </w:rPr>
        <w:t xml:space="preserve">adopté par le Bureau lors de sa réunion du 20 octobre à Paris, et avait ensuite </w:t>
      </w:r>
      <w:r w:rsidR="00647E00">
        <w:rPr>
          <w:rStyle w:val="Hyperlink"/>
          <w:color w:val="auto"/>
          <w:u w:val="none"/>
        </w:rPr>
        <w:t xml:space="preserve">été </w:t>
      </w:r>
      <w:r w:rsidR="00230679">
        <w:rPr>
          <w:rStyle w:val="Hyperlink"/>
          <w:color w:val="auto"/>
          <w:u w:val="none"/>
        </w:rPr>
        <w:t>légèrement modifié afin de préciser l</w:t>
      </w:r>
      <w:r w:rsidR="00346F1B">
        <w:rPr>
          <w:rStyle w:val="Hyperlink"/>
          <w:color w:val="auto"/>
          <w:u w:val="none"/>
        </w:rPr>
        <w:t>’</w:t>
      </w:r>
      <w:r w:rsidR="00230679">
        <w:rPr>
          <w:rStyle w:val="Hyperlink"/>
          <w:color w:val="auto"/>
          <w:u w:val="none"/>
        </w:rPr>
        <w:t xml:space="preserve">heure à laquelle le Président présenterait les </w:t>
      </w:r>
      <w:r w:rsidR="00230679" w:rsidRPr="00230679">
        <w:rPr>
          <w:rStyle w:val="Hyperlink"/>
          <w:color w:val="auto"/>
          <w:u w:val="none"/>
        </w:rPr>
        <w:t>informations</w:t>
      </w:r>
      <w:r w:rsidR="00230679">
        <w:rPr>
          <w:rStyle w:val="Hyperlink"/>
          <w:color w:val="auto"/>
          <w:u w:val="none"/>
        </w:rPr>
        <w:t xml:space="preserve"> sur les activités du Bureau, et le Forum des ONG son rapport. </w:t>
      </w:r>
      <w:r w:rsidR="00CF05D0">
        <w:rPr>
          <w:rStyle w:val="Hyperlink"/>
          <w:color w:val="auto"/>
          <w:u w:val="none"/>
        </w:rPr>
        <w:t xml:space="preserve">Le Comité se réunirait de 9 h 30 à 12h 30 et de 14 h 30 à 17 h30 avec une pause déjeuner de 2 heures. </w:t>
      </w:r>
      <w:r w:rsidR="00230679">
        <w:rPr>
          <w:rStyle w:val="Hyperlink"/>
          <w:color w:val="auto"/>
          <w:u w:val="none"/>
        </w:rPr>
        <w:t xml:space="preserve">Le </w:t>
      </w:r>
      <w:r w:rsidR="00CF05D0">
        <w:rPr>
          <w:rStyle w:val="Hyperlink"/>
          <w:color w:val="auto"/>
          <w:u w:val="none"/>
        </w:rPr>
        <w:t xml:space="preserve">Bureau </w:t>
      </w:r>
      <w:r w:rsidR="00230679">
        <w:rPr>
          <w:rStyle w:val="Hyperlink"/>
          <w:color w:val="auto"/>
          <w:u w:val="none"/>
        </w:rPr>
        <w:t>se ré</w:t>
      </w:r>
      <w:r w:rsidR="00DE4F87">
        <w:rPr>
          <w:rStyle w:val="Hyperlink"/>
          <w:color w:val="auto"/>
          <w:u w:val="none"/>
        </w:rPr>
        <w:t>unirait chaque matin de 9 h 00 à 9 h</w:t>
      </w:r>
      <w:r w:rsidR="00230679">
        <w:rPr>
          <w:rStyle w:val="Hyperlink"/>
          <w:color w:val="auto"/>
          <w:u w:val="none"/>
        </w:rPr>
        <w:t xml:space="preserve"> 30 pour adapter le</w:t>
      </w:r>
      <w:r w:rsidR="00DE4F87">
        <w:rPr>
          <w:rStyle w:val="Hyperlink"/>
          <w:color w:val="auto"/>
          <w:u w:val="none"/>
        </w:rPr>
        <w:t xml:space="preserve"> calendrier provisoire si nécessaire</w:t>
      </w:r>
      <w:r w:rsidR="00230679">
        <w:rPr>
          <w:rStyle w:val="Hyperlink"/>
          <w:color w:val="auto"/>
          <w:u w:val="none"/>
        </w:rPr>
        <w:t>. Les observateurs étaient les bienvenus. Il a été précisé que le Comité était appelé à adopter l</w:t>
      </w:r>
      <w:r w:rsidR="00346F1B">
        <w:rPr>
          <w:rStyle w:val="Hyperlink"/>
          <w:color w:val="auto"/>
          <w:u w:val="none"/>
        </w:rPr>
        <w:t>’</w:t>
      </w:r>
      <w:r w:rsidR="00230679" w:rsidRPr="00230679">
        <w:rPr>
          <w:rStyle w:val="Hyperlink"/>
          <w:color w:val="auto"/>
          <w:u w:val="none"/>
        </w:rPr>
        <w:t>ordre du jour</w:t>
      </w:r>
      <w:r w:rsidR="00CF7298">
        <w:rPr>
          <w:rStyle w:val="Hyperlink"/>
          <w:color w:val="auto"/>
          <w:u w:val="none"/>
        </w:rPr>
        <w:t xml:space="preserve"> et non le calendrier.</w:t>
      </w:r>
    </w:p>
    <w:p w14:paraId="71C39320" w14:textId="238DDD3B" w:rsidR="00F773EE" w:rsidRPr="00C363EA" w:rsidRDefault="00647E00" w:rsidP="00AF7860">
      <w:pPr>
        <w:pStyle w:val="Orateurengris"/>
        <w:tabs>
          <w:tab w:val="clear" w:pos="709"/>
          <w:tab w:val="clear" w:pos="1418"/>
          <w:tab w:val="clear" w:pos="2126"/>
          <w:tab w:val="clear" w:pos="2835"/>
          <w:tab w:val="clear" w:pos="3686"/>
        </w:tabs>
        <w:spacing w:before="120"/>
        <w:ind w:left="709" w:hanging="709"/>
      </w:pPr>
      <w:r w:rsidRPr="00C363EA">
        <w:t xml:space="preserve">Le </w:t>
      </w:r>
      <w:r w:rsidRPr="00C363EA">
        <w:rPr>
          <w:b/>
        </w:rPr>
        <w:t>Secrétaire</w:t>
      </w:r>
      <w:r w:rsidRPr="00C363EA">
        <w:t xml:space="preserve"> a ensuite attiré l</w:t>
      </w:r>
      <w:r w:rsidR="00346F1B">
        <w:t>’</w:t>
      </w:r>
      <w:r w:rsidRPr="00C363EA">
        <w:t xml:space="preserve">attention des participants sur deux </w:t>
      </w:r>
      <w:r w:rsidR="00DE47ED" w:rsidRPr="00C363EA">
        <w:t>événements parallèles préparé</w:t>
      </w:r>
      <w:r w:rsidRPr="00C363EA">
        <w:t>s par le Secrétariat et plusieurs co-organisateurs de c</w:t>
      </w:r>
      <w:r w:rsidR="00DE47ED" w:rsidRPr="00C363EA">
        <w:t>ette session. Un événement</w:t>
      </w:r>
      <w:r w:rsidR="00C363EA">
        <w:t>,</w:t>
      </w:r>
      <w:r w:rsidRPr="00C363EA">
        <w:t xml:space="preserve"> qui se déroulerait le soir même, était consacré au « patrimoine</w:t>
      </w:r>
      <w:r w:rsidR="00DE47ED" w:rsidRPr="00C363EA">
        <w:t xml:space="preserve"> vivant d</w:t>
      </w:r>
      <w:r w:rsidR="00346F1B">
        <w:t>’</w:t>
      </w:r>
      <w:r w:rsidRPr="00C363EA">
        <w:t>Addis Abeba », il s</w:t>
      </w:r>
      <w:r w:rsidR="00346F1B">
        <w:t>’</w:t>
      </w:r>
      <w:r w:rsidRPr="00C363EA">
        <w:t>agissait d</w:t>
      </w:r>
      <w:r w:rsidR="00346F1B">
        <w:t>’</w:t>
      </w:r>
      <w:r w:rsidRPr="00C363EA">
        <w:t>une exposition de photographies organisée par la Section du patrimoine culturel immatériel de l</w:t>
      </w:r>
      <w:r w:rsidR="00346F1B">
        <w:t>’</w:t>
      </w:r>
      <w:r w:rsidRPr="00C363EA">
        <w:t>UNESCO et l</w:t>
      </w:r>
      <w:r w:rsidR="00346F1B">
        <w:t>’</w:t>
      </w:r>
      <w:r w:rsidRPr="00C363EA">
        <w:t>Autorité éthiopienne pour la recherche et la conservation du patrimoine culturel. L</w:t>
      </w:r>
      <w:r w:rsidR="00346F1B">
        <w:t>’</w:t>
      </w:r>
      <w:r w:rsidRPr="00C363EA">
        <w:t>exposition présentait le patrimoine culturel immatériel dans le contexte urbain d</w:t>
      </w:r>
      <w:r w:rsidR="00346F1B">
        <w:t>’</w:t>
      </w:r>
      <w:r w:rsidRPr="00C363EA">
        <w:t>Addis Abeba, capturé par l</w:t>
      </w:r>
      <w:r w:rsidR="00346F1B">
        <w:t>’</w:t>
      </w:r>
      <w:r w:rsidRPr="00C363EA">
        <w:t xml:space="preserve">objectif de deux jeunes et talentueuses photographes éthiopiennes. </w:t>
      </w:r>
      <w:r w:rsidR="00C363EA" w:rsidRPr="00C363EA">
        <w:t>Le deuxième événement,</w:t>
      </w:r>
      <w:r w:rsidR="00DE47ED" w:rsidRPr="00C363EA">
        <w:t xml:space="preserve"> une table ronde sur le thème « Apprendre avec le patrimoine culturel immatériel</w:t>
      </w:r>
      <w:r w:rsidR="00C363EA" w:rsidRPr="00C363EA">
        <w:t xml:space="preserve"> dans le domaine de l</w:t>
      </w:r>
      <w:r w:rsidR="00346F1B">
        <w:t>’</w:t>
      </w:r>
      <w:r w:rsidR="00C363EA" w:rsidRPr="00C363EA">
        <w:t>éducation » organisé</w:t>
      </w:r>
      <w:r w:rsidR="00DE47ED" w:rsidRPr="00C363EA">
        <w:t xml:space="preserve"> par la Section du patrimoine culturel immatériel de l</w:t>
      </w:r>
      <w:r w:rsidR="00346F1B">
        <w:t>’</w:t>
      </w:r>
      <w:r w:rsidR="00DE47ED" w:rsidRPr="00C363EA">
        <w:t>UNESCO et l</w:t>
      </w:r>
      <w:r w:rsidR="00346F1B">
        <w:t>’</w:t>
      </w:r>
      <w:r w:rsidR="00DE47ED" w:rsidRPr="00C363EA">
        <w:t>Institut international de l</w:t>
      </w:r>
      <w:r w:rsidR="00346F1B">
        <w:t>’</w:t>
      </w:r>
      <w:r w:rsidR="00DE47ED" w:rsidRPr="00C363EA">
        <w:t>UNESCO pour le renforcement des capacités en Afrique (UNESCO International Institute for Capacity Building in Africa – IICBA) se déroulerait le jour suivant. Son objectif était de partager les expériences récentes dans le domaine de l</w:t>
      </w:r>
      <w:r w:rsidR="00346F1B">
        <w:t>’</w:t>
      </w:r>
      <w:r w:rsidR="00DE47ED" w:rsidRPr="00C363EA">
        <w:t>intégration du patrimoine immatériel au sein de l</w:t>
      </w:r>
      <w:r w:rsidR="00346F1B">
        <w:t>’</w:t>
      </w:r>
      <w:r w:rsidR="00DE47ED" w:rsidRPr="00C363EA">
        <w:t xml:space="preserve">éducation, et de susciter des idées pour un travail à venir. Les informations sur les autres </w:t>
      </w:r>
      <w:r w:rsidR="00C363EA">
        <w:t>événements parallèles organisé</w:t>
      </w:r>
      <w:r w:rsidR="00DE47ED" w:rsidRPr="00C363EA">
        <w:t xml:space="preserve">s par les États pendant la semaine étaient disponibles sur le </w:t>
      </w:r>
      <w:hyperlink r:id="rId15" w:history="1">
        <w:r w:rsidR="00DE47ED" w:rsidRPr="00C363EA">
          <w:rPr>
            <w:rStyle w:val="Hyperlink"/>
          </w:rPr>
          <w:t>site web</w:t>
        </w:r>
      </w:hyperlink>
      <w:r w:rsidR="00DE47ED" w:rsidRPr="00C363EA">
        <w:rPr>
          <w:rStyle w:val="Hyperlink"/>
          <w:color w:val="auto"/>
          <w:u w:val="none"/>
        </w:rPr>
        <w:t xml:space="preserve"> de la Convention. </w:t>
      </w:r>
      <w:r w:rsidR="00C363EA" w:rsidRPr="00C363EA">
        <w:rPr>
          <w:rStyle w:val="Hyperlink"/>
          <w:color w:val="auto"/>
          <w:u w:val="none"/>
        </w:rPr>
        <w:t>Le Secrétaire a conclu son intervention</w:t>
      </w:r>
      <w:r w:rsidR="00C363EA">
        <w:rPr>
          <w:rStyle w:val="Hyperlink"/>
          <w:color w:val="auto"/>
          <w:u w:val="none"/>
        </w:rPr>
        <w:t xml:space="preserve"> en déclarant que d</w:t>
      </w:r>
      <w:r w:rsidR="00346F1B">
        <w:rPr>
          <w:rStyle w:val="Hyperlink"/>
          <w:color w:val="auto"/>
          <w:u w:val="none"/>
        </w:rPr>
        <w:t>’</w:t>
      </w:r>
      <w:r w:rsidR="00C363EA">
        <w:rPr>
          <w:rStyle w:val="Hyperlink"/>
          <w:color w:val="auto"/>
          <w:u w:val="none"/>
        </w:rPr>
        <w:t>autres annonces seraient faites en temps voulu et qu</w:t>
      </w:r>
      <w:r w:rsidR="00346F1B">
        <w:rPr>
          <w:rStyle w:val="Hyperlink"/>
          <w:color w:val="auto"/>
          <w:u w:val="none"/>
        </w:rPr>
        <w:t>’</w:t>
      </w:r>
      <w:r w:rsidR="00C363EA">
        <w:rPr>
          <w:rStyle w:val="Hyperlink"/>
          <w:color w:val="auto"/>
          <w:u w:val="none"/>
        </w:rPr>
        <w:t>une conférence de presse devait se t</w:t>
      </w:r>
      <w:r w:rsidR="00CF7298">
        <w:rPr>
          <w:rStyle w:val="Hyperlink"/>
          <w:color w:val="auto"/>
          <w:u w:val="none"/>
        </w:rPr>
        <w:t>enir plus tard dans la journée.</w:t>
      </w:r>
    </w:p>
    <w:p w14:paraId="093C7178" w14:textId="535BBAC6" w:rsidR="00C363EA" w:rsidRPr="00C363EA" w:rsidRDefault="00C363EA" w:rsidP="00AF7860">
      <w:pPr>
        <w:pStyle w:val="Orateurengris"/>
        <w:tabs>
          <w:tab w:val="clear" w:pos="709"/>
          <w:tab w:val="clear" w:pos="1418"/>
          <w:tab w:val="clear" w:pos="2126"/>
          <w:tab w:val="clear" w:pos="2835"/>
          <w:tab w:val="clear" w:pos="3686"/>
        </w:tabs>
        <w:spacing w:before="120"/>
        <w:ind w:left="709" w:hanging="709"/>
      </w:pPr>
      <w:r w:rsidRPr="00C363EA">
        <w:t xml:space="preserve">Le </w:t>
      </w:r>
      <w:r w:rsidRPr="00C363EA">
        <w:rPr>
          <w:b/>
        </w:rPr>
        <w:t>Président</w:t>
      </w:r>
      <w:r w:rsidRPr="00C363EA">
        <w:t xml:space="preserve"> a remercié le Secrétaire</w:t>
      </w:r>
      <w:r>
        <w:t xml:space="preserve">, </w:t>
      </w:r>
      <w:r w:rsidR="008462B0">
        <w:t>et a ajouté qu</w:t>
      </w:r>
      <w:r w:rsidR="00346F1B">
        <w:t>’</w:t>
      </w:r>
      <w:r w:rsidR="008462B0">
        <w:t>il apparaissait comme</w:t>
      </w:r>
      <w:r>
        <w:t xml:space="preserve"> évident qu</w:t>
      </w:r>
      <w:r w:rsidR="00346F1B">
        <w:t>’</w:t>
      </w:r>
      <w:r>
        <w:t xml:space="preserve">il y avait des questions importantes à débattre au cours des cinq prochains jours alors que le calendrier était très chargé. Il comptait sur la </w:t>
      </w:r>
      <w:r w:rsidRPr="00C363EA">
        <w:t>coopération</w:t>
      </w:r>
      <w:r>
        <w:t xml:space="preserve"> du Comité afin que l</w:t>
      </w:r>
      <w:r w:rsidR="00D07856">
        <w:t xml:space="preserve">es interventions soient brèves et </w:t>
      </w:r>
      <w:r>
        <w:t xml:space="preserve">se limitent </w:t>
      </w:r>
      <w:r w:rsidR="00D07856">
        <w:t xml:space="preserve">à des remarques formulées dans le minimum de temps nécessaire. Il convenait </w:t>
      </w:r>
      <w:r w:rsidR="00D07856" w:rsidRPr="00D07856">
        <w:t>également</w:t>
      </w:r>
      <w:r w:rsidR="00D07856">
        <w:t xml:space="preserve"> de ne pas prendre la parole plus de deux fois dans le cadre d</w:t>
      </w:r>
      <w:r w:rsidR="00346F1B">
        <w:t>’</w:t>
      </w:r>
      <w:r w:rsidR="00D07856">
        <w:t>un même point de l</w:t>
      </w:r>
      <w:r w:rsidR="00346F1B">
        <w:t>’</w:t>
      </w:r>
      <w:r w:rsidR="00D07856" w:rsidRPr="00D07856">
        <w:t>ordre du jour</w:t>
      </w:r>
      <w:r w:rsidR="00D07856">
        <w:t xml:space="preserve">. Les </w:t>
      </w:r>
      <w:r w:rsidR="00A46CAD">
        <w:t>membres</w:t>
      </w:r>
      <w:r w:rsidR="00D07856">
        <w:t xml:space="preserve"> désireux d</w:t>
      </w:r>
      <w:r w:rsidR="00346F1B">
        <w:t>’</w:t>
      </w:r>
      <w:r w:rsidR="00D07856">
        <w:t>introduire des amendements écrits au</w:t>
      </w:r>
      <w:r w:rsidR="008462B0">
        <w:t>x</w:t>
      </w:r>
      <w:r w:rsidR="00D07856">
        <w:t xml:space="preserve"> projets de </w:t>
      </w:r>
      <w:r w:rsidR="00D07856" w:rsidRPr="00D07856">
        <w:t>décision</w:t>
      </w:r>
      <w:r w:rsidR="00D07856">
        <w:t xml:space="preserve"> étaient invités à le faire en complétant le formulaire dédié qui était disponible auprès du Secrétariat et sur le site web de la </w:t>
      </w:r>
      <w:r w:rsidR="00D07856" w:rsidRPr="00D07856">
        <w:t>Convention</w:t>
      </w:r>
      <w:r w:rsidR="00D07856">
        <w:t xml:space="preserve">. Les amendements écrits pourraient </w:t>
      </w:r>
      <w:r w:rsidR="00D07856" w:rsidRPr="00D07856">
        <w:t>également</w:t>
      </w:r>
      <w:r w:rsidR="00D07856">
        <w:t xml:space="preserve"> être soumis par voie </w:t>
      </w:r>
      <w:r w:rsidR="00D07856" w:rsidRPr="00D07856">
        <w:t>électronique</w:t>
      </w:r>
      <w:r w:rsidR="00D07856">
        <w:t xml:space="preserve">. Pendant la discussion générale et après le débat sur chaque point entre les </w:t>
      </w:r>
      <w:r w:rsidR="00A46CAD">
        <w:t>membres</w:t>
      </w:r>
      <w:r w:rsidR="00D07856">
        <w:t xml:space="preserve"> du Comité, la parole serait donnée aux observateurs si le temps le permettait. Toutefois, les observateurs n</w:t>
      </w:r>
      <w:r w:rsidR="00346F1B">
        <w:t>’</w:t>
      </w:r>
      <w:r w:rsidR="00D07856">
        <w:t>étaient</w:t>
      </w:r>
      <w:r w:rsidR="008462B0">
        <w:t xml:space="preserve"> pas autorisés à intervenir pendant</w:t>
      </w:r>
      <w:r w:rsidR="00D07856">
        <w:t xml:space="preserve"> des discussions sur les projets de décision. S</w:t>
      </w:r>
      <w:r w:rsidR="00346F1B">
        <w:t>’</w:t>
      </w:r>
      <w:r w:rsidR="00D07856">
        <w:t>agissant du Rapport de l</w:t>
      </w:r>
      <w:r w:rsidR="00346F1B">
        <w:t>’</w:t>
      </w:r>
      <w:r w:rsidR="00D07856">
        <w:t>Organe d</w:t>
      </w:r>
      <w:r w:rsidR="00346F1B">
        <w:t>’</w:t>
      </w:r>
      <w:r w:rsidR="00D07856">
        <w:t xml:space="preserve">évaluation au Comité, </w:t>
      </w:r>
      <w:r w:rsidR="00D07856" w:rsidRPr="00D07856">
        <w:t>en particulier</w:t>
      </w:r>
      <w:r w:rsidR="00D07856">
        <w:t xml:space="preserve"> des points 10.a, 10.b et 10.c</w:t>
      </w:r>
      <w:r w:rsidR="00E359D9">
        <w:t>, le Comité avait 49 dossiers à examiner, il était prévu de consacrer 12 heures à cette tâche –</w:t>
      </w:r>
      <w:r w:rsidR="008462B0">
        <w:t xml:space="preserve"> plus de deux jours – soit </w:t>
      </w:r>
      <w:r w:rsidR="00E359D9">
        <w:t>14 minutes par dossier. En raison du calendrier très serré de la session et afin d</w:t>
      </w:r>
      <w:r w:rsidR="00346F1B">
        <w:t>’</w:t>
      </w:r>
      <w:r w:rsidR="00E359D9">
        <w:t xml:space="preserve">accorder </w:t>
      </w:r>
      <w:r w:rsidR="00E359D9" w:rsidRPr="00E359D9">
        <w:t xml:space="preserve">suffisamment </w:t>
      </w:r>
      <w:r w:rsidR="00E359D9">
        <w:t>de temps au Comité pour débattre de chaque point de l</w:t>
      </w:r>
      <w:r w:rsidR="00346F1B">
        <w:t>’</w:t>
      </w:r>
      <w:r w:rsidR="00E359D9" w:rsidRPr="00E359D9">
        <w:t>ordre du jour</w:t>
      </w:r>
      <w:r w:rsidR="00E359D9">
        <w:t>, le Président a rappelé que, l</w:t>
      </w:r>
      <w:r w:rsidR="00346F1B">
        <w:t>’</w:t>
      </w:r>
      <w:r w:rsidR="00E359D9">
        <w:t>année précédente, le Comité avait adopté une méthode de travail qui permettait un examen efficace de ces points. Cette méthode</w:t>
      </w:r>
      <w:r w:rsidR="000E1912">
        <w:t>, qui</w:t>
      </w:r>
      <w:r w:rsidR="00E359D9">
        <w:t xml:space="preserve"> avait fait l</w:t>
      </w:r>
      <w:r w:rsidR="00346F1B">
        <w:t>’</w:t>
      </w:r>
      <w:r w:rsidR="00E359D9">
        <w:t>objet d</w:t>
      </w:r>
      <w:r w:rsidR="00346F1B">
        <w:t>’</w:t>
      </w:r>
      <w:r w:rsidR="00E359D9">
        <w:t>une discussion lors du Bureau du 20 octobre et pendant la Séance d</w:t>
      </w:r>
      <w:r w:rsidR="00346F1B">
        <w:t>’</w:t>
      </w:r>
      <w:r w:rsidR="00E359D9">
        <w:t>information et d</w:t>
      </w:r>
      <w:r w:rsidR="00346F1B">
        <w:t>’</w:t>
      </w:r>
      <w:r w:rsidR="00E359D9">
        <w:t>échange qui s</w:t>
      </w:r>
      <w:r w:rsidR="00346F1B">
        <w:t>’</w:t>
      </w:r>
      <w:r w:rsidR="00E359D9">
        <w:t>était dé</w:t>
      </w:r>
      <w:r w:rsidR="000E1912">
        <w:t>roulée le même</w:t>
      </w:r>
      <w:r w:rsidR="00A46CAD">
        <w:t xml:space="preserve"> jour, avait été présentée aux membres</w:t>
      </w:r>
      <w:r w:rsidR="000E1912">
        <w:t xml:space="preserve"> du Comité le 7 novembre. Le Bureau avait ainsi proposé de continuer à avoir recours à la méthode de travail adoptée en 2015. </w:t>
      </w:r>
      <w:r w:rsidR="000E1912" w:rsidRPr="000E1912">
        <w:t>Conformément</w:t>
      </w:r>
      <w:r w:rsidR="00A46CAD">
        <w:t xml:space="preserve"> à celle-ci, les membres</w:t>
      </w:r>
      <w:r w:rsidR="000E1912">
        <w:t xml:space="preserve"> du Comité souhaitant discuter ou amender des projets de décision particuliers concernant des candidatures étaient invités à le faire savoir avant la réunion du B</w:t>
      </w:r>
      <w:r w:rsidR="00575EB0">
        <w:t>ureau du jour suivant à 9 h</w:t>
      </w:r>
      <w:r w:rsidR="000E1912">
        <w:t>. Cela permettrait au Bureau de mi</w:t>
      </w:r>
      <w:r w:rsidR="007A71F4">
        <w:t>eux organiser le temps octroyé à</w:t>
      </w:r>
      <w:r w:rsidR="000E1912">
        <w:t xml:space="preserve"> </w:t>
      </w:r>
      <w:r w:rsidR="007A71F4">
        <w:t xml:space="preserve">chaque </w:t>
      </w:r>
      <w:r w:rsidR="000E1912">
        <w:t>débat. Les propositions d</w:t>
      </w:r>
      <w:r w:rsidR="00346F1B">
        <w:t>’</w:t>
      </w:r>
      <w:r w:rsidR="000E1912" w:rsidRPr="000E1912">
        <w:t>amendement</w:t>
      </w:r>
      <w:r w:rsidR="000E1912">
        <w:t xml:space="preserve"> devraient être transmises par courrier </w:t>
      </w:r>
      <w:r w:rsidR="000E1912" w:rsidRPr="000E1912">
        <w:t>électronique</w:t>
      </w:r>
      <w:r w:rsidR="008462B0">
        <w:t xml:space="preserve"> à l</w:t>
      </w:r>
      <w:r w:rsidR="00346F1B">
        <w:t>’</w:t>
      </w:r>
      <w:r w:rsidR="008462B0">
        <w:t>adresse</w:t>
      </w:r>
      <w:r w:rsidR="000E1912">
        <w:t xml:space="preserve"> communiquée par le Secrétariat ou en complétant le formulaire dédié. </w:t>
      </w:r>
      <w:r w:rsidR="000E1912" w:rsidRPr="000E1912">
        <w:t>En conséquence</w:t>
      </w:r>
      <w:r w:rsidR="000E1912">
        <w:t>, on tiendrait pour acquis que les projets de décision concernant les candidatures pour lesquels aucune demande d</w:t>
      </w:r>
      <w:r w:rsidR="00346F1B">
        <w:t>’</w:t>
      </w:r>
      <w:r w:rsidR="000E1912" w:rsidRPr="000E1912">
        <w:t>amendement</w:t>
      </w:r>
      <w:r w:rsidR="000E1912">
        <w:t xml:space="preserve"> ou de débat n</w:t>
      </w:r>
      <w:r w:rsidR="00346F1B">
        <w:t>’</w:t>
      </w:r>
      <w:r w:rsidR="000E1912">
        <w:t>avait été soum</w:t>
      </w:r>
      <w:r w:rsidR="007A71F4">
        <w:t xml:space="preserve">ise seraient proposés dans leur intégralité </w:t>
      </w:r>
      <w:r w:rsidR="000E1912">
        <w:t>à l</w:t>
      </w:r>
      <w:r w:rsidR="00346F1B">
        <w:t>’</w:t>
      </w:r>
      <w:r w:rsidR="000E1912">
        <w:t>adoption, permettant ainsi de consacrer plus de temps à d</w:t>
      </w:r>
      <w:r w:rsidR="00346F1B">
        <w:t>’</w:t>
      </w:r>
      <w:r w:rsidR="000E1912">
        <w:t>autre</w:t>
      </w:r>
      <w:r w:rsidR="00A46CAD">
        <w:t>s candidatures. Néanmoins, les membres</w:t>
      </w:r>
      <w:r w:rsidR="000E1912">
        <w:t xml:space="preserve"> du Comité </w:t>
      </w:r>
      <w:r w:rsidR="008462B0">
        <w:t>étaient autorisés à prendre la parole. Cette procédure avait pour objectif de mieux organiser à l</w:t>
      </w:r>
      <w:r w:rsidR="00346F1B">
        <w:t>’</w:t>
      </w:r>
      <w:r w:rsidR="008462B0">
        <w:t>avance l</w:t>
      </w:r>
      <w:r w:rsidR="00346F1B">
        <w:t>’</w:t>
      </w:r>
      <w:r w:rsidR="008462B0">
        <w:t>ad</w:t>
      </w:r>
      <w:r w:rsidR="00CF7298">
        <w:t>option des projets de décision.</w:t>
      </w:r>
    </w:p>
    <w:p w14:paraId="374AAB50" w14:textId="15AEFBDC" w:rsidR="00982C2A" w:rsidRPr="00982C2A" w:rsidRDefault="001A5F7F" w:rsidP="00AF7860">
      <w:pPr>
        <w:pStyle w:val="Orateurengris"/>
        <w:tabs>
          <w:tab w:val="clear" w:pos="709"/>
          <w:tab w:val="clear" w:pos="1418"/>
          <w:tab w:val="clear" w:pos="2126"/>
          <w:tab w:val="clear" w:pos="2835"/>
          <w:tab w:val="clear" w:pos="3686"/>
        </w:tabs>
        <w:spacing w:before="120"/>
        <w:ind w:left="709" w:hanging="709"/>
      </w:pPr>
      <w:r>
        <w:t>Ava</w:t>
      </w:r>
      <w:r w:rsidR="00575EB0">
        <w:t>nt d</w:t>
      </w:r>
      <w:r w:rsidR="00346F1B">
        <w:t>’</w:t>
      </w:r>
      <w:r w:rsidR="00575EB0">
        <w:t>aborder la méthode</w:t>
      </w:r>
      <w:r>
        <w:t xml:space="preserve"> de travail qui venait d</w:t>
      </w:r>
      <w:r w:rsidR="00346F1B">
        <w:t>’</w:t>
      </w:r>
      <w:r>
        <w:t>être présentée, l</w:t>
      </w:r>
      <w:r w:rsidR="003337DE" w:rsidRPr="003337DE">
        <w:t xml:space="preserve">a délégation de </w:t>
      </w:r>
      <w:r w:rsidR="003337DE" w:rsidRPr="00982C2A">
        <w:rPr>
          <w:b/>
        </w:rPr>
        <w:t>Cuba</w:t>
      </w:r>
      <w:r w:rsidR="003337DE" w:rsidRPr="003337DE">
        <w:t xml:space="preserve"> a remercié le pays hôte </w:t>
      </w:r>
      <w:r w:rsidR="00982C2A">
        <w:t xml:space="preserve">pour son accueil. Elle comprenait et appréciait les limites de temps </w:t>
      </w:r>
      <w:r>
        <w:t xml:space="preserve">instituées </w:t>
      </w:r>
      <w:r w:rsidR="00982C2A">
        <w:t>pour les débats et leur conduite, et ce, afin de parvenir à traiter tous les points de l</w:t>
      </w:r>
      <w:r w:rsidR="00346F1B">
        <w:t>’</w:t>
      </w:r>
      <w:r w:rsidR="00982C2A" w:rsidRPr="00982C2A">
        <w:t>ordre du jour</w:t>
      </w:r>
      <w:r w:rsidR="00982C2A">
        <w:t xml:space="preserve">. Toutefois, la </w:t>
      </w:r>
      <w:r w:rsidR="00982C2A" w:rsidRPr="00982C2A">
        <w:t>délégation</w:t>
      </w:r>
      <w:r>
        <w:t xml:space="preserve"> a exprimé sa </w:t>
      </w:r>
      <w:r w:rsidRPr="001A5F7F">
        <w:t>préoccupation</w:t>
      </w:r>
      <w:r>
        <w:t xml:space="preserve"> </w:t>
      </w:r>
      <w:r w:rsidR="00982C2A">
        <w:t>quant à l</w:t>
      </w:r>
      <w:r w:rsidR="00346F1B">
        <w:t>’</w:t>
      </w:r>
      <w:r w:rsidR="00982C2A">
        <w:t>impossibilité de soumettre des amendements pendant les débats, bien qu</w:t>
      </w:r>
      <w:r w:rsidR="00346F1B">
        <w:t>’</w:t>
      </w:r>
      <w:r w:rsidR="00982C2A">
        <w:t>elle comprenne fort bien que la soumission d</w:t>
      </w:r>
      <w:r w:rsidR="00346F1B">
        <w:t>’</w:t>
      </w:r>
      <w:r w:rsidR="00982C2A">
        <w:t>un nouveau projet complet d</w:t>
      </w:r>
      <w:r w:rsidR="00346F1B">
        <w:t>’</w:t>
      </w:r>
      <w:r w:rsidR="00982C2A" w:rsidRPr="00982C2A">
        <w:t>ordre du jour</w:t>
      </w:r>
      <w:r w:rsidR="00982C2A">
        <w:t xml:space="preserve"> pour la session impliquerait de se conformer à l</w:t>
      </w:r>
      <w:r w:rsidR="00346F1B">
        <w:t>’</w:t>
      </w:r>
      <w:r w:rsidR="00982C2A">
        <w:t>ensemble des règles et procédures. Toutefois, les discussions sur les candidatures elles-mêmes pouv</w:t>
      </w:r>
      <w:r w:rsidR="00A46CAD">
        <w:t>aient être très animées et les membres</w:t>
      </w:r>
      <w:r w:rsidR="00982C2A">
        <w:t xml:space="preserve"> du Comité étaient susceptibles de </w:t>
      </w:r>
      <w:r>
        <w:t xml:space="preserve">vouloir </w:t>
      </w:r>
      <w:r w:rsidR="00982C2A">
        <w:t xml:space="preserve">proposer des amendements en réaction à ces discussions. La </w:t>
      </w:r>
      <w:r w:rsidR="00982C2A" w:rsidRPr="00982C2A">
        <w:t>délégation</w:t>
      </w:r>
      <w:r w:rsidR="00D301C4">
        <w:t xml:space="preserve"> souhaitait donc </w:t>
      </w:r>
      <w:r w:rsidR="007412CD">
        <w:t>préciser d</w:t>
      </w:r>
      <w:r w:rsidR="00346F1B">
        <w:t>’</w:t>
      </w:r>
      <w:r w:rsidR="007412CD">
        <w:t>emblée qu</w:t>
      </w:r>
      <w:r w:rsidR="00346F1B">
        <w:t>’</w:t>
      </w:r>
      <w:r w:rsidR="007412CD">
        <w:t>elle n</w:t>
      </w:r>
      <w:r w:rsidR="00346F1B">
        <w:t>’</w:t>
      </w:r>
      <w:r w:rsidR="007412CD">
        <w:t>avait pas l</w:t>
      </w:r>
      <w:r w:rsidR="00346F1B">
        <w:t>’</w:t>
      </w:r>
      <w:r w:rsidR="007412CD">
        <w:t>intention de soumettre des amendements à l</w:t>
      </w:r>
      <w:r w:rsidR="00346F1B">
        <w:t>’</w:t>
      </w:r>
      <w:r w:rsidR="007412CD">
        <w:t>avance mais pendant les débats, ce à quoi elle avait droit en vertu des Directives opérationnelles et du Rè</w:t>
      </w:r>
      <w:r>
        <w:t>glement intérieur, à condition,</w:t>
      </w:r>
      <w:r w:rsidR="007412CD">
        <w:t xml:space="preserve"> b</w:t>
      </w:r>
      <w:r w:rsidR="00575EB0">
        <w:t>ien sûr, qu</w:t>
      </w:r>
      <w:r w:rsidR="00346F1B">
        <w:t>’</w:t>
      </w:r>
      <w:r w:rsidR="00575EB0">
        <w:t>elle fournisse le texte</w:t>
      </w:r>
      <w:r w:rsidR="007A71F4">
        <w:t xml:space="preserve"> de l</w:t>
      </w:r>
      <w:r w:rsidR="00346F1B">
        <w:t>’</w:t>
      </w:r>
      <w:r w:rsidR="007A71F4" w:rsidRPr="007A71F4">
        <w:t>amendement</w:t>
      </w:r>
      <w:r w:rsidR="007A71F4">
        <w:t xml:space="preserve"> soumis</w:t>
      </w:r>
      <w:r w:rsidR="007412CD">
        <w:t xml:space="preserve">. La </w:t>
      </w:r>
      <w:r w:rsidR="007412CD" w:rsidRPr="007412CD">
        <w:t>délégation</w:t>
      </w:r>
      <w:r w:rsidR="007412CD">
        <w:t xml:space="preserve"> a réaffirmé que l</w:t>
      </w:r>
      <w:r w:rsidR="00346F1B">
        <w:t>’</w:t>
      </w:r>
      <w:r w:rsidR="007412CD">
        <w:t>UNESCO</w:t>
      </w:r>
      <w:r>
        <w:t>, en tant qu</w:t>
      </w:r>
      <w:r w:rsidR="00346F1B">
        <w:t>’</w:t>
      </w:r>
      <w:r w:rsidR="007412CD">
        <w:t xml:space="preserve">organe </w:t>
      </w:r>
      <w:r w:rsidR="007412CD" w:rsidRPr="007412CD">
        <w:t>intergouvernemental</w:t>
      </w:r>
      <w:r w:rsidR="007412CD">
        <w:t xml:space="preserve">, ne devrait pas essayer de restreindre </w:t>
      </w:r>
      <w:r>
        <w:t xml:space="preserve">les </w:t>
      </w:r>
      <w:r w:rsidR="007412CD">
        <w:t>débat</w:t>
      </w:r>
      <w:r>
        <w:t>s</w:t>
      </w:r>
      <w:r w:rsidR="007412CD">
        <w:t xml:space="preserve"> ou </w:t>
      </w:r>
      <w:r>
        <w:t xml:space="preserve">les </w:t>
      </w:r>
      <w:r w:rsidR="007412CD">
        <w:t>discussion</w:t>
      </w:r>
      <w:r>
        <w:t>s</w:t>
      </w:r>
      <w:r w:rsidR="007412CD">
        <w:t xml:space="preserve"> sur des questions très sensib</w:t>
      </w:r>
      <w:r>
        <w:t>les pour tous les participants présents. Elle a demandé au Président de faire preuve d</w:t>
      </w:r>
      <w:r w:rsidR="00346F1B">
        <w:t>’</w:t>
      </w:r>
      <w:r>
        <w:t>indulgence à cet égard et de reconnaître le fait que Cuba soumettrait des amendements au fur et à mesure de l</w:t>
      </w:r>
      <w:r w:rsidR="00346F1B">
        <w:t>’</w:t>
      </w:r>
      <w:r w:rsidRPr="001A5F7F">
        <w:t>évolution</w:t>
      </w:r>
      <w:r w:rsidR="00CF7298">
        <w:t xml:space="preserve"> des discussions.</w:t>
      </w:r>
    </w:p>
    <w:p w14:paraId="5CC2B39F" w14:textId="06F2AB75" w:rsidR="001A5F7F" w:rsidRPr="001A5F7F" w:rsidRDefault="004B1D98" w:rsidP="00AF7860">
      <w:pPr>
        <w:pStyle w:val="Orateurengris"/>
        <w:tabs>
          <w:tab w:val="clear" w:pos="709"/>
          <w:tab w:val="clear" w:pos="1418"/>
          <w:tab w:val="clear" w:pos="2126"/>
          <w:tab w:val="clear" w:pos="2835"/>
          <w:tab w:val="clear" w:pos="3686"/>
        </w:tabs>
        <w:spacing w:before="120"/>
        <w:ind w:left="709" w:hanging="709"/>
      </w:pPr>
      <w:r>
        <w:t xml:space="preserve">Après avoir </w:t>
      </w:r>
      <w:r w:rsidR="007A71F4">
        <w:t xml:space="preserve">salué </w:t>
      </w:r>
      <w:r>
        <w:t xml:space="preserve">ses collègues </w:t>
      </w:r>
      <w:r w:rsidR="001A5F7F">
        <w:t xml:space="preserve">et </w:t>
      </w:r>
      <w:r w:rsidR="007A71F4">
        <w:t xml:space="preserve">remercié </w:t>
      </w:r>
      <w:r w:rsidR="001A5F7F">
        <w:t xml:space="preserve">le pays hôte pour </w:t>
      </w:r>
      <w:r w:rsidR="007A71F4">
        <w:t xml:space="preserve">son </w:t>
      </w:r>
      <w:r>
        <w:t>exceptionnelle hospitalité, l</w:t>
      </w:r>
      <w:r w:rsidRPr="001A5F7F">
        <w:t>a délégation de l</w:t>
      </w:r>
      <w:r w:rsidR="00346F1B">
        <w:t>’</w:t>
      </w:r>
      <w:r w:rsidRPr="001A5F7F">
        <w:rPr>
          <w:b/>
        </w:rPr>
        <w:t>Algérie</w:t>
      </w:r>
      <w:r w:rsidRPr="001A5F7F">
        <w:t xml:space="preserve"> </w:t>
      </w:r>
      <w:r>
        <w:t>a souhaité à tous les</w:t>
      </w:r>
      <w:r w:rsidR="001A5F7F">
        <w:t xml:space="preserve"> délégués une session heureuse et fructueuse. </w:t>
      </w:r>
      <w:r>
        <w:t>S</w:t>
      </w:r>
      <w:r w:rsidR="00346F1B">
        <w:t>’</w:t>
      </w:r>
      <w:r>
        <w:t xml:space="preserve">agissant des </w:t>
      </w:r>
      <w:r w:rsidRPr="004B1D98">
        <w:t>amendement</w:t>
      </w:r>
      <w:r>
        <w:t>s, e</w:t>
      </w:r>
      <w:r w:rsidR="001A5F7F">
        <w:t xml:space="preserve">lle soutenait </w:t>
      </w:r>
      <w:r w:rsidR="001A5F7F" w:rsidRPr="001A5F7F">
        <w:t>également</w:t>
      </w:r>
      <w:r w:rsidR="001A5F7F">
        <w:t xml:space="preserve"> Cuba </w:t>
      </w:r>
      <w:r>
        <w:t>en ajoutant qu</w:t>
      </w:r>
      <w:r w:rsidR="00346F1B">
        <w:t>’</w:t>
      </w:r>
      <w:r>
        <w:t xml:space="preserve">elle souhaitait </w:t>
      </w:r>
      <w:r w:rsidR="007A71F4">
        <w:t xml:space="preserve">se réserver </w:t>
      </w:r>
      <w:r>
        <w:t xml:space="preserve">le droit de présenter des amendements devant le Comité dans la salle de conférence. Elle était consciente que les débats étaient très animés </w:t>
      </w:r>
      <w:r w:rsidR="00E273E4">
        <w:t xml:space="preserve">et </w:t>
      </w:r>
      <w:r>
        <w:t>que des questions pourraient être soulevées au cours des discussions, et elle jugeait do</w:t>
      </w:r>
      <w:r w:rsidR="00A46CAD">
        <w:t>nc préférable de permettre aux membres</w:t>
      </w:r>
      <w:r>
        <w:t xml:space="preserve"> de soumettre des amendements</w:t>
      </w:r>
      <w:r w:rsidR="009B6689">
        <w:t xml:space="preserve"> au fur et à mesure de l</w:t>
      </w:r>
      <w:r w:rsidR="00346F1B">
        <w:t>’</w:t>
      </w:r>
      <w:r w:rsidR="009B6689" w:rsidRPr="009B6689">
        <w:t>évolution</w:t>
      </w:r>
      <w:r w:rsidR="009B6689">
        <w:t xml:space="preserve"> des débats</w:t>
      </w:r>
      <w:r w:rsidR="00CF7298">
        <w:t>.</w:t>
      </w:r>
    </w:p>
    <w:p w14:paraId="137DC370" w14:textId="1E6E3A08" w:rsidR="00562F3C" w:rsidRPr="00562F3C" w:rsidRDefault="00562F3C" w:rsidP="00AF7860">
      <w:pPr>
        <w:pStyle w:val="Orateurengris"/>
        <w:tabs>
          <w:tab w:val="clear" w:pos="709"/>
          <w:tab w:val="clear" w:pos="1418"/>
          <w:tab w:val="clear" w:pos="2126"/>
          <w:tab w:val="clear" w:pos="2835"/>
          <w:tab w:val="clear" w:pos="3686"/>
        </w:tabs>
        <w:spacing w:before="120"/>
        <w:ind w:left="709" w:hanging="709"/>
      </w:pPr>
      <w:r w:rsidRPr="00562F3C">
        <w:t>Après avoir remercié le pays hôte pour l</w:t>
      </w:r>
      <w:r w:rsidR="00346F1B">
        <w:t>’</w:t>
      </w:r>
      <w:r w:rsidRPr="00562F3C">
        <w:t xml:space="preserve">organisation de cette réunion, la délégation de la </w:t>
      </w:r>
      <w:r w:rsidRPr="00562F3C">
        <w:rPr>
          <w:b/>
        </w:rPr>
        <w:t>Palestine</w:t>
      </w:r>
      <w:r w:rsidR="00D301C4">
        <w:t xml:space="preserve"> souhaitait</w:t>
      </w:r>
      <w:r w:rsidR="009B6689">
        <w:t xml:space="preserve"> également revenir sur la discussion concernant</w:t>
      </w:r>
      <w:r w:rsidR="00A942BB">
        <w:t xml:space="preserve"> le</w:t>
      </w:r>
      <w:r w:rsidRPr="00562F3C">
        <w:t xml:space="preserve"> point 8 de l</w:t>
      </w:r>
      <w:r w:rsidR="00346F1B">
        <w:t>’</w:t>
      </w:r>
      <w:r w:rsidRPr="00562F3C">
        <w:t xml:space="preserve">ordre du jour. Elle </w:t>
      </w:r>
      <w:r>
        <w:t xml:space="preserve">souscrivait pleinement aux propos de </w:t>
      </w:r>
      <w:r w:rsidRPr="00562F3C">
        <w:t xml:space="preserve">Cuba et </w:t>
      </w:r>
      <w:r>
        <w:t xml:space="preserve">de </w:t>
      </w:r>
      <w:r w:rsidRPr="00562F3C">
        <w:t>l</w:t>
      </w:r>
      <w:r w:rsidR="00346F1B">
        <w:t>’</w:t>
      </w:r>
      <w:r w:rsidRPr="00562F3C">
        <w:t xml:space="preserve">Algérie </w:t>
      </w:r>
      <w:r>
        <w:t xml:space="preserve">en ce qui concerne la méthode proposée. </w:t>
      </w:r>
      <w:r w:rsidR="00A942BB">
        <w:t>Elle avait néanmoins le sentiment qu</w:t>
      </w:r>
      <w:r w:rsidR="00346F1B">
        <w:t>’</w:t>
      </w:r>
      <w:r w:rsidR="00A942BB">
        <w:t xml:space="preserve">il serait </w:t>
      </w:r>
      <w:r w:rsidR="00A942BB" w:rsidRPr="00A942BB">
        <w:t>peut-être</w:t>
      </w:r>
      <w:r w:rsidR="00A942BB">
        <w:t xml:space="preserve"> préférable de ne pas trop débattre en détail de ce sujet à ce moment de la réunion mais </w:t>
      </w:r>
      <w:r w:rsidR="009B6689">
        <w:t xml:space="preserve">de </w:t>
      </w:r>
      <w:r w:rsidR="00A942BB">
        <w:t>reprendre la discussion pendant le point 8 de l</w:t>
      </w:r>
      <w:r w:rsidR="00346F1B">
        <w:t>’</w:t>
      </w:r>
      <w:r w:rsidR="00A942BB" w:rsidRPr="00A942BB">
        <w:t>ordre du jour</w:t>
      </w:r>
      <w:r w:rsidR="00A942BB">
        <w:t xml:space="preserve">, notamment </w:t>
      </w:r>
      <w:r w:rsidR="00A942BB" w:rsidRPr="00A942BB">
        <w:t>parce que</w:t>
      </w:r>
      <w:r w:rsidR="00A942BB">
        <w:t xml:space="preserve"> la méthode de travail avait déjà fait l</w:t>
      </w:r>
      <w:r w:rsidR="00346F1B">
        <w:t>’</w:t>
      </w:r>
      <w:r w:rsidR="00A942BB">
        <w:t>objet d</w:t>
      </w:r>
      <w:r w:rsidR="00346F1B">
        <w:t>’</w:t>
      </w:r>
      <w:r w:rsidR="00A942BB">
        <w:t>intenses discussions lors des précédentes sessions.</w:t>
      </w:r>
    </w:p>
    <w:p w14:paraId="5A9DC41F" w14:textId="430C3EAD" w:rsidR="00A942BB" w:rsidRPr="00A942BB" w:rsidRDefault="00A942BB" w:rsidP="00AF7860">
      <w:pPr>
        <w:pStyle w:val="Orateurengris"/>
        <w:tabs>
          <w:tab w:val="clear" w:pos="709"/>
          <w:tab w:val="clear" w:pos="1418"/>
          <w:tab w:val="clear" w:pos="2126"/>
          <w:tab w:val="clear" w:pos="2835"/>
          <w:tab w:val="clear" w:pos="3686"/>
        </w:tabs>
        <w:spacing w:before="120"/>
        <w:ind w:left="709" w:hanging="709"/>
      </w:pPr>
      <w:r w:rsidRPr="00A942BB">
        <w:t xml:space="preserve">Le </w:t>
      </w:r>
      <w:r w:rsidRPr="00A942BB">
        <w:rPr>
          <w:b/>
        </w:rPr>
        <w:t>Secrétaire</w:t>
      </w:r>
      <w:r w:rsidR="00D301C4">
        <w:t xml:space="preserve"> souhaitait </w:t>
      </w:r>
      <w:r w:rsidRPr="00A942BB">
        <w:t xml:space="preserve">préciser que la </w:t>
      </w:r>
      <w:r>
        <w:t>proposition</w:t>
      </w:r>
      <w:r w:rsidRPr="00A942BB">
        <w:t xml:space="preserve"> faite par le Président ne revenait en au</w:t>
      </w:r>
      <w:r w:rsidR="00A46CAD">
        <w:t>cun cas sur le droit de chaque membre</w:t>
      </w:r>
      <w:r w:rsidRPr="00A942BB">
        <w:t xml:space="preserve"> à proposer un amendement pendant la discussion</w:t>
      </w:r>
      <w:r>
        <w:t xml:space="preserve">, </w:t>
      </w:r>
      <w:r w:rsidRPr="00A942BB">
        <w:t>conformément</w:t>
      </w:r>
      <w:r>
        <w:t xml:space="preserve"> au Règlement intérieur. Ce n</w:t>
      </w:r>
      <w:r w:rsidR="00346F1B">
        <w:t>’</w:t>
      </w:r>
      <w:r>
        <w:t>était qu</w:t>
      </w:r>
      <w:r w:rsidR="00346F1B">
        <w:t>’</w:t>
      </w:r>
      <w:r>
        <w:t xml:space="preserve">une </w:t>
      </w:r>
      <w:r w:rsidRPr="00A942BB">
        <w:t xml:space="preserve">proposition </w:t>
      </w:r>
      <w:r>
        <w:t>destinée</w:t>
      </w:r>
      <w:r w:rsidR="00CF7298">
        <w:t xml:space="preserve"> à rendre le travail plus aisé.</w:t>
      </w:r>
    </w:p>
    <w:p w14:paraId="28F3137C" w14:textId="2A00EDBE" w:rsidR="00C63D74" w:rsidRPr="00C63D74" w:rsidRDefault="00C63D74" w:rsidP="00AF7860">
      <w:pPr>
        <w:pStyle w:val="Orateurengris"/>
        <w:tabs>
          <w:tab w:val="clear" w:pos="709"/>
          <w:tab w:val="clear" w:pos="1418"/>
          <w:tab w:val="clear" w:pos="2126"/>
          <w:tab w:val="clear" w:pos="2835"/>
          <w:tab w:val="clear" w:pos="3686"/>
        </w:tabs>
        <w:spacing w:before="120"/>
        <w:ind w:left="709" w:hanging="709"/>
        <w:rPr>
          <w:i/>
        </w:rPr>
      </w:pPr>
      <w:r w:rsidRPr="00C63D74">
        <w:t xml:space="preserve">Après avoir remercié le Secrétaire pour cette précision, le </w:t>
      </w:r>
      <w:r w:rsidRPr="00C63D74">
        <w:rPr>
          <w:b/>
        </w:rPr>
        <w:t>Président</w:t>
      </w:r>
      <w:r w:rsidRPr="00C63D74">
        <w:t xml:space="preserve"> a informé le </w:t>
      </w:r>
      <w:r>
        <w:t>Comité qu</w:t>
      </w:r>
      <w:r w:rsidR="00346F1B">
        <w:t>’</w:t>
      </w:r>
      <w:r>
        <w:t xml:space="preserve">une demande avait été reçue de la part de Cuba afin que soit </w:t>
      </w:r>
      <w:r w:rsidR="009B6689">
        <w:t xml:space="preserve">observée </w:t>
      </w:r>
      <w:r w:rsidR="00CF7298">
        <w:t>une minute de silence.</w:t>
      </w:r>
    </w:p>
    <w:p w14:paraId="36F05C94" w14:textId="53177EBE" w:rsidR="00B704BF" w:rsidRPr="00C63D74" w:rsidRDefault="00C63D74" w:rsidP="00AF7860">
      <w:pPr>
        <w:pStyle w:val="Orateurengris"/>
        <w:numPr>
          <w:ilvl w:val="0"/>
          <w:numId w:val="0"/>
        </w:numPr>
        <w:tabs>
          <w:tab w:val="clear" w:pos="709"/>
          <w:tab w:val="clear" w:pos="1418"/>
          <w:tab w:val="clear" w:pos="2126"/>
          <w:tab w:val="clear" w:pos="2835"/>
        </w:tabs>
        <w:spacing w:before="240" w:after="240"/>
        <w:ind w:left="709" w:hanging="709"/>
        <w:jc w:val="center"/>
        <w:rPr>
          <w:i/>
        </w:rPr>
      </w:pPr>
      <w:r w:rsidRPr="00C63D74">
        <w:rPr>
          <w:i/>
        </w:rPr>
        <w:t>[Une minute de silence a été observée en hommage à M.</w:t>
      </w:r>
      <w:r w:rsidR="003149CB" w:rsidRPr="00C63D74">
        <w:rPr>
          <w:i/>
        </w:rPr>
        <w:t xml:space="preserve"> Fidel Castro</w:t>
      </w:r>
      <w:r w:rsidR="00E273E4">
        <w:rPr>
          <w:i/>
        </w:rPr>
        <w:t>,</w:t>
      </w:r>
      <w:r w:rsidRPr="00C63D74">
        <w:rPr>
          <w:i/>
        </w:rPr>
        <w:t xml:space="preserve"> récemment décédé</w:t>
      </w:r>
      <w:r w:rsidR="003149CB" w:rsidRPr="00C63D74">
        <w:rPr>
          <w:i/>
        </w:rPr>
        <w:t>]</w:t>
      </w:r>
    </w:p>
    <w:p w14:paraId="57B64B33" w14:textId="21F6FC8A" w:rsidR="00C63D74" w:rsidRPr="00C63D74" w:rsidRDefault="00C63D74" w:rsidP="00AF7860">
      <w:pPr>
        <w:pStyle w:val="Orateurengris"/>
        <w:tabs>
          <w:tab w:val="clear" w:pos="709"/>
          <w:tab w:val="clear" w:pos="1418"/>
          <w:tab w:val="clear" w:pos="2126"/>
          <w:tab w:val="clear" w:pos="2835"/>
          <w:tab w:val="clear" w:pos="3686"/>
        </w:tabs>
        <w:spacing w:before="120"/>
        <w:ind w:left="709" w:hanging="709"/>
        <w:rPr>
          <w:i/>
        </w:rPr>
      </w:pPr>
      <w:r w:rsidRPr="00C63D74">
        <w:t xml:space="preserve">La délégation de </w:t>
      </w:r>
      <w:r w:rsidRPr="00C63D74">
        <w:rPr>
          <w:b/>
        </w:rPr>
        <w:t>Cuba</w:t>
      </w:r>
      <w:r w:rsidRPr="00C63D74">
        <w:t xml:space="preserve"> a expliqué que la minute de silence était observée </w:t>
      </w:r>
      <w:r>
        <w:t xml:space="preserve">suite </w:t>
      </w:r>
      <w:r w:rsidRPr="00C63D74">
        <w:t xml:space="preserve">la disparition du Commandant Fidel Castro, qui était un grand exemple et </w:t>
      </w:r>
      <w:r>
        <w:t>don</w:t>
      </w:r>
      <w:r w:rsidRPr="00C63D74">
        <w:t>t le travail av</w:t>
      </w:r>
      <w:r>
        <w:t>ait permis l</w:t>
      </w:r>
      <w:r w:rsidR="00346F1B">
        <w:t>’</w:t>
      </w:r>
      <w:r w:rsidRPr="00C63D74">
        <w:t>inscription</w:t>
      </w:r>
      <w:r>
        <w:t xml:space="preserve"> de neuf éléments du patrimoine mondial de l</w:t>
      </w:r>
      <w:r w:rsidR="00346F1B">
        <w:t>’</w:t>
      </w:r>
      <w:r>
        <w:t xml:space="preserve">UNESCO. La </w:t>
      </w:r>
      <w:r w:rsidRPr="00C63D74">
        <w:t>délégation</w:t>
      </w:r>
      <w:r>
        <w:t xml:space="preserve"> a remercié chaque participant pour sa généros</w:t>
      </w:r>
      <w:r w:rsidR="00CF7298">
        <w:t>ité et les messages de soutien.</w:t>
      </w:r>
    </w:p>
    <w:p w14:paraId="52200CA8" w14:textId="483C7E90" w:rsidR="00C63D74" w:rsidRPr="00C63D74" w:rsidRDefault="00C63D74" w:rsidP="00AF7860">
      <w:pPr>
        <w:pStyle w:val="Orateurengris"/>
        <w:tabs>
          <w:tab w:val="clear" w:pos="709"/>
          <w:tab w:val="clear" w:pos="1418"/>
          <w:tab w:val="clear" w:pos="2126"/>
          <w:tab w:val="clear" w:pos="2835"/>
          <w:tab w:val="clear" w:pos="3686"/>
        </w:tabs>
        <w:spacing w:before="120"/>
        <w:ind w:left="709" w:hanging="709"/>
      </w:pPr>
      <w:r w:rsidRPr="00C63D74">
        <w:t xml:space="preserve">Le </w:t>
      </w:r>
      <w:r w:rsidRPr="00C63D74">
        <w:rPr>
          <w:b/>
        </w:rPr>
        <w:t>Président</w:t>
      </w:r>
      <w:r w:rsidRPr="00C63D74">
        <w:t xml:space="preserve"> est p</w:t>
      </w:r>
      <w:r>
        <w:t>a</w:t>
      </w:r>
      <w:r w:rsidRPr="00C63D74">
        <w:t>ssé à l</w:t>
      </w:r>
      <w:r w:rsidR="00346F1B">
        <w:t>’</w:t>
      </w:r>
      <w:r w:rsidRPr="00C63D74">
        <w:t xml:space="preserve">adoption </w:t>
      </w:r>
      <w:r>
        <w:t>de l</w:t>
      </w:r>
      <w:r w:rsidR="00346F1B">
        <w:t>’</w:t>
      </w:r>
      <w:r w:rsidRPr="00C63D74">
        <w:t>ordre du jour</w:t>
      </w:r>
      <w:r>
        <w:t xml:space="preserve">, rappelant que tous les documents étaient disponibles sur le site web de la </w:t>
      </w:r>
      <w:r w:rsidRPr="00C63D74">
        <w:t>Convention</w:t>
      </w:r>
      <w:r>
        <w:t>. En l</w:t>
      </w:r>
      <w:r w:rsidR="00346F1B">
        <w:t>’</w:t>
      </w:r>
      <w:r>
        <w:t xml:space="preserve">absence de </w:t>
      </w:r>
      <w:r w:rsidR="00F919B7">
        <w:t>commentaires ou d</w:t>
      </w:r>
      <w:r w:rsidR="00346F1B">
        <w:t>’</w:t>
      </w:r>
      <w:r w:rsidR="00F919B7">
        <w:t>objections, le</w:t>
      </w:r>
      <w:r>
        <w:t xml:space="preserve"> </w:t>
      </w:r>
      <w:r w:rsidRPr="00F919B7">
        <w:rPr>
          <w:b/>
        </w:rPr>
        <w:t>Président a déclaré la décision 11.COM 2 adoptée</w:t>
      </w:r>
      <w:r w:rsidR="00CF7298">
        <w:t>.</w:t>
      </w:r>
    </w:p>
    <w:p w14:paraId="2F309C2D" w14:textId="76452423" w:rsidR="00B404F1" w:rsidRPr="009B6689" w:rsidRDefault="009B6689" w:rsidP="00AB6B4E">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lang w:eastAsia="ko-KR"/>
        </w:rPr>
      </w:pPr>
      <w:bookmarkStart w:id="2" w:name="Item3"/>
      <w:r>
        <w:rPr>
          <w:rFonts w:eastAsia="Cambria" w:cs="Arial"/>
          <w:b/>
          <w:szCs w:val="22"/>
          <w:u w:val="single"/>
        </w:rPr>
        <w:t>POINT 3 DE L</w:t>
      </w:r>
      <w:r w:rsidR="00346F1B">
        <w:rPr>
          <w:rFonts w:eastAsia="Cambria" w:cs="Arial"/>
          <w:b/>
          <w:szCs w:val="22"/>
          <w:u w:val="single"/>
        </w:rPr>
        <w:t>’</w:t>
      </w:r>
      <w:r w:rsidRPr="009B6689">
        <w:rPr>
          <w:rFonts w:eastAsia="Cambria" w:cs="Arial"/>
          <w:b/>
          <w:szCs w:val="22"/>
          <w:u w:val="single"/>
        </w:rPr>
        <w:t>ORDRE DU JOUR</w:t>
      </w:r>
      <w:r>
        <w:rPr>
          <w:rFonts w:eastAsia="Cambria" w:cs="Arial"/>
          <w:b/>
          <w:szCs w:val="22"/>
          <w:u w:val="single"/>
        </w:rPr>
        <w:t> :</w:t>
      </w:r>
    </w:p>
    <w:bookmarkEnd w:id="2"/>
    <w:p w14:paraId="0FC08B3F" w14:textId="6CB7FA84" w:rsidR="00A631D8" w:rsidRPr="009B6689" w:rsidRDefault="009B6689" w:rsidP="00AB6B4E">
      <w:pPr>
        <w:pStyle w:val="Marge"/>
        <w:keepNext/>
        <w:tabs>
          <w:tab w:val="clear" w:pos="567"/>
          <w:tab w:val="left" w:pos="709"/>
          <w:tab w:val="left" w:pos="1418"/>
          <w:tab w:val="left" w:pos="2126"/>
          <w:tab w:val="left" w:pos="2835"/>
        </w:tabs>
        <w:spacing w:after="120"/>
        <w:ind w:left="567" w:hanging="567"/>
        <w:jc w:val="left"/>
        <w:outlineLvl w:val="0"/>
        <w:rPr>
          <w:rFonts w:eastAsia="Cambria" w:cs="Arial"/>
          <w:b/>
          <w:szCs w:val="22"/>
        </w:rPr>
      </w:pPr>
      <w:r>
        <w:rPr>
          <w:rFonts w:eastAsia="Cambria" w:cs="Arial"/>
          <w:b/>
          <w:szCs w:val="22"/>
        </w:rPr>
        <w:t>OBSERVATEURS</w:t>
      </w:r>
    </w:p>
    <w:p w14:paraId="4BA664E6" w14:textId="56F049A3" w:rsidR="00FF32CD" w:rsidRPr="009B6689" w:rsidRDefault="00FF32CD" w:rsidP="00AB6B4E">
      <w:pPr>
        <w:pStyle w:val="NormalWeb"/>
        <w:keepNext/>
        <w:tabs>
          <w:tab w:val="left" w:pos="709"/>
          <w:tab w:val="left" w:pos="1418"/>
          <w:tab w:val="left" w:pos="2126"/>
          <w:tab w:val="left" w:pos="2835"/>
        </w:tabs>
        <w:spacing w:before="120" w:beforeAutospacing="0" w:after="0" w:afterAutospacing="0"/>
        <w:ind w:left="709"/>
        <w:rPr>
          <w:rFonts w:ascii="Arial" w:hAnsi="Arial" w:cs="Arial"/>
          <w:sz w:val="22"/>
          <w:szCs w:val="22"/>
          <w:lang w:val="fr-FR"/>
        </w:rPr>
      </w:pPr>
      <w:r w:rsidRPr="009B6689">
        <w:rPr>
          <w:rFonts w:ascii="Arial" w:hAnsi="Arial" w:cs="Arial"/>
          <w:b/>
          <w:sz w:val="22"/>
          <w:szCs w:val="22"/>
          <w:lang w:val="fr-FR"/>
        </w:rPr>
        <w:t>Document</w:t>
      </w:r>
      <w:r w:rsidRPr="009B6689">
        <w:rPr>
          <w:rFonts w:ascii="Arial" w:hAnsi="Arial" w:cs="Arial"/>
          <w:b/>
          <w:sz w:val="22"/>
          <w:szCs w:val="22"/>
          <w:lang w:val="fr-FR"/>
        </w:rPr>
        <w:tab/>
      </w:r>
      <w:r w:rsidR="007B1438">
        <w:fldChar w:fldCharType="begin"/>
      </w:r>
      <w:r w:rsidR="007B1438" w:rsidRPr="007B1438">
        <w:rPr>
          <w:lang w:val="fr-FR"/>
        </w:rPr>
        <w:instrText xml:space="preserve"> HYPERLINK "https://ich.unesco.org/doc/src/ITH-16-11.COM-3-FR.docx" </w:instrText>
      </w:r>
      <w:r w:rsidR="007B1438">
        <w:fldChar w:fldCharType="separate"/>
      </w:r>
      <w:r w:rsidR="0082309E" w:rsidRPr="009B6689">
        <w:rPr>
          <w:rStyle w:val="Hyperlink"/>
          <w:rFonts w:ascii="Arial" w:hAnsi="Arial" w:cs="Arial"/>
          <w:i/>
          <w:sz w:val="22"/>
          <w:szCs w:val="22"/>
          <w:lang w:val="fr-FR"/>
        </w:rPr>
        <w:t>ITH/16/11</w:t>
      </w:r>
      <w:r w:rsidRPr="009B6689">
        <w:rPr>
          <w:rStyle w:val="Hyperlink"/>
          <w:rFonts w:ascii="Arial" w:hAnsi="Arial" w:cs="Arial"/>
          <w:i/>
          <w:sz w:val="22"/>
          <w:szCs w:val="22"/>
          <w:lang w:val="fr-FR"/>
        </w:rPr>
        <w:t>.COM/3</w:t>
      </w:r>
      <w:r w:rsidR="007B1438">
        <w:rPr>
          <w:rStyle w:val="Hyperlink"/>
          <w:rFonts w:ascii="Arial" w:hAnsi="Arial" w:cs="Arial"/>
          <w:i/>
          <w:sz w:val="22"/>
          <w:szCs w:val="22"/>
          <w:lang w:val="fr-FR"/>
        </w:rPr>
        <w:fldChar w:fldCharType="end"/>
      </w:r>
    </w:p>
    <w:p w14:paraId="04F1324A" w14:textId="2E5AB7CA" w:rsidR="00A631D8" w:rsidRPr="009B6689" w:rsidRDefault="009B6689" w:rsidP="00AB6B4E">
      <w:pPr>
        <w:keepNext/>
        <w:tabs>
          <w:tab w:val="left" w:pos="709"/>
          <w:tab w:val="left" w:pos="1418"/>
          <w:tab w:val="left" w:pos="2126"/>
          <w:tab w:val="left" w:pos="2835"/>
        </w:tabs>
        <w:spacing w:before="60" w:after="240"/>
        <w:ind w:left="709"/>
        <w:rPr>
          <w:rFonts w:ascii="Arial" w:hAnsi="Arial" w:cs="Arial"/>
          <w:i/>
          <w:sz w:val="22"/>
          <w:szCs w:val="22"/>
        </w:rPr>
      </w:pPr>
      <w:r>
        <w:rPr>
          <w:rFonts w:ascii="Arial" w:hAnsi="Arial" w:cs="Arial"/>
          <w:b/>
          <w:sz w:val="22"/>
          <w:szCs w:val="22"/>
        </w:rPr>
        <w:t>Dé</w:t>
      </w:r>
      <w:r w:rsidR="00FF32CD" w:rsidRPr="009B6689">
        <w:rPr>
          <w:rFonts w:ascii="Arial" w:hAnsi="Arial" w:cs="Arial"/>
          <w:b/>
          <w:sz w:val="22"/>
          <w:szCs w:val="22"/>
        </w:rPr>
        <w:t>cision</w:t>
      </w:r>
      <w:r w:rsidR="00FF32CD" w:rsidRPr="009B6689">
        <w:rPr>
          <w:rFonts w:ascii="Arial" w:hAnsi="Arial" w:cs="Arial"/>
          <w:b/>
          <w:sz w:val="22"/>
          <w:szCs w:val="22"/>
        </w:rPr>
        <w:tab/>
      </w:r>
      <w:r w:rsidR="00A03B92" w:rsidRPr="009B6689">
        <w:rPr>
          <w:rFonts w:ascii="Arial" w:hAnsi="Arial" w:cs="Arial"/>
          <w:i/>
          <w:sz w:val="22"/>
          <w:szCs w:val="22"/>
        </w:rPr>
        <w:t>11</w:t>
      </w:r>
      <w:r w:rsidR="0082309E" w:rsidRPr="009B6689">
        <w:rPr>
          <w:rFonts w:ascii="Arial" w:hAnsi="Arial" w:cs="Arial"/>
          <w:i/>
          <w:sz w:val="22"/>
          <w:szCs w:val="22"/>
        </w:rPr>
        <w:t>.COM 3</w:t>
      </w:r>
    </w:p>
    <w:p w14:paraId="7A41FCEC" w14:textId="697D3791" w:rsidR="009B6689" w:rsidRDefault="009B6689" w:rsidP="00AF7860">
      <w:pPr>
        <w:pStyle w:val="Orateurengris"/>
        <w:spacing w:before="120"/>
        <w:ind w:left="709" w:hanging="709"/>
      </w:pPr>
      <w:r>
        <w:t xml:space="preserve">Le </w:t>
      </w:r>
      <w:r w:rsidRPr="009B6689">
        <w:rPr>
          <w:b/>
        </w:rPr>
        <w:t>Président</w:t>
      </w:r>
      <w:r>
        <w:t xml:space="preserve"> est ensuite passé au point 3 de l</w:t>
      </w:r>
      <w:r w:rsidR="00346F1B">
        <w:t>’</w:t>
      </w:r>
      <w:r w:rsidRPr="009B6689">
        <w:t>ordre du jour</w:t>
      </w:r>
      <w:r>
        <w:t xml:space="preserve"> consacré aux observateurs.</w:t>
      </w:r>
    </w:p>
    <w:p w14:paraId="5FF0D5E6" w14:textId="6966F3B7" w:rsidR="009B6689" w:rsidRPr="009B6689" w:rsidRDefault="009B6689" w:rsidP="00AF7860">
      <w:pPr>
        <w:pStyle w:val="Orateurengris"/>
        <w:spacing w:before="120"/>
        <w:ind w:left="709" w:hanging="709"/>
      </w:pPr>
      <w:r>
        <w:t xml:space="preserve">Après avoir présenté le point, le </w:t>
      </w:r>
      <w:r w:rsidRPr="009B6689">
        <w:rPr>
          <w:b/>
        </w:rPr>
        <w:t>Secrétaire</w:t>
      </w:r>
      <w:r>
        <w:t xml:space="preserve"> a expliqué que cet exercice annuel était rendu nécessaire par le Règlement intérieur du Comité dont les articles 8.1 et 8.2 permettaient aux participants suivants d</w:t>
      </w:r>
      <w:r w:rsidR="00346F1B">
        <w:t>’</w:t>
      </w:r>
      <w:r>
        <w:t>être admis automatiquement en tant qu</w:t>
      </w:r>
      <w:r w:rsidR="00346F1B">
        <w:t>’</w:t>
      </w:r>
      <w:r>
        <w:t>ob</w:t>
      </w:r>
      <w:r w:rsidR="00A46CAD">
        <w:t>servateurs : États parties non membres</w:t>
      </w:r>
      <w:r>
        <w:t xml:space="preserve"> du Comité, États non parties à la </w:t>
      </w:r>
      <w:r w:rsidRPr="009B6689">
        <w:t>Convention</w:t>
      </w:r>
      <w:r>
        <w:t xml:space="preserve"> qui s</w:t>
      </w:r>
      <w:r w:rsidR="00A46CAD">
        <w:t>ont États membres de l</w:t>
      </w:r>
      <w:r w:rsidR="00346F1B">
        <w:t>’</w:t>
      </w:r>
      <w:r w:rsidR="00A46CAD">
        <w:t>UNESCO, membres</w:t>
      </w:r>
      <w:r>
        <w:t xml:space="preserve"> associés de l</w:t>
      </w:r>
      <w:r w:rsidR="00346F1B">
        <w:t>’</w:t>
      </w:r>
      <w:r>
        <w:t>UNESCO, missions permanentes d</w:t>
      </w:r>
      <w:r w:rsidR="00346F1B">
        <w:t>’</w:t>
      </w:r>
      <w:r>
        <w:t>observation auprès de l</w:t>
      </w:r>
      <w:r w:rsidR="00346F1B">
        <w:t>’</w:t>
      </w:r>
      <w:r>
        <w:t>UNESCO</w:t>
      </w:r>
      <w:r w:rsidR="007D33E1">
        <w:t xml:space="preserve"> et représentants de l</w:t>
      </w:r>
      <w:r w:rsidR="00346F1B">
        <w:t>’</w:t>
      </w:r>
      <w:r w:rsidR="007D33E1">
        <w:t>ONU</w:t>
      </w:r>
      <w:r>
        <w:t xml:space="preserve"> et des </w:t>
      </w:r>
      <w:r w:rsidR="007D33E1" w:rsidRPr="007D33E1">
        <w:t>institutions</w:t>
      </w:r>
      <w:r w:rsidR="007D33E1">
        <w:t xml:space="preserve"> </w:t>
      </w:r>
      <w:r>
        <w:t xml:space="preserve">du système des Nations Unies. </w:t>
      </w:r>
      <w:r w:rsidR="007D33E1">
        <w:t>L</w:t>
      </w:r>
      <w:r w:rsidR="00346F1B">
        <w:t>’</w:t>
      </w:r>
      <w:r w:rsidR="007D33E1">
        <w:t xml:space="preserve">article 8.3 faisait </w:t>
      </w:r>
      <w:r w:rsidR="007D33E1" w:rsidRPr="007D33E1">
        <w:t>également</w:t>
      </w:r>
      <w:r w:rsidR="007D33E1">
        <w:t xml:space="preserve"> </w:t>
      </w:r>
      <w:r w:rsidR="004575E5">
        <w:t xml:space="preserve">référence </w:t>
      </w:r>
      <w:r w:rsidR="007D33E1">
        <w:t>aux organisations internationales autres que celles mentionnées à l</w:t>
      </w:r>
      <w:r w:rsidR="00346F1B">
        <w:t>’</w:t>
      </w:r>
      <w:r w:rsidR="007D33E1">
        <w:t xml:space="preserve">article 8.2, aux organes publics et privés et aux personnes privées qui pouvaient </w:t>
      </w:r>
      <w:r w:rsidR="007D33E1" w:rsidRPr="007D33E1">
        <w:t>également</w:t>
      </w:r>
      <w:r w:rsidR="007D33E1">
        <w:t xml:space="preserve"> assister en tant qu</w:t>
      </w:r>
      <w:r w:rsidR="00346F1B">
        <w:t>’</w:t>
      </w:r>
      <w:r w:rsidR="007D33E1">
        <w:t xml:space="preserve">observateurs sur demande écrite. Par sa décision 10.COM 3, le Comité avait autorisé la </w:t>
      </w:r>
      <w:r w:rsidR="007D33E1" w:rsidRPr="007D33E1">
        <w:t>participation</w:t>
      </w:r>
      <w:r w:rsidR="004575E5">
        <w:t>, en tant qu</w:t>
      </w:r>
      <w:r w:rsidR="00346F1B">
        <w:t>’</w:t>
      </w:r>
      <w:r w:rsidR="004575E5">
        <w:t>observateur,</w:t>
      </w:r>
      <w:r w:rsidR="007D33E1">
        <w:t xml:space="preserve"> de l</w:t>
      </w:r>
      <w:r w:rsidR="00346F1B">
        <w:t>’</w:t>
      </w:r>
      <w:r w:rsidR="007D33E1">
        <w:t>Organisation arabe pour l</w:t>
      </w:r>
      <w:r w:rsidR="00346F1B">
        <w:t>’</w:t>
      </w:r>
      <w:r w:rsidR="007D33E1">
        <w:t>éducation, la culture et les sciences (Arab League Educational, Cultural and Scientific Organization –</w:t>
      </w:r>
      <w:r w:rsidR="004575E5">
        <w:t xml:space="preserve"> ALECSO) aux</w:t>
      </w:r>
      <w:r w:rsidR="007D33E1">
        <w:t xml:space="preserve"> onzième, douzième et treizième sessions et du Centre international </w:t>
      </w:r>
      <w:r w:rsidR="004575E5">
        <w:t xml:space="preserve">de </w:t>
      </w:r>
      <w:r w:rsidR="004575E5" w:rsidRPr="004575E5">
        <w:t>recherche</w:t>
      </w:r>
      <w:r w:rsidR="004575E5">
        <w:t xml:space="preserve"> et de </w:t>
      </w:r>
      <w:r w:rsidR="004575E5" w:rsidRPr="004575E5">
        <w:t>documentation</w:t>
      </w:r>
      <w:r w:rsidR="004575E5">
        <w:t xml:space="preserve"> sur les traditions et langues africaines (CERDOTOLA) aux onzième, douzième, treizième et quatorzième sessions. Une autre </w:t>
      </w:r>
      <w:r w:rsidR="004575E5" w:rsidRPr="004575E5">
        <w:t>organisation</w:t>
      </w:r>
      <w:r w:rsidR="004575E5">
        <w:t xml:space="preserve">, le Conseil international de la chasse et de la </w:t>
      </w:r>
      <w:r w:rsidR="004575E5" w:rsidRPr="004575E5">
        <w:t>conservation</w:t>
      </w:r>
      <w:r w:rsidR="004575E5">
        <w:t xml:space="preserve"> du gibier (International Council for Game and Wildlife Conservation – CIC) avait soumis une demande écrite pour participer aux douzième, treizième et quatorzième sessions </w:t>
      </w:r>
      <w:r w:rsidR="00E56521">
        <w:t xml:space="preserve">du Comité </w:t>
      </w:r>
      <w:r w:rsidR="004575E5">
        <w:t>en tant qu</w:t>
      </w:r>
      <w:r w:rsidR="00346F1B">
        <w:t>’</w:t>
      </w:r>
      <w:r w:rsidR="004575E5" w:rsidRPr="004575E5">
        <w:t>observateur</w:t>
      </w:r>
      <w:r w:rsidR="004575E5">
        <w:t xml:space="preserve">. Le </w:t>
      </w:r>
      <w:r w:rsidR="004575E5" w:rsidRPr="004575E5">
        <w:t>Secrétaire</w:t>
      </w:r>
      <w:r w:rsidR="004575E5">
        <w:t xml:space="preserve"> a rappelé que les ONG accréditées étaient automatiquement acceptées en tant qu</w:t>
      </w:r>
      <w:r w:rsidR="00346F1B">
        <w:t>’</w:t>
      </w:r>
      <w:r w:rsidR="004575E5" w:rsidRPr="004575E5">
        <w:t>observateur</w:t>
      </w:r>
      <w:r w:rsidR="00E56521">
        <w:t>s</w:t>
      </w:r>
      <w:r w:rsidR="004575E5">
        <w:t xml:space="preserve"> aux sessions du Comité, </w:t>
      </w:r>
      <w:r w:rsidR="004575E5" w:rsidRPr="004575E5">
        <w:t>conformément</w:t>
      </w:r>
      <w:r w:rsidR="004575E5">
        <w:t xml:space="preserve"> à l</w:t>
      </w:r>
      <w:r w:rsidR="00346F1B">
        <w:t>’</w:t>
      </w:r>
      <w:r w:rsidR="004575E5">
        <w:t>ar</w:t>
      </w:r>
      <w:r w:rsidR="00CF7298">
        <w:t>ticle 6 du Règlement intérieur.</w:t>
      </w:r>
    </w:p>
    <w:p w14:paraId="153564C3" w14:textId="0203CA2D" w:rsidR="00E56521" w:rsidRDefault="00E56521" w:rsidP="00AF7860">
      <w:pPr>
        <w:pStyle w:val="Orateurengris"/>
        <w:spacing w:before="120"/>
        <w:ind w:left="709" w:hanging="709"/>
      </w:pPr>
      <w:r>
        <w:t xml:space="preserve">Le </w:t>
      </w:r>
      <w:r w:rsidRPr="00E56521">
        <w:rPr>
          <w:b/>
        </w:rPr>
        <w:t>Président</w:t>
      </w:r>
      <w:r>
        <w:t xml:space="preserve"> a rappelé que les observateurs étaient autorisés à intervenir pendant un débat général ou après qu</w:t>
      </w:r>
      <w:r w:rsidR="00346F1B">
        <w:t>’</w:t>
      </w:r>
      <w:r>
        <w:t>une décision a été prise, mais pas durant les débats sur les projets de décision. En l</w:t>
      </w:r>
      <w:r w:rsidR="00346F1B">
        <w:t>’</w:t>
      </w:r>
      <w:r>
        <w:t>absence d</w:t>
      </w:r>
      <w:r w:rsidR="00346F1B">
        <w:t>’</w:t>
      </w:r>
      <w:r>
        <w:t xml:space="preserve">objections, </w:t>
      </w:r>
      <w:r w:rsidRPr="00E56521">
        <w:t>le</w:t>
      </w:r>
      <w:r w:rsidRPr="00E56521">
        <w:rPr>
          <w:b/>
        </w:rPr>
        <w:t xml:space="preserve"> Président a déclaré la décision 11.COM</w:t>
      </w:r>
      <w:r w:rsidR="00CF7298">
        <w:rPr>
          <w:b/>
        </w:rPr>
        <w:t> </w:t>
      </w:r>
      <w:r w:rsidRPr="00E56521">
        <w:rPr>
          <w:b/>
        </w:rPr>
        <w:t>3 adoptée</w:t>
      </w:r>
      <w:r w:rsidR="00CF7298">
        <w:t>.</w:t>
      </w:r>
    </w:p>
    <w:p w14:paraId="04EFBCC0" w14:textId="6AADFC5E" w:rsidR="00B404F1" w:rsidRPr="00E56521" w:rsidRDefault="00E56521" w:rsidP="002B4948">
      <w:pPr>
        <w:pStyle w:val="Marge"/>
        <w:keepNext/>
        <w:tabs>
          <w:tab w:val="clear" w:pos="567"/>
          <w:tab w:val="left" w:pos="709"/>
          <w:tab w:val="left" w:pos="1418"/>
          <w:tab w:val="left" w:pos="2126"/>
          <w:tab w:val="left" w:pos="2835"/>
        </w:tabs>
        <w:spacing w:before="360" w:after="60"/>
        <w:ind w:left="567" w:hanging="567"/>
        <w:jc w:val="left"/>
        <w:outlineLvl w:val="0"/>
        <w:rPr>
          <w:rFonts w:eastAsia="Malgun Gothic" w:cs="Arial"/>
          <w:b/>
          <w:szCs w:val="22"/>
          <w:u w:val="single"/>
          <w:lang w:eastAsia="ko-KR"/>
        </w:rPr>
      </w:pPr>
      <w:bookmarkStart w:id="3" w:name="Item4"/>
      <w:r>
        <w:rPr>
          <w:rFonts w:eastAsia="Cambria" w:cs="Arial"/>
          <w:b/>
          <w:szCs w:val="22"/>
          <w:u w:val="single"/>
        </w:rPr>
        <w:t>POINT 4 DE L</w:t>
      </w:r>
      <w:r w:rsidR="00346F1B">
        <w:rPr>
          <w:rFonts w:eastAsia="Cambria" w:cs="Arial"/>
          <w:b/>
          <w:szCs w:val="22"/>
          <w:u w:val="single"/>
        </w:rPr>
        <w:t>’</w:t>
      </w:r>
      <w:r w:rsidRPr="00E56521">
        <w:rPr>
          <w:rFonts w:eastAsia="Cambria" w:cs="Arial"/>
          <w:b/>
          <w:szCs w:val="22"/>
          <w:u w:val="single"/>
        </w:rPr>
        <w:t>ORDRE DU JOUR</w:t>
      </w:r>
      <w:r>
        <w:rPr>
          <w:rFonts w:eastAsia="Cambria" w:cs="Arial"/>
          <w:b/>
          <w:szCs w:val="22"/>
          <w:u w:val="single"/>
        </w:rPr>
        <w:t xml:space="preserve"> </w:t>
      </w:r>
      <w:r w:rsidRPr="00E56521">
        <w:rPr>
          <w:rFonts w:eastAsia="Cambria" w:cs="Arial"/>
          <w:b/>
          <w:szCs w:val="22"/>
          <w:u w:val="single"/>
        </w:rPr>
        <w:t>:</w:t>
      </w:r>
    </w:p>
    <w:bookmarkEnd w:id="3"/>
    <w:p w14:paraId="3E5744EC" w14:textId="43A6E3CC" w:rsidR="00547C45" w:rsidRPr="00E56521" w:rsidRDefault="00E56521" w:rsidP="002B4948">
      <w:pPr>
        <w:pStyle w:val="Marge"/>
        <w:keepNext/>
        <w:tabs>
          <w:tab w:val="clear" w:pos="567"/>
          <w:tab w:val="left" w:pos="709"/>
          <w:tab w:val="left" w:pos="1418"/>
          <w:tab w:val="left" w:pos="2126"/>
          <w:tab w:val="left" w:pos="2835"/>
        </w:tabs>
        <w:spacing w:after="120"/>
        <w:ind w:left="567" w:hanging="567"/>
        <w:jc w:val="left"/>
        <w:outlineLvl w:val="0"/>
        <w:rPr>
          <w:rFonts w:eastAsia="Cambria" w:cs="Arial"/>
          <w:b/>
          <w:szCs w:val="22"/>
          <w:u w:val="single"/>
        </w:rPr>
      </w:pPr>
      <w:r>
        <w:rPr>
          <w:rFonts w:eastAsia="Cambria" w:cs="Arial"/>
          <w:b/>
          <w:szCs w:val="22"/>
        </w:rPr>
        <w:t xml:space="preserve">ADOPTION DU </w:t>
      </w:r>
      <w:r w:rsidRPr="00E56521">
        <w:rPr>
          <w:rFonts w:eastAsia="Cambria" w:cs="Arial"/>
          <w:b/>
          <w:szCs w:val="22"/>
        </w:rPr>
        <w:t>COMPTE-RENDU</w:t>
      </w:r>
      <w:r>
        <w:rPr>
          <w:rFonts w:eastAsia="Cambria" w:cs="Arial"/>
          <w:b/>
          <w:szCs w:val="22"/>
        </w:rPr>
        <w:t xml:space="preserve"> DE LA DIXIÈME SESSION DU COMITÉ</w:t>
      </w:r>
    </w:p>
    <w:p w14:paraId="7935DFB4" w14:textId="45364CF7" w:rsidR="009C6DBA" w:rsidRPr="00E56521" w:rsidRDefault="00FF32CD" w:rsidP="00AB6B4E">
      <w:pPr>
        <w:pStyle w:val="NormalWeb"/>
        <w:tabs>
          <w:tab w:val="left" w:pos="709"/>
          <w:tab w:val="left" w:pos="1418"/>
          <w:tab w:val="left" w:pos="2126"/>
          <w:tab w:val="left" w:pos="2835"/>
        </w:tabs>
        <w:spacing w:before="120" w:beforeAutospacing="0" w:after="60" w:afterAutospacing="0"/>
        <w:ind w:left="1276" w:hanging="567"/>
        <w:rPr>
          <w:rFonts w:ascii="Arial" w:hAnsi="Arial" w:cs="Arial"/>
          <w:i/>
          <w:sz w:val="22"/>
          <w:szCs w:val="22"/>
          <w:lang w:val="fr-FR"/>
        </w:rPr>
      </w:pPr>
      <w:r w:rsidRPr="00E56521">
        <w:rPr>
          <w:rFonts w:ascii="Arial" w:hAnsi="Arial" w:cs="Arial"/>
          <w:b/>
          <w:sz w:val="22"/>
          <w:szCs w:val="22"/>
          <w:lang w:val="fr-FR"/>
        </w:rPr>
        <w:t>Document</w:t>
      </w:r>
      <w:r w:rsidRPr="00E56521">
        <w:rPr>
          <w:rFonts w:ascii="Arial" w:hAnsi="Arial" w:cs="Arial"/>
          <w:b/>
          <w:sz w:val="22"/>
          <w:szCs w:val="22"/>
          <w:lang w:val="fr-FR"/>
        </w:rPr>
        <w:tab/>
      </w:r>
      <w:r w:rsidR="007B1438">
        <w:fldChar w:fldCharType="begin"/>
      </w:r>
      <w:r w:rsidR="007B1438" w:rsidRPr="007B1438">
        <w:rPr>
          <w:lang w:val="fr-FR"/>
        </w:rPr>
        <w:instrText xml:space="preserve"> HYPERLINK "https://ich.unesco.org/doc/src/ITH-16-11.COM-4-FR.docx" </w:instrText>
      </w:r>
      <w:r w:rsidR="007B1438">
        <w:fldChar w:fldCharType="separate"/>
      </w:r>
      <w:r w:rsidR="009C6DBA" w:rsidRPr="00E56521">
        <w:rPr>
          <w:rStyle w:val="Hyperlink"/>
          <w:rFonts w:ascii="Arial" w:hAnsi="Arial" w:cs="Arial"/>
          <w:i/>
          <w:sz w:val="22"/>
          <w:szCs w:val="22"/>
          <w:lang w:val="fr-FR"/>
        </w:rPr>
        <w:t>ITH/16/11.COM/4</w:t>
      </w:r>
      <w:r w:rsidR="007B1438">
        <w:rPr>
          <w:rStyle w:val="Hyperlink"/>
          <w:rFonts w:ascii="Arial" w:hAnsi="Arial" w:cs="Arial"/>
          <w:i/>
          <w:sz w:val="22"/>
          <w:szCs w:val="22"/>
          <w:lang w:val="fr-FR"/>
        </w:rPr>
        <w:fldChar w:fldCharType="end"/>
      </w:r>
    </w:p>
    <w:p w14:paraId="15F38A96" w14:textId="527F6134" w:rsidR="00DF682F" w:rsidRPr="00E56521" w:rsidRDefault="00E56521" w:rsidP="00AB6B4E">
      <w:pPr>
        <w:tabs>
          <w:tab w:val="left" w:pos="709"/>
          <w:tab w:val="left" w:pos="1418"/>
          <w:tab w:val="left" w:pos="2126"/>
          <w:tab w:val="left" w:pos="2835"/>
        </w:tabs>
        <w:spacing w:after="240"/>
        <w:ind w:left="1276" w:hanging="567"/>
        <w:rPr>
          <w:rFonts w:ascii="Arial" w:hAnsi="Arial" w:cs="Arial"/>
          <w:i/>
          <w:sz w:val="22"/>
          <w:szCs w:val="22"/>
        </w:rPr>
      </w:pPr>
      <w:r>
        <w:rPr>
          <w:rFonts w:ascii="Arial" w:hAnsi="Arial" w:cs="Arial"/>
          <w:b/>
          <w:sz w:val="22"/>
          <w:szCs w:val="22"/>
        </w:rPr>
        <w:t>Dé</w:t>
      </w:r>
      <w:r w:rsidR="00FF32CD" w:rsidRPr="00E56521">
        <w:rPr>
          <w:rFonts w:ascii="Arial" w:hAnsi="Arial" w:cs="Arial"/>
          <w:b/>
          <w:sz w:val="22"/>
          <w:szCs w:val="22"/>
        </w:rPr>
        <w:t>cision</w:t>
      </w:r>
      <w:r w:rsidR="00FF32CD" w:rsidRPr="00E56521">
        <w:rPr>
          <w:rFonts w:ascii="Arial" w:hAnsi="Arial" w:cs="Arial"/>
          <w:b/>
          <w:sz w:val="22"/>
          <w:szCs w:val="22"/>
        </w:rPr>
        <w:tab/>
      </w:r>
      <w:r w:rsidR="009C6DBA" w:rsidRPr="00E56521">
        <w:rPr>
          <w:rFonts w:ascii="Arial" w:hAnsi="Arial" w:cs="Arial"/>
          <w:i/>
          <w:sz w:val="22"/>
          <w:szCs w:val="22"/>
        </w:rPr>
        <w:t>11.COM 4</w:t>
      </w:r>
    </w:p>
    <w:p w14:paraId="22486155" w14:textId="4BCC003E" w:rsidR="00E56521" w:rsidRPr="00E56521" w:rsidRDefault="00E56521" w:rsidP="00AF7860">
      <w:pPr>
        <w:pStyle w:val="Orateurengris"/>
        <w:spacing w:before="120"/>
        <w:ind w:left="709" w:hanging="709"/>
      </w:pPr>
      <w:r>
        <w:t xml:space="preserve">Le </w:t>
      </w:r>
      <w:r w:rsidRPr="00E56521">
        <w:rPr>
          <w:b/>
        </w:rPr>
        <w:t>Président</w:t>
      </w:r>
      <w:r>
        <w:t xml:space="preserve"> est passé à l</w:t>
      </w:r>
      <w:r w:rsidR="00346F1B">
        <w:t>’</w:t>
      </w:r>
      <w:r>
        <w:t xml:space="preserve">approbation du projet de </w:t>
      </w:r>
      <w:r w:rsidRPr="00E56521">
        <w:t>compte-rendu</w:t>
      </w:r>
      <w:r>
        <w:t xml:space="preserve"> de la dixième session du Comité qui s</w:t>
      </w:r>
      <w:r w:rsidR="00346F1B">
        <w:t>’</w:t>
      </w:r>
      <w:r>
        <w:t>est tenu</w:t>
      </w:r>
      <w:r w:rsidR="00AE255E">
        <w:t>e</w:t>
      </w:r>
      <w:r w:rsidR="00CF7298">
        <w:t xml:space="preserve"> à Windhoek, Namibie.</w:t>
      </w:r>
    </w:p>
    <w:p w14:paraId="41C54F62" w14:textId="5B398EFD" w:rsidR="00871C71" w:rsidRPr="00871C71" w:rsidRDefault="00871C71" w:rsidP="00AF7860">
      <w:pPr>
        <w:pStyle w:val="Orateurengris"/>
        <w:spacing w:before="120"/>
        <w:ind w:left="709" w:hanging="709"/>
      </w:pPr>
      <w:r w:rsidRPr="00871C71">
        <w:t xml:space="preserve">Le </w:t>
      </w:r>
      <w:r w:rsidRPr="00871C71">
        <w:rPr>
          <w:b/>
        </w:rPr>
        <w:t>Secrétaire</w:t>
      </w:r>
      <w:r w:rsidRPr="00871C71">
        <w:t xml:space="preserve"> a expliqué que le compte-rendu prenait note des discussions et décisions du Comité pendant sa dixième session. Ce long document était ainsi destiné à constituer un enregistrement fidèle des débat</w:t>
      </w:r>
      <w:r w:rsidR="00A46CAD">
        <w:t>s et interventions de tous les membres</w:t>
      </w:r>
      <w:r w:rsidRPr="00871C71">
        <w:t xml:space="preserve"> du Comité et des observateurs, qui pourrait être réutilisé chaque fois que cela s</w:t>
      </w:r>
      <w:r w:rsidR="00346F1B">
        <w:t>’</w:t>
      </w:r>
      <w:r w:rsidRPr="00871C71">
        <w:t>avérera</w:t>
      </w:r>
      <w:r>
        <w:t>it</w:t>
      </w:r>
      <w:r w:rsidRPr="00871C71">
        <w:t xml:space="preserve"> nécessaire. Le calendrier et les enregistrements sonores des débats de la dixième session du Comité étaient disponibles </w:t>
      </w:r>
      <w:hyperlink r:id="rId16" w:history="1">
        <w:r w:rsidRPr="00871C71">
          <w:rPr>
            <w:rStyle w:val="Hyperlink"/>
          </w:rPr>
          <w:t>en ligne</w:t>
        </w:r>
      </w:hyperlink>
      <w:r w:rsidR="00CF7298">
        <w:rPr>
          <w:rStyle w:val="Hyperlink"/>
          <w:color w:val="auto"/>
          <w:u w:val="none"/>
        </w:rPr>
        <w:t>.</w:t>
      </w:r>
    </w:p>
    <w:p w14:paraId="6C9A83C4" w14:textId="52AAFC6C" w:rsidR="00871C71" w:rsidRDefault="00871C71" w:rsidP="00AF7860">
      <w:pPr>
        <w:pStyle w:val="Orateurengris"/>
        <w:spacing w:before="120"/>
        <w:ind w:left="709" w:hanging="709"/>
      </w:pPr>
      <w:r>
        <w:t>En l</w:t>
      </w:r>
      <w:r w:rsidR="00346F1B">
        <w:t>’</w:t>
      </w:r>
      <w:r>
        <w:t>absence d</w:t>
      </w:r>
      <w:r w:rsidR="00346F1B">
        <w:t>’</w:t>
      </w:r>
      <w:r>
        <w:t xml:space="preserve">objections, le </w:t>
      </w:r>
      <w:r w:rsidRPr="00871C71">
        <w:rPr>
          <w:b/>
        </w:rPr>
        <w:t>Président a déclaré la décision 11.COM 4 adoptée</w:t>
      </w:r>
      <w:r w:rsidR="00CF7298">
        <w:t>.</w:t>
      </w:r>
    </w:p>
    <w:p w14:paraId="1B073AFE" w14:textId="4184EB68" w:rsidR="00163285" w:rsidRPr="00BE5B9D" w:rsidRDefault="00AE255E" w:rsidP="00AF7860">
      <w:pPr>
        <w:pStyle w:val="Orateurengris"/>
        <w:spacing w:before="120"/>
        <w:ind w:left="709" w:hanging="709"/>
      </w:pPr>
      <w:r w:rsidRPr="00934F32">
        <w:t>Avant de passer au prochain point de l</w:t>
      </w:r>
      <w:r w:rsidR="00346F1B">
        <w:t>’</w:t>
      </w:r>
      <w:r w:rsidRPr="00934F32">
        <w:t xml:space="preserve">ordre du jour, le point 5, le </w:t>
      </w:r>
      <w:r w:rsidRPr="00934F32">
        <w:rPr>
          <w:b/>
        </w:rPr>
        <w:t>Président</w:t>
      </w:r>
      <w:r w:rsidRPr="00934F32">
        <w:t xml:space="preserve"> a informé le Comité que le Bureau avait été convoqué à trois reprises depuis la session en Namibie, une consultation par voie électronique</w:t>
      </w:r>
      <w:r w:rsidR="00BE5B9D">
        <w:t xml:space="preserve"> et deux réunions en présentiel</w:t>
      </w:r>
      <w:r w:rsidR="0033142D">
        <w:t>. L</w:t>
      </w:r>
      <w:r w:rsidR="00346F1B">
        <w:t>’</w:t>
      </w:r>
      <w:r w:rsidR="0033142D">
        <w:t>ensemble d</w:t>
      </w:r>
      <w:r w:rsidRPr="00934F32">
        <w:t>es documents et décisions liés aux réunions du Bureau étaient disponibles sur</w:t>
      </w:r>
      <w:r w:rsidR="0033142D">
        <w:t xml:space="preserve"> le</w:t>
      </w:r>
      <w:r w:rsidRPr="00934F32">
        <w:t xml:space="preserve"> </w:t>
      </w:r>
      <w:hyperlink r:id="rId17" w:history="1">
        <w:r w:rsidRPr="00934F32">
          <w:rPr>
            <w:rStyle w:val="Hyperlink"/>
          </w:rPr>
          <w:t>site web</w:t>
        </w:r>
      </w:hyperlink>
      <w:r w:rsidRPr="00934F32">
        <w:rPr>
          <w:rStyle w:val="Hyperlink"/>
          <w:color w:val="auto"/>
          <w:u w:val="none"/>
        </w:rPr>
        <w:t xml:space="preserve"> de la Convention. </w:t>
      </w:r>
      <w:r w:rsidR="00934F32" w:rsidRPr="00934F32">
        <w:rPr>
          <w:rStyle w:val="Hyperlink"/>
          <w:color w:val="auto"/>
          <w:u w:val="none"/>
        </w:rPr>
        <w:t>Lors de la consultation électronique</w:t>
      </w:r>
      <w:r w:rsidR="00934F32">
        <w:rPr>
          <w:rStyle w:val="Hyperlink"/>
          <w:color w:val="auto"/>
          <w:u w:val="none"/>
        </w:rPr>
        <w:t xml:space="preserve"> qui a</w:t>
      </w:r>
      <w:r w:rsidR="00CB2F93">
        <w:rPr>
          <w:rStyle w:val="Hyperlink"/>
          <w:color w:val="auto"/>
          <w:u w:val="none"/>
        </w:rPr>
        <w:t>vait</w:t>
      </w:r>
      <w:r w:rsidR="00934F32">
        <w:rPr>
          <w:rStyle w:val="Hyperlink"/>
          <w:color w:val="auto"/>
          <w:u w:val="none"/>
        </w:rPr>
        <w:t xml:space="preserve"> eu lieu en mars 2016, le Bureau a</w:t>
      </w:r>
      <w:r w:rsidR="00CB2F93">
        <w:rPr>
          <w:rStyle w:val="Hyperlink"/>
          <w:color w:val="auto"/>
          <w:u w:val="none"/>
        </w:rPr>
        <w:t>vait</w:t>
      </w:r>
      <w:r w:rsidR="00934F32">
        <w:rPr>
          <w:rStyle w:val="Hyperlink"/>
          <w:color w:val="auto"/>
          <w:u w:val="none"/>
        </w:rPr>
        <w:t xml:space="preserve"> approuvé le rapport final du Comité à l</w:t>
      </w:r>
      <w:r w:rsidR="00346F1B">
        <w:rPr>
          <w:rStyle w:val="Hyperlink"/>
          <w:color w:val="auto"/>
          <w:u w:val="none"/>
        </w:rPr>
        <w:t>’</w:t>
      </w:r>
      <w:r w:rsidR="00934F32">
        <w:rPr>
          <w:rStyle w:val="Hyperlink"/>
          <w:color w:val="auto"/>
          <w:u w:val="none"/>
        </w:rPr>
        <w:t>Assemblée générale, l</w:t>
      </w:r>
      <w:r w:rsidR="00346F1B">
        <w:rPr>
          <w:rStyle w:val="Hyperlink"/>
          <w:color w:val="auto"/>
          <w:u w:val="none"/>
        </w:rPr>
        <w:t>’</w:t>
      </w:r>
      <w:r w:rsidR="00934F32">
        <w:rPr>
          <w:rStyle w:val="Hyperlink"/>
          <w:color w:val="auto"/>
          <w:u w:val="none"/>
        </w:rPr>
        <w:t>aperçu et les résumés révisés des rapports périodiques examinés par le Comité en 2015 ainsi que trois demande</w:t>
      </w:r>
      <w:r w:rsidR="0033142D">
        <w:rPr>
          <w:rStyle w:val="Hyperlink"/>
          <w:color w:val="auto"/>
          <w:u w:val="none"/>
        </w:rPr>
        <w:t>s</w:t>
      </w:r>
      <w:r w:rsidR="00934F32">
        <w:rPr>
          <w:rStyle w:val="Hyperlink"/>
          <w:color w:val="auto"/>
          <w:u w:val="none"/>
        </w:rPr>
        <w:t xml:space="preserve"> d</w:t>
      </w:r>
      <w:r w:rsidR="00346F1B">
        <w:rPr>
          <w:rStyle w:val="Hyperlink"/>
          <w:color w:val="auto"/>
          <w:u w:val="none"/>
        </w:rPr>
        <w:t>’</w:t>
      </w:r>
      <w:r w:rsidR="00934F32">
        <w:rPr>
          <w:rStyle w:val="Hyperlink"/>
          <w:color w:val="auto"/>
          <w:u w:val="none"/>
        </w:rPr>
        <w:t>assistance internationale</w:t>
      </w:r>
      <w:r w:rsidR="000637A8">
        <w:rPr>
          <w:rStyle w:val="Hyperlink"/>
          <w:color w:val="auto"/>
          <w:u w:val="none"/>
        </w:rPr>
        <w:t xml:space="preserve"> jusqu</w:t>
      </w:r>
      <w:r w:rsidR="00346F1B">
        <w:rPr>
          <w:rStyle w:val="Hyperlink"/>
          <w:color w:val="auto"/>
          <w:u w:val="none"/>
        </w:rPr>
        <w:t>’</w:t>
      </w:r>
      <w:r w:rsidR="00934F32">
        <w:rPr>
          <w:rStyle w:val="Hyperlink"/>
          <w:color w:val="auto"/>
          <w:u w:val="none"/>
        </w:rPr>
        <w:t>à 25</w:t>
      </w:r>
      <w:r w:rsidR="00346F1B">
        <w:rPr>
          <w:rStyle w:val="Hyperlink"/>
          <w:color w:val="auto"/>
          <w:u w:val="none"/>
        </w:rPr>
        <w:t> 000</w:t>
      </w:r>
      <w:r w:rsidR="00934F32">
        <w:rPr>
          <w:rStyle w:val="Hyperlink"/>
          <w:color w:val="auto"/>
          <w:u w:val="none"/>
        </w:rPr>
        <w:t xml:space="preserve"> </w:t>
      </w:r>
      <w:r w:rsidR="00934F32" w:rsidRPr="00934F32">
        <w:rPr>
          <w:rStyle w:val="Hyperlink"/>
          <w:color w:val="auto"/>
          <w:u w:val="none"/>
        </w:rPr>
        <w:t>dollars des États-Unis</w:t>
      </w:r>
      <w:r w:rsidR="00934F32">
        <w:rPr>
          <w:rStyle w:val="Hyperlink"/>
          <w:color w:val="auto"/>
          <w:u w:val="none"/>
        </w:rPr>
        <w:t xml:space="preserve"> soumises par les Fidji, le Kenya et la Zambie. </w:t>
      </w:r>
      <w:r w:rsidR="000637A8">
        <w:rPr>
          <w:rStyle w:val="Hyperlink"/>
          <w:color w:val="auto"/>
          <w:u w:val="none"/>
        </w:rPr>
        <w:t>Au cours de l</w:t>
      </w:r>
      <w:r w:rsidR="00934F32">
        <w:rPr>
          <w:rStyle w:val="Hyperlink"/>
          <w:color w:val="auto"/>
          <w:u w:val="none"/>
        </w:rPr>
        <w:t>a première d</w:t>
      </w:r>
      <w:r w:rsidR="00BE5B9D">
        <w:rPr>
          <w:rStyle w:val="Hyperlink"/>
          <w:color w:val="auto"/>
          <w:u w:val="none"/>
        </w:rPr>
        <w:t>es deux réunions en présentiel</w:t>
      </w:r>
      <w:r w:rsidR="000637A8">
        <w:rPr>
          <w:rStyle w:val="Hyperlink"/>
          <w:color w:val="auto"/>
          <w:u w:val="none"/>
        </w:rPr>
        <w:t xml:space="preserve">, qui </w:t>
      </w:r>
      <w:r w:rsidR="00CB2F93">
        <w:rPr>
          <w:rStyle w:val="Hyperlink"/>
          <w:color w:val="auto"/>
          <w:u w:val="none"/>
        </w:rPr>
        <w:t>s</w:t>
      </w:r>
      <w:r w:rsidR="00346F1B">
        <w:rPr>
          <w:rStyle w:val="Hyperlink"/>
          <w:color w:val="auto"/>
          <w:u w:val="none"/>
        </w:rPr>
        <w:t>’</w:t>
      </w:r>
      <w:r w:rsidR="00CB2F93">
        <w:rPr>
          <w:rStyle w:val="Hyperlink"/>
          <w:color w:val="auto"/>
          <w:u w:val="none"/>
        </w:rPr>
        <w:t>était</w:t>
      </w:r>
      <w:r w:rsidR="00934F32">
        <w:rPr>
          <w:rStyle w:val="Hyperlink"/>
          <w:color w:val="auto"/>
          <w:u w:val="none"/>
        </w:rPr>
        <w:t xml:space="preserve"> déroulée en juin 2016</w:t>
      </w:r>
      <w:r w:rsidR="000637A8">
        <w:rPr>
          <w:rStyle w:val="Hyperlink"/>
          <w:color w:val="auto"/>
          <w:u w:val="none"/>
        </w:rPr>
        <w:t>, le Secrétariat a</w:t>
      </w:r>
      <w:r w:rsidR="00CB2F93">
        <w:rPr>
          <w:rStyle w:val="Hyperlink"/>
          <w:color w:val="auto"/>
          <w:u w:val="none"/>
        </w:rPr>
        <w:t>vait</w:t>
      </w:r>
      <w:r w:rsidR="000637A8">
        <w:rPr>
          <w:rStyle w:val="Hyperlink"/>
          <w:color w:val="auto"/>
          <w:u w:val="none"/>
        </w:rPr>
        <w:t xml:space="preserve"> présenté une </w:t>
      </w:r>
      <w:r w:rsidR="000637A8" w:rsidRPr="000637A8">
        <w:rPr>
          <w:rStyle w:val="Hyperlink"/>
          <w:color w:val="auto"/>
          <w:u w:val="none"/>
        </w:rPr>
        <w:t xml:space="preserve">proposition </w:t>
      </w:r>
      <w:r w:rsidR="000637A8">
        <w:rPr>
          <w:rStyle w:val="Hyperlink"/>
          <w:color w:val="auto"/>
          <w:u w:val="none"/>
        </w:rPr>
        <w:t>d</w:t>
      </w:r>
      <w:r w:rsidR="00346F1B">
        <w:rPr>
          <w:rStyle w:val="Hyperlink"/>
          <w:color w:val="auto"/>
          <w:u w:val="none"/>
        </w:rPr>
        <w:t>’</w:t>
      </w:r>
      <w:r w:rsidR="000637A8" w:rsidRPr="000637A8">
        <w:rPr>
          <w:rStyle w:val="Hyperlink"/>
          <w:color w:val="auto"/>
          <w:u w:val="none"/>
        </w:rPr>
        <w:t>utilisation</w:t>
      </w:r>
      <w:r w:rsidR="000637A8">
        <w:rPr>
          <w:rStyle w:val="Hyperlink"/>
          <w:color w:val="auto"/>
          <w:u w:val="none"/>
        </w:rPr>
        <w:t xml:space="preserve"> des fonds alloués aux « autres fonctions du Comité » et deux demandes d</w:t>
      </w:r>
      <w:r w:rsidR="00346F1B">
        <w:rPr>
          <w:rStyle w:val="Hyperlink"/>
          <w:color w:val="auto"/>
          <w:u w:val="none"/>
        </w:rPr>
        <w:t>’</w:t>
      </w:r>
      <w:r w:rsidR="000637A8">
        <w:rPr>
          <w:rStyle w:val="Hyperlink"/>
          <w:color w:val="auto"/>
          <w:u w:val="none"/>
        </w:rPr>
        <w:t>assistance internationale jusqu</w:t>
      </w:r>
      <w:r w:rsidR="00346F1B">
        <w:rPr>
          <w:rStyle w:val="Hyperlink"/>
          <w:color w:val="auto"/>
          <w:u w:val="none"/>
        </w:rPr>
        <w:t>’</w:t>
      </w:r>
      <w:r w:rsidR="000637A8">
        <w:rPr>
          <w:rStyle w:val="Hyperlink"/>
          <w:color w:val="auto"/>
          <w:u w:val="none"/>
        </w:rPr>
        <w:t>à 25</w:t>
      </w:r>
      <w:r w:rsidR="00346F1B">
        <w:rPr>
          <w:rStyle w:val="Hyperlink"/>
          <w:color w:val="auto"/>
          <w:u w:val="none"/>
        </w:rPr>
        <w:t> 000</w:t>
      </w:r>
      <w:r w:rsidR="000637A8">
        <w:rPr>
          <w:rStyle w:val="Hyperlink"/>
          <w:color w:val="auto"/>
          <w:u w:val="none"/>
        </w:rPr>
        <w:t xml:space="preserve"> </w:t>
      </w:r>
      <w:r w:rsidR="000637A8" w:rsidRPr="000637A8">
        <w:rPr>
          <w:rStyle w:val="Hyperlink"/>
          <w:color w:val="auto"/>
          <w:u w:val="none"/>
        </w:rPr>
        <w:t>dollars des États-Unis</w:t>
      </w:r>
      <w:r w:rsidR="000637A8">
        <w:rPr>
          <w:rStyle w:val="Hyperlink"/>
          <w:color w:val="auto"/>
          <w:u w:val="none"/>
        </w:rPr>
        <w:t xml:space="preserve"> </w:t>
      </w:r>
      <w:r w:rsidR="0033142D">
        <w:rPr>
          <w:rStyle w:val="Hyperlink"/>
          <w:color w:val="auto"/>
          <w:u w:val="none"/>
        </w:rPr>
        <w:t xml:space="preserve">soumises par le </w:t>
      </w:r>
      <w:r w:rsidR="000637A8">
        <w:rPr>
          <w:rStyle w:val="Hyperlink"/>
          <w:color w:val="auto"/>
          <w:u w:val="none"/>
        </w:rPr>
        <w:t>Lesotho et la Zambie. Le plan d</w:t>
      </w:r>
      <w:r w:rsidR="00346F1B">
        <w:rPr>
          <w:rStyle w:val="Hyperlink"/>
          <w:color w:val="auto"/>
          <w:u w:val="none"/>
        </w:rPr>
        <w:t>’</w:t>
      </w:r>
      <w:r w:rsidR="000637A8" w:rsidRPr="000637A8">
        <w:rPr>
          <w:rStyle w:val="Hyperlink"/>
          <w:color w:val="auto"/>
          <w:u w:val="none"/>
        </w:rPr>
        <w:t>utilisation</w:t>
      </w:r>
      <w:r w:rsidR="000637A8">
        <w:rPr>
          <w:rStyle w:val="Hyperlink"/>
          <w:color w:val="auto"/>
          <w:u w:val="none"/>
        </w:rPr>
        <w:t xml:space="preserve"> et les deux demandes </w:t>
      </w:r>
      <w:r w:rsidR="0033142D">
        <w:rPr>
          <w:rStyle w:val="Hyperlink"/>
          <w:color w:val="auto"/>
          <w:u w:val="none"/>
        </w:rPr>
        <w:t>d</w:t>
      </w:r>
      <w:r w:rsidR="00346F1B">
        <w:rPr>
          <w:rStyle w:val="Hyperlink"/>
          <w:color w:val="auto"/>
          <w:u w:val="none"/>
        </w:rPr>
        <w:t>’</w:t>
      </w:r>
      <w:r w:rsidR="0033142D" w:rsidRPr="0033142D">
        <w:rPr>
          <w:rStyle w:val="Hyperlink"/>
          <w:color w:val="auto"/>
          <w:u w:val="none"/>
        </w:rPr>
        <w:t>assistance</w:t>
      </w:r>
      <w:r w:rsidR="0033142D">
        <w:rPr>
          <w:rStyle w:val="Hyperlink"/>
          <w:color w:val="auto"/>
          <w:u w:val="none"/>
        </w:rPr>
        <w:t xml:space="preserve"> </w:t>
      </w:r>
      <w:r w:rsidR="00CB2F93">
        <w:rPr>
          <w:rStyle w:val="Hyperlink"/>
          <w:color w:val="auto"/>
          <w:u w:val="none"/>
        </w:rPr>
        <w:t xml:space="preserve">avaient </w:t>
      </w:r>
      <w:r w:rsidR="000637A8">
        <w:rPr>
          <w:rStyle w:val="Hyperlink"/>
          <w:color w:val="auto"/>
          <w:u w:val="none"/>
        </w:rPr>
        <w:t xml:space="preserve">été approuvés deux semaines plus tard par consultation </w:t>
      </w:r>
      <w:r w:rsidR="000637A8" w:rsidRPr="000637A8">
        <w:rPr>
          <w:rStyle w:val="Hyperlink"/>
          <w:color w:val="auto"/>
          <w:u w:val="none"/>
        </w:rPr>
        <w:t>électronique</w:t>
      </w:r>
      <w:r w:rsidR="00CB2F93">
        <w:rPr>
          <w:rStyle w:val="Hyperlink"/>
          <w:color w:val="auto"/>
          <w:u w:val="none"/>
        </w:rPr>
        <w:t>. Le Bureau s</w:t>
      </w:r>
      <w:r w:rsidR="00346F1B">
        <w:rPr>
          <w:rStyle w:val="Hyperlink"/>
          <w:color w:val="auto"/>
          <w:u w:val="none"/>
        </w:rPr>
        <w:t>’</w:t>
      </w:r>
      <w:r w:rsidR="00CB2F93">
        <w:rPr>
          <w:rStyle w:val="Hyperlink"/>
          <w:color w:val="auto"/>
          <w:u w:val="none"/>
        </w:rPr>
        <w:t>était</w:t>
      </w:r>
      <w:r w:rsidR="000637A8">
        <w:rPr>
          <w:rStyle w:val="Hyperlink"/>
          <w:color w:val="auto"/>
          <w:u w:val="none"/>
        </w:rPr>
        <w:t xml:space="preserve"> </w:t>
      </w:r>
      <w:r w:rsidR="000637A8" w:rsidRPr="000637A8">
        <w:rPr>
          <w:rStyle w:val="Hyperlink"/>
          <w:color w:val="auto"/>
          <w:u w:val="none"/>
        </w:rPr>
        <w:t>également</w:t>
      </w:r>
      <w:r w:rsidR="00BE5B9D">
        <w:rPr>
          <w:rStyle w:val="Hyperlink"/>
          <w:color w:val="auto"/>
          <w:u w:val="none"/>
        </w:rPr>
        <w:t xml:space="preserve"> réuni en présentiel</w:t>
      </w:r>
      <w:r w:rsidR="000637A8" w:rsidRPr="00BE5B9D">
        <w:rPr>
          <w:rStyle w:val="Hyperlink"/>
          <w:color w:val="auto"/>
          <w:u w:val="none"/>
        </w:rPr>
        <w:t xml:space="preserve"> le 20 octobre 2016 afin de débattre et d</w:t>
      </w:r>
      <w:r w:rsidR="00346F1B">
        <w:rPr>
          <w:rStyle w:val="Hyperlink"/>
          <w:color w:val="auto"/>
          <w:u w:val="none"/>
        </w:rPr>
        <w:t>’</w:t>
      </w:r>
      <w:r w:rsidR="000637A8" w:rsidRPr="00BE5B9D">
        <w:rPr>
          <w:rStyle w:val="Hyperlink"/>
          <w:color w:val="auto"/>
          <w:u w:val="none"/>
        </w:rPr>
        <w:t>approuver le calendrier provisoire de la onzième session du Comité. Durant cette réunion, le Bureau a</w:t>
      </w:r>
      <w:r w:rsidR="00CB2F93">
        <w:rPr>
          <w:rStyle w:val="Hyperlink"/>
          <w:color w:val="auto"/>
          <w:u w:val="none"/>
        </w:rPr>
        <w:t>vait</w:t>
      </w:r>
      <w:r w:rsidR="000637A8" w:rsidRPr="00BE5B9D">
        <w:rPr>
          <w:rStyle w:val="Hyperlink"/>
          <w:color w:val="auto"/>
          <w:u w:val="none"/>
        </w:rPr>
        <w:t xml:space="preserve"> examiné et approuvé quatre demandes d</w:t>
      </w:r>
      <w:r w:rsidR="00346F1B">
        <w:rPr>
          <w:rStyle w:val="Hyperlink"/>
          <w:color w:val="auto"/>
          <w:u w:val="none"/>
        </w:rPr>
        <w:t>’</w:t>
      </w:r>
      <w:r w:rsidR="000637A8" w:rsidRPr="00BE5B9D">
        <w:rPr>
          <w:rStyle w:val="Hyperlink"/>
          <w:color w:val="auto"/>
          <w:u w:val="none"/>
        </w:rPr>
        <w:t>assistance internationale et il lui a</w:t>
      </w:r>
      <w:r w:rsidR="00CB2F93">
        <w:rPr>
          <w:rStyle w:val="Hyperlink"/>
          <w:color w:val="auto"/>
          <w:u w:val="none"/>
        </w:rPr>
        <w:t>vait</w:t>
      </w:r>
      <w:r w:rsidR="000637A8" w:rsidRPr="00BE5B9D">
        <w:rPr>
          <w:rStyle w:val="Hyperlink"/>
          <w:color w:val="auto"/>
          <w:u w:val="none"/>
        </w:rPr>
        <w:t xml:space="preserve"> été demandé d</w:t>
      </w:r>
      <w:r w:rsidR="00346F1B">
        <w:rPr>
          <w:rStyle w:val="Hyperlink"/>
          <w:color w:val="auto"/>
          <w:u w:val="none"/>
        </w:rPr>
        <w:t>’</w:t>
      </w:r>
      <w:r w:rsidR="000637A8" w:rsidRPr="00BE5B9D">
        <w:rPr>
          <w:rStyle w:val="Hyperlink"/>
          <w:color w:val="auto"/>
          <w:u w:val="none"/>
        </w:rPr>
        <w:t>examiner, pour la première fois, des demandes jusqu</w:t>
      </w:r>
      <w:r w:rsidR="00346F1B">
        <w:rPr>
          <w:rStyle w:val="Hyperlink"/>
          <w:color w:val="auto"/>
          <w:u w:val="none"/>
        </w:rPr>
        <w:t>’</w:t>
      </w:r>
      <w:r w:rsidR="000637A8" w:rsidRPr="00BE5B9D">
        <w:rPr>
          <w:rStyle w:val="Hyperlink"/>
          <w:color w:val="auto"/>
          <w:u w:val="none"/>
        </w:rPr>
        <w:t>à 100</w:t>
      </w:r>
      <w:r w:rsidR="00346F1B">
        <w:rPr>
          <w:rStyle w:val="Hyperlink"/>
          <w:color w:val="auto"/>
          <w:u w:val="none"/>
        </w:rPr>
        <w:t> 000</w:t>
      </w:r>
      <w:r w:rsidR="000637A8" w:rsidRPr="00BE5B9D">
        <w:rPr>
          <w:rStyle w:val="Hyperlink"/>
          <w:color w:val="auto"/>
          <w:u w:val="none"/>
        </w:rPr>
        <w:t xml:space="preserve"> dollars des États-Unis</w:t>
      </w:r>
      <w:r w:rsidR="0033142D" w:rsidRPr="00BE5B9D">
        <w:rPr>
          <w:rStyle w:val="Hyperlink"/>
          <w:color w:val="auto"/>
          <w:u w:val="none"/>
        </w:rPr>
        <w:t>,</w:t>
      </w:r>
      <w:r w:rsidR="000637A8" w:rsidRPr="00BE5B9D">
        <w:rPr>
          <w:rStyle w:val="Hyperlink"/>
          <w:color w:val="auto"/>
          <w:u w:val="none"/>
        </w:rPr>
        <w:t xml:space="preserve"> suite à l</w:t>
      </w:r>
      <w:r w:rsidR="00346F1B">
        <w:rPr>
          <w:rStyle w:val="Hyperlink"/>
          <w:color w:val="auto"/>
          <w:u w:val="none"/>
        </w:rPr>
        <w:t>’</w:t>
      </w:r>
      <w:r w:rsidR="000637A8" w:rsidRPr="00BE5B9D">
        <w:rPr>
          <w:rStyle w:val="Hyperlink"/>
          <w:color w:val="auto"/>
          <w:u w:val="none"/>
        </w:rPr>
        <w:t>approbation par l</w:t>
      </w:r>
      <w:r w:rsidR="00346F1B">
        <w:rPr>
          <w:rStyle w:val="Hyperlink"/>
          <w:color w:val="auto"/>
          <w:u w:val="none"/>
        </w:rPr>
        <w:t>’</w:t>
      </w:r>
      <w:r w:rsidR="000637A8" w:rsidRPr="00BE5B9D">
        <w:rPr>
          <w:rStyle w:val="Hyperlink"/>
          <w:color w:val="auto"/>
          <w:u w:val="none"/>
        </w:rPr>
        <w:t>Assemblée générale à sa sixième session en juin 2016, du plafond plus élevé. Les deux projets approuvés relevant de cette cat</w:t>
      </w:r>
      <w:r w:rsidR="0033142D" w:rsidRPr="00BE5B9D">
        <w:rPr>
          <w:rStyle w:val="Hyperlink"/>
          <w:color w:val="auto"/>
          <w:u w:val="none"/>
        </w:rPr>
        <w:t>égorie étaient : i) un projet soumis par le</w:t>
      </w:r>
      <w:r w:rsidR="000637A8" w:rsidRPr="00BE5B9D">
        <w:rPr>
          <w:rStyle w:val="Hyperlink"/>
          <w:color w:val="auto"/>
          <w:u w:val="none"/>
        </w:rPr>
        <w:t xml:space="preserve"> Botswana </w:t>
      </w:r>
      <w:r w:rsidR="0033142D" w:rsidRPr="00BE5B9D">
        <w:rPr>
          <w:rStyle w:val="Hyperlink"/>
          <w:color w:val="auto"/>
          <w:u w:val="none"/>
        </w:rPr>
        <w:t xml:space="preserve">destiné à </w:t>
      </w:r>
      <w:r w:rsidR="000637A8" w:rsidRPr="00BE5B9D">
        <w:rPr>
          <w:rStyle w:val="Hyperlink"/>
          <w:color w:val="auto"/>
          <w:u w:val="none"/>
        </w:rPr>
        <w:t>soutenir la mise en œuvre d</w:t>
      </w:r>
      <w:r w:rsidR="00346F1B">
        <w:rPr>
          <w:rStyle w:val="Hyperlink"/>
          <w:color w:val="auto"/>
          <w:u w:val="none"/>
        </w:rPr>
        <w:t>’</w:t>
      </w:r>
      <w:r w:rsidR="000637A8" w:rsidRPr="00BE5B9D">
        <w:rPr>
          <w:rStyle w:val="Hyperlink"/>
          <w:color w:val="auto"/>
          <w:u w:val="none"/>
        </w:rPr>
        <w:t xml:space="preserve">un plan de sauvegarde </w:t>
      </w:r>
      <w:r w:rsidR="00DE66CA" w:rsidRPr="00BE5B9D">
        <w:rPr>
          <w:rStyle w:val="Hyperlink"/>
          <w:color w:val="auto"/>
          <w:u w:val="none"/>
        </w:rPr>
        <w:t>du « Savoir-faire de la poterie en terre cuite dans le district de Kgatleng », élément inscrit sur la Liste de sauvegarde urgente en 2012, pour un montant de 68</w:t>
      </w:r>
      <w:r w:rsidR="00695748">
        <w:rPr>
          <w:rStyle w:val="Hyperlink"/>
          <w:color w:val="auto"/>
          <w:u w:val="none"/>
        </w:rPr>
        <w:t> </w:t>
      </w:r>
      <w:r w:rsidR="00DE66CA" w:rsidRPr="00BE5B9D">
        <w:rPr>
          <w:rStyle w:val="Hyperlink"/>
          <w:color w:val="auto"/>
          <w:u w:val="none"/>
        </w:rPr>
        <w:t xml:space="preserve">261 dollars des États-Unis ; et ii) un projet </w:t>
      </w:r>
      <w:r w:rsidR="0033142D" w:rsidRPr="00BE5B9D">
        <w:rPr>
          <w:rStyle w:val="Hyperlink"/>
          <w:color w:val="auto"/>
          <w:u w:val="none"/>
        </w:rPr>
        <w:t xml:space="preserve">soumis par les </w:t>
      </w:r>
      <w:r w:rsidR="00CB2F93">
        <w:rPr>
          <w:rStyle w:val="Hyperlink"/>
          <w:color w:val="auto"/>
          <w:u w:val="none"/>
        </w:rPr>
        <w:t xml:space="preserve">Seychelles </w:t>
      </w:r>
      <w:r w:rsidR="0033142D" w:rsidRPr="00BE5B9D">
        <w:rPr>
          <w:rStyle w:val="Hyperlink"/>
          <w:color w:val="auto"/>
          <w:u w:val="none"/>
        </w:rPr>
        <w:t xml:space="preserve">destiné à </w:t>
      </w:r>
      <w:r w:rsidR="00DE66CA" w:rsidRPr="00BE5B9D">
        <w:rPr>
          <w:rStyle w:val="Hyperlink"/>
          <w:color w:val="auto"/>
          <w:u w:val="none"/>
        </w:rPr>
        <w:t>soutenir un programme de renforcement des capacités au niveau national c</w:t>
      </w:r>
      <w:r w:rsidR="00CB2F93">
        <w:rPr>
          <w:rStyle w:val="Hyperlink"/>
          <w:color w:val="auto"/>
          <w:u w:val="none"/>
        </w:rPr>
        <w:t>onsacré à la mise en œuvre de la</w:t>
      </w:r>
      <w:r w:rsidR="00DE66CA" w:rsidRPr="00BE5B9D">
        <w:rPr>
          <w:rStyle w:val="Hyperlink"/>
          <w:color w:val="auto"/>
          <w:u w:val="none"/>
        </w:rPr>
        <w:t xml:space="preserve"> Convention et à l</w:t>
      </w:r>
      <w:r w:rsidR="00346F1B">
        <w:rPr>
          <w:rStyle w:val="Hyperlink"/>
          <w:color w:val="auto"/>
          <w:u w:val="none"/>
        </w:rPr>
        <w:t>’</w:t>
      </w:r>
      <w:r w:rsidR="00DE66CA" w:rsidRPr="00BE5B9D">
        <w:rPr>
          <w:rStyle w:val="Hyperlink"/>
          <w:color w:val="auto"/>
          <w:u w:val="none"/>
        </w:rPr>
        <w:t>inventaire à participation communautaire, pour un montant de 90</w:t>
      </w:r>
      <w:r w:rsidR="00346F1B">
        <w:rPr>
          <w:rStyle w:val="Hyperlink"/>
          <w:color w:val="auto"/>
          <w:u w:val="none"/>
        </w:rPr>
        <w:t> 000</w:t>
      </w:r>
      <w:r w:rsidR="00DE66CA" w:rsidRPr="00BE5B9D">
        <w:rPr>
          <w:rStyle w:val="Hyperlink"/>
          <w:color w:val="auto"/>
          <w:u w:val="none"/>
        </w:rPr>
        <w:t xml:space="preserve"> dollars des États-Unis. Le Bureau a</w:t>
      </w:r>
      <w:r w:rsidR="00CB2F93">
        <w:rPr>
          <w:rStyle w:val="Hyperlink"/>
          <w:color w:val="auto"/>
          <w:u w:val="none"/>
        </w:rPr>
        <w:t>vait</w:t>
      </w:r>
      <w:r w:rsidR="00DE66CA" w:rsidRPr="00BE5B9D">
        <w:rPr>
          <w:rStyle w:val="Hyperlink"/>
          <w:color w:val="auto"/>
          <w:u w:val="none"/>
        </w:rPr>
        <w:t xml:space="preserve"> également examiné la demande d</w:t>
      </w:r>
      <w:r w:rsidR="00346F1B">
        <w:rPr>
          <w:rStyle w:val="Hyperlink"/>
          <w:color w:val="auto"/>
          <w:u w:val="none"/>
        </w:rPr>
        <w:t>’</w:t>
      </w:r>
      <w:r w:rsidR="00DE66CA" w:rsidRPr="00BE5B9D">
        <w:rPr>
          <w:rStyle w:val="Hyperlink"/>
          <w:color w:val="auto"/>
          <w:u w:val="none"/>
        </w:rPr>
        <w:t>assistance internationale soumise par le Kenya, pour un montant de 144</w:t>
      </w:r>
      <w:r w:rsidR="00695748">
        <w:rPr>
          <w:rStyle w:val="Hyperlink"/>
          <w:color w:val="auto"/>
          <w:u w:val="none"/>
        </w:rPr>
        <w:t> </w:t>
      </w:r>
      <w:r w:rsidR="00DE66CA" w:rsidRPr="00BE5B9D">
        <w:rPr>
          <w:rStyle w:val="Hyperlink"/>
          <w:color w:val="auto"/>
          <w:u w:val="none"/>
        </w:rPr>
        <w:t>430 dollars des États-Unis</w:t>
      </w:r>
      <w:r w:rsidR="0033142D" w:rsidRPr="00BE5B9D">
        <w:rPr>
          <w:rStyle w:val="Hyperlink"/>
          <w:color w:val="auto"/>
          <w:u w:val="none"/>
        </w:rPr>
        <w:t>, destiné</w:t>
      </w:r>
      <w:r w:rsidR="00CB2F93">
        <w:rPr>
          <w:rStyle w:val="Hyperlink"/>
          <w:color w:val="auto"/>
          <w:u w:val="none"/>
        </w:rPr>
        <w:t>e</w:t>
      </w:r>
      <w:r w:rsidR="0033142D" w:rsidRPr="00BE5B9D">
        <w:rPr>
          <w:rStyle w:val="Hyperlink"/>
          <w:color w:val="auto"/>
          <w:u w:val="none"/>
        </w:rPr>
        <w:t xml:space="preserve"> au</w:t>
      </w:r>
      <w:r w:rsidR="00DE66CA" w:rsidRPr="00BE5B9D">
        <w:rPr>
          <w:rStyle w:val="Hyperlink"/>
          <w:color w:val="auto"/>
          <w:u w:val="none"/>
        </w:rPr>
        <w:t xml:space="preserve"> projet de « Sauvegarde de Enkipaata, Eunoto et Olng</w:t>
      </w:r>
      <w:r w:rsidR="00346F1B">
        <w:rPr>
          <w:rStyle w:val="Hyperlink"/>
          <w:color w:val="auto"/>
          <w:u w:val="none"/>
        </w:rPr>
        <w:t>’</w:t>
      </w:r>
      <w:r w:rsidR="00DE66CA" w:rsidRPr="00BE5B9D">
        <w:rPr>
          <w:rStyle w:val="Hyperlink"/>
          <w:color w:val="auto"/>
          <w:u w:val="none"/>
        </w:rPr>
        <w:t>esherr, trois rites de passage masculins de la communauté masaï ». Le Président a rappelé que le Co</w:t>
      </w:r>
      <w:r w:rsidR="00C82E86">
        <w:rPr>
          <w:rStyle w:val="Hyperlink"/>
          <w:color w:val="auto"/>
          <w:u w:val="none"/>
        </w:rPr>
        <w:t>mité avait examiné cette demande</w:t>
      </w:r>
      <w:r w:rsidR="00DE66CA" w:rsidRPr="00BE5B9D">
        <w:rPr>
          <w:rStyle w:val="Hyperlink"/>
          <w:color w:val="auto"/>
          <w:u w:val="none"/>
        </w:rPr>
        <w:t xml:space="preserve"> en 2015 et </w:t>
      </w:r>
      <w:r w:rsidR="00163285" w:rsidRPr="00BE5B9D">
        <w:rPr>
          <w:rStyle w:val="Hyperlink"/>
          <w:color w:val="auto"/>
          <w:u w:val="none"/>
        </w:rPr>
        <w:t>avait délégué son autorité au Bureau pour approuver une demande révisée. Enfin, au cours de la même réunion du Bureau, celui-ci avait également approuvé une demande d</w:t>
      </w:r>
      <w:r w:rsidR="00346F1B">
        <w:rPr>
          <w:rStyle w:val="Hyperlink"/>
          <w:color w:val="auto"/>
          <w:u w:val="none"/>
        </w:rPr>
        <w:t>’</w:t>
      </w:r>
      <w:r w:rsidR="00163285" w:rsidRPr="00BE5B9D">
        <w:rPr>
          <w:rStyle w:val="Hyperlink"/>
          <w:color w:val="auto"/>
          <w:u w:val="none"/>
        </w:rPr>
        <w:t xml:space="preserve">assistance internationale </w:t>
      </w:r>
      <w:r w:rsidR="0033142D" w:rsidRPr="00BE5B9D">
        <w:rPr>
          <w:rStyle w:val="Hyperlink"/>
          <w:color w:val="auto"/>
          <w:u w:val="none"/>
        </w:rPr>
        <w:t xml:space="preserve">soumise par </w:t>
      </w:r>
      <w:r w:rsidR="00163285" w:rsidRPr="00BE5B9D">
        <w:rPr>
          <w:rStyle w:val="Hyperlink"/>
          <w:color w:val="auto"/>
          <w:u w:val="none"/>
        </w:rPr>
        <w:t>El Salvador, pour un montant de 24</w:t>
      </w:r>
      <w:r w:rsidR="00695748">
        <w:rPr>
          <w:rStyle w:val="Hyperlink"/>
          <w:color w:val="auto"/>
          <w:u w:val="none"/>
        </w:rPr>
        <w:t> </w:t>
      </w:r>
      <w:r w:rsidR="00163285" w:rsidRPr="00BE5B9D">
        <w:rPr>
          <w:rStyle w:val="Hyperlink"/>
          <w:color w:val="auto"/>
          <w:u w:val="none"/>
        </w:rPr>
        <w:t>995 dollars des États-Unis. Le montant total approuvé s</w:t>
      </w:r>
      <w:r w:rsidR="00346F1B">
        <w:rPr>
          <w:rStyle w:val="Hyperlink"/>
          <w:color w:val="auto"/>
          <w:u w:val="none"/>
        </w:rPr>
        <w:t>’</w:t>
      </w:r>
      <w:r w:rsidR="00163285" w:rsidRPr="00BE5B9D">
        <w:rPr>
          <w:rStyle w:val="Hyperlink"/>
          <w:color w:val="auto"/>
          <w:u w:val="none"/>
        </w:rPr>
        <w:t>élevait à 451</w:t>
      </w:r>
      <w:r w:rsidR="00346F1B">
        <w:rPr>
          <w:rStyle w:val="Hyperlink"/>
          <w:color w:val="auto"/>
          <w:u w:val="none"/>
        </w:rPr>
        <w:t> 000</w:t>
      </w:r>
      <w:r w:rsidR="00163285" w:rsidRPr="00BE5B9D">
        <w:rPr>
          <w:rStyle w:val="Hyperlink"/>
          <w:color w:val="auto"/>
          <w:u w:val="none"/>
        </w:rPr>
        <w:t xml:space="preserve"> dollars des États-Unis. Le Président a ensuite invité les représentants du Forum des ONG du PCI à faire un bref rapport du symposium qui s</w:t>
      </w:r>
      <w:r w:rsidR="00346F1B">
        <w:rPr>
          <w:rStyle w:val="Hyperlink"/>
          <w:color w:val="auto"/>
          <w:u w:val="none"/>
        </w:rPr>
        <w:t>’</w:t>
      </w:r>
      <w:r w:rsidR="00163285" w:rsidRPr="00BE5B9D">
        <w:rPr>
          <w:rStyle w:val="Hyperlink"/>
          <w:color w:val="auto"/>
          <w:u w:val="none"/>
        </w:rPr>
        <w:t>était tenu le jour précédent : c</w:t>
      </w:r>
      <w:r w:rsidR="00346F1B">
        <w:rPr>
          <w:rStyle w:val="Hyperlink"/>
          <w:color w:val="auto"/>
          <w:u w:val="none"/>
        </w:rPr>
        <w:t>’</w:t>
      </w:r>
      <w:r w:rsidR="00163285" w:rsidRPr="00BE5B9D">
        <w:rPr>
          <w:rStyle w:val="Hyperlink"/>
          <w:color w:val="auto"/>
          <w:u w:val="none"/>
        </w:rPr>
        <w:t>était une pratique habituelle dans les sessions du Comité depuis 2010, à l</w:t>
      </w:r>
      <w:r w:rsidR="00346F1B">
        <w:rPr>
          <w:rStyle w:val="Hyperlink"/>
          <w:color w:val="auto"/>
          <w:u w:val="none"/>
        </w:rPr>
        <w:t>’</w:t>
      </w:r>
      <w:r w:rsidR="00163285" w:rsidRPr="00BE5B9D">
        <w:rPr>
          <w:rStyle w:val="Hyperlink"/>
          <w:color w:val="auto"/>
          <w:u w:val="none"/>
        </w:rPr>
        <w:t>occasion de laquelle les conclusions du symposium étaient systématiquement présentées au Comité, conformément à la décision prise à Bakou en 2013.</w:t>
      </w:r>
    </w:p>
    <w:p w14:paraId="1731CC8A" w14:textId="2347D0A5" w:rsidR="0077372D" w:rsidRPr="0077372D" w:rsidRDefault="0033142D" w:rsidP="00AF7860">
      <w:pPr>
        <w:pStyle w:val="Orateurengris"/>
        <w:spacing w:before="120"/>
        <w:ind w:left="709" w:hanging="709"/>
      </w:pPr>
      <w:r w:rsidRPr="0033142D">
        <w:t>S</w:t>
      </w:r>
      <w:r w:rsidR="00346F1B">
        <w:t>’</w:t>
      </w:r>
      <w:r>
        <w:t xml:space="preserve">exprimant au nom du Forum des ONG du PCI, </w:t>
      </w:r>
      <w:r w:rsidRPr="0033142D">
        <w:rPr>
          <w:b/>
        </w:rPr>
        <w:t>M. Léonce Ki</w:t>
      </w:r>
      <w:r>
        <w:t xml:space="preserve"> [de l</w:t>
      </w:r>
      <w:r w:rsidR="00346F1B">
        <w:t>’</w:t>
      </w:r>
      <w:r>
        <w:t>ONG A</w:t>
      </w:r>
      <w:r w:rsidRPr="0033142D">
        <w:t>ssociation</w:t>
      </w:r>
      <w:r>
        <w:t xml:space="preserve"> pour la </w:t>
      </w:r>
      <w:r w:rsidRPr="0033142D">
        <w:t>sauvegarde</w:t>
      </w:r>
      <w:r>
        <w:t xml:space="preserve"> des masques] </w:t>
      </w:r>
      <w:r w:rsidR="0077372D">
        <w:t>a adressé ses remerciements au Comité ainsi qu</w:t>
      </w:r>
      <w:r w:rsidR="00346F1B">
        <w:t>’</w:t>
      </w:r>
      <w:r w:rsidR="0077372D">
        <w:t>à l</w:t>
      </w:r>
      <w:r w:rsidR="00346F1B">
        <w:t>’</w:t>
      </w:r>
      <w:r w:rsidR="0077372D">
        <w:t>UNESCO et aux autorités éthiopiennes pour l</w:t>
      </w:r>
      <w:r w:rsidR="00346F1B">
        <w:t>’</w:t>
      </w:r>
      <w:r w:rsidR="0077372D">
        <w:t>accueil réservé et le soutien accordé aux ONG accréditées afin qu</w:t>
      </w:r>
      <w:r w:rsidR="00346F1B">
        <w:t>’</w:t>
      </w:r>
      <w:r w:rsidR="0077372D">
        <w:t>elles participent à cette session en tant qu</w:t>
      </w:r>
      <w:r w:rsidR="00346F1B">
        <w:t>’</w:t>
      </w:r>
      <w:r w:rsidR="0077372D">
        <w:t xml:space="preserve">observateurs. Le Forum des ONG du PCI était </w:t>
      </w:r>
      <w:r w:rsidR="0077372D" w:rsidRPr="0077372D">
        <w:t>également</w:t>
      </w:r>
      <w:r w:rsidR="0077372D">
        <w:t xml:space="preserve"> reconnaissant de l</w:t>
      </w:r>
      <w:r w:rsidR="00346F1B">
        <w:t>’</w:t>
      </w:r>
      <w:r w:rsidR="0077372D">
        <w:t xml:space="preserve">attention croissante accordée au Forum au sein duquel les ONG accréditées se rencontraient et coordonnaient leurs activités </w:t>
      </w:r>
      <w:r w:rsidR="00D1386B">
        <w:t>en lien avec</w:t>
      </w:r>
      <w:r w:rsidR="0077372D">
        <w:t xml:space="preserve"> la mise en œuvre de la </w:t>
      </w:r>
      <w:r w:rsidR="0077372D" w:rsidRPr="0077372D">
        <w:t>Convention</w:t>
      </w:r>
      <w:r w:rsidR="0077372D">
        <w:t xml:space="preserve"> de 2003. M. Ki a </w:t>
      </w:r>
      <w:r w:rsidR="00051667">
        <w:t>adressé ses remerciements</w:t>
      </w:r>
      <w:r w:rsidR="00BE5B9D">
        <w:t xml:space="preserve"> </w:t>
      </w:r>
      <w:r w:rsidR="00051667">
        <w:t xml:space="preserve">pour </w:t>
      </w:r>
      <w:r w:rsidR="00BE5B9D">
        <w:t>la prise en charge de</w:t>
      </w:r>
      <w:r w:rsidR="0077372D">
        <w:t xml:space="preserve"> la </w:t>
      </w:r>
      <w:r w:rsidR="0077372D" w:rsidRPr="0077372D">
        <w:t>participation</w:t>
      </w:r>
      <w:r w:rsidR="0077372D">
        <w:t xml:space="preserve"> de 22 collègues </w:t>
      </w:r>
      <w:r w:rsidR="00A46CAD">
        <w:t>membres</w:t>
      </w:r>
      <w:r w:rsidR="0077372D">
        <w:t xml:space="preserve"> d</w:t>
      </w:r>
      <w:r w:rsidR="00346F1B">
        <w:t>’</w:t>
      </w:r>
      <w:r w:rsidR="0077372D">
        <w:t>ONG à cette onzième session et l</w:t>
      </w:r>
      <w:r w:rsidR="00346F1B">
        <w:t>’</w:t>
      </w:r>
      <w:r w:rsidR="0077372D">
        <w:t xml:space="preserve">intégration des activités du Forum au sein des événements officiels se déroulant pendant la session du Comité. Le Forum a </w:t>
      </w:r>
      <w:r w:rsidR="0077372D" w:rsidRPr="0077372D">
        <w:t>également</w:t>
      </w:r>
      <w:r w:rsidR="0077372D">
        <w:t xml:space="preserve"> ap</w:t>
      </w:r>
      <w:r w:rsidR="00D1386B">
        <w:t>précié la mise à disposition de</w:t>
      </w:r>
      <w:r w:rsidR="0077372D">
        <w:t xml:space="preserve"> services d</w:t>
      </w:r>
      <w:r w:rsidR="00346F1B">
        <w:t>’</w:t>
      </w:r>
      <w:r w:rsidR="0077372D" w:rsidRPr="0077372D">
        <w:t>interprétation</w:t>
      </w:r>
      <w:r w:rsidR="0077372D">
        <w:t xml:space="preserve"> et de salles de réunion pour le symposium qui s</w:t>
      </w:r>
      <w:r w:rsidR="00346F1B">
        <w:t>’</w:t>
      </w:r>
      <w:r w:rsidR="0077372D">
        <w:t>était déroulé le jour précédent</w:t>
      </w:r>
      <w:r w:rsidR="002D7732">
        <w:t xml:space="preserve"> et la réunion plénière annuel du Forum des ONG du PCI qui devait se tenir le soir même. M. Ki a souligné que la </w:t>
      </w:r>
      <w:r w:rsidR="002D7732" w:rsidRPr="002D7732">
        <w:t>participation</w:t>
      </w:r>
      <w:r w:rsidR="002D7732">
        <w:t xml:space="preserve"> des ONG à ces sessions était </w:t>
      </w:r>
      <w:r w:rsidR="002D7732" w:rsidRPr="002D7732">
        <w:t>particulièrement</w:t>
      </w:r>
      <w:r w:rsidR="002D7732">
        <w:t xml:space="preserve"> dynam</w:t>
      </w:r>
      <w:r w:rsidR="00D1386B">
        <w:t>ique</w:t>
      </w:r>
      <w:r w:rsidR="00C00213">
        <w:t xml:space="preserve"> car elle</w:t>
      </w:r>
      <w:r w:rsidR="002D7732">
        <w:t xml:space="preserve"> ne cessait de croitre, il y avait 40 ONG à la précédente session en Namibie, elles étaien</w:t>
      </w:r>
      <w:r w:rsidR="00051667">
        <w:t>t désormais 55 à cette session,</w:t>
      </w:r>
      <w:r w:rsidR="002D7732">
        <w:t xml:space="preserve"> avec plus de 90 représentants enregistrés. </w:t>
      </w:r>
      <w:r w:rsidR="00051667">
        <w:t xml:space="preserve">Il a </w:t>
      </w:r>
      <w:r w:rsidR="00051667" w:rsidRPr="00051667">
        <w:t>également</w:t>
      </w:r>
      <w:r w:rsidR="00051667">
        <w:t xml:space="preserve"> souligné la présence de six ONG dispensant des services </w:t>
      </w:r>
      <w:r w:rsidR="00051667" w:rsidRPr="00051667">
        <w:t>consultatif</w:t>
      </w:r>
      <w:r w:rsidR="00D1386B">
        <w:t>s auprès</w:t>
      </w:r>
      <w:r w:rsidR="00051667">
        <w:t xml:space="preserve"> de l</w:t>
      </w:r>
      <w:r w:rsidR="00346F1B">
        <w:t>’</w:t>
      </w:r>
      <w:r w:rsidR="00051667">
        <w:t>Organe d</w:t>
      </w:r>
      <w:r w:rsidR="00346F1B">
        <w:t>’</w:t>
      </w:r>
      <w:r w:rsidR="00051667">
        <w:t>évaluation. Le Forum attendait avec impatience les discussions à venir et il accordait un grand intérêt aux importantes réflexions sur l</w:t>
      </w:r>
      <w:r w:rsidR="00346F1B">
        <w:t>’</w:t>
      </w:r>
      <w:r w:rsidR="00051667" w:rsidRPr="00051667">
        <w:t>élaboration</w:t>
      </w:r>
      <w:r w:rsidR="00051667">
        <w:t xml:space="preserve"> d</w:t>
      </w:r>
      <w:r w:rsidR="00346F1B">
        <w:t>’</w:t>
      </w:r>
      <w:r w:rsidR="00051667">
        <w:t xml:space="preserve">un cadre global des résultats pour la </w:t>
      </w:r>
      <w:r w:rsidR="00051667" w:rsidRPr="00051667">
        <w:t>Convention</w:t>
      </w:r>
      <w:r w:rsidR="00051667">
        <w:t xml:space="preserve">, </w:t>
      </w:r>
      <w:r w:rsidR="00051667" w:rsidRPr="00051667">
        <w:t>en particulier</w:t>
      </w:r>
      <w:r w:rsidR="00051667">
        <w:t xml:space="preserve"> s</w:t>
      </w:r>
      <w:r w:rsidR="00346F1B">
        <w:t>’</w:t>
      </w:r>
      <w:r w:rsidR="00051667">
        <w:t xml:space="preserve">agissant des urgences et de la </w:t>
      </w:r>
      <w:r w:rsidR="00051667" w:rsidRPr="00051667">
        <w:t>sauvegarde</w:t>
      </w:r>
      <w:r w:rsidR="00051667">
        <w:t xml:space="preserve">. </w:t>
      </w:r>
      <w:r w:rsidR="00D01135">
        <w:t xml:space="preserve">Le Forum a </w:t>
      </w:r>
      <w:r w:rsidR="00D01135" w:rsidRPr="00D01135">
        <w:t>également</w:t>
      </w:r>
      <w:r w:rsidR="00D01135">
        <w:t xml:space="preserve"> salué la recherche de solutions pour la </w:t>
      </w:r>
      <w:r w:rsidR="00D01135" w:rsidRPr="00D01135">
        <w:t>sauvegarde</w:t>
      </w:r>
      <w:r w:rsidR="00D01135">
        <w:t xml:space="preserve"> du patrimoine culturel immatériel en situations d</w:t>
      </w:r>
      <w:r w:rsidR="00346F1B">
        <w:t>’</w:t>
      </w:r>
      <w:r w:rsidR="00D01135">
        <w:t xml:space="preserve">urgence, ainsi que les nombreuses propositions relatives aux mécanismes de la </w:t>
      </w:r>
      <w:r w:rsidR="00D01135" w:rsidRPr="00D01135">
        <w:t>Convention</w:t>
      </w:r>
      <w:r w:rsidR="00D01135">
        <w:t xml:space="preserve">, </w:t>
      </w:r>
      <w:r w:rsidR="00C00213">
        <w:t xml:space="preserve">notamment </w:t>
      </w:r>
      <w:r w:rsidR="00D01135">
        <w:t xml:space="preserve">les six </w:t>
      </w:r>
      <w:r w:rsidR="00D01135" w:rsidRPr="00D01135">
        <w:t>candidature</w:t>
      </w:r>
      <w:r w:rsidR="00701B19">
        <w:t>s</w:t>
      </w:r>
      <w:r w:rsidR="00D01135">
        <w:t xml:space="preserve"> à la Liste de sauvegarde urgente, les sept propositions pour le R</w:t>
      </w:r>
      <w:r w:rsidR="00701B19">
        <w:t xml:space="preserve">egistre des bonnes pratiques de </w:t>
      </w:r>
      <w:r w:rsidR="00701B19" w:rsidRPr="00701B19">
        <w:t>sauvegarde</w:t>
      </w:r>
      <w:r w:rsidR="00701B19">
        <w:t xml:space="preserve"> et la demande d</w:t>
      </w:r>
      <w:r w:rsidR="00346F1B">
        <w:t>’</w:t>
      </w:r>
      <w:r w:rsidR="00701B19">
        <w:t xml:space="preserve">assistance internationale. </w:t>
      </w:r>
      <w:r w:rsidR="00D1386B">
        <w:t>Le Forum a exprimé son espoir que le Fonds soit utilisé afin de promouvoir toute une série de mesures et d</w:t>
      </w:r>
      <w:r w:rsidR="00346F1B">
        <w:t>’</w:t>
      </w:r>
      <w:r w:rsidR="00D1386B">
        <w:t>actions de sauvegarde. S</w:t>
      </w:r>
      <w:r w:rsidR="00346F1B">
        <w:t>’</w:t>
      </w:r>
      <w:r w:rsidR="00D1386B">
        <w:t>agissant des très importants aspects à débattre, le Forum des ONG avait souhaité contribuer tout particulièrement aux échanges et réflexions en organisant son cinquième symposium qui s</w:t>
      </w:r>
      <w:r w:rsidR="00346F1B">
        <w:t>’</w:t>
      </w:r>
      <w:r w:rsidR="00D1386B">
        <w:t>était tenu le jour précédent. M. Ki a invité Mme</w:t>
      </w:r>
      <w:r w:rsidR="00695748">
        <w:t> </w:t>
      </w:r>
      <w:r w:rsidR="00D1386B">
        <w:t>Ananya Bhattacharya à présenter un rapport succinct su</w:t>
      </w:r>
      <w:r w:rsidR="00CF7298">
        <w:t>r les conclusions du symposium.</w:t>
      </w:r>
    </w:p>
    <w:p w14:paraId="47BB43DF" w14:textId="151C17F2" w:rsidR="005E67FF" w:rsidRPr="00420EDA" w:rsidRDefault="00A90C0B" w:rsidP="00AF7860">
      <w:pPr>
        <w:pStyle w:val="Orateurengris"/>
        <w:spacing w:before="120"/>
        <w:ind w:left="709" w:hanging="709"/>
      </w:pPr>
      <w:r w:rsidRPr="00E061DE">
        <w:rPr>
          <w:b/>
        </w:rPr>
        <w:t>Mme Ananya Bhattacharya</w:t>
      </w:r>
      <w:r w:rsidRPr="00E061DE">
        <w:t xml:space="preserve"> [de l</w:t>
      </w:r>
      <w:r w:rsidR="00346F1B">
        <w:t>’</w:t>
      </w:r>
      <w:r w:rsidRPr="00E061DE">
        <w:t>ONG Contact Base]</w:t>
      </w:r>
      <w:r w:rsidR="00F83C29" w:rsidRPr="00E061DE">
        <w:t xml:space="preserve"> </w:t>
      </w:r>
      <w:r w:rsidR="00E37C65">
        <w:t xml:space="preserve">a rappelé </w:t>
      </w:r>
      <w:r w:rsidR="00B22000" w:rsidRPr="00E061DE">
        <w:t>la tradition d</w:t>
      </w:r>
      <w:r w:rsidR="00346F1B">
        <w:t>’</w:t>
      </w:r>
      <w:r w:rsidR="00B22000" w:rsidRPr="00E061DE">
        <w:t>ouvrir la session du Comité avec un symposium des ON</w:t>
      </w:r>
      <w:r w:rsidR="00E37C65">
        <w:t>G, celui du jour précédent ayan</w:t>
      </w:r>
      <w:r w:rsidR="00B07F6E">
        <w:t>t</w:t>
      </w:r>
      <w:r w:rsidR="00B22000" w:rsidRPr="00E061DE">
        <w:t xml:space="preserve"> attiré plus de 80 participants dont des ONG, des communautés, des chercheurs, des États parties et des </w:t>
      </w:r>
      <w:r w:rsidR="00A46CAD">
        <w:t>membres</w:t>
      </w:r>
      <w:r w:rsidR="00B22000" w:rsidRPr="00E061DE">
        <w:t xml:space="preserve"> des commissions nationales auprès de l</w:t>
      </w:r>
      <w:r w:rsidR="00346F1B">
        <w:t>’</w:t>
      </w:r>
      <w:r w:rsidR="00B22000" w:rsidRPr="00E061DE">
        <w:t>UNESCO de plus de 32 pays. Le prem</w:t>
      </w:r>
      <w:r w:rsidR="00F83C29" w:rsidRPr="00E061DE">
        <w:t>ier sujet abordé avait mis en évidence les défis rencontrés par les ONG dans la promotion des valeurs du patrimoine culturel immatériel</w:t>
      </w:r>
      <w:r w:rsidR="00CA199C" w:rsidRPr="00E061DE">
        <w:t>, des présentations avaient</w:t>
      </w:r>
      <w:r w:rsidR="00F0649C" w:rsidRPr="00E061DE">
        <w:t xml:space="preserve"> été faites par d</w:t>
      </w:r>
      <w:r w:rsidR="00346F1B">
        <w:t>’</w:t>
      </w:r>
      <w:r w:rsidR="00F0649C" w:rsidRPr="00E061DE">
        <w:t>importants intervenants</w:t>
      </w:r>
      <w:r w:rsidR="00B07F6E">
        <w:t xml:space="preserve"> </w:t>
      </w:r>
      <w:r w:rsidR="00C00213">
        <w:t xml:space="preserve">œuvrant </w:t>
      </w:r>
      <w:r w:rsidR="00B07F6E">
        <w:t>tant dans le cadre de la</w:t>
      </w:r>
      <w:r w:rsidR="00F0649C" w:rsidRPr="00E061DE">
        <w:t xml:space="preserve"> Convention qu</w:t>
      </w:r>
      <w:r w:rsidR="00346F1B">
        <w:t>’</w:t>
      </w:r>
      <w:r w:rsidR="00F0649C" w:rsidRPr="00E061DE">
        <w:t>à l</w:t>
      </w:r>
      <w:r w:rsidR="00346F1B">
        <w:t>’</w:t>
      </w:r>
      <w:r w:rsidR="00F0649C" w:rsidRPr="00E061DE">
        <w:t xml:space="preserve">extérieur de celle-ci. </w:t>
      </w:r>
      <w:r w:rsidR="00CA199C" w:rsidRPr="00E061DE">
        <w:t>Les expérie</w:t>
      </w:r>
      <w:r w:rsidR="00B07F6E">
        <w:t>nces d</w:t>
      </w:r>
      <w:r w:rsidR="00346F1B">
        <w:t>’</w:t>
      </w:r>
      <w:r w:rsidR="00B07F6E">
        <w:t>ONG é</w:t>
      </w:r>
      <w:r w:rsidR="00CA199C" w:rsidRPr="00E061DE">
        <w:t>thiopie</w:t>
      </w:r>
      <w:r w:rsidR="00B07F6E">
        <w:t>nnes, nigé</w:t>
      </w:r>
      <w:r w:rsidR="00CA199C" w:rsidRPr="00E061DE">
        <w:t>ria</w:t>
      </w:r>
      <w:r w:rsidR="00B07F6E">
        <w:t>nes, c</w:t>
      </w:r>
      <w:r w:rsidR="00CA199C" w:rsidRPr="00E061DE">
        <w:t>ameroun</w:t>
      </w:r>
      <w:r w:rsidR="00B07F6E">
        <w:t>aises et o</w:t>
      </w:r>
      <w:r w:rsidR="00CA199C" w:rsidRPr="00E061DE">
        <w:t>uganda</w:t>
      </w:r>
      <w:r w:rsidR="00B07F6E">
        <w:t>ises</w:t>
      </w:r>
      <w:r w:rsidR="00CA199C" w:rsidRPr="00E061DE">
        <w:t xml:space="preserve"> avaient également été partagées. Le deuxième sujet concernait la protection </w:t>
      </w:r>
      <w:r w:rsidR="00871235" w:rsidRPr="00E061DE">
        <w:t xml:space="preserve">légale du patrimoine culturel immatériel en cas de conflit armé, un sujet </w:t>
      </w:r>
      <w:r w:rsidR="00E37C65">
        <w:t xml:space="preserve">sur lequel </w:t>
      </w:r>
      <w:r w:rsidR="00871235" w:rsidRPr="00E061DE">
        <w:t>des travaux de recherche étaient menés et une expertise était en cours d</w:t>
      </w:r>
      <w:r w:rsidR="00346F1B">
        <w:t>’</w:t>
      </w:r>
      <w:r w:rsidR="00871235" w:rsidRPr="00E061DE">
        <w:t xml:space="preserve">acquisition par les ONG accréditées. Ce sujet, ainsi que les migrations et les </w:t>
      </w:r>
      <w:r w:rsidR="00E37C65">
        <w:t>situations d</w:t>
      </w:r>
      <w:r w:rsidR="00346F1B">
        <w:t>’</w:t>
      </w:r>
      <w:r w:rsidR="00E37C65">
        <w:t>urgence</w:t>
      </w:r>
      <w:r w:rsidR="00871235" w:rsidRPr="00E061DE">
        <w:t>, serait exploré plus avant dans le ca</w:t>
      </w:r>
      <w:r w:rsidR="009D1AE3">
        <w:t>dre des futures initiatives du F</w:t>
      </w:r>
      <w:r w:rsidR="00871235" w:rsidRPr="00E061DE">
        <w:t>orum. Parmi les principales idées et observations formulées par le symposium, on pouvait citer : i)</w:t>
      </w:r>
      <w:r w:rsidR="00E37C65">
        <w:t xml:space="preserve"> la</w:t>
      </w:r>
      <w:r w:rsidR="008C3C3D" w:rsidRPr="00E061DE">
        <w:t xml:space="preserve"> nécessité d</w:t>
      </w:r>
      <w:r w:rsidR="00346F1B">
        <w:t>’</w:t>
      </w:r>
      <w:r w:rsidR="008C3C3D" w:rsidRPr="00E061DE">
        <w:t>une meilleure connaissance du patrimoine culturel immatériel et de la Convention de 2003 en Afrique ; ii) les problèmes liés à l</w:t>
      </w:r>
      <w:r w:rsidR="00346F1B">
        <w:t>’</w:t>
      </w:r>
      <w:r w:rsidR="008C3C3D" w:rsidRPr="00E061DE">
        <w:t>accès et la propriété de la documentation sur le patrimoine culturel immatériel ; iii) l</w:t>
      </w:r>
      <w:r w:rsidR="00346F1B">
        <w:t>’</w:t>
      </w:r>
      <w:r w:rsidR="008C3C3D" w:rsidRPr="00E061DE">
        <w:t>importance de la recherche pour la sauvegarde et la revitalisation ; iv) la manière dont les rituels et festivals célébrant le patrimoine culturel immatériel facilit</w:t>
      </w:r>
      <w:r w:rsidR="00E37C65">
        <w:t>ai</w:t>
      </w:r>
      <w:r w:rsidR="008C3C3D" w:rsidRPr="00E061DE">
        <w:t>ent l</w:t>
      </w:r>
      <w:r w:rsidR="00346F1B">
        <w:t>’</w:t>
      </w:r>
      <w:r w:rsidR="008C3C3D" w:rsidRPr="00E061DE">
        <w:t>interaction et le dialogue communautaires ; v) l</w:t>
      </w:r>
      <w:r w:rsidR="00346F1B">
        <w:t>’</w:t>
      </w:r>
      <w:r w:rsidR="008C3C3D" w:rsidRPr="00E061DE">
        <w:t>urgence de sauvegarder le patrimoine culturel immatériel</w:t>
      </w:r>
      <w:r w:rsidR="00C00213">
        <w:t xml:space="preserve"> avec le déclin de ses</w:t>
      </w:r>
      <w:r w:rsidR="008C3C3D" w:rsidRPr="00E061DE">
        <w:t xml:space="preserve"> gardiens </w:t>
      </w:r>
      <w:r w:rsidR="00B07F6E">
        <w:t xml:space="preserve">encore </w:t>
      </w:r>
      <w:r w:rsidR="00C00213">
        <w:t>présents, à savoir, l</w:t>
      </w:r>
      <w:r w:rsidR="008C3C3D" w:rsidRPr="00E061DE">
        <w:t>a vieille génération ; vi) la nécessité d</w:t>
      </w:r>
      <w:r w:rsidR="00346F1B">
        <w:t>’</w:t>
      </w:r>
      <w:r w:rsidR="008C3C3D" w:rsidRPr="00E061DE">
        <w:t>une bonne connaissance et d</w:t>
      </w:r>
      <w:r w:rsidR="00346F1B">
        <w:t>’</w:t>
      </w:r>
      <w:r w:rsidR="008C3C3D" w:rsidRPr="00E061DE">
        <w:t>un accès aisé aux instruments juridiques internationaux</w:t>
      </w:r>
      <w:r w:rsidR="005E67FF" w:rsidRPr="00E061DE">
        <w:t xml:space="preserve"> lorsqu</w:t>
      </w:r>
      <w:r w:rsidR="003A6355">
        <w:t>e l</w:t>
      </w:r>
      <w:r w:rsidR="00346F1B">
        <w:t>’</w:t>
      </w:r>
      <w:r w:rsidR="005E67FF" w:rsidRPr="00E061DE">
        <w:t>on envisage</w:t>
      </w:r>
      <w:r w:rsidR="00E37C65">
        <w:t>ait</w:t>
      </w:r>
      <w:r w:rsidR="005E67FF" w:rsidRPr="00E061DE">
        <w:t xml:space="preserve"> des perspectives favorisant les droits de l</w:t>
      </w:r>
      <w:r w:rsidR="00346F1B">
        <w:t>’</w:t>
      </w:r>
      <w:r w:rsidR="005E67FF" w:rsidRPr="00E061DE">
        <w:t xml:space="preserve">homme dans les situations de conflit ; et vii) le rôle des ONG dans la promotion de la paix. Le Forum travaillait également au partage des pratiques de sauvegarde du patrimoine culturel immatériel, la publication en ligne </w:t>
      </w:r>
      <w:hyperlink r:id="rId18" w:history="1">
        <w:r w:rsidR="005E67FF" w:rsidRPr="00E061DE">
          <w:rPr>
            <w:rStyle w:val="Hyperlink"/>
          </w:rPr>
          <w:t>Heritage Alive</w:t>
        </w:r>
      </w:hyperlink>
      <w:r w:rsidR="00B07F6E">
        <w:rPr>
          <w:rStyle w:val="Hyperlink"/>
          <w:color w:val="auto"/>
          <w:u w:val="none"/>
        </w:rPr>
        <w:t xml:space="preserve"> (en anglais), </w:t>
      </w:r>
      <w:r w:rsidR="005E67FF" w:rsidRPr="00E061DE">
        <w:rPr>
          <w:rStyle w:val="Hyperlink"/>
          <w:color w:val="auto"/>
          <w:u w:val="none"/>
        </w:rPr>
        <w:t>destinée à faire partager ces pratiques</w:t>
      </w:r>
      <w:r w:rsidR="00B07F6E">
        <w:rPr>
          <w:rStyle w:val="Hyperlink"/>
          <w:color w:val="auto"/>
          <w:u w:val="none"/>
        </w:rPr>
        <w:t>,</w:t>
      </w:r>
      <w:r w:rsidR="005E67FF" w:rsidRPr="00E061DE">
        <w:rPr>
          <w:rStyle w:val="Hyperlink"/>
          <w:color w:val="auto"/>
          <w:u w:val="none"/>
        </w:rPr>
        <w:t xml:space="preserve"> connaissait d</w:t>
      </w:r>
      <w:r w:rsidR="00346F1B">
        <w:rPr>
          <w:rStyle w:val="Hyperlink"/>
          <w:color w:val="auto"/>
          <w:u w:val="none"/>
        </w:rPr>
        <w:t>’</w:t>
      </w:r>
      <w:r w:rsidR="005E67FF" w:rsidRPr="00E061DE">
        <w:rPr>
          <w:rStyle w:val="Hyperlink"/>
          <w:color w:val="auto"/>
          <w:u w:val="none"/>
        </w:rPr>
        <w:t xml:space="preserve">ailleurs un développement régulier. </w:t>
      </w:r>
      <w:r w:rsidR="00CE0D81" w:rsidRPr="00E061DE">
        <w:rPr>
          <w:rStyle w:val="Hyperlink"/>
          <w:color w:val="auto"/>
          <w:u w:val="none"/>
        </w:rPr>
        <w:t>En 2016, suite à un appel à publication d</w:t>
      </w:r>
      <w:r w:rsidR="00346F1B">
        <w:rPr>
          <w:rStyle w:val="Hyperlink"/>
          <w:color w:val="auto"/>
          <w:u w:val="none"/>
        </w:rPr>
        <w:t>’</w:t>
      </w:r>
      <w:r w:rsidR="00CE0D81" w:rsidRPr="00E061DE">
        <w:rPr>
          <w:rStyle w:val="Hyperlink"/>
          <w:color w:val="auto"/>
          <w:u w:val="none"/>
        </w:rPr>
        <w:t xml:space="preserve">articles sur les médecines traditionnelles et la transmission des connaissances, le Forum avait reçu de nouveaux articles qui avaient été depuis publiés sur le </w:t>
      </w:r>
      <w:hyperlink r:id="rId19" w:history="1">
        <w:r w:rsidR="00CE0D81" w:rsidRPr="00E061DE">
          <w:rPr>
            <w:rStyle w:val="Hyperlink"/>
          </w:rPr>
          <w:t>site web</w:t>
        </w:r>
      </w:hyperlink>
      <w:r w:rsidR="00CE0D81" w:rsidRPr="00E061DE">
        <w:rPr>
          <w:rStyle w:val="Hyperlink"/>
          <w:color w:val="auto"/>
          <w:u w:val="none"/>
        </w:rPr>
        <w:t xml:space="preserve"> (en anglais) du Forum. En outre, le comité éditorial sollicitait la participation de tous à l</w:t>
      </w:r>
      <w:r w:rsidR="00346F1B">
        <w:rPr>
          <w:rStyle w:val="Hyperlink"/>
          <w:color w:val="auto"/>
          <w:u w:val="none"/>
        </w:rPr>
        <w:t>’</w:t>
      </w:r>
      <w:r w:rsidR="00CE0D81" w:rsidRPr="00E061DE">
        <w:rPr>
          <w:rStyle w:val="Hyperlink"/>
          <w:color w:val="auto"/>
          <w:u w:val="none"/>
        </w:rPr>
        <w:t>événement parallèle, un atelier ouvert qui se tiendrait à l</w:t>
      </w:r>
      <w:r w:rsidR="00346F1B">
        <w:rPr>
          <w:rStyle w:val="Hyperlink"/>
          <w:color w:val="auto"/>
          <w:u w:val="none"/>
        </w:rPr>
        <w:t>’</w:t>
      </w:r>
      <w:r w:rsidR="00CE0D81" w:rsidRPr="00E061DE">
        <w:rPr>
          <w:rStyle w:val="Hyperlink"/>
          <w:color w:val="auto"/>
          <w:u w:val="none"/>
        </w:rPr>
        <w:t>heure du déjeuner, organisé afin d</w:t>
      </w:r>
      <w:r w:rsidR="00346F1B">
        <w:rPr>
          <w:rStyle w:val="Hyperlink"/>
          <w:color w:val="auto"/>
          <w:u w:val="none"/>
        </w:rPr>
        <w:t>’</w:t>
      </w:r>
      <w:r w:rsidR="00CE0D81" w:rsidRPr="00E061DE">
        <w:rPr>
          <w:rStyle w:val="Hyperlink"/>
          <w:color w:val="auto"/>
          <w:u w:val="none"/>
        </w:rPr>
        <w:t>échanger sur de</w:t>
      </w:r>
      <w:r w:rsidR="00E37C65">
        <w:rPr>
          <w:rStyle w:val="Hyperlink"/>
          <w:color w:val="auto"/>
          <w:u w:val="none"/>
        </w:rPr>
        <w:t xml:space="preserve"> récentes </w:t>
      </w:r>
      <w:r w:rsidR="00B07F6E">
        <w:rPr>
          <w:rStyle w:val="Hyperlink"/>
          <w:color w:val="auto"/>
          <w:u w:val="none"/>
        </w:rPr>
        <w:t>expériences de terrain dans le</w:t>
      </w:r>
      <w:r w:rsidR="00CE0D81" w:rsidRPr="00E061DE">
        <w:rPr>
          <w:rStyle w:val="Hyperlink"/>
          <w:color w:val="auto"/>
          <w:u w:val="none"/>
        </w:rPr>
        <w:t xml:space="preserve"> domaine de la sauvegarde, ainsi que sur d</w:t>
      </w:r>
      <w:r w:rsidR="00346F1B">
        <w:rPr>
          <w:rStyle w:val="Hyperlink"/>
          <w:color w:val="auto"/>
          <w:u w:val="none"/>
        </w:rPr>
        <w:t>’</w:t>
      </w:r>
      <w:r w:rsidR="00CE0D81" w:rsidRPr="00E061DE">
        <w:rPr>
          <w:rStyle w:val="Hyperlink"/>
          <w:color w:val="auto"/>
          <w:u w:val="none"/>
        </w:rPr>
        <w:t xml:space="preserve">autres questions et défis émergents </w:t>
      </w:r>
      <w:r w:rsidR="00BF15D9" w:rsidRPr="00E061DE">
        <w:rPr>
          <w:rStyle w:val="Hyperlink"/>
          <w:color w:val="auto"/>
          <w:u w:val="none"/>
        </w:rPr>
        <w:t>en matière de sauvegarde du patrimoine culturel immatériel qui pourraien</w:t>
      </w:r>
      <w:r w:rsidR="00E37C65">
        <w:rPr>
          <w:rStyle w:val="Hyperlink"/>
          <w:color w:val="auto"/>
          <w:u w:val="none"/>
        </w:rPr>
        <w:t>t constituer de futurs sujets pour la recherche, l</w:t>
      </w:r>
      <w:r w:rsidR="00346F1B">
        <w:rPr>
          <w:rStyle w:val="Hyperlink"/>
          <w:color w:val="auto"/>
          <w:u w:val="none"/>
        </w:rPr>
        <w:t>’</w:t>
      </w:r>
      <w:r w:rsidR="00BF15D9" w:rsidRPr="00E061DE">
        <w:rPr>
          <w:rStyle w:val="Hyperlink"/>
          <w:color w:val="auto"/>
          <w:u w:val="none"/>
        </w:rPr>
        <w:t>élaboration de politiques et de pratiques</w:t>
      </w:r>
      <w:r w:rsidR="00934D7F">
        <w:rPr>
          <w:rStyle w:val="Hyperlink"/>
          <w:color w:val="auto"/>
          <w:u w:val="none"/>
        </w:rPr>
        <w:t>,</w:t>
      </w:r>
      <w:r w:rsidR="00E37C65">
        <w:rPr>
          <w:rStyle w:val="Hyperlink"/>
          <w:color w:val="auto"/>
          <w:u w:val="none"/>
        </w:rPr>
        <w:t xml:space="preserve"> et le</w:t>
      </w:r>
      <w:r w:rsidR="00BF15D9" w:rsidRPr="00E061DE">
        <w:rPr>
          <w:rStyle w:val="Hyperlink"/>
          <w:color w:val="auto"/>
          <w:u w:val="none"/>
        </w:rPr>
        <w:t xml:space="preserve"> renforcement des capacités dans le contexte de la diversité, </w:t>
      </w:r>
      <w:r w:rsidR="00E37C65">
        <w:rPr>
          <w:rStyle w:val="Hyperlink"/>
          <w:color w:val="auto"/>
          <w:u w:val="none"/>
        </w:rPr>
        <w:t xml:space="preserve">de </w:t>
      </w:r>
      <w:r w:rsidR="00BF15D9" w:rsidRPr="00E061DE">
        <w:rPr>
          <w:rStyle w:val="Hyperlink"/>
          <w:color w:val="auto"/>
          <w:u w:val="none"/>
        </w:rPr>
        <w:t xml:space="preserve">la numérisation, </w:t>
      </w:r>
      <w:r w:rsidR="00E37C65">
        <w:rPr>
          <w:rStyle w:val="Hyperlink"/>
          <w:color w:val="auto"/>
          <w:u w:val="none"/>
        </w:rPr>
        <w:t xml:space="preserve">de </w:t>
      </w:r>
      <w:r w:rsidR="00BF15D9" w:rsidRPr="00E061DE">
        <w:rPr>
          <w:rStyle w:val="Hyperlink"/>
          <w:color w:val="auto"/>
          <w:u w:val="none"/>
        </w:rPr>
        <w:t>l</w:t>
      </w:r>
      <w:r w:rsidR="00346F1B">
        <w:rPr>
          <w:rStyle w:val="Hyperlink"/>
          <w:color w:val="auto"/>
          <w:u w:val="none"/>
        </w:rPr>
        <w:t>’</w:t>
      </w:r>
      <w:r w:rsidR="00BF15D9" w:rsidRPr="00E061DE">
        <w:rPr>
          <w:rStyle w:val="Hyperlink"/>
          <w:color w:val="auto"/>
          <w:u w:val="none"/>
        </w:rPr>
        <w:t>u</w:t>
      </w:r>
      <w:r w:rsidR="00E37C65">
        <w:rPr>
          <w:rStyle w:val="Hyperlink"/>
          <w:color w:val="auto"/>
          <w:u w:val="none"/>
        </w:rPr>
        <w:t>rbanisation, des migrations et des</w:t>
      </w:r>
      <w:r w:rsidR="00BF15D9" w:rsidRPr="00E061DE">
        <w:rPr>
          <w:rStyle w:val="Hyperlink"/>
          <w:color w:val="auto"/>
          <w:u w:val="none"/>
        </w:rPr>
        <w:t xml:space="preserve"> situations de conflit. Cela s</w:t>
      </w:r>
      <w:r w:rsidR="00346F1B">
        <w:rPr>
          <w:rStyle w:val="Hyperlink"/>
          <w:color w:val="auto"/>
          <w:u w:val="none"/>
        </w:rPr>
        <w:t>’</w:t>
      </w:r>
      <w:r w:rsidR="00BF15D9" w:rsidRPr="00E061DE">
        <w:rPr>
          <w:rStyle w:val="Hyperlink"/>
          <w:color w:val="auto"/>
          <w:u w:val="none"/>
        </w:rPr>
        <w:t>inscrivait dans le processus général par lequel les ONG, dans le cadre de la mise en œuvre</w:t>
      </w:r>
      <w:r w:rsidR="00B07F6E">
        <w:rPr>
          <w:rStyle w:val="Hyperlink"/>
          <w:color w:val="auto"/>
          <w:u w:val="none"/>
        </w:rPr>
        <w:t xml:space="preserve"> de</w:t>
      </w:r>
      <w:r w:rsidR="00BF15D9" w:rsidRPr="00E061DE">
        <w:rPr>
          <w:rStyle w:val="Hyperlink"/>
          <w:color w:val="auto"/>
          <w:u w:val="none"/>
        </w:rPr>
        <w:t xml:space="preserve"> la Convention, pourraient </w:t>
      </w:r>
      <w:r w:rsidR="00E67B86" w:rsidRPr="00E061DE">
        <w:rPr>
          <w:rStyle w:val="Hyperlink"/>
          <w:color w:val="auto"/>
          <w:u w:val="none"/>
        </w:rPr>
        <w:t>œuvrer en faveur d</w:t>
      </w:r>
      <w:r w:rsidR="00346F1B">
        <w:rPr>
          <w:rStyle w:val="Hyperlink"/>
          <w:color w:val="auto"/>
          <w:u w:val="none"/>
        </w:rPr>
        <w:t>’</w:t>
      </w:r>
      <w:r w:rsidR="00E67B86" w:rsidRPr="00E061DE">
        <w:rPr>
          <w:rStyle w:val="Hyperlink"/>
          <w:color w:val="auto"/>
          <w:u w:val="none"/>
        </w:rPr>
        <w:t>un Agenda 2030 du développement durable intégré et réellement porteur de changement, qui considère le patrimoine culturel immatériel comme un vecteur et un facilitateur de cette évolution. Une autre étape significative consisterait à faire passer le travail du Forum en 2017 à un niveau supérieur</w:t>
      </w:r>
      <w:r w:rsidR="009D1AE3">
        <w:rPr>
          <w:rStyle w:val="Hyperlink"/>
          <w:color w:val="auto"/>
          <w:u w:val="none"/>
        </w:rPr>
        <w:t xml:space="preserve"> </w:t>
      </w:r>
      <w:r w:rsidR="00E67B86" w:rsidRPr="00E061DE">
        <w:rPr>
          <w:rStyle w:val="Hyperlink"/>
          <w:color w:val="auto"/>
          <w:u w:val="none"/>
        </w:rPr>
        <w:t xml:space="preserve">: i) </w:t>
      </w:r>
      <w:r w:rsidR="00934D7F">
        <w:rPr>
          <w:rStyle w:val="Hyperlink"/>
          <w:color w:val="auto"/>
          <w:u w:val="none"/>
        </w:rPr>
        <w:t xml:space="preserve">en </w:t>
      </w:r>
      <w:r w:rsidR="00E67B86" w:rsidRPr="00E061DE">
        <w:rPr>
          <w:rStyle w:val="Hyperlink"/>
          <w:color w:val="auto"/>
          <w:u w:val="none"/>
        </w:rPr>
        <w:t>mettant en œuvre un programme international de renforcement des capacités pour les ONG accréditées, en développant un programme de sensibilisation auprès du réseau des ONG ; ii) en lançant et développant des réseaux régionaux; et iii) en établissant de bonnes structures de gouvernance pour l</w:t>
      </w:r>
      <w:r w:rsidR="00346F1B">
        <w:rPr>
          <w:rStyle w:val="Hyperlink"/>
          <w:color w:val="auto"/>
          <w:u w:val="none"/>
        </w:rPr>
        <w:t>’</w:t>
      </w:r>
      <w:r w:rsidR="00E67B86" w:rsidRPr="00E061DE">
        <w:rPr>
          <w:rStyle w:val="Hyperlink"/>
          <w:color w:val="auto"/>
          <w:u w:val="none"/>
        </w:rPr>
        <w:t xml:space="preserve">organisation du Forum lui-même. Le Forum était ravi de faire savoir que son </w:t>
      </w:r>
      <w:hyperlink r:id="rId20" w:history="1">
        <w:r w:rsidR="00E67B86" w:rsidRPr="00E061DE">
          <w:rPr>
            <w:rStyle w:val="Hyperlink"/>
          </w:rPr>
          <w:t>site web</w:t>
        </w:r>
      </w:hyperlink>
      <w:r w:rsidR="00E67B86" w:rsidRPr="00E061DE">
        <w:rPr>
          <w:rStyle w:val="Hyperlink"/>
          <w:color w:val="auto"/>
          <w:u w:val="none"/>
        </w:rPr>
        <w:t xml:space="preserve"> et ses réseaux sociaux, </w:t>
      </w:r>
      <w:hyperlink r:id="rId21" w:history="1">
        <w:r w:rsidR="00E67B86" w:rsidRPr="00E061DE">
          <w:rPr>
            <w:rStyle w:val="Hyperlink"/>
          </w:rPr>
          <w:t>Twitter</w:t>
        </w:r>
      </w:hyperlink>
      <w:r w:rsidR="00E67B86" w:rsidRPr="00E061DE">
        <w:rPr>
          <w:rStyle w:val="Hyperlink"/>
          <w:color w:val="auto"/>
          <w:u w:val="none"/>
        </w:rPr>
        <w:t xml:space="preserve"> et </w:t>
      </w:r>
      <w:hyperlink r:id="rId22" w:history="1">
        <w:r w:rsidR="00E67B86" w:rsidRPr="00E061DE">
          <w:rPr>
            <w:rStyle w:val="Hyperlink"/>
          </w:rPr>
          <w:t>Facebook</w:t>
        </w:r>
      </w:hyperlink>
      <w:r w:rsidR="00E67B86" w:rsidRPr="00E061DE">
        <w:rPr>
          <w:rStyle w:val="Hyperlink"/>
          <w:color w:val="auto"/>
          <w:u w:val="none"/>
        </w:rPr>
        <w:t xml:space="preserve">, </w:t>
      </w:r>
      <w:r w:rsidR="00E061DE" w:rsidRPr="00E061DE">
        <w:rPr>
          <w:rStyle w:val="Hyperlink"/>
          <w:color w:val="auto"/>
          <w:u w:val="none"/>
        </w:rPr>
        <w:t xml:space="preserve">atteignaient de </w:t>
      </w:r>
      <w:r w:rsidR="00E061DE">
        <w:rPr>
          <w:rStyle w:val="Hyperlink"/>
          <w:color w:val="auto"/>
          <w:u w:val="none"/>
        </w:rPr>
        <w:t xml:space="preserve">nombreuses </w:t>
      </w:r>
      <w:r w:rsidR="00E061DE" w:rsidRPr="00E061DE">
        <w:rPr>
          <w:rStyle w:val="Hyperlink"/>
          <w:color w:val="auto"/>
          <w:u w:val="none"/>
        </w:rPr>
        <w:t>parties prenantes</w:t>
      </w:r>
      <w:r w:rsidR="00E061DE">
        <w:rPr>
          <w:rStyle w:val="Hyperlink"/>
          <w:color w:val="auto"/>
          <w:u w:val="none"/>
        </w:rPr>
        <w:t xml:space="preserve">. Par ailleurs, en étroite </w:t>
      </w:r>
      <w:r w:rsidR="00E061DE" w:rsidRPr="00E061DE">
        <w:rPr>
          <w:rStyle w:val="Hyperlink"/>
          <w:color w:val="auto"/>
          <w:u w:val="none"/>
        </w:rPr>
        <w:t>collaboration</w:t>
      </w:r>
      <w:r w:rsidR="00E061DE">
        <w:rPr>
          <w:rStyle w:val="Hyperlink"/>
          <w:color w:val="auto"/>
          <w:u w:val="none"/>
        </w:rPr>
        <w:t xml:space="preserve"> avec le Secrétariat de la Section du PCI, le Forum était en train de constituer une base de données afin de partager, compléter et harmoniser les </w:t>
      </w:r>
      <w:r w:rsidR="00E061DE" w:rsidRPr="00E061DE">
        <w:rPr>
          <w:rStyle w:val="Hyperlink"/>
          <w:color w:val="auto"/>
          <w:u w:val="none"/>
        </w:rPr>
        <w:t>informations</w:t>
      </w:r>
      <w:r w:rsidR="00E061DE">
        <w:rPr>
          <w:rStyle w:val="Hyperlink"/>
          <w:color w:val="auto"/>
          <w:u w:val="none"/>
        </w:rPr>
        <w:t xml:space="preserve"> concernant les ONG sur le site web de l</w:t>
      </w:r>
      <w:r w:rsidR="00346F1B">
        <w:rPr>
          <w:rStyle w:val="Hyperlink"/>
          <w:color w:val="auto"/>
          <w:u w:val="none"/>
        </w:rPr>
        <w:t>’</w:t>
      </w:r>
      <w:r w:rsidR="00E061DE">
        <w:rPr>
          <w:rStyle w:val="Hyperlink"/>
          <w:color w:val="auto"/>
          <w:u w:val="none"/>
        </w:rPr>
        <w:t>UNESCO. Au cou</w:t>
      </w:r>
      <w:r w:rsidR="00934D7F">
        <w:rPr>
          <w:rStyle w:val="Hyperlink"/>
          <w:color w:val="auto"/>
          <w:u w:val="none"/>
        </w:rPr>
        <w:t xml:space="preserve">rs des années passées, le Forum, riche de son expertise, ses réseaux et ses outils de communication, </w:t>
      </w:r>
      <w:r w:rsidR="00E061DE">
        <w:rPr>
          <w:rStyle w:val="Hyperlink"/>
          <w:color w:val="auto"/>
          <w:u w:val="none"/>
        </w:rPr>
        <w:t xml:space="preserve">avait </w:t>
      </w:r>
      <w:r w:rsidR="00E061DE" w:rsidRPr="00E061DE">
        <w:rPr>
          <w:rStyle w:val="Hyperlink"/>
          <w:color w:val="auto"/>
          <w:u w:val="none"/>
        </w:rPr>
        <w:t>également</w:t>
      </w:r>
      <w:r w:rsidR="00E061DE">
        <w:rPr>
          <w:rStyle w:val="Hyperlink"/>
          <w:color w:val="auto"/>
          <w:u w:val="none"/>
        </w:rPr>
        <w:t xml:space="preserve"> été régulièrement invité à soutenir des projets de réseau</w:t>
      </w:r>
      <w:r w:rsidR="00420EDA">
        <w:rPr>
          <w:rStyle w:val="Hyperlink"/>
          <w:color w:val="auto"/>
          <w:u w:val="none"/>
        </w:rPr>
        <w:t>x</w:t>
      </w:r>
      <w:r w:rsidR="00934D7F">
        <w:rPr>
          <w:rStyle w:val="Hyperlink"/>
          <w:color w:val="auto"/>
          <w:u w:val="none"/>
        </w:rPr>
        <w:t xml:space="preserve"> d</w:t>
      </w:r>
      <w:r w:rsidR="00346F1B">
        <w:rPr>
          <w:rStyle w:val="Hyperlink"/>
          <w:color w:val="auto"/>
          <w:u w:val="none"/>
        </w:rPr>
        <w:t>’</w:t>
      </w:r>
      <w:r w:rsidR="00934D7F">
        <w:rPr>
          <w:rStyle w:val="Hyperlink"/>
          <w:color w:val="auto"/>
          <w:u w:val="none"/>
        </w:rPr>
        <w:t>ONG dans le monde entier</w:t>
      </w:r>
      <w:r w:rsidR="00E061DE">
        <w:rPr>
          <w:rStyle w:val="Hyperlink"/>
          <w:color w:val="auto"/>
          <w:u w:val="none"/>
        </w:rPr>
        <w:t>. Diver</w:t>
      </w:r>
      <w:r w:rsidR="00CF49D1">
        <w:rPr>
          <w:rStyle w:val="Hyperlink"/>
          <w:color w:val="auto"/>
          <w:u w:val="none"/>
        </w:rPr>
        <w:t>ses</w:t>
      </w:r>
      <w:r w:rsidR="00B07F6E">
        <w:rPr>
          <w:rStyle w:val="Hyperlink"/>
          <w:color w:val="auto"/>
          <w:u w:val="none"/>
        </w:rPr>
        <w:t xml:space="preserve"> initiatives</w:t>
      </w:r>
      <w:r w:rsidR="00E061DE">
        <w:rPr>
          <w:rStyle w:val="Hyperlink"/>
          <w:color w:val="auto"/>
          <w:u w:val="none"/>
        </w:rPr>
        <w:t xml:space="preserve"> supranationales, </w:t>
      </w:r>
      <w:r w:rsidR="00CF49D1">
        <w:rPr>
          <w:rStyle w:val="Hyperlink"/>
          <w:color w:val="auto"/>
          <w:u w:val="none"/>
        </w:rPr>
        <w:t xml:space="preserve">actions </w:t>
      </w:r>
      <w:r w:rsidR="00E061DE">
        <w:rPr>
          <w:rStyle w:val="Hyperlink"/>
          <w:color w:val="auto"/>
          <w:u w:val="none"/>
        </w:rPr>
        <w:t xml:space="preserve">de </w:t>
      </w:r>
      <w:r w:rsidR="00E061DE" w:rsidRPr="00E061DE">
        <w:rPr>
          <w:rStyle w:val="Hyperlink"/>
          <w:color w:val="auto"/>
          <w:u w:val="none"/>
        </w:rPr>
        <w:t>coopération</w:t>
      </w:r>
      <w:r w:rsidR="00934D7F">
        <w:rPr>
          <w:rStyle w:val="Hyperlink"/>
          <w:color w:val="auto"/>
          <w:u w:val="none"/>
        </w:rPr>
        <w:t xml:space="preserve"> </w:t>
      </w:r>
      <w:r w:rsidR="00E061DE">
        <w:rPr>
          <w:rStyle w:val="Hyperlink"/>
          <w:color w:val="auto"/>
          <w:u w:val="none"/>
        </w:rPr>
        <w:t xml:space="preserve">et conférences </w:t>
      </w:r>
      <w:r w:rsidR="00CF49D1">
        <w:rPr>
          <w:rStyle w:val="Hyperlink"/>
          <w:color w:val="auto"/>
          <w:u w:val="none"/>
        </w:rPr>
        <w:t xml:space="preserve">impliquant des ONG étaient organisées dans toutes </w:t>
      </w:r>
      <w:r w:rsidR="00420EDA">
        <w:rPr>
          <w:rStyle w:val="Hyperlink"/>
          <w:color w:val="auto"/>
          <w:u w:val="none"/>
        </w:rPr>
        <w:t>les régions du monde. À titre d</w:t>
      </w:r>
      <w:r w:rsidR="00346F1B">
        <w:rPr>
          <w:rStyle w:val="Hyperlink"/>
          <w:color w:val="auto"/>
          <w:u w:val="none"/>
        </w:rPr>
        <w:t>’</w:t>
      </w:r>
      <w:r w:rsidR="00420EDA">
        <w:rPr>
          <w:rStyle w:val="Hyperlink"/>
          <w:color w:val="auto"/>
          <w:u w:val="none"/>
        </w:rPr>
        <w:t xml:space="preserve">exemples, on pouvait citer, entre autres, des </w:t>
      </w:r>
      <w:r w:rsidR="00CF49D1">
        <w:rPr>
          <w:rStyle w:val="Hyperlink"/>
          <w:color w:val="auto"/>
          <w:u w:val="none"/>
        </w:rPr>
        <w:t>rencontres régionales et subrégionales en Asie et dans le Pacif</w:t>
      </w:r>
      <w:r w:rsidR="00420EDA">
        <w:rPr>
          <w:rStyle w:val="Hyperlink"/>
          <w:color w:val="auto"/>
          <w:u w:val="none"/>
        </w:rPr>
        <w:t>ique facilitées par l</w:t>
      </w:r>
      <w:r w:rsidR="00346F1B">
        <w:rPr>
          <w:rStyle w:val="Hyperlink"/>
          <w:color w:val="auto"/>
          <w:u w:val="none"/>
        </w:rPr>
        <w:t>’</w:t>
      </w:r>
      <w:r w:rsidR="00420EDA">
        <w:rPr>
          <w:rStyle w:val="Hyperlink"/>
          <w:color w:val="auto"/>
          <w:u w:val="none"/>
        </w:rPr>
        <w:t xml:space="preserve">ICHCAP, </w:t>
      </w:r>
      <w:r w:rsidR="00CF49D1">
        <w:rPr>
          <w:rStyle w:val="Hyperlink"/>
          <w:color w:val="auto"/>
          <w:u w:val="none"/>
        </w:rPr>
        <w:t xml:space="preserve">des efforts </w:t>
      </w:r>
      <w:r w:rsidR="00934D7F">
        <w:rPr>
          <w:rStyle w:val="Hyperlink"/>
          <w:color w:val="auto"/>
          <w:u w:val="none"/>
        </w:rPr>
        <w:t xml:space="preserve">européens de création de réseaux </w:t>
      </w:r>
      <w:r w:rsidR="00CF49D1">
        <w:rPr>
          <w:rStyle w:val="Hyperlink"/>
          <w:color w:val="auto"/>
          <w:u w:val="none"/>
        </w:rPr>
        <w:t xml:space="preserve">qui se concrétisaient </w:t>
      </w:r>
      <w:r w:rsidR="00420EDA">
        <w:rPr>
          <w:rStyle w:val="Hyperlink"/>
          <w:color w:val="auto"/>
          <w:u w:val="none"/>
        </w:rPr>
        <w:t xml:space="preserve">par </w:t>
      </w:r>
      <w:r w:rsidR="00CF49D1">
        <w:rPr>
          <w:rStyle w:val="Hyperlink"/>
          <w:color w:val="auto"/>
          <w:u w:val="none"/>
        </w:rPr>
        <w:t xml:space="preserve">des projets concrets de </w:t>
      </w:r>
      <w:r w:rsidR="00CF49D1" w:rsidRPr="00CF49D1">
        <w:rPr>
          <w:rStyle w:val="Hyperlink"/>
          <w:color w:val="auto"/>
          <w:u w:val="none"/>
        </w:rPr>
        <w:t>sauvegarde</w:t>
      </w:r>
      <w:r w:rsidR="00CF49D1">
        <w:rPr>
          <w:rStyle w:val="Hyperlink"/>
          <w:color w:val="auto"/>
          <w:u w:val="none"/>
        </w:rPr>
        <w:t xml:space="preserve"> du patrimoine culturel immatériel transfrontalier, </w:t>
      </w:r>
      <w:r w:rsidR="00420EDA">
        <w:rPr>
          <w:rStyle w:val="Hyperlink"/>
          <w:color w:val="auto"/>
          <w:u w:val="none"/>
        </w:rPr>
        <w:t xml:space="preserve">et </w:t>
      </w:r>
      <w:r w:rsidR="00CF49D1">
        <w:rPr>
          <w:rStyle w:val="Hyperlink"/>
          <w:color w:val="auto"/>
          <w:u w:val="none"/>
        </w:rPr>
        <w:t xml:space="preserve">des activités </w:t>
      </w:r>
      <w:r w:rsidR="00420EDA">
        <w:rPr>
          <w:rStyle w:val="Hyperlink"/>
          <w:color w:val="auto"/>
          <w:u w:val="none"/>
        </w:rPr>
        <w:t xml:space="preserve">de collecte de fonds destinées à </w:t>
      </w:r>
      <w:r w:rsidR="00CF49D1" w:rsidRPr="00420EDA">
        <w:rPr>
          <w:rStyle w:val="Hyperlink"/>
          <w:color w:val="auto"/>
          <w:u w:val="none"/>
        </w:rPr>
        <w:t>mettre en place un renforcement des capacités</w:t>
      </w:r>
      <w:r w:rsidR="00420EDA">
        <w:rPr>
          <w:rStyle w:val="Hyperlink"/>
          <w:color w:val="auto"/>
          <w:u w:val="none"/>
        </w:rPr>
        <w:t xml:space="preserve"> des ONG en Afriqu</w:t>
      </w:r>
      <w:r w:rsidR="00333618">
        <w:rPr>
          <w:rStyle w:val="Hyperlink"/>
          <w:color w:val="auto"/>
          <w:u w:val="none"/>
        </w:rPr>
        <w:t xml:space="preserve">e impliquant </w:t>
      </w:r>
      <w:r w:rsidR="00420EDA">
        <w:rPr>
          <w:rStyle w:val="Hyperlink"/>
          <w:color w:val="auto"/>
          <w:u w:val="none"/>
        </w:rPr>
        <w:t>de</w:t>
      </w:r>
      <w:r w:rsidR="00CF49D1" w:rsidRPr="00420EDA">
        <w:rPr>
          <w:rStyle w:val="Hyperlink"/>
          <w:color w:val="auto"/>
          <w:u w:val="none"/>
        </w:rPr>
        <w:t xml:space="preserve"> multiples acteurs. Afin de renforcer ces évolutions, le Forum invitait les États parties à contribuer financièrement au soutien des ONG pour le travail complémentaire qu</w:t>
      </w:r>
      <w:r w:rsidR="00346F1B">
        <w:rPr>
          <w:rStyle w:val="Hyperlink"/>
          <w:color w:val="auto"/>
          <w:u w:val="none"/>
        </w:rPr>
        <w:t>’</w:t>
      </w:r>
      <w:r w:rsidR="00CF49D1" w:rsidRPr="00420EDA">
        <w:rPr>
          <w:rStyle w:val="Hyperlink"/>
          <w:color w:val="auto"/>
          <w:u w:val="none"/>
        </w:rPr>
        <w:t xml:space="preserve">elles accomplissaient </w:t>
      </w:r>
      <w:r w:rsidR="0042719B" w:rsidRPr="00420EDA">
        <w:rPr>
          <w:rStyle w:val="Hyperlink"/>
          <w:color w:val="auto"/>
          <w:u w:val="none"/>
        </w:rPr>
        <w:t xml:space="preserve">dans la mise </w:t>
      </w:r>
      <w:r w:rsidR="00CF49D1" w:rsidRPr="00420EDA">
        <w:rPr>
          <w:rStyle w:val="Hyperlink"/>
          <w:color w:val="auto"/>
          <w:u w:val="none"/>
        </w:rPr>
        <w:t xml:space="preserve">en œuvre </w:t>
      </w:r>
      <w:r w:rsidR="0042719B" w:rsidRPr="00420EDA">
        <w:rPr>
          <w:rStyle w:val="Hyperlink"/>
          <w:color w:val="auto"/>
          <w:u w:val="none"/>
        </w:rPr>
        <w:t xml:space="preserve">de </w:t>
      </w:r>
      <w:r w:rsidR="00CF49D1" w:rsidRPr="00420EDA">
        <w:rPr>
          <w:rStyle w:val="Hyperlink"/>
          <w:color w:val="auto"/>
          <w:u w:val="none"/>
        </w:rPr>
        <w:t xml:space="preserve">la Convention, ce qui permettrait de consolider les capacités </w:t>
      </w:r>
      <w:r w:rsidR="0042719B" w:rsidRPr="00420EDA">
        <w:rPr>
          <w:rStyle w:val="Hyperlink"/>
          <w:color w:val="auto"/>
          <w:u w:val="none"/>
        </w:rPr>
        <w:t>nécessaires pour atteindre les objectifs spécifiques de sauvegarde du patrimoine culturel immatériel et de développement de la coopération entre ONG. Mme</w:t>
      </w:r>
      <w:r w:rsidR="00695748">
        <w:rPr>
          <w:rStyle w:val="Hyperlink"/>
          <w:color w:val="auto"/>
          <w:u w:val="none"/>
        </w:rPr>
        <w:t> </w:t>
      </w:r>
      <w:r w:rsidR="0042719B" w:rsidRPr="00420EDA">
        <w:rPr>
          <w:rStyle w:val="Hyperlink"/>
          <w:color w:val="auto"/>
          <w:u w:val="none"/>
        </w:rPr>
        <w:t xml:space="preserve">Bhattacharya a </w:t>
      </w:r>
      <w:r w:rsidR="001B786D" w:rsidRPr="00420EDA">
        <w:rPr>
          <w:rStyle w:val="Hyperlink"/>
          <w:color w:val="auto"/>
          <w:u w:val="none"/>
        </w:rPr>
        <w:t xml:space="preserve">sollicité </w:t>
      </w:r>
      <w:r w:rsidR="0042719B" w:rsidRPr="00420EDA">
        <w:rPr>
          <w:rStyle w:val="Hyperlink"/>
          <w:color w:val="auto"/>
          <w:u w:val="none"/>
        </w:rPr>
        <w:t>de l</w:t>
      </w:r>
      <w:r w:rsidR="00346F1B">
        <w:rPr>
          <w:rStyle w:val="Hyperlink"/>
          <w:color w:val="auto"/>
          <w:u w:val="none"/>
        </w:rPr>
        <w:t>’</w:t>
      </w:r>
      <w:r w:rsidR="0042719B" w:rsidRPr="00420EDA">
        <w:rPr>
          <w:rStyle w:val="Hyperlink"/>
          <w:color w:val="auto"/>
          <w:u w:val="none"/>
        </w:rPr>
        <w:t>aide et du soutien afin de rendre possible le programme global de renforcement des capacités</w:t>
      </w:r>
      <w:r w:rsidR="001B786D" w:rsidRPr="00420EDA">
        <w:rPr>
          <w:rStyle w:val="Hyperlink"/>
          <w:color w:val="auto"/>
          <w:u w:val="none"/>
        </w:rPr>
        <w:t xml:space="preserve"> du</w:t>
      </w:r>
      <w:r w:rsidR="0042719B" w:rsidRPr="00420EDA">
        <w:rPr>
          <w:rStyle w:val="Hyperlink"/>
          <w:color w:val="auto"/>
          <w:u w:val="none"/>
        </w:rPr>
        <w:t xml:space="preserve"> Forum des ONG</w:t>
      </w:r>
      <w:r w:rsidR="00333618">
        <w:rPr>
          <w:rStyle w:val="Hyperlink"/>
          <w:color w:val="auto"/>
          <w:u w:val="none"/>
        </w:rPr>
        <w:t xml:space="preserve"> </w:t>
      </w:r>
      <w:r w:rsidR="001B786D" w:rsidRPr="00420EDA">
        <w:rPr>
          <w:rStyle w:val="Hyperlink"/>
          <w:color w:val="auto"/>
          <w:u w:val="none"/>
        </w:rPr>
        <w:t>soit par un financement direct, soit par le Fonds du PCI. À cet</w:t>
      </w:r>
      <w:r w:rsidR="00333618">
        <w:rPr>
          <w:rStyle w:val="Hyperlink"/>
          <w:color w:val="auto"/>
          <w:u w:val="none"/>
        </w:rPr>
        <w:t xml:space="preserve"> égard, le Forum a remercié la direction générale de la C</w:t>
      </w:r>
      <w:r w:rsidR="001B786D" w:rsidRPr="00420EDA">
        <w:rPr>
          <w:rStyle w:val="Hyperlink"/>
          <w:color w:val="auto"/>
          <w:u w:val="none"/>
        </w:rPr>
        <w:t>ulture et le ministère de l</w:t>
      </w:r>
      <w:r w:rsidR="00346F1B">
        <w:rPr>
          <w:rStyle w:val="Hyperlink"/>
          <w:color w:val="auto"/>
          <w:u w:val="none"/>
        </w:rPr>
        <w:t>’</w:t>
      </w:r>
      <w:r w:rsidR="001B786D" w:rsidRPr="00420EDA">
        <w:rPr>
          <w:rStyle w:val="Hyperlink"/>
          <w:color w:val="auto"/>
          <w:u w:val="none"/>
        </w:rPr>
        <w:t xml:space="preserve">Éducation et la Culture </w:t>
      </w:r>
      <w:r w:rsidR="00333618">
        <w:rPr>
          <w:rStyle w:val="Hyperlink"/>
          <w:color w:val="auto"/>
          <w:u w:val="none"/>
        </w:rPr>
        <w:t>de l</w:t>
      </w:r>
      <w:r w:rsidR="00346F1B">
        <w:rPr>
          <w:rStyle w:val="Hyperlink"/>
          <w:color w:val="auto"/>
          <w:u w:val="none"/>
        </w:rPr>
        <w:t>’</w:t>
      </w:r>
      <w:r w:rsidR="00333618">
        <w:rPr>
          <w:rStyle w:val="Hyperlink"/>
          <w:color w:val="auto"/>
          <w:u w:val="none"/>
        </w:rPr>
        <w:t>Indonésie pour le</w:t>
      </w:r>
      <w:r w:rsidR="001B786D" w:rsidRPr="00420EDA">
        <w:rPr>
          <w:rStyle w:val="Hyperlink"/>
          <w:color w:val="auto"/>
          <w:u w:val="none"/>
        </w:rPr>
        <w:t xml:space="preserve"> soutien accordé au Forum à cette occasion. Mme Bhattacharya a adressé aux délégués tous ses vœux de réussite pour les réflexions qu</w:t>
      </w:r>
      <w:r w:rsidR="00346F1B">
        <w:rPr>
          <w:rStyle w:val="Hyperlink"/>
          <w:color w:val="auto"/>
          <w:u w:val="none"/>
        </w:rPr>
        <w:t>’</w:t>
      </w:r>
      <w:r w:rsidR="001B786D" w:rsidRPr="00420EDA">
        <w:rPr>
          <w:rStyle w:val="Hyperlink"/>
          <w:color w:val="auto"/>
          <w:u w:val="none"/>
        </w:rPr>
        <w:t>ils mèneraient et les sages décisions qu</w:t>
      </w:r>
      <w:r w:rsidR="00346F1B">
        <w:rPr>
          <w:rStyle w:val="Hyperlink"/>
          <w:color w:val="auto"/>
          <w:u w:val="none"/>
        </w:rPr>
        <w:t>’</w:t>
      </w:r>
      <w:r w:rsidR="001B786D" w:rsidRPr="00420EDA">
        <w:rPr>
          <w:rStyle w:val="Hyperlink"/>
          <w:color w:val="auto"/>
          <w:u w:val="none"/>
        </w:rPr>
        <w:t xml:space="preserve">ils prendraient afin de sauvegarder le </w:t>
      </w:r>
      <w:r w:rsidR="00CF7298">
        <w:rPr>
          <w:rStyle w:val="Hyperlink"/>
          <w:color w:val="auto"/>
          <w:u w:val="none"/>
        </w:rPr>
        <w:t>patrimoine culturel immatériel.</w:t>
      </w:r>
    </w:p>
    <w:p w14:paraId="41C3063E" w14:textId="5EB2ED57" w:rsidR="00331797" w:rsidRPr="00980810" w:rsidRDefault="00980810" w:rsidP="00AF7860">
      <w:pPr>
        <w:pStyle w:val="Orateurengris"/>
        <w:spacing w:before="120"/>
        <w:ind w:left="709" w:hanging="709"/>
      </w:pPr>
      <w:r w:rsidRPr="00980810">
        <w:t xml:space="preserve">Le </w:t>
      </w:r>
      <w:r w:rsidRPr="00980810">
        <w:rPr>
          <w:b/>
        </w:rPr>
        <w:t>Président</w:t>
      </w:r>
      <w:r w:rsidRPr="00980810">
        <w:t xml:space="preserve"> a remercié M. Léonce Ki et Mme Ananya Bhattacharya</w:t>
      </w:r>
      <w:r>
        <w:t xml:space="preserve"> pour leurs présentations très claires. Au nom du pays hôte, le Président était très heureux d</w:t>
      </w:r>
      <w:r w:rsidR="00346F1B">
        <w:t>’</w:t>
      </w:r>
      <w:r>
        <w:t>accueillir le Forum et était</w:t>
      </w:r>
      <w:r w:rsidR="00CB2F93">
        <w:t xml:space="preserve"> enchanté d</w:t>
      </w:r>
      <w:r w:rsidR="00346F1B">
        <w:t>’</w:t>
      </w:r>
      <w:r w:rsidR="00CB2F93">
        <w:t xml:space="preserve">en </w:t>
      </w:r>
      <w:r w:rsidR="00850047">
        <w:t xml:space="preserve">avoir appris </w:t>
      </w:r>
      <w:r w:rsidR="00CB2F93">
        <w:t>plus sur</w:t>
      </w:r>
      <w:r>
        <w:t xml:space="preserve"> ses fructueuses discussions. </w:t>
      </w:r>
      <w:r w:rsidR="00CB2F93">
        <w:t>En outre, il profitait de l</w:t>
      </w:r>
      <w:r w:rsidR="00346F1B">
        <w:t>’</w:t>
      </w:r>
      <w:r w:rsidR="00CB2F93">
        <w:t xml:space="preserve">occasion pour reconnaître le rôle essentiel des ONG dans la </w:t>
      </w:r>
      <w:r w:rsidR="00CB2F93" w:rsidRPr="00CB2F93">
        <w:t>sauvegarde</w:t>
      </w:r>
      <w:r w:rsidR="00CB2F93">
        <w:t xml:space="preserve"> du patrimoine culturel immatériel et les remerciait pour leurs efforts soutenus.</w:t>
      </w:r>
    </w:p>
    <w:p w14:paraId="29C61823" w14:textId="11E5F081" w:rsidR="007B60D0" w:rsidRPr="00850047" w:rsidRDefault="00850047" w:rsidP="002B4948">
      <w:pPr>
        <w:pStyle w:val="Marge"/>
        <w:keepNext/>
        <w:tabs>
          <w:tab w:val="clear" w:pos="567"/>
          <w:tab w:val="left" w:pos="709"/>
          <w:tab w:val="left" w:pos="1418"/>
          <w:tab w:val="left" w:pos="2126"/>
          <w:tab w:val="left" w:pos="2835"/>
        </w:tabs>
        <w:spacing w:before="360" w:after="60"/>
        <w:ind w:left="567" w:hanging="567"/>
        <w:jc w:val="left"/>
        <w:outlineLvl w:val="0"/>
        <w:rPr>
          <w:rFonts w:eastAsia="Cambria" w:cs="Arial"/>
          <w:b/>
          <w:szCs w:val="22"/>
          <w:u w:val="single"/>
        </w:rPr>
      </w:pPr>
      <w:bookmarkStart w:id="4" w:name="Item5"/>
      <w:r>
        <w:rPr>
          <w:rFonts w:eastAsia="Cambria" w:cs="Arial"/>
          <w:b/>
          <w:szCs w:val="22"/>
          <w:u w:val="single"/>
        </w:rPr>
        <w:t>POINT 5 DE L</w:t>
      </w:r>
      <w:r w:rsidR="00346F1B">
        <w:rPr>
          <w:rFonts w:eastAsia="Cambria" w:cs="Arial"/>
          <w:b/>
          <w:szCs w:val="22"/>
          <w:u w:val="single"/>
        </w:rPr>
        <w:t>’</w:t>
      </w:r>
      <w:r w:rsidRPr="00850047">
        <w:rPr>
          <w:rFonts w:eastAsia="Cambria" w:cs="Arial"/>
          <w:b/>
          <w:szCs w:val="22"/>
          <w:u w:val="single"/>
        </w:rPr>
        <w:t>ORDRE DU JOUR</w:t>
      </w:r>
      <w:r>
        <w:rPr>
          <w:rFonts w:eastAsia="Cambria" w:cs="Arial"/>
          <w:b/>
          <w:szCs w:val="22"/>
          <w:u w:val="single"/>
        </w:rPr>
        <w:t> :</w:t>
      </w:r>
    </w:p>
    <w:bookmarkEnd w:id="4"/>
    <w:p w14:paraId="3CC18C67" w14:textId="7F82CB55" w:rsidR="00850047" w:rsidRPr="00850047" w:rsidRDefault="00850047" w:rsidP="002B4948">
      <w:pPr>
        <w:pStyle w:val="Marge"/>
        <w:keepNext/>
        <w:tabs>
          <w:tab w:val="clear" w:pos="567"/>
          <w:tab w:val="left" w:pos="709"/>
          <w:tab w:val="left" w:pos="1418"/>
          <w:tab w:val="left" w:pos="2126"/>
          <w:tab w:val="left" w:pos="2835"/>
        </w:tabs>
        <w:spacing w:after="120"/>
        <w:ind w:left="567" w:hanging="567"/>
        <w:jc w:val="left"/>
        <w:outlineLvl w:val="0"/>
        <w:rPr>
          <w:rFonts w:eastAsia="Cambria" w:cs="Arial"/>
          <w:b/>
          <w:szCs w:val="22"/>
        </w:rPr>
      </w:pPr>
      <w:r>
        <w:rPr>
          <w:rFonts w:eastAsia="Cambria" w:cs="Arial"/>
          <w:b/>
          <w:szCs w:val="22"/>
        </w:rPr>
        <w:t>RAPPORT DU SECRÉTARIAT SUR SES ACTIVITÉS</w:t>
      </w:r>
    </w:p>
    <w:p w14:paraId="06637A65" w14:textId="13F7305F" w:rsidR="00FF32CD" w:rsidRPr="000A6378" w:rsidRDefault="00FF32CD" w:rsidP="00AB6B4E">
      <w:pPr>
        <w:pStyle w:val="NormalWeb"/>
        <w:keepNext/>
        <w:tabs>
          <w:tab w:val="left" w:pos="709"/>
          <w:tab w:val="left" w:pos="1418"/>
          <w:tab w:val="left" w:pos="2126"/>
          <w:tab w:val="left" w:pos="2835"/>
        </w:tabs>
        <w:spacing w:before="120" w:beforeAutospacing="0" w:after="0" w:afterAutospacing="0"/>
        <w:ind w:left="709"/>
        <w:rPr>
          <w:rFonts w:ascii="Arial" w:hAnsi="Arial" w:cs="Arial"/>
          <w:i/>
          <w:sz w:val="22"/>
          <w:szCs w:val="22"/>
        </w:rPr>
      </w:pPr>
      <w:r w:rsidRPr="000A6378">
        <w:rPr>
          <w:rFonts w:ascii="Arial" w:hAnsi="Arial" w:cs="Arial"/>
          <w:b/>
          <w:sz w:val="22"/>
          <w:szCs w:val="22"/>
        </w:rPr>
        <w:t>Document</w:t>
      </w:r>
      <w:r w:rsidR="00E21B06" w:rsidRPr="000A6378">
        <w:rPr>
          <w:rFonts w:ascii="Arial" w:hAnsi="Arial" w:cs="Arial"/>
          <w:b/>
          <w:sz w:val="22"/>
          <w:szCs w:val="22"/>
        </w:rPr>
        <w:t>s</w:t>
      </w:r>
      <w:r w:rsidRPr="000A6378">
        <w:rPr>
          <w:rFonts w:ascii="Arial" w:hAnsi="Arial" w:cs="Arial"/>
          <w:b/>
          <w:sz w:val="22"/>
          <w:szCs w:val="22"/>
        </w:rPr>
        <w:tab/>
      </w:r>
      <w:hyperlink r:id="rId23" w:history="1">
        <w:r w:rsidR="008179F1" w:rsidRPr="000A6378">
          <w:rPr>
            <w:rStyle w:val="Hyperlink"/>
            <w:rFonts w:ascii="Arial" w:hAnsi="Arial" w:cs="Arial"/>
            <w:i/>
            <w:sz w:val="22"/>
            <w:szCs w:val="22"/>
          </w:rPr>
          <w:t>ITH/16/11.COM/5</w:t>
        </w:r>
      </w:hyperlink>
    </w:p>
    <w:p w14:paraId="4672978D" w14:textId="7018B16C" w:rsidR="008179F1" w:rsidRPr="000A6378" w:rsidRDefault="008179F1" w:rsidP="00AB6B4E">
      <w:pPr>
        <w:pStyle w:val="NormalWeb"/>
        <w:keepNext/>
        <w:tabs>
          <w:tab w:val="left" w:pos="709"/>
          <w:tab w:val="left" w:pos="1418"/>
          <w:tab w:val="left" w:pos="2126"/>
          <w:tab w:val="left" w:pos="2835"/>
        </w:tabs>
        <w:spacing w:before="0" w:beforeAutospacing="0" w:after="0" w:afterAutospacing="0"/>
        <w:ind w:left="709"/>
        <w:rPr>
          <w:rFonts w:ascii="Arial" w:hAnsi="Arial" w:cs="Arial"/>
          <w:i/>
          <w:sz w:val="22"/>
          <w:szCs w:val="22"/>
        </w:rPr>
      </w:pPr>
      <w:r w:rsidRPr="000A6378">
        <w:rPr>
          <w:rFonts w:ascii="Arial" w:hAnsi="Arial" w:cs="Arial"/>
          <w:i/>
          <w:sz w:val="22"/>
          <w:szCs w:val="22"/>
        </w:rPr>
        <w:tab/>
      </w:r>
      <w:r w:rsidR="000B0158" w:rsidRPr="000A6378">
        <w:rPr>
          <w:rFonts w:ascii="Arial" w:hAnsi="Arial" w:cs="Arial"/>
          <w:i/>
          <w:sz w:val="22"/>
          <w:szCs w:val="22"/>
        </w:rPr>
        <w:tab/>
      </w:r>
      <w:hyperlink r:id="rId24" w:history="1">
        <w:r w:rsidRPr="000A6378">
          <w:rPr>
            <w:rStyle w:val="Hyperlink"/>
            <w:rFonts w:ascii="Arial" w:hAnsi="Arial" w:cs="Arial"/>
            <w:i/>
            <w:sz w:val="22"/>
            <w:szCs w:val="22"/>
          </w:rPr>
          <w:t>ITH/16/11.COM/INF.5</w:t>
        </w:r>
      </w:hyperlink>
    </w:p>
    <w:p w14:paraId="6DEE0549" w14:textId="3A6B2508" w:rsidR="00D93CDF" w:rsidRPr="00850047" w:rsidRDefault="00850047" w:rsidP="00AB6B4E">
      <w:pPr>
        <w:keepNext/>
        <w:tabs>
          <w:tab w:val="left" w:pos="709"/>
          <w:tab w:val="left" w:pos="1418"/>
          <w:tab w:val="left" w:pos="2126"/>
          <w:tab w:val="left" w:pos="2835"/>
        </w:tabs>
        <w:spacing w:before="60" w:after="240"/>
        <w:ind w:left="709"/>
        <w:rPr>
          <w:rFonts w:ascii="Arial" w:hAnsi="Arial"/>
          <w:i/>
          <w:sz w:val="22"/>
        </w:rPr>
      </w:pPr>
      <w:r>
        <w:rPr>
          <w:rFonts w:ascii="Arial" w:hAnsi="Arial" w:cs="Arial"/>
          <w:b/>
          <w:sz w:val="22"/>
          <w:szCs w:val="22"/>
          <w:lang w:eastAsia="en-US"/>
        </w:rPr>
        <w:t>Dé</w:t>
      </w:r>
      <w:r w:rsidR="00FF32CD" w:rsidRPr="00850047">
        <w:rPr>
          <w:rFonts w:ascii="Arial" w:hAnsi="Arial" w:cs="Arial"/>
          <w:b/>
          <w:sz w:val="22"/>
          <w:szCs w:val="22"/>
          <w:lang w:eastAsia="en-US"/>
        </w:rPr>
        <w:t>cision</w:t>
      </w:r>
      <w:r w:rsidR="00FF32CD" w:rsidRPr="00850047">
        <w:rPr>
          <w:rFonts w:ascii="Arial" w:hAnsi="Arial" w:cs="Arial"/>
          <w:b/>
          <w:sz w:val="22"/>
          <w:szCs w:val="22"/>
        </w:rPr>
        <w:tab/>
      </w:r>
      <w:r w:rsidR="008179F1" w:rsidRPr="00850047">
        <w:rPr>
          <w:rFonts w:ascii="Arial" w:hAnsi="Arial" w:cs="Arial"/>
          <w:i/>
          <w:sz w:val="22"/>
          <w:szCs w:val="22"/>
          <w:lang w:eastAsia="en-US"/>
        </w:rPr>
        <w:t>11.COM 5</w:t>
      </w:r>
    </w:p>
    <w:p w14:paraId="3B78853D" w14:textId="15BA7DE3" w:rsidR="00850047" w:rsidRDefault="00850047" w:rsidP="00AF7860">
      <w:pPr>
        <w:pStyle w:val="Orateurengris"/>
        <w:spacing w:before="120"/>
        <w:ind w:left="709" w:hanging="709"/>
      </w:pPr>
      <w:r>
        <w:t xml:space="preserve">Le </w:t>
      </w:r>
      <w:r w:rsidRPr="00850047">
        <w:rPr>
          <w:b/>
        </w:rPr>
        <w:t>Président</w:t>
      </w:r>
      <w:r>
        <w:t xml:space="preserve"> est ensuite passé au point 5 de l</w:t>
      </w:r>
      <w:r w:rsidR="00346F1B">
        <w:t>’</w:t>
      </w:r>
      <w:r w:rsidRPr="00850047">
        <w:t>ordre du jour</w:t>
      </w:r>
      <w:r>
        <w:t xml:space="preserve"> et au rapport du Secrétariat.</w:t>
      </w:r>
    </w:p>
    <w:p w14:paraId="117DDA68" w14:textId="17F53562" w:rsidR="00F97CA6" w:rsidRPr="00F97CA6" w:rsidRDefault="00850047" w:rsidP="00AF7860">
      <w:pPr>
        <w:pStyle w:val="Orateurengris"/>
        <w:spacing w:before="120"/>
        <w:ind w:left="709" w:hanging="709"/>
      </w:pPr>
      <w:r w:rsidRPr="00F4202B">
        <w:t xml:space="preserve">Le </w:t>
      </w:r>
      <w:r w:rsidRPr="00F4202B">
        <w:rPr>
          <w:b/>
        </w:rPr>
        <w:t>Secrétaire</w:t>
      </w:r>
      <w:r w:rsidRPr="00F4202B">
        <w:t xml:space="preserve"> a</w:t>
      </w:r>
      <w:r w:rsidR="007F53B5" w:rsidRPr="00F4202B">
        <w:t xml:space="preserve"> expliqué que</w:t>
      </w:r>
      <w:r w:rsidR="00F97CA6">
        <w:t xml:space="preserve">, cette année, le rapport </w:t>
      </w:r>
      <w:r w:rsidRPr="00F4202B">
        <w:t>présentait les activités entreprises par le Secrétariat au cours des six premiers mois du biennium de l</w:t>
      </w:r>
      <w:r w:rsidR="00346F1B">
        <w:t>’</w:t>
      </w:r>
      <w:r w:rsidRPr="00F4202B">
        <w:t xml:space="preserve">UNESCO, à savoir de </w:t>
      </w:r>
      <w:r w:rsidR="007F53B5" w:rsidRPr="00F4202B">
        <w:t>janvier à juin</w:t>
      </w:r>
      <w:r w:rsidRPr="00F4202B">
        <w:t xml:space="preserve"> 2016</w:t>
      </w:r>
      <w:r w:rsidR="007F53B5" w:rsidRPr="00F4202B">
        <w:t>. Ainsi, le Comité se réunissant la première année du biennium examinerait un rapport de six mois (comme c</w:t>
      </w:r>
      <w:r w:rsidR="00346F1B">
        <w:t>’</w:t>
      </w:r>
      <w:r w:rsidR="007F53B5" w:rsidRPr="00F4202B">
        <w:t>était le cas pour la présente session) alors que le Comité suivant examinerait une période d</w:t>
      </w:r>
      <w:r w:rsidR="00346F1B">
        <w:t>’</w:t>
      </w:r>
      <w:r w:rsidR="007F53B5" w:rsidRPr="00F4202B">
        <w:t>un an et demi (comme ce serait le cas pour la douzième session qui couvrirait la période allant de janvier 2016 à juin 2017). Le mécanisme de rapport serait ainsi align</w:t>
      </w:r>
      <w:r w:rsidR="00B75657">
        <w:t>é sur l</w:t>
      </w:r>
      <w:r w:rsidR="00346F1B">
        <w:t>’</w:t>
      </w:r>
      <w:r w:rsidR="00B75657">
        <w:t xml:space="preserve">Assemblée générale (organisée </w:t>
      </w:r>
      <w:r w:rsidR="007F53B5" w:rsidRPr="00F4202B">
        <w:t>en juin) et sur la Co</w:t>
      </w:r>
      <w:r w:rsidR="00B75657">
        <w:t>nférence générale de l</w:t>
      </w:r>
      <w:r w:rsidR="00346F1B">
        <w:t>’</w:t>
      </w:r>
      <w:r w:rsidR="00B75657">
        <w:t xml:space="preserve">UNESCO (organisée en </w:t>
      </w:r>
      <w:r w:rsidR="007F53B5" w:rsidRPr="00F4202B">
        <w:t xml:space="preserve">novembre). Le Secrétaire a ensuite expliqué que le rapport devait être lu </w:t>
      </w:r>
      <w:r w:rsidR="00B75657">
        <w:t xml:space="preserve">avec </w:t>
      </w:r>
      <w:r w:rsidR="007F53B5" w:rsidRPr="00F4202B">
        <w:t>quatre autres documents importants : i) l</w:t>
      </w:r>
      <w:r w:rsidR="00346F1B">
        <w:t>’</w:t>
      </w:r>
      <w:r w:rsidR="007F53B5" w:rsidRPr="00F4202B">
        <w:t xml:space="preserve">état financier du Fonds de la Convention pour la sauvegarde du patrimoine culturel immatériel (document </w:t>
      </w:r>
      <w:hyperlink r:id="rId25" w:history="1">
        <w:r w:rsidR="007F53B5" w:rsidRPr="00F4202B">
          <w:rPr>
            <w:rStyle w:val="Hyperlink"/>
          </w:rPr>
          <w:t>ITH/16/11.COM/INF.5</w:t>
        </w:r>
      </w:hyperlink>
      <w:r w:rsidR="007F53B5" w:rsidRPr="00F4202B">
        <w:rPr>
          <w:rStyle w:val="Hyperlink"/>
          <w:color w:val="auto"/>
          <w:u w:val="none"/>
        </w:rPr>
        <w:t xml:space="preserve">); </w:t>
      </w:r>
      <w:r w:rsidR="00F4202B" w:rsidRPr="00F4202B">
        <w:rPr>
          <w:rStyle w:val="Hyperlink"/>
          <w:color w:val="auto"/>
          <w:u w:val="none"/>
        </w:rPr>
        <w:t xml:space="preserve">ii) </w:t>
      </w:r>
      <w:r w:rsidR="007F53B5" w:rsidRPr="00F4202B">
        <w:rPr>
          <w:rStyle w:val="Hyperlink"/>
          <w:color w:val="auto"/>
          <w:u w:val="none"/>
        </w:rPr>
        <w:t xml:space="preserve">le rapport du Secrétariat </w:t>
      </w:r>
      <w:r w:rsidR="00F4202B" w:rsidRPr="00F4202B">
        <w:rPr>
          <w:rStyle w:val="Hyperlink"/>
          <w:color w:val="auto"/>
          <w:u w:val="none"/>
        </w:rPr>
        <w:t>sur ses activités destiné à l</w:t>
      </w:r>
      <w:r w:rsidR="00346F1B">
        <w:rPr>
          <w:rStyle w:val="Hyperlink"/>
          <w:color w:val="auto"/>
          <w:u w:val="none"/>
        </w:rPr>
        <w:t>’</w:t>
      </w:r>
      <w:r w:rsidR="00F4202B" w:rsidRPr="00F4202B">
        <w:rPr>
          <w:rStyle w:val="Hyperlink"/>
          <w:color w:val="auto"/>
          <w:u w:val="none"/>
        </w:rPr>
        <w:t xml:space="preserve">Assemblée générale (document </w:t>
      </w:r>
      <w:hyperlink r:id="rId26" w:history="1">
        <w:r w:rsidR="00F4202B" w:rsidRPr="00F4202B">
          <w:rPr>
            <w:rStyle w:val="Hyperlink"/>
          </w:rPr>
          <w:t>ITH/16/6.GA/6</w:t>
        </w:r>
      </w:hyperlink>
      <w:r w:rsidR="00F4202B" w:rsidRPr="00F4202B">
        <w:rPr>
          <w:rStyle w:val="Hyperlink"/>
          <w:color w:val="auto"/>
          <w:u w:val="none"/>
        </w:rPr>
        <w:t xml:space="preserve">); iii) le suivi des recommandations </w:t>
      </w:r>
      <w:r w:rsidR="00C065AA">
        <w:rPr>
          <w:rStyle w:val="Hyperlink"/>
          <w:color w:val="auto"/>
          <w:u w:val="none"/>
        </w:rPr>
        <w:t>du ra</w:t>
      </w:r>
      <w:r w:rsidR="00BB12C8">
        <w:rPr>
          <w:rStyle w:val="Hyperlink"/>
          <w:color w:val="auto"/>
          <w:u w:val="none"/>
        </w:rPr>
        <w:t>pport de l</w:t>
      </w:r>
      <w:r w:rsidR="00346F1B">
        <w:rPr>
          <w:rStyle w:val="Hyperlink"/>
          <w:color w:val="auto"/>
          <w:u w:val="none"/>
        </w:rPr>
        <w:t>’</w:t>
      </w:r>
      <w:r w:rsidR="00BB12C8">
        <w:rPr>
          <w:rStyle w:val="Hyperlink"/>
          <w:color w:val="auto"/>
          <w:u w:val="none"/>
        </w:rPr>
        <w:t>Auditeur externe</w:t>
      </w:r>
      <w:r w:rsidR="00F4202B" w:rsidRPr="00F4202B">
        <w:rPr>
          <w:rStyle w:val="Hyperlink"/>
          <w:color w:val="auto"/>
          <w:u w:val="none"/>
        </w:rPr>
        <w:t xml:space="preserve"> « Rapport d</w:t>
      </w:r>
      <w:r w:rsidR="00346F1B">
        <w:rPr>
          <w:rStyle w:val="Hyperlink"/>
          <w:color w:val="auto"/>
          <w:u w:val="none"/>
        </w:rPr>
        <w:t>’</w:t>
      </w:r>
      <w:r w:rsidR="00F4202B" w:rsidRPr="00F4202B">
        <w:rPr>
          <w:rStyle w:val="Hyperlink"/>
          <w:color w:val="auto"/>
          <w:u w:val="none"/>
        </w:rPr>
        <w:t>audit sur la gouvernance de l</w:t>
      </w:r>
      <w:r w:rsidR="00346F1B">
        <w:rPr>
          <w:rStyle w:val="Hyperlink"/>
          <w:color w:val="auto"/>
          <w:u w:val="none"/>
        </w:rPr>
        <w:t>’</w:t>
      </w:r>
      <w:r w:rsidR="00F4202B" w:rsidRPr="00F4202B">
        <w:rPr>
          <w:rStyle w:val="Hyperlink"/>
          <w:color w:val="auto"/>
          <w:u w:val="none"/>
        </w:rPr>
        <w:t xml:space="preserve">UNESCO et des fonds, programmes et entités rattachés » (document </w:t>
      </w:r>
      <w:hyperlink r:id="rId27" w:history="1">
        <w:r w:rsidR="00F4202B" w:rsidRPr="00F4202B">
          <w:rPr>
            <w:rStyle w:val="Hyperlink"/>
          </w:rPr>
          <w:t>ITH/16/11.COM/7</w:t>
        </w:r>
      </w:hyperlink>
      <w:r w:rsidR="00F4202B" w:rsidRPr="00F4202B">
        <w:rPr>
          <w:rStyle w:val="Hyperlink"/>
          <w:color w:val="auto"/>
          <w:u w:val="none"/>
        </w:rPr>
        <w:t>)</w:t>
      </w:r>
      <w:r w:rsidR="00F4202B">
        <w:rPr>
          <w:rStyle w:val="Hyperlink"/>
          <w:color w:val="auto"/>
          <w:u w:val="none"/>
        </w:rPr>
        <w:t xml:space="preserve"> </w:t>
      </w:r>
      <w:r w:rsidR="00F4202B" w:rsidRPr="00F4202B">
        <w:rPr>
          <w:rStyle w:val="Hyperlink"/>
          <w:color w:val="auto"/>
          <w:u w:val="none"/>
        </w:rPr>
        <w:t>;</w:t>
      </w:r>
      <w:r w:rsidR="00F4202B">
        <w:rPr>
          <w:rStyle w:val="Hyperlink"/>
          <w:color w:val="auto"/>
          <w:u w:val="none"/>
        </w:rPr>
        <w:t xml:space="preserve"> et iv) les rapports de </w:t>
      </w:r>
      <w:r w:rsidR="00C065AA">
        <w:rPr>
          <w:rStyle w:val="Hyperlink"/>
          <w:color w:val="auto"/>
          <w:u w:val="none"/>
        </w:rPr>
        <w:t>la Directrice générale au Conseil</w:t>
      </w:r>
      <w:r w:rsidR="00F4202B">
        <w:rPr>
          <w:rStyle w:val="Hyperlink"/>
          <w:color w:val="auto"/>
          <w:u w:val="none"/>
        </w:rPr>
        <w:t xml:space="preserve"> exécutif sur l</w:t>
      </w:r>
      <w:r w:rsidR="00346F1B">
        <w:rPr>
          <w:rStyle w:val="Hyperlink"/>
          <w:color w:val="auto"/>
          <w:u w:val="none"/>
        </w:rPr>
        <w:t>’</w:t>
      </w:r>
      <w:r w:rsidR="00F4202B">
        <w:rPr>
          <w:rStyle w:val="Hyperlink"/>
          <w:color w:val="auto"/>
          <w:u w:val="none"/>
        </w:rPr>
        <w:t xml:space="preserve">exécution du programme adopté par la Conférence générale (EX/4). Dans un effort de </w:t>
      </w:r>
      <w:r w:rsidR="00C065AA">
        <w:rPr>
          <w:rStyle w:val="Hyperlink"/>
          <w:color w:val="auto"/>
          <w:u w:val="none"/>
        </w:rPr>
        <w:t>rationalisation du rapport de cette année, celui-ci se concentrait sur les résultats stratégiques et était organisé en deux part</w:t>
      </w:r>
      <w:r w:rsidR="00BB12C8">
        <w:rPr>
          <w:rStyle w:val="Hyperlink"/>
          <w:color w:val="auto"/>
          <w:u w:val="none"/>
        </w:rPr>
        <w:t>ies. La première partie présentait</w:t>
      </w:r>
      <w:r w:rsidR="00C065AA">
        <w:rPr>
          <w:rStyle w:val="Hyperlink"/>
          <w:color w:val="auto"/>
          <w:u w:val="none"/>
        </w:rPr>
        <w:t xml:space="preserve"> une </w:t>
      </w:r>
      <w:r w:rsidR="00C065AA" w:rsidRPr="00C065AA">
        <w:rPr>
          <w:rStyle w:val="Hyperlink"/>
          <w:color w:val="auto"/>
          <w:u w:val="none"/>
        </w:rPr>
        <w:t>évaluation</w:t>
      </w:r>
      <w:r w:rsidR="00C065AA">
        <w:rPr>
          <w:rStyle w:val="Hyperlink"/>
          <w:color w:val="auto"/>
          <w:u w:val="none"/>
        </w:rPr>
        <w:t xml:space="preserve"> stratégique globale des réalisations clés et les principales difficultés rencontrées dans la mise en œuvre ainsi que les actions </w:t>
      </w:r>
      <w:r w:rsidR="00C065AA" w:rsidRPr="00C065AA">
        <w:rPr>
          <w:rStyle w:val="Hyperlink"/>
          <w:color w:val="auto"/>
          <w:u w:val="none"/>
        </w:rPr>
        <w:t>correctives</w:t>
      </w:r>
      <w:r w:rsidR="00C065AA">
        <w:rPr>
          <w:rStyle w:val="Hyperlink"/>
          <w:color w:val="auto"/>
          <w:u w:val="none"/>
        </w:rPr>
        <w:t>. La</w:t>
      </w:r>
      <w:r w:rsidR="00BB12C8">
        <w:rPr>
          <w:rStyle w:val="Hyperlink"/>
          <w:color w:val="auto"/>
          <w:u w:val="none"/>
        </w:rPr>
        <w:t xml:space="preserve"> seconde partie présentait</w:t>
      </w:r>
      <w:r w:rsidR="00C065AA">
        <w:rPr>
          <w:rStyle w:val="Hyperlink"/>
          <w:color w:val="auto"/>
          <w:u w:val="none"/>
        </w:rPr>
        <w:t xml:space="preserve"> une </w:t>
      </w:r>
      <w:r w:rsidR="00C065AA" w:rsidRPr="00C065AA">
        <w:rPr>
          <w:rStyle w:val="Hyperlink"/>
          <w:color w:val="auto"/>
          <w:u w:val="none"/>
        </w:rPr>
        <w:t>évaluation</w:t>
      </w:r>
      <w:r w:rsidR="00C065AA">
        <w:rPr>
          <w:rStyle w:val="Hyperlink"/>
          <w:color w:val="auto"/>
          <w:u w:val="none"/>
        </w:rPr>
        <w:t xml:space="preserve"> des progrès par indicateur de performance par rapport aux objectifs tels qu</w:t>
      </w:r>
      <w:r w:rsidR="00346F1B">
        <w:rPr>
          <w:rStyle w:val="Hyperlink"/>
          <w:color w:val="auto"/>
          <w:u w:val="none"/>
        </w:rPr>
        <w:t>’</w:t>
      </w:r>
      <w:r w:rsidR="00C065AA">
        <w:rPr>
          <w:rStyle w:val="Hyperlink"/>
          <w:color w:val="auto"/>
          <w:u w:val="none"/>
        </w:rPr>
        <w:t>adoptés dans le document 38 C/5 « Programme</w:t>
      </w:r>
      <w:r w:rsidR="00F97CA6">
        <w:rPr>
          <w:rStyle w:val="Hyperlink"/>
          <w:color w:val="auto"/>
          <w:u w:val="none"/>
        </w:rPr>
        <w:t xml:space="preserve"> et budget 2016-2017 approuvé, </w:t>
      </w:r>
      <w:r w:rsidR="00C065AA">
        <w:rPr>
          <w:rStyle w:val="Hyperlink"/>
          <w:color w:val="auto"/>
          <w:u w:val="none"/>
        </w:rPr>
        <w:t>deuxième exercice biennal de l</w:t>
      </w:r>
      <w:r w:rsidR="00346F1B">
        <w:rPr>
          <w:rStyle w:val="Hyperlink"/>
          <w:color w:val="auto"/>
          <w:u w:val="none"/>
        </w:rPr>
        <w:t>’</w:t>
      </w:r>
      <w:r w:rsidR="00C065AA">
        <w:rPr>
          <w:rStyle w:val="Hyperlink"/>
          <w:color w:val="auto"/>
          <w:u w:val="none"/>
        </w:rPr>
        <w:t>exercice quadriennal 2014-2017 »</w:t>
      </w:r>
      <w:r w:rsidR="00F97CA6">
        <w:rPr>
          <w:rStyle w:val="Hyperlink"/>
          <w:color w:val="auto"/>
          <w:u w:val="none"/>
        </w:rPr>
        <w:t xml:space="preserve">. Le rapport présentait </w:t>
      </w:r>
      <w:r w:rsidR="00F97CA6" w:rsidRPr="00F97CA6">
        <w:rPr>
          <w:rStyle w:val="Hyperlink"/>
          <w:color w:val="auto"/>
          <w:u w:val="none"/>
        </w:rPr>
        <w:t>également</w:t>
      </w:r>
      <w:r w:rsidR="00F97CA6">
        <w:rPr>
          <w:rStyle w:val="Hyperlink"/>
          <w:color w:val="auto"/>
          <w:u w:val="none"/>
        </w:rPr>
        <w:t xml:space="preserve"> deux annexes consacrées au suivi des audits et évaluations du </w:t>
      </w:r>
      <w:r w:rsidR="00F97CA6" w:rsidRPr="00F97CA6">
        <w:rPr>
          <w:rStyle w:val="Hyperlink"/>
          <w:color w:val="auto"/>
          <w:u w:val="none"/>
        </w:rPr>
        <w:t>Service d</w:t>
      </w:r>
      <w:r w:rsidR="00346F1B">
        <w:rPr>
          <w:rStyle w:val="Hyperlink"/>
          <w:color w:val="auto"/>
          <w:u w:val="none"/>
        </w:rPr>
        <w:t>’</w:t>
      </w:r>
      <w:r w:rsidR="00F97CA6" w:rsidRPr="00F97CA6">
        <w:rPr>
          <w:rStyle w:val="Hyperlink"/>
          <w:color w:val="auto"/>
          <w:u w:val="none"/>
        </w:rPr>
        <w:t>évaluation et d</w:t>
      </w:r>
      <w:r w:rsidR="00346F1B">
        <w:rPr>
          <w:rStyle w:val="Hyperlink"/>
          <w:color w:val="auto"/>
          <w:u w:val="none"/>
        </w:rPr>
        <w:t>’</w:t>
      </w:r>
      <w:r w:rsidR="00F97CA6" w:rsidRPr="00F97CA6">
        <w:rPr>
          <w:rStyle w:val="Hyperlink"/>
          <w:color w:val="auto"/>
          <w:u w:val="none"/>
        </w:rPr>
        <w:t>audit</w:t>
      </w:r>
      <w:r w:rsidR="00F97CA6">
        <w:rPr>
          <w:rStyle w:val="Hyperlink"/>
          <w:color w:val="auto"/>
          <w:u w:val="none"/>
        </w:rPr>
        <w:t xml:space="preserve"> (IOS). En raison des contraintes de temps, le Secrétariat avait choisi de limiter sa </w:t>
      </w:r>
      <w:r w:rsidR="00F97CA6" w:rsidRPr="00F97CA6">
        <w:rPr>
          <w:rStyle w:val="Hyperlink"/>
          <w:color w:val="auto"/>
          <w:u w:val="none"/>
        </w:rPr>
        <w:t>présentation</w:t>
      </w:r>
      <w:r w:rsidR="00F97CA6">
        <w:rPr>
          <w:rStyle w:val="Hyperlink"/>
          <w:color w:val="auto"/>
          <w:u w:val="none"/>
        </w:rPr>
        <w:t xml:space="preserve"> à l</w:t>
      </w:r>
      <w:r w:rsidR="00346F1B">
        <w:rPr>
          <w:rStyle w:val="Hyperlink"/>
          <w:color w:val="auto"/>
          <w:u w:val="none"/>
        </w:rPr>
        <w:t>’</w:t>
      </w:r>
      <w:r w:rsidR="00F97CA6" w:rsidRPr="00F97CA6">
        <w:rPr>
          <w:rStyle w:val="Hyperlink"/>
          <w:color w:val="auto"/>
          <w:u w:val="none"/>
        </w:rPr>
        <w:t>évaluation</w:t>
      </w:r>
      <w:r w:rsidR="00F97CA6">
        <w:rPr>
          <w:rStyle w:val="Hyperlink"/>
          <w:color w:val="auto"/>
          <w:u w:val="none"/>
        </w:rPr>
        <w:t xml:space="preserve"> stratégique globale et aux difficultés rencontrées, on pouvait trouver les résultats détaillés de chaque activité au </w:t>
      </w:r>
      <w:r w:rsidR="00F97CA6" w:rsidRPr="00F97CA6">
        <w:rPr>
          <w:rStyle w:val="Hyperlink"/>
          <w:color w:val="auto"/>
          <w:u w:val="none"/>
        </w:rPr>
        <w:t>paragraphe</w:t>
      </w:r>
      <w:r w:rsidR="00F97CA6">
        <w:rPr>
          <w:rStyle w:val="Hyperlink"/>
          <w:color w:val="auto"/>
          <w:u w:val="none"/>
        </w:rPr>
        <w:t xml:space="preserve"> 24 du </w:t>
      </w:r>
      <w:hyperlink r:id="rId28" w:history="1">
        <w:r w:rsidR="00F97CA6" w:rsidRPr="000A6378">
          <w:rPr>
            <w:rStyle w:val="Hyperlink"/>
          </w:rPr>
          <w:t>document de travail 5</w:t>
        </w:r>
      </w:hyperlink>
      <w:r w:rsidR="00620EE6">
        <w:rPr>
          <w:rStyle w:val="Hyperlink"/>
          <w:color w:val="auto"/>
          <w:u w:val="none"/>
        </w:rPr>
        <w:t>.</w:t>
      </w:r>
    </w:p>
    <w:p w14:paraId="0816659C" w14:textId="1D877497" w:rsidR="00DF4CC1" w:rsidRPr="00DF4CC1" w:rsidRDefault="00EC5D7C" w:rsidP="00AF7860">
      <w:pPr>
        <w:pStyle w:val="Orateurengris"/>
        <w:spacing w:before="120"/>
        <w:ind w:left="709" w:hanging="709"/>
      </w:pPr>
      <w:r w:rsidRPr="00EC5D7C">
        <w:t xml:space="preserve">Le </w:t>
      </w:r>
      <w:r w:rsidRPr="00EC5D7C">
        <w:rPr>
          <w:b/>
        </w:rPr>
        <w:t>Secrétaire</w:t>
      </w:r>
      <w:r w:rsidRPr="00EC5D7C">
        <w:t xml:space="preserve"> a débuté son rapport avec </w:t>
      </w:r>
      <w:r w:rsidRPr="00EC5D7C">
        <w:rPr>
          <w:b/>
          <w:u w:val="single"/>
        </w:rPr>
        <w:t>l</w:t>
      </w:r>
      <w:r w:rsidR="00346F1B">
        <w:rPr>
          <w:b/>
          <w:u w:val="single"/>
        </w:rPr>
        <w:t>’</w:t>
      </w:r>
      <w:r w:rsidRPr="00EC5D7C">
        <w:rPr>
          <w:b/>
          <w:u w:val="single"/>
        </w:rPr>
        <w:t>évaluation stra</w:t>
      </w:r>
      <w:r>
        <w:rPr>
          <w:b/>
          <w:u w:val="single"/>
        </w:rPr>
        <w:t xml:space="preserve">tégique </w:t>
      </w:r>
      <w:r w:rsidRPr="00EC5D7C">
        <w:rPr>
          <w:b/>
          <w:u w:val="single"/>
        </w:rPr>
        <w:t>globale</w:t>
      </w:r>
      <w:r>
        <w:t xml:space="preserve"> des activités du Secrétariat. Pendant la période concernée par le rapport – comme dans le passé – le Secrétariat avait concentré ses efforts sur deux actions principales. Premièrement, soutenir la gouvernance de la </w:t>
      </w:r>
      <w:r w:rsidRPr="00EC5D7C">
        <w:t>Convention</w:t>
      </w:r>
      <w:r>
        <w:t xml:space="preserve">, c.-à-d. son « travail statutaire », et, deuxièmement, soutenir la mise en œuvre de la </w:t>
      </w:r>
      <w:r w:rsidRPr="00EC5D7C">
        <w:t>Convention</w:t>
      </w:r>
      <w:r>
        <w:t xml:space="preserve"> par le programme de renforcement des capacités, comme approuvé par le Comité. Le Secrétariat a</w:t>
      </w:r>
      <w:r w:rsidR="00304D58">
        <w:t>vait</w:t>
      </w:r>
      <w:r>
        <w:t xml:space="preserve"> apporté son soutien à l</w:t>
      </w:r>
      <w:r w:rsidR="00346F1B">
        <w:t>’</w:t>
      </w:r>
      <w:r w:rsidRPr="00EC5D7C">
        <w:t>organisation</w:t>
      </w:r>
      <w:r>
        <w:t xml:space="preserve"> de cinq réunions statutaires entre janvie</w:t>
      </w:r>
      <w:r w:rsidR="00B75657">
        <w:t>r et juin 2016, dont</w:t>
      </w:r>
      <w:r>
        <w:t xml:space="preserve"> la sixième Assemblée générale en mai 2016 qui a</w:t>
      </w:r>
      <w:r w:rsidR="00FF09D9">
        <w:t>vait</w:t>
      </w:r>
      <w:r w:rsidR="00A46CAD">
        <w:t xml:space="preserve"> vu l</w:t>
      </w:r>
      <w:r w:rsidR="00346F1B">
        <w:t>’</w:t>
      </w:r>
      <w:r w:rsidR="00A46CAD">
        <w:t>élection de 12 nouveaux membres</w:t>
      </w:r>
      <w:r>
        <w:t xml:space="preserve"> du Comité et l</w:t>
      </w:r>
      <w:r w:rsidR="00346F1B">
        <w:t>’</w:t>
      </w:r>
      <w:r>
        <w:t>approbation du Plan d</w:t>
      </w:r>
      <w:r w:rsidR="00346F1B">
        <w:t>’</w:t>
      </w:r>
      <w:r w:rsidRPr="00EC5D7C">
        <w:t>utilisation</w:t>
      </w:r>
      <w:r w:rsidR="00FF09D9">
        <w:t xml:space="preserve"> du Fonds du PCI</w:t>
      </w:r>
      <w:r>
        <w:t xml:space="preserve">. </w:t>
      </w:r>
      <w:r w:rsidR="00FF09D9">
        <w:t>Il convenait de noter un point important, l</w:t>
      </w:r>
      <w:r w:rsidR="00346F1B">
        <w:t>’</w:t>
      </w:r>
      <w:r w:rsidR="00FF09D9">
        <w:t xml:space="preserve">Assemblée avait adopté </w:t>
      </w:r>
      <w:r w:rsidR="00B75657">
        <w:t>des révisions substantielles des</w:t>
      </w:r>
      <w:r w:rsidR="00FF09D9">
        <w:t xml:space="preserve"> Directives opérationnelles parmi lesquelles : i) l</w:t>
      </w:r>
      <w:r w:rsidR="00346F1B">
        <w:t>’</w:t>
      </w:r>
      <w:r w:rsidR="00FF09D9">
        <w:t>augmentation du plafond des demandes d</w:t>
      </w:r>
      <w:r w:rsidR="00346F1B">
        <w:t>’</w:t>
      </w:r>
      <w:r w:rsidR="00FF09D9">
        <w:t>assistance internationale à soumettre au Bureau de 25</w:t>
      </w:r>
      <w:r w:rsidR="00346F1B">
        <w:t> 000</w:t>
      </w:r>
      <w:r w:rsidR="00FF09D9">
        <w:t xml:space="preserve"> à 100</w:t>
      </w:r>
      <w:r w:rsidR="00346F1B">
        <w:t> 000</w:t>
      </w:r>
      <w:r w:rsidR="00FF09D9">
        <w:t xml:space="preserve"> </w:t>
      </w:r>
      <w:r w:rsidR="00FF09D9" w:rsidRPr="00FF09D9">
        <w:t>dollars des États-Unis</w:t>
      </w:r>
      <w:r w:rsidR="00FF09D9">
        <w:t> ; ii) l</w:t>
      </w:r>
      <w:r w:rsidR="00346F1B">
        <w:t>’</w:t>
      </w:r>
      <w:r w:rsidR="00FF09D9">
        <w:t>adoption d</w:t>
      </w:r>
      <w:r w:rsidR="00346F1B">
        <w:t>’</w:t>
      </w:r>
      <w:r w:rsidR="00FF09D9">
        <w:t xml:space="preserve">un nouveau chapitre sur la </w:t>
      </w:r>
      <w:r w:rsidR="00FF09D9" w:rsidRPr="00FF09D9">
        <w:t>sauvegarde</w:t>
      </w:r>
      <w:r w:rsidR="00FF09D9">
        <w:t xml:space="preserve"> du patrimoine culturel immatériel et le développement durable au niveau national ; et iii) l</w:t>
      </w:r>
      <w:r w:rsidR="00346F1B">
        <w:t>’</w:t>
      </w:r>
      <w:r w:rsidR="00FF09D9">
        <w:t>extension de l</w:t>
      </w:r>
      <w:r w:rsidR="00346F1B">
        <w:t>’</w:t>
      </w:r>
      <w:r w:rsidR="00FF09D9">
        <w:t xml:space="preserve">option de renvoi à la Liste représentative, la Liste de sauvegarde urgente, le Registre des meilleures pratiques de </w:t>
      </w:r>
      <w:r w:rsidR="00FF09D9" w:rsidRPr="00FF09D9">
        <w:t>sauvegarde</w:t>
      </w:r>
      <w:r w:rsidR="00FF09D9">
        <w:t xml:space="preserve"> et les demandes d</w:t>
      </w:r>
      <w:r w:rsidR="00346F1B">
        <w:t>’</w:t>
      </w:r>
      <w:r w:rsidR="00FF09D9">
        <w:t xml:space="preserve">assistance internationale. Le </w:t>
      </w:r>
      <w:r w:rsidR="00FF09D9" w:rsidRPr="00FF09D9">
        <w:t>Secrétaire</w:t>
      </w:r>
      <w:r w:rsidR="00FF09D9">
        <w:t xml:space="preserve"> a expliqué que l</w:t>
      </w:r>
      <w:r w:rsidR="00346F1B">
        <w:t>’</w:t>
      </w:r>
      <w:r w:rsidR="00FF09D9">
        <w:t>augmentation du plafond des demandes d</w:t>
      </w:r>
      <w:r w:rsidR="00346F1B">
        <w:t>’</w:t>
      </w:r>
      <w:r w:rsidR="00FF09D9">
        <w:t>assistance internationale représentait une avancée significative car elle permettrait aux États parties d</w:t>
      </w:r>
      <w:r w:rsidR="00346F1B">
        <w:t>’</w:t>
      </w:r>
      <w:r w:rsidR="00FF09D9">
        <w:t xml:space="preserve">avoir un accès plus aisé aux fonds, c.-à-d. un </w:t>
      </w:r>
      <w:r w:rsidR="00FF09D9" w:rsidRPr="00FF09D9">
        <w:t>État partie</w:t>
      </w:r>
      <w:r w:rsidR="00FF09D9">
        <w:t xml:space="preserve"> pourrait désormais soumettre d</w:t>
      </w:r>
      <w:r w:rsidR="00346F1B">
        <w:t>’</w:t>
      </w:r>
      <w:r w:rsidR="00FF09D9">
        <w:t>importantes demandes d</w:t>
      </w:r>
      <w:r w:rsidR="00346F1B">
        <w:t>’</w:t>
      </w:r>
      <w:r w:rsidR="00FF09D9" w:rsidRPr="00FF09D9">
        <w:t>assistance</w:t>
      </w:r>
      <w:r w:rsidR="00FF09D9">
        <w:t xml:space="preserve"> financière jusqu</w:t>
      </w:r>
      <w:r w:rsidR="00346F1B">
        <w:t>’</w:t>
      </w:r>
      <w:r w:rsidR="00FF09D9">
        <w:t>à 100</w:t>
      </w:r>
      <w:r w:rsidR="00346F1B">
        <w:t> 000</w:t>
      </w:r>
      <w:r w:rsidR="00FF09D9">
        <w:t xml:space="preserve"> </w:t>
      </w:r>
      <w:r w:rsidR="00FF09D9" w:rsidRPr="00FF09D9">
        <w:t>dollars des États-Unis</w:t>
      </w:r>
      <w:r w:rsidR="00FF09D9">
        <w:t xml:space="preserve"> sans pou</w:t>
      </w:r>
      <w:r w:rsidR="00304D58">
        <w:t>r autant renoncer à son droit de</w:t>
      </w:r>
      <w:r w:rsidR="00FF09D9">
        <w:t xml:space="preserve"> soumettre soit une </w:t>
      </w:r>
      <w:r w:rsidR="00FF09D9" w:rsidRPr="00FF09D9">
        <w:t>candidature</w:t>
      </w:r>
      <w:r w:rsidR="00FF09D9">
        <w:t>, soit une autre demande supérieure à 100</w:t>
      </w:r>
      <w:r w:rsidR="00346F1B">
        <w:t> 000</w:t>
      </w:r>
      <w:r w:rsidR="00FF09D9">
        <w:t xml:space="preserve"> </w:t>
      </w:r>
      <w:r w:rsidR="00FF09D9" w:rsidRPr="00FF09D9">
        <w:t>dollars des États-Unis</w:t>
      </w:r>
      <w:r w:rsidR="00FF09D9">
        <w:t xml:space="preserve">, voire une autre </w:t>
      </w:r>
      <w:r w:rsidR="00FF09D9" w:rsidRPr="00FF09D9">
        <w:t xml:space="preserve">proposition </w:t>
      </w:r>
      <w:r w:rsidR="002B38BA">
        <w:t xml:space="preserve">au Comité. Le relèvement </w:t>
      </w:r>
      <w:r w:rsidR="00FF09D9">
        <w:t>du plafond contribuerait à renverser la tendance observée à une sous-utilisation du Fonds du PCI. Il a été précisé que, pendant</w:t>
      </w:r>
      <w:r w:rsidR="00DF4CC1">
        <w:t xml:space="preserve"> la période concernée, seuls</w:t>
      </w:r>
      <w:r w:rsidR="00FF09D9">
        <w:t xml:space="preserve"> cinq projets avaient bénéficié de l</w:t>
      </w:r>
      <w:r w:rsidR="00346F1B">
        <w:t>’</w:t>
      </w:r>
      <w:r w:rsidR="00FF09D9">
        <w:t>assistance internationale jusqu</w:t>
      </w:r>
      <w:r w:rsidR="00346F1B">
        <w:t>’</w:t>
      </w:r>
      <w:r w:rsidR="00FF09D9">
        <w:t>à 25</w:t>
      </w:r>
      <w:r w:rsidR="00346F1B">
        <w:t> 000</w:t>
      </w:r>
      <w:r w:rsidR="00FF09D9">
        <w:t xml:space="preserve"> </w:t>
      </w:r>
      <w:r w:rsidR="00FF09D9" w:rsidRPr="00FF09D9">
        <w:t>dollars des États-Unis</w:t>
      </w:r>
      <w:r w:rsidR="00FF09D9">
        <w:t xml:space="preserve"> accordée par le Bureau. Toutefois, le </w:t>
      </w:r>
      <w:r w:rsidR="00FF09D9" w:rsidRPr="00FF09D9">
        <w:t>Secrétaire</w:t>
      </w:r>
      <w:r w:rsidR="00FF09D9">
        <w:t xml:space="preserve"> a rappelé au Comité </w:t>
      </w:r>
      <w:r w:rsidR="00DF4CC1">
        <w:t>que cela ne concernait que la période de rapport jusqu</w:t>
      </w:r>
      <w:r w:rsidR="00346F1B">
        <w:t>’</w:t>
      </w:r>
      <w:r w:rsidR="00DF4CC1">
        <w:t>à juin alors que l</w:t>
      </w:r>
      <w:r w:rsidR="00346F1B">
        <w:t>’</w:t>
      </w:r>
      <w:r w:rsidR="00DF4CC1">
        <w:t>augmentation du plafond à 100</w:t>
      </w:r>
      <w:r w:rsidR="00346F1B">
        <w:t> 000</w:t>
      </w:r>
      <w:r w:rsidR="00DF4CC1">
        <w:t xml:space="preserve"> </w:t>
      </w:r>
      <w:r w:rsidR="00DF4CC1" w:rsidRPr="00DF4CC1">
        <w:t>dollars des États-Unis</w:t>
      </w:r>
      <w:r w:rsidR="00DF4CC1">
        <w:t xml:space="preserve"> n</w:t>
      </w:r>
      <w:r w:rsidR="00346F1B">
        <w:t>’</w:t>
      </w:r>
      <w:r w:rsidR="00DF4CC1">
        <w:t>était en v</w:t>
      </w:r>
      <w:r w:rsidR="00304D58">
        <w:t xml:space="preserve">igueur que depuis la fin mai, soit un </w:t>
      </w:r>
      <w:r w:rsidR="00DF4CC1">
        <w:t>seul mois</w:t>
      </w:r>
      <w:r w:rsidR="00304D58">
        <w:t xml:space="preserve"> du rapport</w:t>
      </w:r>
      <w:r w:rsidR="00DF4CC1">
        <w:t>. Parallèlement, le Secrétariat avait modifié sa méthode de travail pour le traitement des demandes d</w:t>
      </w:r>
      <w:r w:rsidR="00346F1B">
        <w:t>’</w:t>
      </w:r>
      <w:r w:rsidR="00DF4CC1">
        <w:t>assistance internationale jusqu</w:t>
      </w:r>
      <w:r w:rsidR="00346F1B">
        <w:t>’</w:t>
      </w:r>
      <w:r w:rsidR="00DF4CC1">
        <w:t>à 100</w:t>
      </w:r>
      <w:r w:rsidR="00346F1B">
        <w:t> 000</w:t>
      </w:r>
      <w:r w:rsidR="00DF4CC1">
        <w:t xml:space="preserve"> </w:t>
      </w:r>
      <w:r w:rsidR="00DF4CC1" w:rsidRPr="00DF4CC1">
        <w:t>dollars des États-Unis</w:t>
      </w:r>
      <w:r w:rsidR="00DF4CC1">
        <w:t xml:space="preserve"> en organisant au moins trois réunions du Bureau par an (en mars, juin et octobre). Selon ces nouveaux paramètres, le nombre de demandes d</w:t>
      </w:r>
      <w:r w:rsidR="00346F1B">
        <w:t>’</w:t>
      </w:r>
      <w:r w:rsidR="00DF4CC1">
        <w:t>assistance internationale examinées par le Bureau pour la période de rapport avait augmenté (six demandes) par rapport à l</w:t>
      </w:r>
      <w:r w:rsidR="00346F1B">
        <w:t>’</w:t>
      </w:r>
      <w:r w:rsidR="00DF4CC1">
        <w:t xml:space="preserve">époque correspondante en 2014 (pas de demande) et en 2015 (quatre demandes). Néanmoins, le </w:t>
      </w:r>
      <w:r w:rsidR="00DF4CC1" w:rsidRPr="00DF4CC1">
        <w:t>Secrétaire</w:t>
      </w:r>
      <w:r w:rsidR="004621F0">
        <w:t xml:space="preserve"> souhaitait</w:t>
      </w:r>
      <w:r w:rsidR="00DF4CC1">
        <w:t xml:space="preserve"> préciser que ces </w:t>
      </w:r>
      <w:r w:rsidR="00DF4CC1" w:rsidRPr="00DF4CC1">
        <w:t>dispositions</w:t>
      </w:r>
      <w:r w:rsidR="00DF4CC1">
        <w:t xml:space="preserve"> nouvelles offraient plus d</w:t>
      </w:r>
      <w:r w:rsidR="00346F1B">
        <w:t>’</w:t>
      </w:r>
      <w:r w:rsidR="00DF4CC1">
        <w:t>opportunités d</w:t>
      </w:r>
      <w:r w:rsidR="00346F1B">
        <w:t>’</w:t>
      </w:r>
      <w:r w:rsidR="00DF4CC1">
        <w:t xml:space="preserve">accès </w:t>
      </w:r>
      <w:r w:rsidR="00047B21">
        <w:t>à l</w:t>
      </w:r>
      <w:r w:rsidR="00346F1B">
        <w:t>’</w:t>
      </w:r>
      <w:r w:rsidR="00047B21">
        <w:t>assistance internationale mai</w:t>
      </w:r>
      <w:r w:rsidR="00DF4CC1">
        <w:t>s</w:t>
      </w:r>
      <w:r w:rsidR="00304D58">
        <w:t xml:space="preserve"> ne changeaient rien quant aux</w:t>
      </w:r>
      <w:r w:rsidR="00BC05C6">
        <w:t xml:space="preserve"> modalités </w:t>
      </w:r>
      <w:r w:rsidR="00304D58">
        <w:t>de s</w:t>
      </w:r>
      <w:r w:rsidR="00047B21">
        <w:t>a mise à disposition</w:t>
      </w:r>
      <w:r w:rsidR="00BC05C6">
        <w:t xml:space="preserve"> ou de son exécution</w:t>
      </w:r>
      <w:r w:rsidR="00620EE6">
        <w:t>.</w:t>
      </w:r>
    </w:p>
    <w:p w14:paraId="427B93C0" w14:textId="60B7CC33" w:rsidR="00990A0C" w:rsidRPr="00990A0C" w:rsidRDefault="00793707" w:rsidP="00AF7860">
      <w:pPr>
        <w:pStyle w:val="Orateurengris"/>
        <w:spacing w:before="120"/>
        <w:ind w:left="709" w:hanging="709"/>
      </w:pPr>
      <w:r w:rsidRPr="00990A0C">
        <w:t xml:space="preserve">Le </w:t>
      </w:r>
      <w:r w:rsidRPr="00990A0C">
        <w:rPr>
          <w:b/>
        </w:rPr>
        <w:t>Secrétaire</w:t>
      </w:r>
      <w:r w:rsidRPr="00990A0C">
        <w:t xml:space="preserve"> a ensuite évoqué </w:t>
      </w:r>
      <w:r w:rsidRPr="00990A0C">
        <w:rPr>
          <w:b/>
          <w:u w:val="single"/>
        </w:rPr>
        <w:t>l</w:t>
      </w:r>
      <w:r w:rsidR="00346F1B">
        <w:rPr>
          <w:b/>
          <w:u w:val="single"/>
        </w:rPr>
        <w:t>’</w:t>
      </w:r>
      <w:r w:rsidRPr="00990A0C">
        <w:rPr>
          <w:b/>
          <w:u w:val="single"/>
        </w:rPr>
        <w:t>adoption du nouveau chapitre des Directives opérationnelles</w:t>
      </w:r>
      <w:r w:rsidRPr="00990A0C">
        <w:t xml:space="preserve"> sur le patrimoine culturel immatériel et le développement durable, en la qualifiant d</w:t>
      </w:r>
      <w:r w:rsidR="00346F1B">
        <w:t>’</w:t>
      </w:r>
      <w:r w:rsidRPr="00990A0C">
        <w:t>étape majeure dans l</w:t>
      </w:r>
      <w:r w:rsidR="00346F1B">
        <w:t>’</w:t>
      </w:r>
      <w:r w:rsidRPr="00990A0C">
        <w:t>évolution de la Convention, q</w:t>
      </w:r>
      <w:r w:rsidR="002B38BA">
        <w:t>ui devait être envisagée dans le</w:t>
      </w:r>
      <w:r w:rsidRPr="00990A0C">
        <w:t xml:space="preserve"> cadre plus large de l</w:t>
      </w:r>
      <w:r w:rsidR="00346F1B">
        <w:t>’</w:t>
      </w:r>
      <w:r w:rsidRPr="00990A0C">
        <w:t>adoption par le système des Nations Unies de l</w:t>
      </w:r>
      <w:r w:rsidR="00346F1B">
        <w:t>’</w:t>
      </w:r>
      <w:r w:rsidRPr="00990A0C">
        <w:t>Agenda 2030 pour le développement durable, en septembre 2015. Le nouveau chapitre offrait aux États parties des lignes directrices sur les mesures qu</w:t>
      </w:r>
      <w:r w:rsidR="00346F1B">
        <w:t>’</w:t>
      </w:r>
      <w:r w:rsidRPr="00990A0C">
        <w:t>ils pourraient mettre en œuvre pour développer le potentiel de la Convention en tant qu</w:t>
      </w:r>
      <w:r w:rsidR="00346F1B">
        <w:t>’</w:t>
      </w:r>
      <w:r w:rsidRPr="00990A0C">
        <w:t xml:space="preserve">outil non seulement pour la sauvegarde du patrimoine culturel immatériel mais également </w:t>
      </w:r>
      <w:r w:rsidR="00B262B5">
        <w:t xml:space="preserve">pour </w:t>
      </w:r>
      <w:r w:rsidRPr="00990A0C">
        <w:t>la réalisation des objectifs de développement durable à l</w:t>
      </w:r>
      <w:r w:rsidR="00346F1B">
        <w:t>’</w:t>
      </w:r>
      <w:r w:rsidRPr="00990A0C">
        <w:t>horizon 2030. S</w:t>
      </w:r>
      <w:r w:rsidR="00346F1B">
        <w:t>’</w:t>
      </w:r>
      <w:r w:rsidRPr="00990A0C">
        <w:t xml:space="preserve">agissant des </w:t>
      </w:r>
      <w:r w:rsidRPr="00990A0C">
        <w:rPr>
          <w:b/>
          <w:u w:val="single"/>
        </w:rPr>
        <w:t>mé</w:t>
      </w:r>
      <w:r w:rsidR="001433F2">
        <w:rPr>
          <w:b/>
          <w:u w:val="single"/>
        </w:rPr>
        <w:t>canismes d</w:t>
      </w:r>
      <w:r w:rsidR="00346F1B">
        <w:rPr>
          <w:b/>
          <w:u w:val="single"/>
        </w:rPr>
        <w:t>’</w:t>
      </w:r>
      <w:r w:rsidR="001433F2">
        <w:rPr>
          <w:b/>
          <w:u w:val="single"/>
        </w:rPr>
        <w:t>inscription sur les L</w:t>
      </w:r>
      <w:r w:rsidRPr="00990A0C">
        <w:rPr>
          <w:b/>
          <w:u w:val="single"/>
        </w:rPr>
        <w:t>istes</w:t>
      </w:r>
      <w:r w:rsidRPr="00990A0C">
        <w:t>, le Secrétaire a expliqué qu</w:t>
      </w:r>
      <w:r w:rsidR="00346F1B">
        <w:t>’</w:t>
      </w:r>
      <w:r w:rsidRPr="00990A0C">
        <w:t>une partie importante du travail du Secrétariat était consacrée au traitement des candidatures à l</w:t>
      </w:r>
      <w:r w:rsidR="00346F1B">
        <w:t>’</w:t>
      </w:r>
      <w:r w:rsidRPr="00990A0C">
        <w:t>inscription sur les deux Listes, des propositions pour le Registre des meilleures pratiques de sauvegarde, des demandes d</w:t>
      </w:r>
      <w:r w:rsidR="00346F1B">
        <w:t>’</w:t>
      </w:r>
      <w:r w:rsidRPr="00990A0C">
        <w:t xml:space="preserve">assistance internationale et des rapports périodiques des États parties. Il était heureux de pouvoir informer le Comité que le traitement des candidatures pour le cycle 2017 était dans les temps. La bonne gouvernance de la Convention était également rendue plus aisée par </w:t>
      </w:r>
      <w:r w:rsidRPr="00990A0C">
        <w:rPr>
          <w:b/>
          <w:u w:val="single"/>
        </w:rPr>
        <w:t>l</w:t>
      </w:r>
      <w:r w:rsidR="00346F1B">
        <w:rPr>
          <w:b/>
          <w:u w:val="single"/>
        </w:rPr>
        <w:t>’</w:t>
      </w:r>
      <w:r w:rsidRPr="00990A0C">
        <w:rPr>
          <w:b/>
          <w:u w:val="single"/>
        </w:rPr>
        <w:t>amélioration des services de gestion des connaissances</w:t>
      </w:r>
      <w:r w:rsidRPr="00990A0C">
        <w:t>, dont on savait qu</w:t>
      </w:r>
      <w:r w:rsidR="00346F1B">
        <w:t>’</w:t>
      </w:r>
      <w:r w:rsidRPr="00990A0C">
        <w:t>ils étaient grandement apprécié</w:t>
      </w:r>
      <w:r w:rsidR="00075D93">
        <w:t>s</w:t>
      </w:r>
      <w:r w:rsidRPr="00990A0C">
        <w:t xml:space="preserve"> par les États parties alors que le nombre d</w:t>
      </w:r>
      <w:r w:rsidR="00346F1B">
        <w:t>’</w:t>
      </w:r>
      <w:r w:rsidRPr="00990A0C">
        <w:t>États parties à la Convention</w:t>
      </w:r>
      <w:r w:rsidR="00990A0C" w:rsidRPr="00990A0C">
        <w:t xml:space="preserve"> et les </w:t>
      </w:r>
      <w:r w:rsidRPr="00990A0C">
        <w:t>diverses expériences en matière de sauvegarde du patrimoine culturel immatériel</w:t>
      </w:r>
      <w:r w:rsidR="00990A0C" w:rsidRPr="00990A0C">
        <w:t xml:space="preserve"> ne cessaient de croitre. Le travail entrepris pendant la période de rapport s</w:t>
      </w:r>
      <w:r w:rsidR="00346F1B">
        <w:t>’</w:t>
      </w:r>
      <w:r w:rsidR="00990A0C" w:rsidRPr="00990A0C">
        <w:t>était concentré sur l</w:t>
      </w:r>
      <w:r w:rsidR="00346F1B">
        <w:t>’</w:t>
      </w:r>
      <w:r w:rsidR="00990A0C" w:rsidRPr="00990A0C">
        <w:t>amélioration tant du fonctionnement du système de gestion des connaissances de la Convention que de son utilité pour différ</w:t>
      </w:r>
      <w:r w:rsidR="00075D93">
        <w:t>ents groupes d</w:t>
      </w:r>
      <w:r w:rsidR="00346F1B">
        <w:t>’</w:t>
      </w:r>
      <w:r w:rsidR="00075D93">
        <w:t>acteurs du PCI. P</w:t>
      </w:r>
      <w:r w:rsidR="00990A0C" w:rsidRPr="00990A0C">
        <w:t>ar exemple, en mai 2016, le Secrétariat avait lancé une nouvelle interface de suivi qui permettait aux utilisateurs d</w:t>
      </w:r>
      <w:r w:rsidR="00346F1B">
        <w:t>’</w:t>
      </w:r>
      <w:r w:rsidR="00990A0C" w:rsidRPr="00990A0C">
        <w:t>avoir accès aux rapports soumis, de revoir le calendrier de soumission</w:t>
      </w:r>
      <w:r w:rsidR="00075D93">
        <w:t>s</w:t>
      </w:r>
      <w:r w:rsidR="00990A0C" w:rsidRPr="00990A0C">
        <w:t xml:space="preserve"> et de rechercher </w:t>
      </w:r>
      <w:r w:rsidR="006B7B40">
        <w:t xml:space="preserve">les rapports </w:t>
      </w:r>
      <w:r w:rsidR="00990A0C" w:rsidRPr="00990A0C">
        <w:t>par mécanisme, statut et pays. Le Secrétariat a</w:t>
      </w:r>
      <w:r w:rsidR="00075D93">
        <w:t>vait poursuivi son</w:t>
      </w:r>
      <w:r w:rsidR="00990A0C" w:rsidRPr="00990A0C">
        <w:t xml:space="preserve"> travail d</w:t>
      </w:r>
      <w:r w:rsidR="00346F1B">
        <w:t>’</w:t>
      </w:r>
      <w:r w:rsidR="00990A0C" w:rsidRPr="00990A0C">
        <w:t>amélioration de la page web consacré</w:t>
      </w:r>
      <w:r w:rsidR="00075D93">
        <w:t>e</w:t>
      </w:r>
      <w:r w:rsidR="00990A0C" w:rsidRPr="00990A0C">
        <w:t xml:space="preserve"> aux </w:t>
      </w:r>
      <w:hyperlink r:id="rId29" w:history="1">
        <w:r w:rsidR="00990A0C">
          <w:rPr>
            <w:rStyle w:val="Hyperlink"/>
          </w:rPr>
          <w:t>centres de catégorie 2</w:t>
        </w:r>
      </w:hyperlink>
      <w:r w:rsidR="00990A0C" w:rsidRPr="00990A0C">
        <w:rPr>
          <w:rStyle w:val="Hyperlink"/>
          <w:color w:val="auto"/>
          <w:u w:val="none"/>
        </w:rPr>
        <w:t xml:space="preserve"> avec les principaux documents pour chacun des huit centres, y compris les </w:t>
      </w:r>
      <w:r w:rsidR="006B7B40">
        <w:rPr>
          <w:rStyle w:val="Hyperlink"/>
          <w:color w:val="auto"/>
          <w:u w:val="none"/>
        </w:rPr>
        <w:t xml:space="preserve">récents </w:t>
      </w:r>
      <w:r w:rsidR="00990A0C" w:rsidRPr="00990A0C">
        <w:rPr>
          <w:rStyle w:val="Hyperlink"/>
          <w:color w:val="auto"/>
          <w:u w:val="none"/>
        </w:rPr>
        <w:t xml:space="preserve">plans de travail et rapports annuels. </w:t>
      </w:r>
      <w:r w:rsidR="00075D93">
        <w:rPr>
          <w:rStyle w:val="Hyperlink"/>
          <w:color w:val="auto"/>
          <w:u w:val="none"/>
        </w:rPr>
        <w:t xml:space="preserve">Des efforts avaient </w:t>
      </w:r>
      <w:r w:rsidR="00075D93" w:rsidRPr="00075D93">
        <w:rPr>
          <w:rStyle w:val="Hyperlink"/>
          <w:color w:val="auto"/>
          <w:u w:val="none"/>
        </w:rPr>
        <w:t>également</w:t>
      </w:r>
      <w:r w:rsidR="00075D93">
        <w:rPr>
          <w:rStyle w:val="Hyperlink"/>
          <w:color w:val="auto"/>
          <w:u w:val="none"/>
        </w:rPr>
        <w:t xml:space="preserve"> été entrepris pour améliorer le site web de la </w:t>
      </w:r>
      <w:r w:rsidR="00075D93" w:rsidRPr="00075D93">
        <w:rPr>
          <w:rStyle w:val="Hyperlink"/>
          <w:color w:val="auto"/>
          <w:u w:val="none"/>
        </w:rPr>
        <w:t>Convention</w:t>
      </w:r>
      <w:r w:rsidR="00075D93">
        <w:rPr>
          <w:rStyle w:val="Hyperlink"/>
          <w:color w:val="auto"/>
          <w:u w:val="none"/>
        </w:rPr>
        <w:t xml:space="preserve"> avec une naviga</w:t>
      </w:r>
      <w:r w:rsidR="003A7F42">
        <w:rPr>
          <w:rStyle w:val="Hyperlink"/>
          <w:color w:val="auto"/>
          <w:u w:val="none"/>
        </w:rPr>
        <w:t>tion et une ergonomie facilitée</w:t>
      </w:r>
      <w:r w:rsidR="00075D93">
        <w:rPr>
          <w:rStyle w:val="Hyperlink"/>
          <w:color w:val="auto"/>
          <w:u w:val="none"/>
        </w:rPr>
        <w:t xml:space="preserve">, une optimisation du moteur de </w:t>
      </w:r>
      <w:r w:rsidR="00075D93" w:rsidRPr="00075D93">
        <w:rPr>
          <w:rStyle w:val="Hyperlink"/>
          <w:color w:val="auto"/>
          <w:u w:val="none"/>
        </w:rPr>
        <w:t>recherche</w:t>
      </w:r>
      <w:r w:rsidR="006B7B40">
        <w:rPr>
          <w:rStyle w:val="Hyperlink"/>
          <w:color w:val="auto"/>
          <w:u w:val="none"/>
        </w:rPr>
        <w:t xml:space="preserve"> et des </w:t>
      </w:r>
      <w:r w:rsidR="00075D93">
        <w:rPr>
          <w:rStyle w:val="Hyperlink"/>
          <w:color w:val="auto"/>
          <w:u w:val="none"/>
        </w:rPr>
        <w:t>contenus multilingues</w:t>
      </w:r>
      <w:r w:rsidR="006B7B40">
        <w:rPr>
          <w:rStyle w:val="Hyperlink"/>
          <w:color w:val="auto"/>
          <w:u w:val="none"/>
        </w:rPr>
        <w:t xml:space="preserve"> additionnels</w:t>
      </w:r>
      <w:r w:rsidR="00075D93">
        <w:rPr>
          <w:rStyle w:val="Hyperlink"/>
          <w:color w:val="auto"/>
          <w:u w:val="none"/>
        </w:rPr>
        <w:t>. S</w:t>
      </w:r>
      <w:r w:rsidR="00346F1B">
        <w:rPr>
          <w:rStyle w:val="Hyperlink"/>
          <w:color w:val="auto"/>
          <w:u w:val="none"/>
        </w:rPr>
        <w:t>’</w:t>
      </w:r>
      <w:r w:rsidR="00075D93">
        <w:rPr>
          <w:rStyle w:val="Hyperlink"/>
          <w:color w:val="auto"/>
          <w:u w:val="none"/>
        </w:rPr>
        <w:t xml:space="preserve">agissant de la </w:t>
      </w:r>
      <w:r w:rsidR="00075D93" w:rsidRPr="006B7B40">
        <w:rPr>
          <w:rStyle w:val="Hyperlink"/>
          <w:b/>
          <w:color w:val="auto"/>
        </w:rPr>
        <w:t>procédure de rapports périodiques</w:t>
      </w:r>
      <w:r w:rsidR="00075D93">
        <w:rPr>
          <w:rStyle w:val="Hyperlink"/>
          <w:color w:val="auto"/>
          <w:u w:val="none"/>
        </w:rPr>
        <w:t xml:space="preserve">, le </w:t>
      </w:r>
      <w:r w:rsidR="00075D93" w:rsidRPr="00075D93">
        <w:rPr>
          <w:rStyle w:val="Hyperlink"/>
          <w:color w:val="auto"/>
          <w:u w:val="none"/>
        </w:rPr>
        <w:t>Secrétaire</w:t>
      </w:r>
      <w:r w:rsidR="00075D93">
        <w:rPr>
          <w:rStyle w:val="Hyperlink"/>
          <w:color w:val="auto"/>
          <w:u w:val="none"/>
        </w:rPr>
        <w:t xml:space="preserve"> a souligné qu</w:t>
      </w:r>
      <w:r w:rsidR="00346F1B">
        <w:rPr>
          <w:rStyle w:val="Hyperlink"/>
          <w:color w:val="auto"/>
          <w:u w:val="none"/>
        </w:rPr>
        <w:t>’</w:t>
      </w:r>
      <w:r w:rsidR="00075D93">
        <w:rPr>
          <w:rStyle w:val="Hyperlink"/>
          <w:color w:val="auto"/>
          <w:u w:val="none"/>
        </w:rPr>
        <w:t xml:space="preserve">il y avait encore un grand nombre de rapports en retard et </w:t>
      </w:r>
      <w:r w:rsidR="00727AD4">
        <w:rPr>
          <w:rStyle w:val="Hyperlink"/>
          <w:color w:val="auto"/>
          <w:u w:val="none"/>
        </w:rPr>
        <w:t>–</w:t>
      </w:r>
      <w:r w:rsidR="00075D93">
        <w:rPr>
          <w:rStyle w:val="Hyperlink"/>
          <w:color w:val="auto"/>
          <w:u w:val="none"/>
        </w:rPr>
        <w:t xml:space="preserve"> </w:t>
      </w:r>
      <w:r w:rsidR="00727AD4">
        <w:rPr>
          <w:rStyle w:val="Hyperlink"/>
          <w:color w:val="auto"/>
          <w:u w:val="none"/>
        </w:rPr>
        <w:t>afin de tenter d</w:t>
      </w:r>
      <w:r w:rsidR="00346F1B">
        <w:rPr>
          <w:rStyle w:val="Hyperlink"/>
          <w:color w:val="auto"/>
          <w:u w:val="none"/>
        </w:rPr>
        <w:t>’</w:t>
      </w:r>
      <w:r w:rsidR="00727AD4">
        <w:rPr>
          <w:rStyle w:val="Hyperlink"/>
          <w:color w:val="auto"/>
          <w:u w:val="none"/>
        </w:rPr>
        <w:t xml:space="preserve">améliorer la </w:t>
      </w:r>
      <w:r w:rsidR="00727AD4" w:rsidRPr="00727AD4">
        <w:rPr>
          <w:rStyle w:val="Hyperlink"/>
          <w:color w:val="auto"/>
          <w:u w:val="none"/>
        </w:rPr>
        <w:t>participation</w:t>
      </w:r>
      <w:r w:rsidR="00727AD4">
        <w:rPr>
          <w:rStyle w:val="Hyperlink"/>
          <w:color w:val="auto"/>
          <w:u w:val="none"/>
        </w:rPr>
        <w:t xml:space="preserve"> des États parties à la procédure – le Secrétariat avait communiqué des </w:t>
      </w:r>
      <w:r w:rsidR="00727AD4" w:rsidRPr="00727AD4">
        <w:rPr>
          <w:rStyle w:val="Hyperlink"/>
          <w:color w:val="auto"/>
          <w:u w:val="none"/>
        </w:rPr>
        <w:t>informations</w:t>
      </w:r>
      <w:r w:rsidR="00727AD4">
        <w:rPr>
          <w:rStyle w:val="Hyperlink"/>
          <w:color w:val="auto"/>
          <w:u w:val="none"/>
        </w:rPr>
        <w:t xml:space="preserve"> détaillées sur ce sujet pendant la sixième session de l</w:t>
      </w:r>
      <w:r w:rsidR="00346F1B">
        <w:rPr>
          <w:rStyle w:val="Hyperlink"/>
          <w:color w:val="auto"/>
          <w:u w:val="none"/>
        </w:rPr>
        <w:t>’</w:t>
      </w:r>
      <w:r w:rsidR="00727AD4">
        <w:rPr>
          <w:rStyle w:val="Hyperlink"/>
          <w:color w:val="auto"/>
          <w:u w:val="none"/>
        </w:rPr>
        <w:t>Assemblée générale en juin 2016. Le Secrétariat avait entamé un travail de mise à jour de l</w:t>
      </w:r>
      <w:r w:rsidR="00346F1B">
        <w:rPr>
          <w:rStyle w:val="Hyperlink"/>
          <w:color w:val="auto"/>
          <w:u w:val="none"/>
        </w:rPr>
        <w:t>’</w:t>
      </w:r>
      <w:r w:rsidR="00727AD4">
        <w:rPr>
          <w:rStyle w:val="Hyperlink"/>
          <w:i/>
          <w:color w:val="auto"/>
          <w:u w:val="none"/>
        </w:rPr>
        <w:t>aide-</w:t>
      </w:r>
      <w:r w:rsidR="00727AD4" w:rsidRPr="00727AD4">
        <w:rPr>
          <w:rStyle w:val="Hyperlink"/>
          <w:i/>
          <w:color w:val="auto"/>
          <w:u w:val="none"/>
        </w:rPr>
        <w:t>mémoire</w:t>
      </w:r>
      <w:r w:rsidR="00727AD4">
        <w:rPr>
          <w:rStyle w:val="Hyperlink"/>
          <w:color w:val="auto"/>
          <w:u w:val="none"/>
        </w:rPr>
        <w:t xml:space="preserve"> pour compléter les formulaires de rapport et il était bien conscient qu</w:t>
      </w:r>
      <w:r w:rsidR="00346F1B">
        <w:rPr>
          <w:rStyle w:val="Hyperlink"/>
          <w:color w:val="auto"/>
          <w:u w:val="none"/>
        </w:rPr>
        <w:t>’</w:t>
      </w:r>
      <w:r w:rsidR="00727AD4">
        <w:rPr>
          <w:rStyle w:val="Hyperlink"/>
          <w:color w:val="auto"/>
          <w:u w:val="none"/>
        </w:rPr>
        <w:t>il s</w:t>
      </w:r>
      <w:r w:rsidR="00346F1B">
        <w:rPr>
          <w:rStyle w:val="Hyperlink"/>
          <w:color w:val="auto"/>
          <w:u w:val="none"/>
        </w:rPr>
        <w:t>’</w:t>
      </w:r>
      <w:r w:rsidR="00727AD4">
        <w:rPr>
          <w:rStyle w:val="Hyperlink"/>
          <w:color w:val="auto"/>
          <w:u w:val="none"/>
        </w:rPr>
        <w:t>agissait là d</w:t>
      </w:r>
      <w:r w:rsidR="00346F1B">
        <w:rPr>
          <w:rStyle w:val="Hyperlink"/>
          <w:color w:val="auto"/>
          <w:u w:val="none"/>
        </w:rPr>
        <w:t>’</w:t>
      </w:r>
      <w:r w:rsidR="00727AD4">
        <w:rPr>
          <w:rStyle w:val="Hyperlink"/>
          <w:color w:val="auto"/>
          <w:u w:val="none"/>
        </w:rPr>
        <w:t xml:space="preserve">une tâche complexe pour les États parties. Toutefois, cette procédure devait être envisagée comme un outil essentiel de suivi de la mise en œuvre de la </w:t>
      </w:r>
      <w:r w:rsidR="00727AD4" w:rsidRPr="00727AD4">
        <w:rPr>
          <w:rStyle w:val="Hyperlink"/>
          <w:color w:val="auto"/>
          <w:u w:val="none"/>
        </w:rPr>
        <w:t>Convention</w:t>
      </w:r>
      <w:r w:rsidR="00727AD4">
        <w:rPr>
          <w:rStyle w:val="Hyperlink"/>
          <w:color w:val="auto"/>
          <w:u w:val="none"/>
        </w:rPr>
        <w:t xml:space="preserve"> et, dans les rapports périodiques, les États parties pouvaient présenter les efforts déployés pour sauvegarder le patrimoine culturel immatériel dans le cadre de la </w:t>
      </w:r>
      <w:r w:rsidR="00727AD4" w:rsidRPr="00727AD4">
        <w:rPr>
          <w:rStyle w:val="Hyperlink"/>
          <w:color w:val="auto"/>
          <w:u w:val="none"/>
        </w:rPr>
        <w:t>Convention</w:t>
      </w:r>
      <w:r w:rsidR="00A439DF">
        <w:rPr>
          <w:rStyle w:val="Hyperlink"/>
          <w:color w:val="auto"/>
          <w:u w:val="none"/>
        </w:rPr>
        <w:t>.</w:t>
      </w:r>
    </w:p>
    <w:p w14:paraId="2E11727E" w14:textId="1079E2EE" w:rsidR="00015130" w:rsidRPr="006F72FB" w:rsidRDefault="00A439DF" w:rsidP="00AF7860">
      <w:pPr>
        <w:pStyle w:val="Orateurengris"/>
        <w:spacing w:before="120"/>
        <w:ind w:left="709" w:hanging="709"/>
      </w:pPr>
      <w:r w:rsidRPr="0097100E">
        <w:t xml:space="preserve">En ce qui concerne le </w:t>
      </w:r>
      <w:r w:rsidRPr="0097100E">
        <w:rPr>
          <w:b/>
          <w:u w:val="single"/>
        </w:rPr>
        <w:t>programme de renforcement des capacités</w:t>
      </w:r>
      <w:r w:rsidRPr="0097100E">
        <w:t>, le Secrétaire a ensuite expliqué qu</w:t>
      </w:r>
      <w:r w:rsidR="00346F1B">
        <w:t>’</w:t>
      </w:r>
      <w:r w:rsidRPr="0097100E">
        <w:t xml:space="preserve">il était destiné à soutenir tous les États </w:t>
      </w:r>
      <w:r w:rsidR="00A46CAD">
        <w:t>membres</w:t>
      </w:r>
      <w:r w:rsidRPr="0097100E">
        <w:t xml:space="preserve"> dans le renforcement des ressources humaines et institutionnelles du patrimoine culturel immatériel. Une des récentes réussites et nouvelles orientations du programme était l</w:t>
      </w:r>
      <w:r w:rsidR="00346F1B">
        <w:t>’</w:t>
      </w:r>
      <w:r w:rsidRPr="0097100E">
        <w:t>achèvement, dans dix pays, d</w:t>
      </w:r>
      <w:r w:rsidR="00346F1B">
        <w:t>’</w:t>
      </w:r>
      <w:r w:rsidRPr="0097100E">
        <w:t>évaluations approfondies des besoins dont l</w:t>
      </w:r>
      <w:r w:rsidR="00346F1B">
        <w:t>’</w:t>
      </w:r>
      <w:r w:rsidRPr="0097100E">
        <w:t>objectif était double. D</w:t>
      </w:r>
      <w:r w:rsidR="00346F1B">
        <w:t>’</w:t>
      </w:r>
      <w:r w:rsidRPr="0097100E">
        <w:t>une part, elles constituaient des bases solides pour prendre des décisions en matière de stratégies et de choix politiques futurs dans le domaine du patrimoine culturel immatériel</w:t>
      </w:r>
      <w:r w:rsidR="006F72FB">
        <w:t>,</w:t>
      </w:r>
      <w:r w:rsidRPr="0097100E">
        <w:t xml:space="preserve"> et, d</w:t>
      </w:r>
      <w:r w:rsidR="00346F1B">
        <w:t>’</w:t>
      </w:r>
      <w:r w:rsidRPr="0097100E">
        <w:t>autre part, elles servaient de base à la préparation de projets pluriannuels ad</w:t>
      </w:r>
      <w:r w:rsidR="00927B0D" w:rsidRPr="0097100E">
        <w:t xml:space="preserve">aptés aux besoins et contextes </w:t>
      </w:r>
      <w:r w:rsidRPr="0097100E">
        <w:t xml:space="preserve">spécifiques des pays, permettant ainsi </w:t>
      </w:r>
      <w:r w:rsidR="00927B0D" w:rsidRPr="0097100E">
        <w:t>d</w:t>
      </w:r>
      <w:r w:rsidR="00346F1B">
        <w:t>’</w:t>
      </w:r>
      <w:r w:rsidR="00927B0D" w:rsidRPr="0097100E">
        <w:t>ajuster avec précision le renforcement des capacités. Une autre réalisation durant cette période avait été l</w:t>
      </w:r>
      <w:r w:rsidR="00346F1B">
        <w:t>’</w:t>
      </w:r>
      <w:r w:rsidR="00927B0D" w:rsidRPr="0097100E">
        <w:t>achèvement d</w:t>
      </w:r>
      <w:r w:rsidR="00346F1B">
        <w:t>’</w:t>
      </w:r>
      <w:r w:rsidR="00927B0D" w:rsidRPr="0097100E">
        <w:t>un projet de grande envergure dans cinq pays lusophones d</w:t>
      </w:r>
      <w:r w:rsidR="00346F1B">
        <w:t>’</w:t>
      </w:r>
      <w:r w:rsidR="00927B0D" w:rsidRPr="0097100E">
        <w:t>Afrique qui avait permis de constater que des progrès significatifs avaient été accomplis dans la mobilisation de tous les acteurs du PCI, le développement d</w:t>
      </w:r>
      <w:r w:rsidR="00346F1B">
        <w:t>’</w:t>
      </w:r>
      <w:r w:rsidR="00927B0D" w:rsidRPr="0097100E">
        <w:t>infrastructures institutionnelles nécessaires à la sauvegarde, la réalisation d</w:t>
      </w:r>
      <w:r w:rsidR="00346F1B">
        <w:t>’</w:t>
      </w:r>
      <w:r w:rsidR="00927B0D" w:rsidRPr="0097100E">
        <w:t>inventaires à participation communautaire, et la collaboration entre les pays porteurs du projet. Toutefois, le projet avait également mis en évidence qu</w:t>
      </w:r>
      <w:r w:rsidR="00346F1B">
        <w:t>’</w:t>
      </w:r>
      <w:r w:rsidR="00927B0D" w:rsidRPr="0097100E">
        <w:t>un soutien supplémentaire était nécessaire pour renforcer les capacités en matière de préparation de plans de sauvegarde et d</w:t>
      </w:r>
      <w:r w:rsidR="00346F1B">
        <w:t>’</w:t>
      </w:r>
      <w:r w:rsidR="00927B0D" w:rsidRPr="0097100E">
        <w:t xml:space="preserve">élaboration de politiques et de législations. </w:t>
      </w:r>
      <w:r w:rsidR="0097100E" w:rsidRPr="0097100E">
        <w:t>Le Secrétaire a rappelé qu</w:t>
      </w:r>
      <w:r w:rsidR="00346F1B">
        <w:t>’</w:t>
      </w:r>
      <w:r w:rsidR="0097100E" w:rsidRPr="0097100E">
        <w:t xml:space="preserve">un </w:t>
      </w:r>
      <w:hyperlink r:id="rId30" w:history="1">
        <w:r w:rsidR="0097100E" w:rsidRPr="0097100E">
          <w:rPr>
            <w:rStyle w:val="Hyperlink"/>
          </w:rPr>
          <w:t>réseau global de facilitateurs</w:t>
        </w:r>
      </w:hyperlink>
      <w:r w:rsidR="0097100E">
        <w:rPr>
          <w:rStyle w:val="Hyperlink"/>
          <w:color w:val="auto"/>
          <w:u w:val="none"/>
        </w:rPr>
        <w:t xml:space="preserve">, formé par le Secrétariat pour dispenser des formations et des services de conseil en lien avec la </w:t>
      </w:r>
      <w:r w:rsidR="0097100E" w:rsidRPr="0097100E">
        <w:rPr>
          <w:rStyle w:val="Hyperlink"/>
          <w:color w:val="auto"/>
          <w:u w:val="none"/>
        </w:rPr>
        <w:t>Convention</w:t>
      </w:r>
      <w:r w:rsidR="0097100E">
        <w:rPr>
          <w:rStyle w:val="Hyperlink"/>
          <w:color w:val="auto"/>
          <w:u w:val="none"/>
        </w:rPr>
        <w:t xml:space="preserve">, soutenait le </w:t>
      </w:r>
      <w:r w:rsidR="0097100E" w:rsidRPr="0097100E">
        <w:rPr>
          <w:rStyle w:val="Hyperlink"/>
          <w:color w:val="auto"/>
          <w:u w:val="none"/>
        </w:rPr>
        <w:t>programme</w:t>
      </w:r>
      <w:r w:rsidR="0097100E">
        <w:rPr>
          <w:rStyle w:val="Hyperlink"/>
          <w:color w:val="auto"/>
          <w:u w:val="none"/>
        </w:rPr>
        <w:t xml:space="preserve"> de renforcement des capacités. Ce réseau était constamment renforcé car il était essentiel pour le programme. À titre d</w:t>
      </w:r>
      <w:r w:rsidR="00346F1B">
        <w:rPr>
          <w:rStyle w:val="Hyperlink"/>
          <w:color w:val="auto"/>
          <w:u w:val="none"/>
        </w:rPr>
        <w:t>’</w:t>
      </w:r>
      <w:r w:rsidR="0097100E">
        <w:rPr>
          <w:rStyle w:val="Hyperlink"/>
          <w:color w:val="auto"/>
          <w:u w:val="none"/>
        </w:rPr>
        <w:t>exemple</w:t>
      </w:r>
      <w:r w:rsidR="004621F0">
        <w:rPr>
          <w:rStyle w:val="Hyperlink"/>
          <w:color w:val="auto"/>
          <w:u w:val="none"/>
        </w:rPr>
        <w:t>,</w:t>
      </w:r>
      <w:r w:rsidR="0097100E">
        <w:rPr>
          <w:rStyle w:val="Hyperlink"/>
          <w:color w:val="auto"/>
          <w:u w:val="none"/>
        </w:rPr>
        <w:t xml:space="preserve"> on pouvait citer une innovation mise en place depuis le début de l</w:t>
      </w:r>
      <w:r w:rsidR="00346F1B">
        <w:rPr>
          <w:rStyle w:val="Hyperlink"/>
          <w:color w:val="auto"/>
          <w:u w:val="none"/>
        </w:rPr>
        <w:t>’</w:t>
      </w:r>
      <w:r w:rsidR="0097100E">
        <w:rPr>
          <w:rStyle w:val="Hyperlink"/>
          <w:color w:val="auto"/>
          <w:u w:val="none"/>
        </w:rPr>
        <w:t>année 2016, la création d</w:t>
      </w:r>
      <w:r w:rsidR="00346F1B">
        <w:rPr>
          <w:rStyle w:val="Hyperlink"/>
          <w:color w:val="auto"/>
          <w:u w:val="none"/>
        </w:rPr>
        <w:t>’</w:t>
      </w:r>
      <w:r w:rsidR="0097100E">
        <w:rPr>
          <w:rStyle w:val="Hyperlink"/>
          <w:color w:val="auto"/>
          <w:u w:val="none"/>
        </w:rPr>
        <w:t xml:space="preserve">un </w:t>
      </w:r>
      <w:r w:rsidR="00015130">
        <w:rPr>
          <w:rStyle w:val="Hyperlink"/>
          <w:color w:val="auto"/>
          <w:u w:val="none"/>
        </w:rPr>
        <w:t>tutoriel en ligne consacré à l</w:t>
      </w:r>
      <w:r w:rsidR="00346F1B">
        <w:rPr>
          <w:rStyle w:val="Hyperlink"/>
          <w:color w:val="auto"/>
          <w:u w:val="none"/>
        </w:rPr>
        <w:t>’</w:t>
      </w:r>
      <w:r w:rsidR="00015130" w:rsidRPr="00015130">
        <w:rPr>
          <w:rStyle w:val="Hyperlink"/>
          <w:color w:val="auto"/>
          <w:u w:val="none"/>
        </w:rPr>
        <w:t>utilisation</w:t>
      </w:r>
      <w:r w:rsidR="00015130">
        <w:rPr>
          <w:rStyle w:val="Hyperlink"/>
          <w:color w:val="auto"/>
          <w:u w:val="none"/>
        </w:rPr>
        <w:t xml:space="preserve"> des matériels pédagogiques dans les ateliers de formation sur les plans de sauvegarde. Le Secrétariat a</w:t>
      </w:r>
      <w:r w:rsidR="004621F0">
        <w:rPr>
          <w:rStyle w:val="Hyperlink"/>
          <w:color w:val="auto"/>
          <w:u w:val="none"/>
        </w:rPr>
        <w:t>vait</w:t>
      </w:r>
      <w:r w:rsidR="00015130">
        <w:rPr>
          <w:rStyle w:val="Hyperlink"/>
          <w:color w:val="auto"/>
          <w:u w:val="none"/>
        </w:rPr>
        <w:t xml:space="preserve"> </w:t>
      </w:r>
      <w:r w:rsidR="00015130" w:rsidRPr="00015130">
        <w:rPr>
          <w:rStyle w:val="Hyperlink"/>
          <w:color w:val="auto"/>
          <w:u w:val="none"/>
        </w:rPr>
        <w:t>également</w:t>
      </w:r>
      <w:r w:rsidR="00015130">
        <w:rPr>
          <w:rStyle w:val="Hyperlink"/>
          <w:color w:val="auto"/>
          <w:u w:val="none"/>
        </w:rPr>
        <w:t xml:space="preserve"> réalisé une analyse transrégionale des 73 rapports des facilitateurs destinée à regrouper leurs visions de la mise en œuvre du </w:t>
      </w:r>
      <w:r w:rsidR="00015130" w:rsidRPr="00015130">
        <w:rPr>
          <w:rStyle w:val="Hyperlink"/>
          <w:color w:val="auto"/>
          <w:u w:val="none"/>
        </w:rPr>
        <w:t>programme</w:t>
      </w:r>
      <w:r w:rsidR="00015130">
        <w:rPr>
          <w:rStyle w:val="Hyperlink"/>
          <w:color w:val="auto"/>
          <w:u w:val="none"/>
        </w:rPr>
        <w:t xml:space="preserve"> et leurs recommandations </w:t>
      </w:r>
      <w:r w:rsidR="006F72FB">
        <w:rPr>
          <w:rStyle w:val="Hyperlink"/>
          <w:color w:val="auto"/>
          <w:u w:val="none"/>
        </w:rPr>
        <w:t xml:space="preserve">quant à </w:t>
      </w:r>
      <w:r w:rsidR="00015130">
        <w:rPr>
          <w:rStyle w:val="Hyperlink"/>
          <w:color w:val="auto"/>
          <w:u w:val="none"/>
        </w:rPr>
        <w:t xml:space="preserve">son </w:t>
      </w:r>
      <w:r w:rsidR="00015130" w:rsidRPr="00015130">
        <w:rPr>
          <w:rStyle w:val="Hyperlink"/>
          <w:color w:val="auto"/>
          <w:u w:val="none"/>
        </w:rPr>
        <w:t>évolution</w:t>
      </w:r>
      <w:r w:rsidR="00015130">
        <w:rPr>
          <w:rStyle w:val="Hyperlink"/>
          <w:color w:val="auto"/>
          <w:u w:val="none"/>
        </w:rPr>
        <w:t xml:space="preserve">. Enfin, les </w:t>
      </w:r>
      <w:r w:rsidR="00A46CAD">
        <w:rPr>
          <w:rStyle w:val="Hyperlink"/>
          <w:color w:val="auto"/>
          <w:u w:val="none"/>
        </w:rPr>
        <w:t>membres</w:t>
      </w:r>
      <w:r w:rsidR="00015130">
        <w:rPr>
          <w:rStyle w:val="Hyperlink"/>
          <w:color w:val="auto"/>
          <w:u w:val="none"/>
        </w:rPr>
        <w:t xml:space="preserve"> du réseau avaient contribué à la conception d</w:t>
      </w:r>
      <w:r w:rsidR="00346F1B">
        <w:rPr>
          <w:rStyle w:val="Hyperlink"/>
          <w:color w:val="auto"/>
          <w:u w:val="none"/>
        </w:rPr>
        <w:t>’</w:t>
      </w:r>
      <w:r w:rsidR="00015130">
        <w:rPr>
          <w:rStyle w:val="Hyperlink"/>
          <w:color w:val="auto"/>
          <w:u w:val="none"/>
        </w:rPr>
        <w:t xml:space="preserve">une étude de suivi destinée à </w:t>
      </w:r>
      <w:r w:rsidR="006F72FB">
        <w:rPr>
          <w:rStyle w:val="Hyperlink"/>
          <w:color w:val="auto"/>
          <w:u w:val="none"/>
        </w:rPr>
        <w:t xml:space="preserve">déterminer </w:t>
      </w:r>
      <w:r w:rsidR="00CF006A">
        <w:rPr>
          <w:rStyle w:val="Hyperlink"/>
          <w:color w:val="auto"/>
          <w:u w:val="none"/>
        </w:rPr>
        <w:t xml:space="preserve">en quoi </w:t>
      </w:r>
      <w:r w:rsidR="00015130">
        <w:rPr>
          <w:rStyle w:val="Hyperlink"/>
          <w:color w:val="auto"/>
          <w:u w:val="none"/>
        </w:rPr>
        <w:t xml:space="preserve">la </w:t>
      </w:r>
      <w:r w:rsidR="00015130" w:rsidRPr="00015130">
        <w:rPr>
          <w:rStyle w:val="Hyperlink"/>
          <w:color w:val="auto"/>
          <w:u w:val="none"/>
        </w:rPr>
        <w:t>participation</w:t>
      </w:r>
      <w:r w:rsidR="00015130">
        <w:rPr>
          <w:rStyle w:val="Hyperlink"/>
          <w:color w:val="auto"/>
          <w:u w:val="none"/>
        </w:rPr>
        <w:t xml:space="preserve"> des individus au programme de renforcement des capacités avait </w:t>
      </w:r>
      <w:r w:rsidR="00CF006A">
        <w:rPr>
          <w:rStyle w:val="Hyperlink"/>
          <w:color w:val="auto"/>
          <w:u w:val="none"/>
        </w:rPr>
        <w:t xml:space="preserve">modifié </w:t>
      </w:r>
      <w:r w:rsidR="00015130">
        <w:rPr>
          <w:rStyle w:val="Hyperlink"/>
          <w:color w:val="auto"/>
          <w:u w:val="none"/>
        </w:rPr>
        <w:t xml:space="preserve">leur </w:t>
      </w:r>
      <w:r w:rsidR="00015130" w:rsidRPr="00015130">
        <w:rPr>
          <w:rStyle w:val="Hyperlink"/>
          <w:color w:val="auto"/>
          <w:u w:val="none"/>
        </w:rPr>
        <w:t>engagement</w:t>
      </w:r>
      <w:r w:rsidR="00015130">
        <w:rPr>
          <w:rStyle w:val="Hyperlink"/>
          <w:color w:val="auto"/>
          <w:u w:val="none"/>
        </w:rPr>
        <w:t xml:space="preserve"> vis à vis du patrimoine culturel immatériel</w:t>
      </w:r>
      <w:r w:rsidR="00CF006A">
        <w:rPr>
          <w:rStyle w:val="Hyperlink"/>
          <w:color w:val="auto"/>
          <w:u w:val="none"/>
        </w:rPr>
        <w:t xml:space="preserve"> et quelles étaient leurs recommandations pour améliorer le </w:t>
      </w:r>
      <w:r w:rsidR="00CF006A" w:rsidRPr="00CF006A">
        <w:rPr>
          <w:rStyle w:val="Hyperlink"/>
          <w:color w:val="auto"/>
          <w:u w:val="none"/>
        </w:rPr>
        <w:t>programme</w:t>
      </w:r>
      <w:r w:rsidR="00CF006A">
        <w:rPr>
          <w:rStyle w:val="Hyperlink"/>
          <w:color w:val="auto"/>
          <w:u w:val="none"/>
        </w:rPr>
        <w:t xml:space="preserve">. Le </w:t>
      </w:r>
      <w:r w:rsidR="00CF006A" w:rsidRPr="00CF006A">
        <w:rPr>
          <w:rStyle w:val="Hyperlink"/>
          <w:color w:val="auto"/>
          <w:u w:val="none"/>
        </w:rPr>
        <w:t>Secrétaire</w:t>
      </w:r>
      <w:r w:rsidR="00CF006A">
        <w:rPr>
          <w:rStyle w:val="Hyperlink"/>
          <w:color w:val="auto"/>
          <w:u w:val="none"/>
        </w:rPr>
        <w:t xml:space="preserve"> a informé le Comité qu</w:t>
      </w:r>
      <w:r w:rsidR="00346F1B">
        <w:rPr>
          <w:rStyle w:val="Hyperlink"/>
          <w:color w:val="auto"/>
          <w:u w:val="none"/>
        </w:rPr>
        <w:t>’</w:t>
      </w:r>
      <w:r w:rsidR="00CF006A">
        <w:rPr>
          <w:rStyle w:val="Hyperlink"/>
          <w:color w:val="auto"/>
          <w:u w:val="none"/>
        </w:rPr>
        <w:t>une réunion destinée aux facilitateurs serait organisée pendant cette session du Comité (mercredi et jeudi). S</w:t>
      </w:r>
      <w:r w:rsidR="00346F1B">
        <w:rPr>
          <w:rStyle w:val="Hyperlink"/>
          <w:color w:val="auto"/>
          <w:u w:val="none"/>
        </w:rPr>
        <w:t>’</w:t>
      </w:r>
      <w:r w:rsidR="00CF006A">
        <w:rPr>
          <w:rStyle w:val="Hyperlink"/>
          <w:color w:val="auto"/>
          <w:u w:val="none"/>
        </w:rPr>
        <w:t xml:space="preserve">agissant du matériel pédagogique, de nouveaux </w:t>
      </w:r>
      <w:r w:rsidR="00CF006A" w:rsidRPr="00CF006A">
        <w:rPr>
          <w:rStyle w:val="Hyperlink"/>
          <w:color w:val="auto"/>
          <w:u w:val="none"/>
        </w:rPr>
        <w:t>matériels</w:t>
      </w:r>
      <w:r w:rsidR="00CF006A">
        <w:rPr>
          <w:rStyle w:val="Hyperlink"/>
          <w:color w:val="auto"/>
          <w:u w:val="none"/>
        </w:rPr>
        <w:t xml:space="preserve"> de formation avaient été conçus sur </w:t>
      </w:r>
      <w:r w:rsidR="004621F0">
        <w:rPr>
          <w:rStyle w:val="Hyperlink"/>
          <w:color w:val="auto"/>
          <w:u w:val="none"/>
        </w:rPr>
        <w:t xml:space="preserve">le thème de </w:t>
      </w:r>
      <w:r w:rsidR="00CF006A" w:rsidRPr="00CF006A">
        <w:rPr>
          <w:rStyle w:val="Hyperlink"/>
          <w:color w:val="auto"/>
          <w:u w:val="none"/>
        </w:rPr>
        <w:t>l</w:t>
      </w:r>
      <w:r w:rsidR="00346F1B">
        <w:rPr>
          <w:rStyle w:val="Hyperlink"/>
          <w:color w:val="auto"/>
          <w:u w:val="none"/>
        </w:rPr>
        <w:t>’</w:t>
      </w:r>
      <w:r w:rsidR="00CF006A" w:rsidRPr="00CF006A">
        <w:rPr>
          <w:rStyle w:val="Hyperlink"/>
          <w:color w:val="auto"/>
          <w:u w:val="none"/>
        </w:rPr>
        <w:t>élaboration</w:t>
      </w:r>
      <w:r w:rsidR="00CF006A">
        <w:rPr>
          <w:rStyle w:val="Hyperlink"/>
          <w:color w:val="auto"/>
          <w:u w:val="none"/>
        </w:rPr>
        <w:t xml:space="preserve"> de politiques en faveur du patrimoine culturel immatériel, tandis que les matériels sur la </w:t>
      </w:r>
      <w:r w:rsidR="00CF006A" w:rsidRPr="00CF006A">
        <w:rPr>
          <w:rStyle w:val="Hyperlink"/>
          <w:color w:val="auto"/>
          <w:u w:val="none"/>
        </w:rPr>
        <w:t>préparation</w:t>
      </w:r>
      <w:r w:rsidR="00CF006A">
        <w:rPr>
          <w:rStyle w:val="Hyperlink"/>
          <w:color w:val="auto"/>
          <w:u w:val="none"/>
        </w:rPr>
        <w:t xml:space="preserve"> des candidatures avaient été révisés et renforcés avec des unités thématiques sur les effets de l</w:t>
      </w:r>
      <w:r w:rsidR="00346F1B">
        <w:rPr>
          <w:rStyle w:val="Hyperlink"/>
          <w:color w:val="auto"/>
          <w:u w:val="none"/>
        </w:rPr>
        <w:t>’</w:t>
      </w:r>
      <w:r w:rsidR="00CF006A" w:rsidRPr="00CF006A">
        <w:rPr>
          <w:rStyle w:val="Hyperlink"/>
          <w:color w:val="auto"/>
          <w:u w:val="none"/>
        </w:rPr>
        <w:t>inscription</w:t>
      </w:r>
      <w:r w:rsidR="00CF006A">
        <w:rPr>
          <w:rStyle w:val="Hyperlink"/>
          <w:color w:val="auto"/>
          <w:u w:val="none"/>
        </w:rPr>
        <w:t xml:space="preserve"> et sur la soumission de rapports périodiques </w:t>
      </w:r>
      <w:r w:rsidR="006F72FB">
        <w:rPr>
          <w:rStyle w:val="Hyperlink"/>
          <w:color w:val="auto"/>
          <w:u w:val="none"/>
        </w:rPr>
        <w:t xml:space="preserve">sur les </w:t>
      </w:r>
      <w:r w:rsidR="00CF006A">
        <w:rPr>
          <w:rStyle w:val="Hyperlink"/>
          <w:color w:val="auto"/>
          <w:u w:val="none"/>
        </w:rPr>
        <w:t xml:space="preserve">éléments inscrits. Le </w:t>
      </w:r>
      <w:r w:rsidR="00CF006A" w:rsidRPr="00CF006A">
        <w:rPr>
          <w:rStyle w:val="Hyperlink"/>
          <w:color w:val="auto"/>
          <w:u w:val="none"/>
        </w:rPr>
        <w:t>Secrétaire</w:t>
      </w:r>
      <w:r w:rsidR="00CF006A">
        <w:rPr>
          <w:rStyle w:val="Hyperlink"/>
          <w:color w:val="auto"/>
          <w:u w:val="none"/>
        </w:rPr>
        <w:t xml:space="preserve"> a </w:t>
      </w:r>
      <w:r w:rsidR="00CF006A" w:rsidRPr="00CF006A">
        <w:rPr>
          <w:rStyle w:val="Hyperlink"/>
          <w:color w:val="auto"/>
          <w:u w:val="none"/>
        </w:rPr>
        <w:t>également</w:t>
      </w:r>
      <w:r w:rsidR="00CF006A">
        <w:rPr>
          <w:rStyle w:val="Hyperlink"/>
          <w:color w:val="auto"/>
          <w:u w:val="none"/>
        </w:rPr>
        <w:t xml:space="preserve"> parlé du réseau de </w:t>
      </w:r>
      <w:r w:rsidR="00CF006A" w:rsidRPr="00CF006A">
        <w:rPr>
          <w:rStyle w:val="Hyperlink"/>
          <w:b/>
          <w:color w:val="auto"/>
        </w:rPr>
        <w:t>centres de catégorie 2</w:t>
      </w:r>
      <w:r w:rsidR="00CF006A">
        <w:rPr>
          <w:rStyle w:val="Hyperlink"/>
          <w:color w:val="auto"/>
          <w:u w:val="none"/>
        </w:rPr>
        <w:t xml:space="preserve">, en rappelant que le Secrétariat avait organisé, pour la quatrième fois, une réunion annuelle de </w:t>
      </w:r>
      <w:r w:rsidR="00CF006A" w:rsidRPr="00CF006A">
        <w:rPr>
          <w:rStyle w:val="Hyperlink"/>
          <w:color w:val="auto"/>
          <w:u w:val="none"/>
        </w:rPr>
        <w:t>coordination</w:t>
      </w:r>
      <w:r w:rsidR="00CF006A">
        <w:rPr>
          <w:rStyle w:val="Hyperlink"/>
          <w:color w:val="auto"/>
          <w:u w:val="none"/>
        </w:rPr>
        <w:t xml:space="preserve"> en juin 2016 afin d</w:t>
      </w:r>
      <w:r w:rsidR="00346F1B">
        <w:rPr>
          <w:rStyle w:val="Hyperlink"/>
          <w:color w:val="auto"/>
          <w:u w:val="none"/>
        </w:rPr>
        <w:t>’</w:t>
      </w:r>
      <w:r w:rsidR="00CF006A">
        <w:rPr>
          <w:rStyle w:val="Hyperlink"/>
          <w:color w:val="auto"/>
          <w:u w:val="none"/>
        </w:rPr>
        <w:t xml:space="preserve">échanger des </w:t>
      </w:r>
      <w:r w:rsidR="00CF006A" w:rsidRPr="00CF006A">
        <w:rPr>
          <w:rStyle w:val="Hyperlink"/>
          <w:color w:val="auto"/>
          <w:u w:val="none"/>
        </w:rPr>
        <w:t>informations</w:t>
      </w:r>
      <w:r w:rsidR="00CF006A">
        <w:rPr>
          <w:rStyle w:val="Hyperlink"/>
          <w:color w:val="auto"/>
          <w:u w:val="none"/>
        </w:rPr>
        <w:t xml:space="preserve"> et de débattre de nouvelles perspectives de </w:t>
      </w:r>
      <w:r w:rsidR="00CF006A" w:rsidRPr="00CF006A">
        <w:rPr>
          <w:rStyle w:val="Hyperlink"/>
          <w:color w:val="auto"/>
          <w:u w:val="none"/>
        </w:rPr>
        <w:t>coopération</w:t>
      </w:r>
      <w:r w:rsidR="00CF006A">
        <w:rPr>
          <w:rStyle w:val="Hyperlink"/>
          <w:color w:val="auto"/>
          <w:u w:val="none"/>
        </w:rPr>
        <w:t xml:space="preserve"> et de synergies futures entre les centre</w:t>
      </w:r>
      <w:r w:rsidR="006F72FB">
        <w:rPr>
          <w:rStyle w:val="Hyperlink"/>
          <w:color w:val="auto"/>
          <w:u w:val="none"/>
        </w:rPr>
        <w:t>s</w:t>
      </w:r>
      <w:r w:rsidR="00CF006A">
        <w:rPr>
          <w:rStyle w:val="Hyperlink"/>
          <w:color w:val="auto"/>
          <w:u w:val="none"/>
        </w:rPr>
        <w:t>, ainsi qu</w:t>
      </w:r>
      <w:r w:rsidR="00346F1B">
        <w:rPr>
          <w:rStyle w:val="Hyperlink"/>
          <w:color w:val="auto"/>
          <w:u w:val="none"/>
        </w:rPr>
        <w:t>’</w:t>
      </w:r>
      <w:r w:rsidR="00CF006A">
        <w:rPr>
          <w:rStyle w:val="Hyperlink"/>
          <w:color w:val="auto"/>
          <w:u w:val="none"/>
        </w:rPr>
        <w:t>entre l</w:t>
      </w:r>
      <w:r w:rsidR="00346F1B">
        <w:rPr>
          <w:rStyle w:val="Hyperlink"/>
          <w:color w:val="auto"/>
          <w:u w:val="none"/>
        </w:rPr>
        <w:t>’</w:t>
      </w:r>
      <w:r w:rsidR="00CF006A">
        <w:rPr>
          <w:rStyle w:val="Hyperlink"/>
          <w:color w:val="auto"/>
          <w:u w:val="none"/>
        </w:rPr>
        <w:t xml:space="preserve">UNESCO et les centres. </w:t>
      </w:r>
      <w:r w:rsidR="006F72FB">
        <w:rPr>
          <w:rStyle w:val="Hyperlink"/>
          <w:color w:val="auto"/>
          <w:u w:val="none"/>
        </w:rPr>
        <w:t xml:space="preserve">Enfin, </w:t>
      </w:r>
      <w:r w:rsidR="006F72FB" w:rsidRPr="006F72FB">
        <w:rPr>
          <w:rStyle w:val="Hyperlink"/>
          <w:color w:val="auto"/>
          <w:u w:val="none"/>
        </w:rPr>
        <w:t>conformément</w:t>
      </w:r>
      <w:r w:rsidR="006F72FB">
        <w:rPr>
          <w:rStyle w:val="Hyperlink"/>
          <w:color w:val="auto"/>
          <w:u w:val="none"/>
        </w:rPr>
        <w:t xml:space="preserve"> aux exigences réglementaires, l</w:t>
      </w:r>
      <w:r w:rsidR="00346F1B">
        <w:rPr>
          <w:rStyle w:val="Hyperlink"/>
          <w:color w:val="auto"/>
          <w:u w:val="none"/>
        </w:rPr>
        <w:t>’</w:t>
      </w:r>
      <w:r w:rsidR="00CF006A">
        <w:rPr>
          <w:rStyle w:val="Hyperlink"/>
          <w:color w:val="auto"/>
          <w:u w:val="none"/>
        </w:rPr>
        <w:t>UNESCO a</w:t>
      </w:r>
      <w:r w:rsidR="004621F0">
        <w:rPr>
          <w:rStyle w:val="Hyperlink"/>
          <w:color w:val="auto"/>
          <w:u w:val="none"/>
        </w:rPr>
        <w:t>vait</w:t>
      </w:r>
      <w:r w:rsidR="00CF006A">
        <w:rPr>
          <w:rStyle w:val="Hyperlink"/>
          <w:color w:val="auto"/>
          <w:u w:val="none"/>
        </w:rPr>
        <w:t xml:space="preserve"> </w:t>
      </w:r>
      <w:r w:rsidR="006F72FB">
        <w:rPr>
          <w:rStyle w:val="Hyperlink"/>
          <w:color w:val="auto"/>
          <w:u w:val="none"/>
        </w:rPr>
        <w:t>poursuivi son travail sur l</w:t>
      </w:r>
      <w:r w:rsidR="00346F1B">
        <w:rPr>
          <w:rStyle w:val="Hyperlink"/>
          <w:color w:val="auto"/>
          <w:u w:val="none"/>
        </w:rPr>
        <w:t>’</w:t>
      </w:r>
      <w:r w:rsidR="00CF006A" w:rsidRPr="00CF006A">
        <w:rPr>
          <w:rStyle w:val="Hyperlink"/>
          <w:color w:val="auto"/>
          <w:u w:val="none"/>
        </w:rPr>
        <w:t>évaluation</w:t>
      </w:r>
      <w:r w:rsidR="00CF006A">
        <w:rPr>
          <w:rStyle w:val="Hyperlink"/>
          <w:color w:val="auto"/>
          <w:u w:val="none"/>
        </w:rPr>
        <w:t xml:space="preserve"> </w:t>
      </w:r>
      <w:r w:rsidR="006F72FB">
        <w:rPr>
          <w:rStyle w:val="Hyperlink"/>
          <w:color w:val="auto"/>
          <w:u w:val="none"/>
        </w:rPr>
        <w:t>et le processus de ren</w:t>
      </w:r>
      <w:r w:rsidR="00CF006A">
        <w:rPr>
          <w:rStyle w:val="Hyperlink"/>
          <w:color w:val="auto"/>
          <w:u w:val="none"/>
        </w:rPr>
        <w:t>ouvellement d</w:t>
      </w:r>
      <w:r w:rsidR="00346F1B">
        <w:rPr>
          <w:rStyle w:val="Hyperlink"/>
          <w:color w:val="auto"/>
          <w:u w:val="none"/>
        </w:rPr>
        <w:t>’</w:t>
      </w:r>
      <w:r w:rsidR="00CF006A">
        <w:rPr>
          <w:rStyle w:val="Hyperlink"/>
          <w:color w:val="auto"/>
          <w:u w:val="none"/>
        </w:rPr>
        <w:t>un certain nombre de centres</w:t>
      </w:r>
      <w:r w:rsidR="006F72FB">
        <w:rPr>
          <w:rStyle w:val="Hyperlink"/>
          <w:color w:val="auto"/>
          <w:u w:val="none"/>
        </w:rPr>
        <w:t>.</w:t>
      </w:r>
    </w:p>
    <w:p w14:paraId="67B16FA7" w14:textId="28E3A19B" w:rsidR="00210256" w:rsidRPr="00531D8B" w:rsidRDefault="006F72FB" w:rsidP="00AF7860">
      <w:pPr>
        <w:pStyle w:val="Orateurengris"/>
        <w:spacing w:before="120"/>
        <w:ind w:left="709" w:hanging="709"/>
      </w:pPr>
      <w:r w:rsidRPr="006F72FB">
        <w:t xml:space="preserve">En ce qui </w:t>
      </w:r>
      <w:r>
        <w:t xml:space="preserve">concerne </w:t>
      </w:r>
      <w:r w:rsidRPr="004B7D24">
        <w:t xml:space="preserve">le </w:t>
      </w:r>
      <w:r w:rsidRPr="004B7D24">
        <w:rPr>
          <w:b/>
          <w:u w:val="single"/>
        </w:rPr>
        <w:t>suivi et l</w:t>
      </w:r>
      <w:r w:rsidR="00346F1B">
        <w:rPr>
          <w:b/>
          <w:u w:val="single"/>
        </w:rPr>
        <w:t>’</w:t>
      </w:r>
      <w:r w:rsidRPr="004B7D24">
        <w:rPr>
          <w:b/>
          <w:u w:val="single"/>
        </w:rPr>
        <w:t>évaluation</w:t>
      </w:r>
      <w:r>
        <w:t xml:space="preserve">, </w:t>
      </w:r>
      <w:r w:rsidR="004B7D24" w:rsidRPr="004B7D24">
        <w:t>conformément</w:t>
      </w:r>
      <w:r w:rsidR="004B7D24">
        <w:t xml:space="preserve"> aux décisions du Comité, le </w:t>
      </w:r>
      <w:r w:rsidR="004B7D24" w:rsidRPr="004B7D24">
        <w:t>Secrétaire</w:t>
      </w:r>
      <w:r w:rsidR="004B7D24">
        <w:t xml:space="preserve"> a expliqué que le Secrétariat avait conçu un cadre global de résultats pour la </w:t>
      </w:r>
      <w:r w:rsidR="004B7D24" w:rsidRPr="004B7D24">
        <w:t>Convention</w:t>
      </w:r>
      <w:r w:rsidR="004B7D24">
        <w:t xml:space="preserve"> avec la </w:t>
      </w:r>
      <w:r w:rsidR="004B7D24" w:rsidRPr="004B7D24">
        <w:t>préparation</w:t>
      </w:r>
      <w:r w:rsidR="004B7D24">
        <w:t xml:space="preserve"> et l</w:t>
      </w:r>
      <w:r w:rsidR="00346F1B">
        <w:t>’</w:t>
      </w:r>
      <w:r w:rsidR="004B7D24" w:rsidRPr="004B7D24">
        <w:t>organisation</w:t>
      </w:r>
      <w:r w:rsidR="004B7D24">
        <w:t xml:space="preserve"> d</w:t>
      </w:r>
      <w:r w:rsidR="00346F1B">
        <w:t>’</w:t>
      </w:r>
      <w:r w:rsidR="004B7D24">
        <w:t>une rencontre d</w:t>
      </w:r>
      <w:r w:rsidR="00346F1B">
        <w:t>’</w:t>
      </w:r>
      <w:r w:rsidR="004B7D24">
        <w:t xml:space="preserve">experts de catégorie IV du 7 au 9 septembre 2016, qui avait </w:t>
      </w:r>
      <w:r w:rsidR="00A32C99">
        <w:t xml:space="preserve">été </w:t>
      </w:r>
      <w:r w:rsidR="004B7D24">
        <w:t xml:space="preserve">généreusement financée et accueillie par la Commission nationale de la </w:t>
      </w:r>
      <w:r w:rsidR="004B7D24" w:rsidRPr="004B7D24">
        <w:t>République</w:t>
      </w:r>
      <w:r w:rsidR="004B7D24">
        <w:t xml:space="preserve"> populaire de Chine pour l</w:t>
      </w:r>
      <w:r w:rsidR="00346F1B">
        <w:t>’</w:t>
      </w:r>
      <w:r w:rsidR="004B7D24">
        <w:t>UNESCO. La réunion avait jeté les bases d</w:t>
      </w:r>
      <w:r w:rsidR="00346F1B">
        <w:t>’</w:t>
      </w:r>
      <w:r w:rsidR="004B7D24">
        <w:t xml:space="preserve">une réflexion sur les objectifs globaux de la </w:t>
      </w:r>
      <w:r w:rsidR="004B7D24" w:rsidRPr="004B7D24">
        <w:t>Convention</w:t>
      </w:r>
      <w:r w:rsidR="004B7D24">
        <w:t xml:space="preserve"> et sur les manières de démontrer comment les résultats désirés avaient été atteints, les conclusions de la rencontre seraient présenté</w:t>
      </w:r>
      <w:r w:rsidR="00A32C99">
        <w:t>e</w:t>
      </w:r>
      <w:r w:rsidR="004B7D24">
        <w:t>s au point 14 de l</w:t>
      </w:r>
      <w:r w:rsidR="00346F1B">
        <w:t>’</w:t>
      </w:r>
      <w:r w:rsidR="004B7D24" w:rsidRPr="004B7D24">
        <w:t>ordre du jour</w:t>
      </w:r>
      <w:r w:rsidR="004B7D24">
        <w:t xml:space="preserve">. Le </w:t>
      </w:r>
      <w:r w:rsidR="004B7D24" w:rsidRPr="004B7D24">
        <w:t>Secrétaire</w:t>
      </w:r>
      <w:r w:rsidR="00D301C4">
        <w:t xml:space="preserve"> souhaitait</w:t>
      </w:r>
      <w:r w:rsidR="004B7D24">
        <w:t xml:space="preserve"> </w:t>
      </w:r>
      <w:r w:rsidR="004B7D24" w:rsidRPr="004B7D24">
        <w:t>également</w:t>
      </w:r>
      <w:r w:rsidR="004B7D24">
        <w:t xml:space="preserve"> préciser que le premier semestre de l</w:t>
      </w:r>
      <w:r w:rsidR="00346F1B">
        <w:t>’</w:t>
      </w:r>
      <w:r w:rsidR="004B7D24">
        <w:t>année 2016 avait montré une croissante constante du nombre d</w:t>
      </w:r>
      <w:r w:rsidR="00346F1B">
        <w:t>’</w:t>
      </w:r>
      <w:r w:rsidR="004B7D24">
        <w:t xml:space="preserve">États parties à la </w:t>
      </w:r>
      <w:r w:rsidR="004B7D24" w:rsidRPr="004B7D24">
        <w:t>Convention</w:t>
      </w:r>
      <w:r w:rsidR="004B7D24">
        <w:t xml:space="preserve">, </w:t>
      </w:r>
      <w:r w:rsidR="004B7D24" w:rsidRPr="004B7D24">
        <w:t>en particulier</w:t>
      </w:r>
      <w:r w:rsidR="004B7D24">
        <w:t xml:space="preserve"> d</w:t>
      </w:r>
      <w:r w:rsidR="00346F1B">
        <w:t>’</w:t>
      </w:r>
      <w:r w:rsidR="004B7D24">
        <w:t>états africains, avec huit nouveaux États parties et une extension d</w:t>
      </w:r>
      <w:r w:rsidR="00346F1B">
        <w:t>’</w:t>
      </w:r>
      <w:r w:rsidR="004B7D24">
        <w:t xml:space="preserve">application territoriale ainsi que quelques autres États parties </w:t>
      </w:r>
      <w:r w:rsidR="00531D8B">
        <w:t xml:space="preserve">pour lesquels </w:t>
      </w:r>
      <w:r w:rsidR="004B7D24">
        <w:t xml:space="preserve">la ratification de la </w:t>
      </w:r>
      <w:r w:rsidR="004B7D24" w:rsidRPr="004B7D24">
        <w:t>Convention</w:t>
      </w:r>
      <w:r w:rsidR="004B7D24">
        <w:t xml:space="preserve"> était prévue. Il y avait désormais 172 États parties. La moitié des nouveaux États parties avait bénéficié d</w:t>
      </w:r>
      <w:r w:rsidR="00346F1B">
        <w:t>’</w:t>
      </w:r>
      <w:r w:rsidR="004B7D24">
        <w:t xml:space="preserve">activités de renforcement des capacités avant la </w:t>
      </w:r>
      <w:r w:rsidR="004B7D24" w:rsidRPr="004B7D24">
        <w:t>ratification</w:t>
      </w:r>
      <w:r w:rsidR="004B7D24">
        <w:t>, ce qui illustrait la valeur du programme. Néanmoins, le Secrétariat était confronté à certains défis, notamment « garder le navire à flot » dans les difficiles circonstances auxq</w:t>
      </w:r>
      <w:r w:rsidR="00531D8B">
        <w:t>uelles l</w:t>
      </w:r>
      <w:r w:rsidR="00346F1B">
        <w:t>’</w:t>
      </w:r>
      <w:r w:rsidR="00531D8B">
        <w:t xml:space="preserve">UNESCO faisait face. Le Secrétariat </w:t>
      </w:r>
      <w:r w:rsidR="004B7D24" w:rsidRPr="00531D8B">
        <w:t>reco</w:t>
      </w:r>
      <w:r w:rsidR="00531D8B">
        <w:t>nnaissait</w:t>
      </w:r>
      <w:r w:rsidR="00DC51A5">
        <w:t xml:space="preserve"> que s</w:t>
      </w:r>
      <w:r w:rsidR="004B7D24" w:rsidRPr="00531D8B">
        <w:t>es efforts n</w:t>
      </w:r>
      <w:r w:rsidR="00346F1B">
        <w:t>’</w:t>
      </w:r>
      <w:r w:rsidR="004B7D24" w:rsidRPr="00531D8B">
        <w:t>étaient pas suffisants pour garantir que la Con</w:t>
      </w:r>
      <w:r w:rsidR="0034665B">
        <w:t>vention existait</w:t>
      </w:r>
      <w:r w:rsidR="004B7D24" w:rsidRPr="00531D8B">
        <w:t xml:space="preserve"> </w:t>
      </w:r>
      <w:r w:rsidR="003A7F42" w:rsidRPr="00531D8B">
        <w:t>au-delà</w:t>
      </w:r>
      <w:r w:rsidR="004B7D24" w:rsidRPr="00531D8B">
        <w:t xml:space="preserve"> de ses réunions statutaires et ateliers de renforcement des capacités. En outre, à moins que le périmètre de la Convention ne soit éte</w:t>
      </w:r>
      <w:r w:rsidR="0033293E" w:rsidRPr="00531D8B">
        <w:t>ndu, elle risquait d</w:t>
      </w:r>
      <w:r w:rsidR="00346F1B">
        <w:t>’</w:t>
      </w:r>
      <w:r w:rsidR="0033293E" w:rsidRPr="00531D8B">
        <w:t>être confro</w:t>
      </w:r>
      <w:r w:rsidR="004B7D24" w:rsidRPr="00531D8B">
        <w:t>ntée à une stagnation voire une</w:t>
      </w:r>
      <w:r w:rsidR="0033293E" w:rsidRPr="00531D8B">
        <w:t xml:space="preserve"> perte de sa raison d</w:t>
      </w:r>
      <w:r w:rsidR="00346F1B">
        <w:t>’</w:t>
      </w:r>
      <w:r w:rsidR="0033293E" w:rsidRPr="00531D8B">
        <w:t>être à une époque où elle devait être dynamique et flexible afin de s</w:t>
      </w:r>
      <w:r w:rsidR="00346F1B">
        <w:t>’</w:t>
      </w:r>
      <w:r w:rsidR="0033293E" w:rsidRPr="00531D8B">
        <w:t>ada</w:t>
      </w:r>
      <w:r w:rsidR="00531D8B">
        <w:t>pter aux problèmes contemporain</w:t>
      </w:r>
      <w:r w:rsidR="0033293E" w:rsidRPr="00531D8B">
        <w:t>s qui</w:t>
      </w:r>
      <w:r w:rsidR="007E26EE">
        <w:t xml:space="preserve"> étaient,</w:t>
      </w:r>
      <w:r w:rsidR="0033293E" w:rsidRPr="00531D8B">
        <w:t xml:space="preserve"> entre autres, un exode rural massif, des catastrophes naturelles et des c</w:t>
      </w:r>
      <w:r w:rsidR="007E26EE">
        <w:t>onflits, l</w:t>
      </w:r>
      <w:r w:rsidR="0033293E" w:rsidRPr="00531D8B">
        <w:t>es défis liés aux objectifs du développement durable, le lien entre patrimoine culturel immatériel et systèmes éducatifs, etc. Une des façons d</w:t>
      </w:r>
      <w:r w:rsidR="00346F1B">
        <w:t>’</w:t>
      </w:r>
      <w:r w:rsidR="0034665B">
        <w:t>y parvenir était d</w:t>
      </w:r>
      <w:r w:rsidR="00346F1B">
        <w:t>’</w:t>
      </w:r>
      <w:r w:rsidR="0034665B">
        <w:t>avoir recours</w:t>
      </w:r>
      <w:r w:rsidR="0033293E" w:rsidRPr="00531D8B">
        <w:t xml:space="preserve">, en tant que fenêtre opérationnelle de la Convention, </w:t>
      </w:r>
      <w:r w:rsidR="0034665B">
        <w:t>a</w:t>
      </w:r>
      <w:r w:rsidR="00531D8B">
        <w:t>u</w:t>
      </w:r>
      <w:r w:rsidR="0033293E" w:rsidRPr="00531D8B">
        <w:t xml:space="preserve"> mécanisme d</w:t>
      </w:r>
      <w:r w:rsidR="00346F1B">
        <w:t>’</w:t>
      </w:r>
      <w:r w:rsidR="0033293E" w:rsidRPr="00531D8B">
        <w:t xml:space="preserve">assistance internationale nettement sous-utilisé. </w:t>
      </w:r>
      <w:r w:rsidR="00210256" w:rsidRPr="00531D8B">
        <w:t xml:space="preserve">Bien </w:t>
      </w:r>
      <w:r w:rsidR="003A7F42" w:rsidRPr="00531D8B">
        <w:t>au-delà</w:t>
      </w:r>
      <w:r w:rsidR="00210256" w:rsidRPr="00531D8B">
        <w:t xml:space="preserve"> de sa simple fonction d</w:t>
      </w:r>
      <w:r w:rsidR="00346F1B">
        <w:t>’</w:t>
      </w:r>
      <w:r w:rsidR="00210256" w:rsidRPr="00531D8B">
        <w:t>octroi de subventions, c</w:t>
      </w:r>
      <w:r w:rsidR="0033293E" w:rsidRPr="00531D8B">
        <w:t xml:space="preserve">e mécanisme </w:t>
      </w:r>
      <w:r w:rsidR="00210256" w:rsidRPr="00531D8B">
        <w:t>pourrait constituer une occasion d</w:t>
      </w:r>
      <w:r w:rsidR="00346F1B">
        <w:t>’</w:t>
      </w:r>
      <w:r w:rsidR="00210256" w:rsidRPr="00531D8B">
        <w:t>améliorer l</w:t>
      </w:r>
      <w:r w:rsidR="00346F1B">
        <w:t>’</w:t>
      </w:r>
      <w:r w:rsidR="00210256" w:rsidRPr="00531D8B">
        <w:t>impact de la Convention. Par la mise en œuvre et le suivi de l</w:t>
      </w:r>
      <w:r w:rsidR="00346F1B">
        <w:t>’</w:t>
      </w:r>
      <w:r w:rsidR="00210256" w:rsidRPr="00531D8B">
        <w:t xml:space="preserve">assistance internationale, on pourrait potentiellement en apprendre plus sur : les </w:t>
      </w:r>
      <w:r w:rsidR="00CB180D">
        <w:t xml:space="preserve">souhaits </w:t>
      </w:r>
      <w:r w:rsidR="00210256" w:rsidRPr="00531D8B">
        <w:t>et aspirations des communautés quant à leur patrimoine culturel immatériel ; l</w:t>
      </w:r>
      <w:r w:rsidR="00346F1B">
        <w:t>’</w:t>
      </w:r>
      <w:r w:rsidR="00210256" w:rsidRPr="00531D8B">
        <w:t>efficacité de certaines approches de sauvegarde ; les possibilités concrètes de tirer profit du patrimoine culturel immatériel afin d</w:t>
      </w:r>
      <w:r w:rsidR="00346F1B">
        <w:t>’</w:t>
      </w:r>
      <w:r w:rsidR="00210256" w:rsidRPr="00531D8B">
        <w:t>atteindre les objectifs du déve</w:t>
      </w:r>
      <w:r w:rsidR="0034665B">
        <w:t xml:space="preserve">loppement durable ; </w:t>
      </w:r>
      <w:r w:rsidR="00531D8B">
        <w:t>et</w:t>
      </w:r>
      <w:r w:rsidR="0034665B">
        <w:t xml:space="preserve"> bien d</w:t>
      </w:r>
      <w:r w:rsidR="00346F1B">
        <w:t>’</w:t>
      </w:r>
      <w:r w:rsidR="0034665B">
        <w:t>autres sujets</w:t>
      </w:r>
      <w:r w:rsidR="00235807">
        <w:t>. Toutefois, cette démarche</w:t>
      </w:r>
      <w:r w:rsidR="00210256" w:rsidRPr="00531D8B">
        <w:t xml:space="preserve"> </w:t>
      </w:r>
      <w:r w:rsidR="00235807">
        <w:t xml:space="preserve">exigeait </w:t>
      </w:r>
      <w:r w:rsidR="00210256" w:rsidRPr="00531D8B">
        <w:t>plus que les simples opérations de traitement et d</w:t>
      </w:r>
      <w:r w:rsidR="00346F1B">
        <w:t>’</w:t>
      </w:r>
      <w:r w:rsidR="00210256" w:rsidRPr="00531D8B">
        <w:t>approbation des demandes d</w:t>
      </w:r>
      <w:r w:rsidR="00346F1B">
        <w:t>’</w:t>
      </w:r>
      <w:r w:rsidR="00210256" w:rsidRPr="00531D8B">
        <w:t>assistance et de vérific</w:t>
      </w:r>
      <w:r w:rsidR="00933A0D" w:rsidRPr="00531D8B">
        <w:t xml:space="preserve">ation financière des dépenses, </w:t>
      </w:r>
      <w:r w:rsidR="00210256" w:rsidRPr="00531D8B">
        <w:t>et impliquait la mise en</w:t>
      </w:r>
      <w:r w:rsidR="0034665B">
        <w:t xml:space="preserve"> place d</w:t>
      </w:r>
      <w:r w:rsidR="00346F1B">
        <w:t>’</w:t>
      </w:r>
      <w:r w:rsidR="0034665B">
        <w:t xml:space="preserve">un système de suivi capable de tirer des enseignements </w:t>
      </w:r>
      <w:r w:rsidR="00210256" w:rsidRPr="00531D8B">
        <w:t xml:space="preserve">des projets qui </w:t>
      </w:r>
      <w:r w:rsidR="00235807">
        <w:t>viseraient l</w:t>
      </w:r>
      <w:r w:rsidR="00933A0D" w:rsidRPr="00531D8B">
        <w:t xml:space="preserve">es </w:t>
      </w:r>
      <w:r w:rsidR="00531D8B">
        <w:t xml:space="preserve">problèmes </w:t>
      </w:r>
      <w:r w:rsidR="00933A0D" w:rsidRPr="00531D8B">
        <w:t xml:space="preserve">plus </w:t>
      </w:r>
      <w:r w:rsidR="00531D8B">
        <w:t xml:space="preserve">généraux </w:t>
      </w:r>
      <w:r w:rsidR="00933A0D" w:rsidRPr="00531D8B">
        <w:t xml:space="preserve">auxquels le patrimoine culturel </w:t>
      </w:r>
      <w:r w:rsidR="00235807">
        <w:t>immatériel dans son ensemble était</w:t>
      </w:r>
      <w:r w:rsidR="00933A0D" w:rsidRPr="00531D8B">
        <w:t xml:space="preserve"> confronté. Cela engendrerait </w:t>
      </w:r>
      <w:r w:rsidR="00235807">
        <w:t xml:space="preserve">cependant </w:t>
      </w:r>
      <w:r w:rsidR="00933A0D" w:rsidRPr="00531D8B">
        <w:t>une augmentation de la charge de travail qui était irréaliste au vu de la structure</w:t>
      </w:r>
      <w:r w:rsidR="00620EE6">
        <w:t xml:space="preserve"> du Secrétariat en place.</w:t>
      </w:r>
    </w:p>
    <w:p w14:paraId="679AF8C2" w14:textId="526B16F9" w:rsidR="00235807" w:rsidRPr="00235807" w:rsidRDefault="00235807" w:rsidP="00AF7860">
      <w:pPr>
        <w:pStyle w:val="Orateurengris"/>
        <w:spacing w:before="120"/>
        <w:ind w:left="709" w:hanging="709"/>
      </w:pPr>
      <w:r w:rsidRPr="00235807">
        <w:t xml:space="preserve">Le </w:t>
      </w:r>
      <w:r w:rsidRPr="001E271E">
        <w:rPr>
          <w:b/>
        </w:rPr>
        <w:t>Secrétaire</w:t>
      </w:r>
      <w:r w:rsidRPr="00235807">
        <w:t xml:space="preserve"> est ensuite passé</w:t>
      </w:r>
      <w:r>
        <w:t xml:space="preserve"> à </w:t>
      </w:r>
      <w:r w:rsidR="003A7F42">
        <w:t>quelques-uns</w:t>
      </w:r>
      <w:r>
        <w:t xml:space="preserve"> des </w:t>
      </w:r>
      <w:r w:rsidR="001E271E">
        <w:rPr>
          <w:b/>
          <w:u w:val="single"/>
        </w:rPr>
        <w:t>principaux défis</w:t>
      </w:r>
      <w:r w:rsidR="001E271E">
        <w:t xml:space="preserve"> à relever par le Secrétariat</w:t>
      </w:r>
      <w:r w:rsidR="005C33E8">
        <w:t>. Il a évoqué le travail d</w:t>
      </w:r>
      <w:r w:rsidR="001E271E">
        <w:t>u Secrétariat qui devait démontrer de façon claire et opérationnelle le</w:t>
      </w:r>
      <w:r w:rsidR="005C33E8">
        <w:t xml:space="preserve"> rôle que le patrimoine culturel immatériel pouvait jouer </w:t>
      </w:r>
      <w:r w:rsidR="001E271E">
        <w:t xml:space="preserve">dans </w:t>
      </w:r>
      <w:r w:rsidR="005C33E8">
        <w:t xml:space="preserve">la </w:t>
      </w:r>
      <w:r w:rsidR="005C33E8" w:rsidRPr="005C33E8">
        <w:t>réalisation</w:t>
      </w:r>
      <w:r w:rsidR="005C33E8">
        <w:t xml:space="preserve"> d</w:t>
      </w:r>
      <w:r w:rsidR="00346F1B">
        <w:t>’</w:t>
      </w:r>
      <w:r w:rsidR="005C33E8">
        <w:t xml:space="preserve">un </w:t>
      </w:r>
      <w:r w:rsidR="005C33E8" w:rsidRPr="001E271E">
        <w:rPr>
          <w:b/>
          <w:u w:val="single"/>
        </w:rPr>
        <w:t>développement humain et durable</w:t>
      </w:r>
      <w:r w:rsidR="005C33E8">
        <w:t>. Suite à l</w:t>
      </w:r>
      <w:r w:rsidR="00346F1B">
        <w:t>’</w:t>
      </w:r>
      <w:r w:rsidR="005C33E8">
        <w:t xml:space="preserve">adoption </w:t>
      </w:r>
      <w:r w:rsidR="001E271E">
        <w:t xml:space="preserve">du nouveau chapitre des Directives opérationnelles, le Secrétariat était conscient de la nécessité de mettre à disposition de plus amples </w:t>
      </w:r>
      <w:r w:rsidR="001E271E" w:rsidRPr="001E271E">
        <w:t>informations</w:t>
      </w:r>
      <w:r w:rsidR="001E271E">
        <w:t xml:space="preserve"> pour le mettre </w:t>
      </w:r>
      <w:r w:rsidR="00CF04C0">
        <w:t xml:space="preserve">concrètement </w:t>
      </w:r>
      <w:r w:rsidR="001E271E">
        <w:t xml:space="preserve">en œuvre, sous la forme, </w:t>
      </w:r>
      <w:r w:rsidR="001E271E" w:rsidRPr="001E271E">
        <w:t>par exemple</w:t>
      </w:r>
      <w:r w:rsidR="001E271E">
        <w:t>, d</w:t>
      </w:r>
      <w:r w:rsidR="00346F1B">
        <w:t>’</w:t>
      </w:r>
      <w:r w:rsidR="001E271E">
        <w:t>études de cas ou autres. Le Secrétariat s</w:t>
      </w:r>
      <w:r w:rsidR="00346F1B">
        <w:t>’</w:t>
      </w:r>
      <w:r w:rsidR="001E271E">
        <w:t xml:space="preserve">efforçait </w:t>
      </w:r>
      <w:r w:rsidR="001E271E" w:rsidRPr="001E271E">
        <w:t>également</w:t>
      </w:r>
      <w:r w:rsidR="001E271E">
        <w:t xml:space="preserve"> d</w:t>
      </w:r>
      <w:r w:rsidR="00346F1B">
        <w:t>’</w:t>
      </w:r>
      <w:r w:rsidR="001E271E">
        <w:t>identifier des points d</w:t>
      </w:r>
      <w:r w:rsidR="00346F1B">
        <w:t>’</w:t>
      </w:r>
      <w:r w:rsidR="001E271E">
        <w:t xml:space="preserve">entrée programmatiques avec des indicateurs spécifiques </w:t>
      </w:r>
      <w:r w:rsidR="00EC0E64">
        <w:t>définis dans les</w:t>
      </w:r>
      <w:r w:rsidR="007E26EE">
        <w:t xml:space="preserve"> objectifs de l</w:t>
      </w:r>
      <w:r w:rsidR="00346F1B">
        <w:t>’</w:t>
      </w:r>
      <w:r w:rsidR="007E26EE">
        <w:t>A</w:t>
      </w:r>
      <w:r w:rsidR="006423A5">
        <w:t>genda 2030 pour le développement durable. Un autre domaine d</w:t>
      </w:r>
      <w:r w:rsidR="00346F1B">
        <w:t>’</w:t>
      </w:r>
      <w:r w:rsidR="006423A5">
        <w:t>intervention concernait les situations d</w:t>
      </w:r>
      <w:r w:rsidR="00346F1B">
        <w:t>’</w:t>
      </w:r>
      <w:r w:rsidR="006423A5">
        <w:t>urgence, comme précédemment évoqué par le Sous-Directeur général, pour lesquelles le Secrétariat était de plus en plus appelé à participer dans le cadre de la réponse globale du Secteur de la culture. Suite à l</w:t>
      </w:r>
      <w:r w:rsidR="00346F1B">
        <w:t>’</w:t>
      </w:r>
      <w:r w:rsidR="006423A5">
        <w:t>adoption, par la 38</w:t>
      </w:r>
      <w:r w:rsidR="006423A5" w:rsidRPr="006423A5">
        <w:rPr>
          <w:vertAlign w:val="superscript"/>
        </w:rPr>
        <w:t>e</w:t>
      </w:r>
      <w:r w:rsidR="006423A5">
        <w:t xml:space="preserve"> session de la Conférence générale de l</w:t>
      </w:r>
      <w:r w:rsidR="00346F1B">
        <w:t>’</w:t>
      </w:r>
      <w:r w:rsidR="007E26EE">
        <w:t>UNESCO en novembre 2015, de la S</w:t>
      </w:r>
      <w:r w:rsidR="006423A5">
        <w:t xml:space="preserve">tratégie pour le </w:t>
      </w:r>
      <w:r w:rsidR="006423A5" w:rsidRPr="006423A5">
        <w:t xml:space="preserve">renforcement </w:t>
      </w:r>
      <w:r w:rsidR="006423A5">
        <w:t>de l</w:t>
      </w:r>
      <w:r w:rsidR="00346F1B">
        <w:t>’</w:t>
      </w:r>
      <w:r w:rsidR="006423A5">
        <w:t>action de l</w:t>
      </w:r>
      <w:r w:rsidR="00346F1B">
        <w:t>’</w:t>
      </w:r>
      <w:r w:rsidR="006423A5">
        <w:t>UNESCO en matière de protection de la culture et de promotion du pluralisme culturel en cas de conflit armé, ainsi que l</w:t>
      </w:r>
      <w:r w:rsidR="00346F1B">
        <w:t>’</w:t>
      </w:r>
      <w:r w:rsidR="006423A5" w:rsidRPr="006423A5">
        <w:t>intervention</w:t>
      </w:r>
      <w:r w:rsidR="006423A5">
        <w:t xml:space="preserve"> de la Grèce à ce sujet lors de l</w:t>
      </w:r>
      <w:r w:rsidR="00346F1B">
        <w:t>’</w:t>
      </w:r>
      <w:r w:rsidR="006423A5">
        <w:t xml:space="preserve">Assemblée générale de juin 2016, une réflexion approfondie était clairement nécessaire sur le rôle de la </w:t>
      </w:r>
      <w:r w:rsidR="006423A5" w:rsidRPr="006423A5">
        <w:t>Convention</w:t>
      </w:r>
      <w:r w:rsidR="006423A5">
        <w:t xml:space="preserve"> de 2003 et les possibles actions de l</w:t>
      </w:r>
      <w:r w:rsidR="00346F1B">
        <w:t>’</w:t>
      </w:r>
      <w:r w:rsidR="006423A5">
        <w:t>UNESCO dans les situations d</w:t>
      </w:r>
      <w:r w:rsidR="00346F1B">
        <w:t>’</w:t>
      </w:r>
      <w:r w:rsidR="006423A5">
        <w:t>urgence (sujet abordé au point 15 de l</w:t>
      </w:r>
      <w:r w:rsidR="00346F1B">
        <w:t>’</w:t>
      </w:r>
      <w:r w:rsidR="006423A5" w:rsidRPr="006423A5">
        <w:t>ordre du jour</w:t>
      </w:r>
      <w:r w:rsidR="006423A5">
        <w:t xml:space="preserve">). </w:t>
      </w:r>
      <w:r w:rsidR="00773DC9">
        <w:t xml:space="preserve">Le </w:t>
      </w:r>
      <w:r w:rsidR="00773DC9" w:rsidRPr="00773DC9">
        <w:t>Secrétaire</w:t>
      </w:r>
      <w:r w:rsidR="007E26EE">
        <w:t xml:space="preserve"> souhaitait </w:t>
      </w:r>
      <w:r w:rsidR="00773DC9" w:rsidRPr="00773DC9">
        <w:t>également</w:t>
      </w:r>
      <w:r w:rsidR="00773DC9">
        <w:t xml:space="preserve"> mettre en évidence un certain nombre de questions en suspens que le Secrétariat avait été incapable de traiter compte tenu de sa charge de travail très</w:t>
      </w:r>
      <w:r w:rsidR="007E26EE">
        <w:t xml:space="preserve"> lourde</w:t>
      </w:r>
      <w:r w:rsidR="00773DC9">
        <w:t>, parmi lesquelles : i) la création d</w:t>
      </w:r>
      <w:r w:rsidR="00346F1B">
        <w:t>’</w:t>
      </w:r>
      <w:r w:rsidR="00773DC9">
        <w:t xml:space="preserve">outils pour le Registre des meilleures pratiques de </w:t>
      </w:r>
      <w:r w:rsidR="00773DC9" w:rsidRPr="00773DC9">
        <w:t>sauvegarde</w:t>
      </w:r>
      <w:r w:rsidR="00773DC9">
        <w:t xml:space="preserve"> afin de partager les expériences en matière de </w:t>
      </w:r>
      <w:r w:rsidR="00773DC9" w:rsidRPr="00773DC9">
        <w:t>sauvegarde</w:t>
      </w:r>
      <w:r w:rsidR="00773DC9">
        <w:t xml:space="preserve">, comme cela avait été précédemment demandé ; ii) la poursuite du travail de consolidation du réseau des facilitateurs dans le programme de renforcement des capacités ; iii) le </w:t>
      </w:r>
      <w:r w:rsidR="00773DC9" w:rsidRPr="00773DC9">
        <w:t>renforcement</w:t>
      </w:r>
      <w:r w:rsidR="00773DC9">
        <w:t xml:space="preserve"> de la </w:t>
      </w:r>
      <w:r w:rsidR="00773DC9" w:rsidRPr="00773DC9">
        <w:t>coopération</w:t>
      </w:r>
      <w:r w:rsidR="00773DC9">
        <w:t xml:space="preserve"> avec les organisations à l</w:t>
      </w:r>
      <w:r w:rsidR="00346F1B">
        <w:t>’</w:t>
      </w:r>
      <w:r w:rsidR="00773DC9">
        <w:t>intérieur et à l</w:t>
      </w:r>
      <w:r w:rsidR="00346F1B">
        <w:t>’</w:t>
      </w:r>
      <w:r w:rsidR="00773DC9">
        <w:t xml:space="preserve">extérieur du système des Nations Unies ; et iv) la bonne mise en œuvre </w:t>
      </w:r>
      <w:r w:rsidR="00620EE6">
        <w:t>de l</w:t>
      </w:r>
      <w:r w:rsidR="00346F1B">
        <w:t>’</w:t>
      </w:r>
      <w:r w:rsidR="00620EE6">
        <w:t>assistance internationale.</w:t>
      </w:r>
    </w:p>
    <w:p w14:paraId="014E3671" w14:textId="3600E304" w:rsidR="00EC0E64" w:rsidRPr="00693042" w:rsidRDefault="00EC0E64" w:rsidP="00AF7860">
      <w:pPr>
        <w:pStyle w:val="Orateurengris"/>
        <w:spacing w:before="120"/>
        <w:ind w:left="709" w:hanging="709"/>
      </w:pPr>
      <w:r w:rsidRPr="00EC0E64">
        <w:t xml:space="preserve">Le </w:t>
      </w:r>
      <w:r w:rsidRPr="00EC0E64">
        <w:rPr>
          <w:b/>
        </w:rPr>
        <w:t>Secrétaire</w:t>
      </w:r>
      <w:r w:rsidRPr="00EC0E64">
        <w:t xml:space="preserve"> est ensuite passé à la ques</w:t>
      </w:r>
      <w:r>
        <w:t xml:space="preserve">tion des </w:t>
      </w:r>
      <w:r w:rsidRPr="00EC0E64">
        <w:rPr>
          <w:b/>
          <w:u w:val="single"/>
        </w:rPr>
        <w:t>ressources financières</w:t>
      </w:r>
      <w:r>
        <w:t>, en rappelant que 65 pour cent du budget du Programme régulier du biennium pour la S</w:t>
      </w:r>
      <w:r w:rsidR="00BD2F9A">
        <w:t>ection était consacré à la couverture d</w:t>
      </w:r>
      <w:r>
        <w:t xml:space="preserve">es coûts </w:t>
      </w:r>
      <w:r w:rsidR="00BD2F9A">
        <w:t>liés aux</w:t>
      </w:r>
      <w:r>
        <w:t xml:space="preserve"> </w:t>
      </w:r>
      <w:r w:rsidR="00BD2F9A">
        <w:t xml:space="preserve">exigences statutaires de la Convention. Ainsi, les efforts de mobilisation des ressources se concentraient essentiellement sur la </w:t>
      </w:r>
      <w:r w:rsidR="00BD2F9A" w:rsidRPr="00BD2F9A">
        <w:t>stratégie</w:t>
      </w:r>
      <w:r w:rsidR="00BD2F9A">
        <w:t xml:space="preserve"> globale de renforcement des capacités. Toutefois, pendant la période concernée par le rapport, aucune autre ressource n</w:t>
      </w:r>
      <w:r w:rsidR="00346F1B">
        <w:t>’</w:t>
      </w:r>
      <w:r w:rsidR="00BD2F9A">
        <w:t>avait pu être mobilisée et des contributeurs de longue date avaient annoncé qu</w:t>
      </w:r>
      <w:r w:rsidR="00346F1B">
        <w:t>’</w:t>
      </w:r>
      <w:r w:rsidR="00BD2F9A">
        <w:t xml:space="preserve">ils ne renouvelleraient pas leurs engagements, ce qui était considéré comme une situation critique compte tenu du fait que les </w:t>
      </w:r>
      <w:r w:rsidR="00BD2F9A" w:rsidRPr="00BD2F9A">
        <w:t>contribution</w:t>
      </w:r>
      <w:r w:rsidR="00BD2F9A">
        <w:t xml:space="preserve">s volontaires supplémentaires au Fonds du PCI et aux </w:t>
      </w:r>
      <w:r w:rsidR="007E26EE">
        <w:t xml:space="preserve">différents </w:t>
      </w:r>
      <w:r w:rsidR="00BD2F9A">
        <w:t>fonds</w:t>
      </w:r>
      <w:r w:rsidR="00722C90">
        <w:t>-en-dépôt étaient essentielles pour</w:t>
      </w:r>
      <w:r w:rsidR="00693042">
        <w:t xml:space="preserve"> transformer les</w:t>
      </w:r>
      <w:r w:rsidR="00BD2F9A">
        <w:t xml:space="preserve"> efforts de renforcement des capacités</w:t>
      </w:r>
      <w:r w:rsidR="00693042">
        <w:t xml:space="preserve"> en succès</w:t>
      </w:r>
      <w:r w:rsidR="00BD2F9A">
        <w:t xml:space="preserve">. Le </w:t>
      </w:r>
      <w:r w:rsidR="00BD2F9A" w:rsidRPr="00BD2F9A">
        <w:t>Secrétaire</w:t>
      </w:r>
      <w:r w:rsidR="00BD2F9A">
        <w:t xml:space="preserve"> a donc </w:t>
      </w:r>
      <w:r w:rsidR="00722C90">
        <w:t>à nouveau lancé un</w:t>
      </w:r>
      <w:r w:rsidR="00BD2F9A">
        <w:t xml:space="preserve"> appel vibrant et </w:t>
      </w:r>
      <w:r w:rsidR="00722C90">
        <w:t>pressant aux potentiels bailleurs de fonds afin qu</w:t>
      </w:r>
      <w:r w:rsidR="00346F1B">
        <w:t>’</w:t>
      </w:r>
      <w:r w:rsidR="00722C90">
        <w:t xml:space="preserve">ils contribuent à la </w:t>
      </w:r>
      <w:r w:rsidR="00722C90" w:rsidRPr="00693042">
        <w:t>Convention de 2003 et, en particulier, au programme d</w:t>
      </w:r>
      <w:r w:rsidR="00693042" w:rsidRPr="00693042">
        <w:t>e renforcement des capacités.</w:t>
      </w:r>
    </w:p>
    <w:p w14:paraId="190342D3" w14:textId="51DB28E3" w:rsidR="002F3EA2" w:rsidRPr="002F3EA2" w:rsidRDefault="00693042" w:rsidP="00AF7860">
      <w:pPr>
        <w:pStyle w:val="Orateurengris"/>
        <w:spacing w:before="120"/>
        <w:ind w:left="709" w:hanging="709"/>
      </w:pPr>
      <w:r w:rsidRPr="00693042">
        <w:t>S</w:t>
      </w:r>
      <w:r w:rsidR="00346F1B">
        <w:t>’</w:t>
      </w:r>
      <w:r w:rsidRPr="00693042">
        <w:t xml:space="preserve">agissant des </w:t>
      </w:r>
      <w:r w:rsidRPr="00693042">
        <w:rPr>
          <w:b/>
          <w:u w:val="single"/>
        </w:rPr>
        <w:t>ressources humaines</w:t>
      </w:r>
      <w:r w:rsidRPr="00693042">
        <w:t xml:space="preserve"> du </w:t>
      </w:r>
      <w:r>
        <w:t xml:space="preserve">Secrétariat, question qui demeurait fort préoccupante, le </w:t>
      </w:r>
      <w:r w:rsidRPr="00693042">
        <w:t>Secrétaire</w:t>
      </w:r>
      <w:r>
        <w:t xml:space="preserve"> a averti le Comité que la distorsion entre, d</w:t>
      </w:r>
      <w:r w:rsidR="00346F1B">
        <w:t>’</w:t>
      </w:r>
      <w:r>
        <w:t>une part, les ressources humaines disponibles et, d</w:t>
      </w:r>
      <w:r w:rsidR="00346F1B">
        <w:t>’</w:t>
      </w:r>
      <w:r>
        <w:t>autre part, l</w:t>
      </w:r>
      <w:r w:rsidR="00346F1B">
        <w:t>’</w:t>
      </w:r>
      <w:r>
        <w:t xml:space="preserve">augmentation régulière de la charge de travail et les attentes des États parties </w:t>
      </w:r>
      <w:r w:rsidR="00BC05C6">
        <w:t xml:space="preserve">demeurait un défi essentiel et un point de </w:t>
      </w:r>
      <w:r w:rsidR="00BC05C6" w:rsidRPr="00BC05C6">
        <w:t>vulnérabilité</w:t>
      </w:r>
      <w:r w:rsidR="00BC05C6">
        <w:t xml:space="preserve"> pour la </w:t>
      </w:r>
      <w:r w:rsidR="00BC05C6" w:rsidRPr="00BC05C6">
        <w:t>Convention</w:t>
      </w:r>
      <w:r w:rsidR="00BC05C6">
        <w:t xml:space="preserve"> elle-même. Le paradoxe était que l</w:t>
      </w:r>
      <w:r w:rsidR="00346F1B">
        <w:t>’</w:t>
      </w:r>
      <w:r w:rsidR="00BC05C6">
        <w:t>augmentation du plafond d</w:t>
      </w:r>
      <w:r w:rsidR="00346F1B">
        <w:t>’</w:t>
      </w:r>
      <w:r w:rsidR="00BC05C6">
        <w:t>assistance internationale</w:t>
      </w:r>
      <w:r w:rsidR="002F3EA2">
        <w:t xml:space="preserve"> aurait pour corollaire </w:t>
      </w:r>
      <w:r w:rsidR="00BC05C6">
        <w:t>un plus grand nombre de demandes tr</w:t>
      </w:r>
      <w:r w:rsidR="002F3EA2">
        <w:t>aitées par le Bureau à l</w:t>
      </w:r>
      <w:r w:rsidR="00346F1B">
        <w:t>’</w:t>
      </w:r>
      <w:r w:rsidR="002F3EA2">
        <w:t>avenir, ce qui résulterait en une augmentation de la charge de travail du Secrétariat, rappelant ainsi l</w:t>
      </w:r>
      <w:r w:rsidR="00346F1B">
        <w:t>’</w:t>
      </w:r>
      <w:r w:rsidR="002F3EA2">
        <w:t>importance de l</w:t>
      </w:r>
      <w:r w:rsidR="00346F1B">
        <w:t>’</w:t>
      </w:r>
      <w:r w:rsidR="002F3EA2">
        <w:t>exéc</w:t>
      </w:r>
      <w:r w:rsidR="002A1E8F">
        <w:t xml:space="preserve">ution du programme. Il a été expliqué que le </w:t>
      </w:r>
      <w:r w:rsidR="002F3EA2">
        <w:t xml:space="preserve">travail </w:t>
      </w:r>
      <w:r w:rsidR="002A1E8F">
        <w:t xml:space="preserve">en question </w:t>
      </w:r>
      <w:r w:rsidR="002F3EA2">
        <w:t xml:space="preserve">allait bien </w:t>
      </w:r>
      <w:r w:rsidR="003A7F42">
        <w:t>au-delà</w:t>
      </w:r>
      <w:r w:rsidR="002F3EA2">
        <w:t xml:space="preserve"> de la simple présentation de la </w:t>
      </w:r>
      <w:r w:rsidR="002F3EA2" w:rsidRPr="002F3EA2">
        <w:t>documentation</w:t>
      </w:r>
      <w:r w:rsidR="002F3EA2">
        <w:t xml:space="preserve"> au Bureau afin qu</w:t>
      </w:r>
      <w:r w:rsidR="00346F1B">
        <w:t>’</w:t>
      </w:r>
      <w:r w:rsidR="002F3EA2">
        <w:t>il ap</w:t>
      </w:r>
      <w:r w:rsidR="002A1E8F">
        <w:t>prouve les dossiers mais qu</w:t>
      </w:r>
      <w:r w:rsidR="00346F1B">
        <w:t>’</w:t>
      </w:r>
      <w:r w:rsidR="002A1E8F">
        <w:t>il</w:t>
      </w:r>
      <w:r w:rsidR="002F3EA2">
        <w:t xml:space="preserve"> </w:t>
      </w:r>
      <w:r w:rsidR="002A1E8F">
        <w:t xml:space="preserve">impliquait </w:t>
      </w:r>
      <w:r w:rsidR="002A1E8F" w:rsidRPr="002A1E8F">
        <w:t>également</w:t>
      </w:r>
      <w:r w:rsidR="002A1E8F">
        <w:t xml:space="preserve"> </w:t>
      </w:r>
      <w:r w:rsidR="002F3EA2">
        <w:t xml:space="preserve">un mécanisme </w:t>
      </w:r>
      <w:r w:rsidR="002A1E8F">
        <w:t xml:space="preserve">complet </w:t>
      </w:r>
      <w:r w:rsidR="002F3EA2">
        <w:t xml:space="preserve">qui ne saurait être mis en œuvre </w:t>
      </w:r>
      <w:r w:rsidR="002A1E8F">
        <w:t xml:space="preserve">par la </w:t>
      </w:r>
      <w:r w:rsidR="002A1E8F" w:rsidRPr="002A1E8F">
        <w:t>structure</w:t>
      </w:r>
      <w:r w:rsidR="002A1E8F">
        <w:t xml:space="preserve"> actuelle du Secrétariat. Il était donc urgent d</w:t>
      </w:r>
      <w:r w:rsidR="00346F1B">
        <w:t>’</w:t>
      </w:r>
      <w:r w:rsidR="002A1E8F">
        <w:t>envisager des solutions créatives qui permettent de régler la question de l</w:t>
      </w:r>
      <w:r w:rsidR="00346F1B">
        <w:t>’</w:t>
      </w:r>
      <w:r w:rsidR="002A1E8F">
        <w:t xml:space="preserve">exécution de cette tâche qui était inexorablement liée aux capacités du Secrétariat. Ainsi, cet aspect de la </w:t>
      </w:r>
      <w:r w:rsidR="002A1E8F" w:rsidRPr="002A1E8F">
        <w:t>Convention</w:t>
      </w:r>
      <w:r w:rsidR="002A1E8F">
        <w:t xml:space="preserve">, qui avait été sous-utilisé pendant plusieurs années, pourrait être mis à profit et devenir la fenêtre opérationnelle de la </w:t>
      </w:r>
      <w:r w:rsidR="002A1E8F" w:rsidRPr="002A1E8F">
        <w:t>Convention</w:t>
      </w:r>
      <w:r w:rsidR="002A1E8F">
        <w:t xml:space="preserve"> afin de fournir de l</w:t>
      </w:r>
      <w:r w:rsidR="00346F1B">
        <w:t>’</w:t>
      </w:r>
      <w:r w:rsidR="002A1E8F" w:rsidRPr="002A1E8F">
        <w:t>assistance</w:t>
      </w:r>
      <w:r w:rsidR="002A1E8F">
        <w:t xml:space="preserve">, dispenser des connaissances et </w:t>
      </w:r>
      <w:r w:rsidR="00DE0564">
        <w:t>faire partager les expériences.</w:t>
      </w:r>
    </w:p>
    <w:p w14:paraId="5CC4E0FB" w14:textId="715D4045" w:rsidR="00A048F6" w:rsidRPr="00A048F6" w:rsidRDefault="002A1E8F" w:rsidP="00AF7860">
      <w:pPr>
        <w:pStyle w:val="Orateurengris"/>
        <w:spacing w:before="120"/>
        <w:ind w:left="709" w:hanging="709"/>
      </w:pPr>
      <w:r w:rsidRPr="002A1E8F">
        <w:t xml:space="preserve">La délégation de la </w:t>
      </w:r>
      <w:r w:rsidRPr="002A1E8F">
        <w:rPr>
          <w:b/>
        </w:rPr>
        <w:t>République de Corée</w:t>
      </w:r>
      <w:r>
        <w:t xml:space="preserve"> a félicité le Président</w:t>
      </w:r>
      <w:r w:rsidR="003A3BB1">
        <w:t xml:space="preserve"> qui dirigerait</w:t>
      </w:r>
      <w:r w:rsidR="00A048F6">
        <w:t>,</w:t>
      </w:r>
      <w:r w:rsidR="003A3BB1">
        <w:t xml:space="preserve"> sans aucun doute</w:t>
      </w:r>
      <w:r w:rsidR="00A048F6">
        <w:t xml:space="preserve">, avec succès </w:t>
      </w:r>
      <w:r>
        <w:t xml:space="preserve">les travaux du Comité. Elle a </w:t>
      </w:r>
      <w:r w:rsidRPr="002A1E8F">
        <w:t>également</w:t>
      </w:r>
      <w:r>
        <w:t xml:space="preserve"> </w:t>
      </w:r>
      <w:r w:rsidR="003A3BB1">
        <w:t>adressé ses remerciements et un me</w:t>
      </w:r>
      <w:r w:rsidR="007E26EE">
        <w:t>ssage d</w:t>
      </w:r>
      <w:r w:rsidR="00346F1B">
        <w:t>’</w:t>
      </w:r>
      <w:r w:rsidR="007E26EE">
        <w:t xml:space="preserve">amitié au peuple et </w:t>
      </w:r>
      <w:r w:rsidR="001C771B">
        <w:t>au G</w:t>
      </w:r>
      <w:r w:rsidR="003A3BB1" w:rsidRPr="003A3BB1">
        <w:t>ouvernement</w:t>
      </w:r>
      <w:r w:rsidR="003A3BB1">
        <w:t xml:space="preserve"> éthiopien pour leur chaleureuse et généreuse hospitalité, ainsi que pour les excellentes conditions d</w:t>
      </w:r>
      <w:r w:rsidR="00346F1B">
        <w:t>’</w:t>
      </w:r>
      <w:r w:rsidR="003A3BB1">
        <w:t xml:space="preserve">accueil et le soutien logistique de cette conférence. Faisant référence au rapport du Secrétariat, la délégation a applaudi le </w:t>
      </w:r>
      <w:r w:rsidR="003A3BB1" w:rsidRPr="003A3BB1">
        <w:t>Secrétaire</w:t>
      </w:r>
      <w:r w:rsidR="003A3BB1">
        <w:t xml:space="preserve"> et son personnel pour les</w:t>
      </w:r>
      <w:r w:rsidR="001C771B">
        <w:t xml:space="preserve"> efforts substantiels qu</w:t>
      </w:r>
      <w:r w:rsidR="00346F1B">
        <w:t>’</w:t>
      </w:r>
      <w:r w:rsidR="001C771B">
        <w:t>ils avaient</w:t>
      </w:r>
      <w:r w:rsidR="003A3BB1">
        <w:t xml:space="preserve"> déployés et pour leurs réussites malgré un budget et des ressources limités. La </w:t>
      </w:r>
      <w:r w:rsidR="003A3BB1" w:rsidRPr="003A3BB1">
        <w:t>délégation</w:t>
      </w:r>
      <w:r w:rsidR="001C771B">
        <w:t xml:space="preserve"> souhaitait </w:t>
      </w:r>
      <w:r w:rsidR="003A3BB1" w:rsidRPr="003A3BB1">
        <w:t>également</w:t>
      </w:r>
      <w:r w:rsidR="003A3BB1">
        <w:t xml:space="preserve"> féliciter les huit États d</w:t>
      </w:r>
      <w:r w:rsidR="00346F1B">
        <w:t>’</w:t>
      </w:r>
      <w:r w:rsidR="003A3BB1">
        <w:t xml:space="preserve">avoir dûment ratifié la </w:t>
      </w:r>
      <w:r w:rsidR="003A3BB1" w:rsidRPr="003A3BB1">
        <w:t>Convention</w:t>
      </w:r>
      <w:r w:rsidR="003A3BB1">
        <w:t xml:space="preserve"> depuis décembre 2015, ajoutant qu</w:t>
      </w:r>
      <w:r w:rsidR="00346F1B">
        <w:t>’</w:t>
      </w:r>
      <w:r w:rsidR="003A3BB1">
        <w:t>il était très encourageant de noter un nombre croissant de pays africains</w:t>
      </w:r>
      <w:r w:rsidR="00A048F6">
        <w:t xml:space="preserve"> parmi les États parties</w:t>
      </w:r>
      <w:r w:rsidR="003A3BB1">
        <w:t xml:space="preserve">. De chaleureuses salutations de bienvenue </w:t>
      </w:r>
      <w:r w:rsidR="00A048F6">
        <w:t xml:space="preserve">ont </w:t>
      </w:r>
      <w:r w:rsidR="003A3BB1" w:rsidRPr="003A3BB1">
        <w:t>également</w:t>
      </w:r>
      <w:r w:rsidR="003A3BB1">
        <w:t xml:space="preserve"> </w:t>
      </w:r>
      <w:r w:rsidR="00A048F6">
        <w:t xml:space="preserve">été </w:t>
      </w:r>
      <w:r w:rsidR="003A3BB1">
        <w:t xml:space="preserve">adressées à la Thaïlande, </w:t>
      </w:r>
      <w:r w:rsidR="00A048F6" w:rsidRPr="00A048F6">
        <w:t>également</w:t>
      </w:r>
      <w:r w:rsidR="00A048F6">
        <w:t xml:space="preserve"> </w:t>
      </w:r>
      <w:r w:rsidR="00A46CAD">
        <w:t>membre</w:t>
      </w:r>
      <w:r w:rsidR="00A048F6">
        <w:t xml:space="preserve"> du groupe ASPAC</w:t>
      </w:r>
      <w:r w:rsidR="008700D2">
        <w:t xml:space="preserve"> (Asie-Pacifique)</w:t>
      </w:r>
      <w:r w:rsidR="00A048F6">
        <w:t xml:space="preserve">. Toutefois, la </w:t>
      </w:r>
      <w:r w:rsidR="00A048F6" w:rsidRPr="00A048F6">
        <w:t>délégation</w:t>
      </w:r>
      <w:r w:rsidR="00A048F6">
        <w:t xml:space="preserve"> avait noté avec </w:t>
      </w:r>
      <w:r w:rsidR="00A048F6" w:rsidRPr="00A048F6">
        <w:t>préoccupation</w:t>
      </w:r>
      <w:r w:rsidR="00A048F6">
        <w:t xml:space="preserve"> que le Secrétariat était confronté à un certain nombre de défis et elle pensait qu</w:t>
      </w:r>
      <w:r w:rsidR="00346F1B">
        <w:t>’</w:t>
      </w:r>
      <w:r w:rsidR="00A048F6">
        <w:t xml:space="preserve">il était très important de garantir les ressources financières et humaines </w:t>
      </w:r>
      <w:r w:rsidR="00A048F6" w:rsidRPr="00A048F6">
        <w:t xml:space="preserve">nécessaires </w:t>
      </w:r>
      <w:r w:rsidR="00A048F6">
        <w:t>afin de maintenir un certain niveau de mise en œuvre des programmes. En parallèle, les centres de catégorie 2 pourraient contribuer à alléger la lourde charge de travail, comme cela avait été judicieusement souli</w:t>
      </w:r>
      <w:r w:rsidR="00DE0564">
        <w:t>gné par le Secrétariat en 2015.</w:t>
      </w:r>
    </w:p>
    <w:p w14:paraId="58A5AD2E" w14:textId="17A99DBE" w:rsidR="00FB679C" w:rsidRPr="00FB679C" w:rsidRDefault="00A048F6" w:rsidP="00AF7860">
      <w:pPr>
        <w:pStyle w:val="Orateurengris"/>
        <w:spacing w:before="120"/>
        <w:ind w:left="709" w:hanging="709"/>
      </w:pPr>
      <w:r w:rsidRPr="00A048F6">
        <w:t>La délégation de l</w:t>
      </w:r>
      <w:r w:rsidR="00346F1B">
        <w:t>’</w:t>
      </w:r>
      <w:r w:rsidRPr="00A048F6">
        <w:rPr>
          <w:b/>
        </w:rPr>
        <w:t>Inde</w:t>
      </w:r>
      <w:r w:rsidRPr="00A048F6">
        <w:t xml:space="preserve"> </w:t>
      </w:r>
      <w:r>
        <w:t xml:space="preserve">a remercié le </w:t>
      </w:r>
      <w:r w:rsidR="00962B2B">
        <w:t>G</w:t>
      </w:r>
      <w:r w:rsidRPr="00A048F6">
        <w:t>ouvernement</w:t>
      </w:r>
      <w:r w:rsidR="00083174">
        <w:t xml:space="preserve"> </w:t>
      </w:r>
      <w:r w:rsidR="00B603D0">
        <w:t>de l</w:t>
      </w:r>
      <w:r w:rsidR="00346F1B">
        <w:t>’</w:t>
      </w:r>
      <w:r w:rsidR="00B603D0" w:rsidRPr="00B603D0">
        <w:t>Éthiopie</w:t>
      </w:r>
      <w:r w:rsidR="00B603D0">
        <w:t xml:space="preserve"> </w:t>
      </w:r>
      <w:r w:rsidR="00083174">
        <w:t>pour l</w:t>
      </w:r>
      <w:r w:rsidR="00346F1B">
        <w:t>’</w:t>
      </w:r>
      <w:r w:rsidR="00083174">
        <w:t>accueil de</w:t>
      </w:r>
      <w:r w:rsidR="00B603D0">
        <w:t xml:space="preserve"> cette importante réunion et son excellente </w:t>
      </w:r>
      <w:r>
        <w:t>hospitalité, ajoutant qu</w:t>
      </w:r>
      <w:r w:rsidR="00346F1B">
        <w:t>’</w:t>
      </w:r>
      <w:r>
        <w:t>elle était certaine des qualités de leadership du Président</w:t>
      </w:r>
      <w:r w:rsidR="005002B3">
        <w:t xml:space="preserve"> </w:t>
      </w:r>
      <w:r w:rsidR="00B603D0">
        <w:t xml:space="preserve">qui permettraient </w:t>
      </w:r>
      <w:r w:rsidR="005002B3">
        <w:t xml:space="preserve">de susciter </w:t>
      </w:r>
      <w:r>
        <w:t xml:space="preserve">des discussions fructueuses. </w:t>
      </w:r>
      <w:r w:rsidR="00B1662B">
        <w:t xml:space="preserve">Elle a </w:t>
      </w:r>
      <w:r w:rsidR="00B1662B" w:rsidRPr="00B1662B">
        <w:t>également</w:t>
      </w:r>
      <w:r w:rsidR="00B1662B">
        <w:t xml:space="preserve"> adressé un message de bienvenue à M. Tim Curtis pour sa première réunion en tant que </w:t>
      </w:r>
      <w:r w:rsidR="00B1662B" w:rsidRPr="00B1662B">
        <w:t>Secrétaire</w:t>
      </w:r>
      <w:r w:rsidR="00B1662B">
        <w:t xml:space="preserve"> de la </w:t>
      </w:r>
      <w:r w:rsidR="00B1662B" w:rsidRPr="00B1662B">
        <w:t>Convention</w:t>
      </w:r>
      <w:r w:rsidR="00B1662B">
        <w:t xml:space="preserve">. </w:t>
      </w:r>
      <w:r w:rsidR="00083174">
        <w:t xml:space="preserve">Suite </w:t>
      </w:r>
      <w:r w:rsidR="00B1662B">
        <w:t xml:space="preserve">au rapport du Secrétariat, la </w:t>
      </w:r>
      <w:r w:rsidR="00B1662B" w:rsidRPr="00B1662B">
        <w:t>délégation</w:t>
      </w:r>
      <w:r w:rsidR="00B1662B">
        <w:t xml:space="preserve"> a félicité le Secrétariat pour son excellent travail, </w:t>
      </w:r>
      <w:r w:rsidR="00B1662B" w:rsidRPr="00B1662B">
        <w:t>en particulier</w:t>
      </w:r>
      <w:r w:rsidR="00B1662B">
        <w:t xml:space="preserve"> en ce qui concerne le programme de renforcement des capacités. Elle a </w:t>
      </w:r>
      <w:r w:rsidR="00B1662B" w:rsidRPr="00B1662B">
        <w:t>également</w:t>
      </w:r>
      <w:r w:rsidR="00B1662B">
        <w:t xml:space="preserve"> souhaité la bienvenue aux nouveaux États </w:t>
      </w:r>
      <w:r w:rsidR="00A46CAD">
        <w:t>membres</w:t>
      </w:r>
      <w:r w:rsidR="00B1662B">
        <w:t xml:space="preserve"> qui avaient récemment ratifié la </w:t>
      </w:r>
      <w:r w:rsidR="00B1662B" w:rsidRPr="00B1662B">
        <w:t>Convention</w:t>
      </w:r>
      <w:r w:rsidR="00B1662B">
        <w:t xml:space="preserve">, en soulignant que la </w:t>
      </w:r>
      <w:r w:rsidR="00B1662B" w:rsidRPr="00B1662B">
        <w:t>Convention</w:t>
      </w:r>
      <w:r w:rsidR="00B1662B">
        <w:t xml:space="preserve"> était en train de devenir vraiment universelle avec 172 </w:t>
      </w:r>
      <w:r w:rsidR="00A46CAD">
        <w:t>membres</w:t>
      </w:r>
      <w:r w:rsidR="00B1662B">
        <w:t>, un résultat obtenu grâce au</w:t>
      </w:r>
      <w:r w:rsidR="00083174">
        <w:t>x</w:t>
      </w:r>
      <w:r w:rsidR="00B1662B">
        <w:t xml:space="preserve"> activités de renforcement des capacités du Secrétariat et </w:t>
      </w:r>
      <w:r w:rsidR="00083174">
        <w:t xml:space="preserve">aux </w:t>
      </w:r>
      <w:r w:rsidR="00B1662B">
        <w:t xml:space="preserve">efforts </w:t>
      </w:r>
      <w:r w:rsidR="001C771B">
        <w:t xml:space="preserve">déployés </w:t>
      </w:r>
      <w:r w:rsidR="00B1662B">
        <w:t>sans relâche afin d</w:t>
      </w:r>
      <w:r w:rsidR="00346F1B">
        <w:t>’</w:t>
      </w:r>
      <w:r w:rsidR="00B1662B">
        <w:t xml:space="preserve">encourager les pays à ratifier la </w:t>
      </w:r>
      <w:r w:rsidR="00B1662B" w:rsidRPr="00B1662B">
        <w:t>Convention</w:t>
      </w:r>
      <w:r w:rsidR="00B1662B">
        <w:t xml:space="preserve">. La </w:t>
      </w:r>
      <w:r w:rsidR="00B1662B" w:rsidRPr="00B1662B">
        <w:t>délégation</w:t>
      </w:r>
      <w:r w:rsidR="00B1662B">
        <w:t xml:space="preserve"> a ensuite félicité le Secrétariat pour l</w:t>
      </w:r>
      <w:r w:rsidR="00346F1B">
        <w:t>’</w:t>
      </w:r>
      <w:r w:rsidR="00B1662B">
        <w:t xml:space="preserve">excellent travail accompli depuis janvier 2016, </w:t>
      </w:r>
      <w:r w:rsidR="00B1662B" w:rsidRPr="00B1662B">
        <w:t>en particulier</w:t>
      </w:r>
      <w:r w:rsidR="00B1662B">
        <w:t xml:space="preserve"> s</w:t>
      </w:r>
      <w:r w:rsidR="00346F1B">
        <w:t>’</w:t>
      </w:r>
      <w:r w:rsidR="00B1662B">
        <w:t>agissant des nouvelles Directives opérationnelles sur le patrimoine culturel immatériel et le développement durable, et de l</w:t>
      </w:r>
      <w:r w:rsidR="00346F1B">
        <w:t>’</w:t>
      </w:r>
      <w:r w:rsidR="00B1662B">
        <w:t>augmentation</w:t>
      </w:r>
      <w:r w:rsidR="00AF7860">
        <w:t xml:space="preserve"> de la limite financière, de 25</w:t>
      </w:r>
      <w:r w:rsidR="00346F1B">
        <w:t> 000</w:t>
      </w:r>
      <w:r w:rsidR="00AF7860">
        <w:t xml:space="preserve"> à 100</w:t>
      </w:r>
      <w:r w:rsidR="00346F1B">
        <w:t> 000</w:t>
      </w:r>
      <w:r w:rsidR="00B1662B">
        <w:t xml:space="preserve"> </w:t>
      </w:r>
      <w:r w:rsidR="00B1662B" w:rsidRPr="00B1662B">
        <w:t>dollars des États-Unis</w:t>
      </w:r>
      <w:r w:rsidR="00B1662B">
        <w:t xml:space="preserve">, </w:t>
      </w:r>
      <w:r w:rsidR="00083174">
        <w:t xml:space="preserve">autorisant le </w:t>
      </w:r>
      <w:r w:rsidR="00B1662B">
        <w:t xml:space="preserve">Bureau </w:t>
      </w:r>
      <w:r w:rsidR="00074EB6">
        <w:t xml:space="preserve">à </w:t>
      </w:r>
      <w:r w:rsidR="00B1662B">
        <w:t>approuver les demandes d</w:t>
      </w:r>
      <w:r w:rsidR="00346F1B">
        <w:t>’</w:t>
      </w:r>
      <w:r w:rsidR="00B1662B">
        <w:t xml:space="preserve">assistance internationale. La </w:t>
      </w:r>
      <w:r w:rsidR="00B1662B" w:rsidRPr="00B1662B">
        <w:t>délégation</w:t>
      </w:r>
      <w:r w:rsidR="00B1662B">
        <w:t xml:space="preserve"> était certaine que les nouvelles Directives opérationnelles sur le développement durable </w:t>
      </w:r>
      <w:r w:rsidR="00FB679C">
        <w:t>aideraient grandement les Éta</w:t>
      </w:r>
      <w:r w:rsidR="00B603D0">
        <w:t xml:space="preserve">ts </w:t>
      </w:r>
      <w:r w:rsidR="00A46CAD">
        <w:t>membres</w:t>
      </w:r>
      <w:r w:rsidR="00B603D0">
        <w:t xml:space="preserve"> à mettre en œuvre l</w:t>
      </w:r>
      <w:r w:rsidR="00346F1B">
        <w:t>’</w:t>
      </w:r>
      <w:r w:rsidR="00B603D0">
        <w:t>A</w:t>
      </w:r>
      <w:r w:rsidR="00FB679C">
        <w:t xml:space="preserve">genda 2030, et elle espérait que les capacités financières </w:t>
      </w:r>
      <w:r w:rsidR="00074EB6">
        <w:t xml:space="preserve">renforcées </w:t>
      </w:r>
      <w:r w:rsidR="00FB679C">
        <w:t xml:space="preserve">du Bureau encourageraient les États </w:t>
      </w:r>
      <w:r w:rsidR="00A46CAD">
        <w:t>membres</w:t>
      </w:r>
      <w:r w:rsidR="00FB679C">
        <w:t xml:space="preserve"> à avoir recours au fonds sous-utilisé afin de mettre en œuvre des projets spécifiques. La </w:t>
      </w:r>
      <w:r w:rsidR="00FB679C" w:rsidRPr="00FB679C">
        <w:t>délégation</w:t>
      </w:r>
      <w:r w:rsidR="00FB679C">
        <w:t xml:space="preserve"> appréciait </w:t>
      </w:r>
      <w:r w:rsidR="00FB679C" w:rsidRPr="00FB679C">
        <w:t>également</w:t>
      </w:r>
      <w:r w:rsidR="00FB679C">
        <w:t xml:space="preserve"> que le Secrétariat ait achevé la phase d</w:t>
      </w:r>
      <w:r w:rsidR="00346F1B">
        <w:t>’</w:t>
      </w:r>
      <w:r w:rsidR="00FB679C">
        <w:t xml:space="preserve">examen technique des candidatures pour le cycle 2017 avant la date butoir du 30 juin 2016. Toutefois, il était </w:t>
      </w:r>
      <w:r w:rsidR="00FB679C" w:rsidRPr="00FB679C">
        <w:t>peut-être</w:t>
      </w:r>
      <w:r w:rsidR="00FB679C">
        <w:t xml:space="preserve"> </w:t>
      </w:r>
      <w:r w:rsidR="00FB679C" w:rsidRPr="00FB679C">
        <w:t>désormais</w:t>
      </w:r>
      <w:r w:rsidR="00FB679C">
        <w:t xml:space="preserve"> temps pour le Secrétariat de communiquer </w:t>
      </w:r>
      <w:r w:rsidR="00B603D0">
        <w:t xml:space="preserve">davantage </w:t>
      </w:r>
      <w:r w:rsidR="00FB679C">
        <w:t xml:space="preserve">avec les États soumissionnaires afin de leur demander des </w:t>
      </w:r>
      <w:r w:rsidR="00FB679C" w:rsidRPr="00FB679C">
        <w:t>informations</w:t>
      </w:r>
      <w:r w:rsidR="00FB679C">
        <w:t xml:space="preserve"> complémentaires ou des précisions pendant la phase d</w:t>
      </w:r>
      <w:r w:rsidR="00346F1B">
        <w:t>’</w:t>
      </w:r>
      <w:r w:rsidR="00FB679C" w:rsidRPr="00FB679C">
        <w:t>évaluation</w:t>
      </w:r>
      <w:r w:rsidR="00FB679C">
        <w:t xml:space="preserve"> des </w:t>
      </w:r>
      <w:r w:rsidR="00FB679C" w:rsidRPr="00FB679C">
        <w:t>candidature</w:t>
      </w:r>
      <w:r w:rsidR="00FB679C">
        <w:t>s, ce qui pourrait aider l</w:t>
      </w:r>
      <w:r w:rsidR="00346F1B">
        <w:t>’</w:t>
      </w:r>
      <w:r w:rsidR="00FB679C">
        <w:t>Organe d</w:t>
      </w:r>
      <w:r w:rsidR="00346F1B">
        <w:t>’</w:t>
      </w:r>
      <w:r w:rsidR="00FB679C">
        <w:t xml:space="preserve">évaluation dans son examen des dossiers. La </w:t>
      </w:r>
      <w:r w:rsidR="00FB679C" w:rsidRPr="00FB679C">
        <w:t>délégation</w:t>
      </w:r>
      <w:r w:rsidR="00FB679C">
        <w:t xml:space="preserve"> était certaine que pendant </w:t>
      </w:r>
      <w:r w:rsidR="00074EB6">
        <w:t xml:space="preserve">la </w:t>
      </w:r>
      <w:r w:rsidR="00FB679C">
        <w:t>longue période de 18 mois –</w:t>
      </w:r>
      <w:r w:rsidR="00074EB6">
        <w:t xml:space="preserve"> </w:t>
      </w:r>
      <w:r w:rsidR="00FB679C">
        <w:t>entre la soumission et l</w:t>
      </w:r>
      <w:r w:rsidR="00346F1B">
        <w:t>’</w:t>
      </w:r>
      <w:r w:rsidR="00FB679C">
        <w:t>examen des dossiers par le Comité – on pourrait instituer cette étape importante dans la procédure d</w:t>
      </w:r>
      <w:r w:rsidR="00346F1B">
        <w:t>’</w:t>
      </w:r>
      <w:r w:rsidR="00FB679C" w:rsidRPr="00FB679C">
        <w:t>évaluation</w:t>
      </w:r>
      <w:r w:rsidR="00FB679C">
        <w:t xml:space="preserve"> des dossiers. </w:t>
      </w:r>
      <w:r w:rsidR="00083174">
        <w:t>Elle espérait que cette question serait l</w:t>
      </w:r>
      <w:r w:rsidR="00346F1B">
        <w:t>’</w:t>
      </w:r>
      <w:r w:rsidR="00083174">
        <w:t>objet de discussions au cours des jours à venir. Enfin, s</w:t>
      </w:r>
      <w:r w:rsidR="00346F1B">
        <w:t>’</w:t>
      </w:r>
      <w:r w:rsidR="00083174">
        <w:t xml:space="preserve">agissant des ressources humaines, la </w:t>
      </w:r>
      <w:r w:rsidR="00083174" w:rsidRPr="00083174">
        <w:t>délégation</w:t>
      </w:r>
      <w:r w:rsidR="00083174">
        <w:t xml:space="preserve"> était consciente de la difficile situation à laquelle était confrontée le Secrétariat suite à l</w:t>
      </w:r>
      <w:r w:rsidR="00346F1B">
        <w:t>’</w:t>
      </w:r>
      <w:r w:rsidR="00083174">
        <w:t xml:space="preserve">augmentation du nombre des demandes, et tout en prenant acte des </w:t>
      </w:r>
      <w:r w:rsidR="00083174" w:rsidRPr="00083174">
        <w:t>précédents</w:t>
      </w:r>
      <w:r w:rsidR="00083174">
        <w:t xml:space="preserve"> appels lancés par le Comité en faveur de contributions volontaires de la part des États </w:t>
      </w:r>
      <w:r w:rsidR="00A46CAD">
        <w:t>membres</w:t>
      </w:r>
      <w:r w:rsidR="00083174">
        <w:t xml:space="preserve">, elle accueillerait avec </w:t>
      </w:r>
      <w:r w:rsidR="00083174" w:rsidRPr="00083174">
        <w:t>satisfaction</w:t>
      </w:r>
      <w:r w:rsidR="00083174">
        <w:t xml:space="preserve"> les solutions créative</w:t>
      </w:r>
      <w:r w:rsidR="00DE0564">
        <w:t>s suggérées par le Secrétariat.</w:t>
      </w:r>
    </w:p>
    <w:p w14:paraId="668B1D12" w14:textId="3E4C02C3" w:rsidR="001B3A29" w:rsidRPr="0028101C" w:rsidRDefault="00FA3E85" w:rsidP="00AF7860">
      <w:pPr>
        <w:pStyle w:val="Orateurengris"/>
        <w:spacing w:before="120"/>
        <w:ind w:left="709" w:hanging="709"/>
      </w:pPr>
      <w:r w:rsidRPr="0028101C">
        <w:t>La délégation de l</w:t>
      </w:r>
      <w:r w:rsidR="00346F1B">
        <w:t>’</w:t>
      </w:r>
      <w:r w:rsidRPr="0028101C">
        <w:rPr>
          <w:b/>
        </w:rPr>
        <w:t>Autriche</w:t>
      </w:r>
      <w:r w:rsidRPr="0028101C">
        <w:t xml:space="preserve"> a félici</w:t>
      </w:r>
      <w:r w:rsidR="001C771B" w:rsidRPr="0028101C">
        <w:t>té le Président,</w:t>
      </w:r>
      <w:r w:rsidRPr="0028101C">
        <w:t xml:space="preserve"> et M. Tim Curtis pour sa nouvelle position, elle était certaine que la réunion serait réussie et fructueuse. Elle a également remercié l</w:t>
      </w:r>
      <w:r w:rsidR="00346F1B">
        <w:t>’</w:t>
      </w:r>
      <w:r w:rsidRPr="0028101C">
        <w:t>Éthiopie d</w:t>
      </w:r>
      <w:r w:rsidR="00346F1B">
        <w:t>’</w:t>
      </w:r>
      <w:r w:rsidRPr="0028101C">
        <w:t>accueillir cette importante réunion et pour le merveilleux accueil et la cérémonie d</w:t>
      </w:r>
      <w:r w:rsidR="00346F1B">
        <w:t>’</w:t>
      </w:r>
      <w:r w:rsidRPr="0028101C">
        <w:t>ouverture. La délégation a félicité le Secrétariat pour son rapport et les excellents documents, ajoutant qu</w:t>
      </w:r>
      <w:r w:rsidR="00346F1B">
        <w:t>’</w:t>
      </w:r>
      <w:r w:rsidRPr="0028101C">
        <w:t>elle appréciait l</w:t>
      </w:r>
      <w:r w:rsidR="00346F1B">
        <w:t>’</w:t>
      </w:r>
      <w:r w:rsidRPr="0028101C">
        <w:t>engagement</w:t>
      </w:r>
      <w:r w:rsidR="001B3A29" w:rsidRPr="0028101C">
        <w:t xml:space="preserve"> et les succès</w:t>
      </w:r>
      <w:r w:rsidRPr="0028101C">
        <w:t xml:space="preserve"> du Secrétariat compte tenu de la charge de travail très élevée. Elle convenait qu</w:t>
      </w:r>
      <w:r w:rsidR="00346F1B">
        <w:t>’</w:t>
      </w:r>
      <w:r w:rsidRPr="0028101C">
        <w:t>en augmentant le plafond d</w:t>
      </w:r>
      <w:r w:rsidR="00346F1B">
        <w:t>’</w:t>
      </w:r>
      <w:r w:rsidRPr="0028101C">
        <w:t>assistance internationale</w:t>
      </w:r>
      <w:r w:rsidR="001B3A29" w:rsidRPr="0028101C">
        <w:t>, le Fonds du PCI</w:t>
      </w:r>
      <w:r w:rsidRPr="0028101C">
        <w:t xml:space="preserve"> était suscept</w:t>
      </w:r>
      <w:r w:rsidR="001B3A29" w:rsidRPr="0028101C">
        <w:t>ible d</w:t>
      </w:r>
      <w:r w:rsidR="00346F1B">
        <w:t>’</w:t>
      </w:r>
      <w:r w:rsidR="001B3A29" w:rsidRPr="0028101C">
        <w:t>être plus utilisé, ce qu</w:t>
      </w:r>
      <w:r w:rsidR="00346F1B">
        <w:t>’</w:t>
      </w:r>
      <w:r w:rsidR="001B3A29" w:rsidRPr="0028101C">
        <w:t>elle saluait</w:t>
      </w:r>
      <w:r w:rsidRPr="0028101C">
        <w:t xml:space="preserve">. Toutefois, </w:t>
      </w:r>
      <w:r w:rsidR="00354FDF" w:rsidRPr="0028101C">
        <w:t>cela pouvait également augurer d</w:t>
      </w:r>
      <w:r w:rsidR="00346F1B">
        <w:t>’</w:t>
      </w:r>
      <w:r w:rsidR="00354FDF" w:rsidRPr="0028101C">
        <w:t>une charge de travail additionnelle pour le Secrétariat et le Bureau.</w:t>
      </w:r>
      <w:r w:rsidR="001B3A29" w:rsidRPr="0028101C">
        <w:t xml:space="preserve"> </w:t>
      </w:r>
      <w:r w:rsidR="00354FDF" w:rsidRPr="0028101C">
        <w:t>Faisant référence à la mise en œuvre d</w:t>
      </w:r>
      <w:r w:rsidR="00346F1B">
        <w:t>’</w:t>
      </w:r>
      <w:r w:rsidR="00354FDF" w:rsidRPr="0028101C">
        <w:t>un nouveau chapitre des Directives opérationnelles sur la sauvegarde du patrimoine culturel immatériel et le développement durable, la délégation a reconnu qu</w:t>
      </w:r>
      <w:r w:rsidR="00346F1B">
        <w:t>’</w:t>
      </w:r>
      <w:r w:rsidR="00354FDF" w:rsidRPr="0028101C">
        <w:t>il s</w:t>
      </w:r>
      <w:r w:rsidR="00346F1B">
        <w:t>’</w:t>
      </w:r>
      <w:r w:rsidR="00354FDF" w:rsidRPr="0028101C">
        <w:t>agissait là d</w:t>
      </w:r>
      <w:r w:rsidR="00346F1B">
        <w:t>’</w:t>
      </w:r>
      <w:r w:rsidR="00354FDF" w:rsidRPr="0028101C">
        <w:t>un sujet essentiel pour les années à venir, de même que le changement climatique, la santé et le développement urbain qui avaient également</w:t>
      </w:r>
      <w:r w:rsidR="00B603D0" w:rsidRPr="0028101C">
        <w:t xml:space="preserve"> une incidence</w:t>
      </w:r>
      <w:r w:rsidR="00354FDF" w:rsidRPr="0028101C">
        <w:t xml:space="preserve"> sur le patrimoine culturel immatériel. Elle était impatiente de travailler et de partager ses expériences sur ces sujets sous </w:t>
      </w:r>
      <w:r w:rsidR="001B3A29" w:rsidRPr="0028101C">
        <w:t xml:space="preserve">la </w:t>
      </w:r>
      <w:r w:rsidR="00354FDF" w:rsidRPr="0028101C">
        <w:t>forme, par exemple, d</w:t>
      </w:r>
      <w:r w:rsidR="00346F1B">
        <w:t>’</w:t>
      </w:r>
      <w:r w:rsidR="00354FDF" w:rsidRPr="0028101C">
        <w:t>études de cas, comme l</w:t>
      </w:r>
      <w:r w:rsidR="00346F1B">
        <w:t>’</w:t>
      </w:r>
      <w:r w:rsidR="00354FDF" w:rsidRPr="0028101C">
        <w:t>avait suggéré le Secrétariat. La délégation a salué les efforts entrepris pour mettre à jour les documents d</w:t>
      </w:r>
      <w:r w:rsidR="00346F1B">
        <w:t>’</w:t>
      </w:r>
      <w:r w:rsidR="00354FDF" w:rsidRPr="0028101C">
        <w:t>aide pour compléter les formulaires de rapports périodiques ainsi que la recommandation en faveur de la recherche de solutions plus flexibles et rapides afin de partager les expériences de sauvegarde, comme par exemple</w:t>
      </w:r>
      <w:r w:rsidR="00B828BD" w:rsidRPr="0028101C">
        <w:t xml:space="preserve">, des sites web dédiés et </w:t>
      </w:r>
      <w:r w:rsidR="00354FDF" w:rsidRPr="0028101C">
        <w:t>des lettres électronique</w:t>
      </w:r>
      <w:r w:rsidR="00B828BD" w:rsidRPr="0028101C">
        <w:t xml:space="preserve">s ou </w:t>
      </w:r>
      <w:r w:rsidR="00354FDF" w:rsidRPr="0028101C">
        <w:t>des forums en ligne. Le programme de renforcement des capacités demeurait l</w:t>
      </w:r>
      <w:r w:rsidR="00346F1B">
        <w:t>’</w:t>
      </w:r>
      <w:r w:rsidR="00354FDF" w:rsidRPr="0028101C">
        <w:t>un des aspects central de la Convention, et la délégation était satisfaite d</w:t>
      </w:r>
      <w:r w:rsidR="00346F1B">
        <w:t>’</w:t>
      </w:r>
      <w:r w:rsidR="00354FDF" w:rsidRPr="0028101C">
        <w:t>avoir été informée des multiples activités qui s</w:t>
      </w:r>
      <w:r w:rsidR="00346F1B">
        <w:t>’</w:t>
      </w:r>
      <w:r w:rsidR="00354FDF" w:rsidRPr="0028101C">
        <w:t>étaient déroulées grâce au Secrétariat mais également au réseau des facilitateurs et au</w:t>
      </w:r>
      <w:r w:rsidR="001B3A29" w:rsidRPr="0028101C">
        <w:t>x</w:t>
      </w:r>
      <w:r w:rsidR="00354FDF" w:rsidRPr="0028101C">
        <w:t xml:space="preserve"> nouveaux </w:t>
      </w:r>
      <w:r w:rsidR="00B603D0" w:rsidRPr="0028101C">
        <w:t xml:space="preserve">supports </w:t>
      </w:r>
      <w:r w:rsidR="00354FDF" w:rsidRPr="0028101C">
        <w:t xml:space="preserve">de formation. </w:t>
      </w:r>
      <w:r w:rsidR="001B3A29" w:rsidRPr="0028101C">
        <w:t>S</w:t>
      </w:r>
      <w:r w:rsidR="00346F1B">
        <w:t>’</w:t>
      </w:r>
      <w:r w:rsidR="001B3A29" w:rsidRPr="0028101C">
        <w:t>agissant de la difficile situation que connaissaient les ressources humaines du S</w:t>
      </w:r>
      <w:r w:rsidR="0028101C" w:rsidRPr="0028101C">
        <w:t xml:space="preserve">ecrétariat afin de satisfaire </w:t>
      </w:r>
      <w:r w:rsidR="001B3A29" w:rsidRPr="0028101C">
        <w:t>toutes les exigences liées à une mise en œuvre réussie, la délégation a salué la suggestion d</w:t>
      </w:r>
      <w:r w:rsidR="00346F1B">
        <w:t>’</w:t>
      </w:r>
      <w:r w:rsidR="001B3A29" w:rsidRPr="0028101C">
        <w:t xml:space="preserve">étendre la sensibilisation au PCI et sa visibilité </w:t>
      </w:r>
      <w:r w:rsidR="0028101C" w:rsidRPr="0028101C">
        <w:t xml:space="preserve">en mettant en œuvre une </w:t>
      </w:r>
      <w:r w:rsidR="001B3A29" w:rsidRPr="0028101C">
        <w:t>coopération avec les bureaux hors Siège de l</w:t>
      </w:r>
      <w:r w:rsidR="00346F1B">
        <w:t>’</w:t>
      </w:r>
      <w:r w:rsidR="001B3A29" w:rsidRPr="0028101C">
        <w:t>UNESCO, l</w:t>
      </w:r>
      <w:r w:rsidR="00B615D4" w:rsidRPr="0028101C">
        <w:t>es centres de catégorie 2, les C</w:t>
      </w:r>
      <w:r w:rsidR="001B3A29" w:rsidRPr="0028101C">
        <w:t>haires UNESCO, les institutions d</w:t>
      </w:r>
      <w:r w:rsidR="00346F1B">
        <w:t>’</w:t>
      </w:r>
      <w:r w:rsidR="001B3A29" w:rsidRPr="0028101C">
        <w:t>éducation et, tout particulièrement, la société civile. Par ailleurs, une coopération renforcée pourrait être envisagée avec les commissions nationale</w:t>
      </w:r>
      <w:r w:rsidR="00B828BD" w:rsidRPr="0028101C">
        <w:t>s</w:t>
      </w:r>
      <w:r w:rsidR="001B3A29" w:rsidRPr="0028101C">
        <w:t xml:space="preserve"> pour l</w:t>
      </w:r>
      <w:r w:rsidR="00346F1B">
        <w:t>’</w:t>
      </w:r>
      <w:r w:rsidR="001B3A29" w:rsidRPr="0028101C">
        <w:t>UNESCO, riches de leurs vastes expériences dans la mise en œuvre des Conventions, offrant de nombreuses synergies entre</w:t>
      </w:r>
      <w:r w:rsidR="00DE0564">
        <w:t xml:space="preserve"> les Conventions de la culture.</w:t>
      </w:r>
    </w:p>
    <w:p w14:paraId="4F65692D" w14:textId="217793E6" w:rsidR="00817225" w:rsidRPr="00817225" w:rsidRDefault="00B828BD" w:rsidP="00AF7860">
      <w:pPr>
        <w:pStyle w:val="Orateurengris"/>
        <w:tabs>
          <w:tab w:val="left" w:pos="4962"/>
        </w:tabs>
        <w:spacing w:before="120"/>
        <w:ind w:left="709" w:hanging="709"/>
      </w:pPr>
      <w:r w:rsidRPr="00B828BD">
        <w:t>La délégation</w:t>
      </w:r>
      <w:r>
        <w:t xml:space="preserve"> d</w:t>
      </w:r>
      <w:r w:rsidRPr="00B828BD">
        <w:t>e</w:t>
      </w:r>
      <w:r>
        <w:t xml:space="preserve"> </w:t>
      </w:r>
      <w:r w:rsidRPr="00B828BD">
        <w:t xml:space="preserve">la </w:t>
      </w:r>
      <w:r w:rsidRPr="00B828BD">
        <w:rPr>
          <w:b/>
        </w:rPr>
        <w:t>Turquie</w:t>
      </w:r>
      <w:r w:rsidRPr="00B828BD">
        <w:t xml:space="preserve"> </w:t>
      </w:r>
      <w:r w:rsidR="00213766">
        <w:t>a salué les qualités de</w:t>
      </w:r>
      <w:r>
        <w:t xml:space="preserve"> leadership du Président et la chaleureuse hospitalité du Gouvernement et du peuple éthiopiens. Elle a félicité M. Curtis pour sa première année en tant que Chef de la Division du patrimoine culturel immatériel et </w:t>
      </w:r>
      <w:r w:rsidRPr="00B828BD">
        <w:t>Secrétaire</w:t>
      </w:r>
      <w:r>
        <w:t xml:space="preserve"> de la </w:t>
      </w:r>
      <w:r w:rsidRPr="00B828BD">
        <w:t>Convention</w:t>
      </w:r>
      <w:r>
        <w:t xml:space="preserve">. La </w:t>
      </w:r>
      <w:r w:rsidRPr="00B828BD">
        <w:t>délégation</w:t>
      </w:r>
      <w:r>
        <w:t xml:space="preserve"> a remercié le Secrétariat pour son rapport bien</w:t>
      </w:r>
      <w:r w:rsidR="00B578A0">
        <w:t xml:space="preserve"> structuré et simplifié grâce à son</w:t>
      </w:r>
      <w:r>
        <w:t xml:space="preserve"> nouveau format, et elle a félicité les États parties ayant récemment ratifié la </w:t>
      </w:r>
      <w:r w:rsidRPr="00B828BD">
        <w:t>Convention</w:t>
      </w:r>
      <w:r>
        <w:t xml:space="preserve"> ainsi que le Secrétariat pour les efforts déployés dans le cadre de cette procédure, ajoutant qu</w:t>
      </w:r>
      <w:r w:rsidR="00346F1B">
        <w:t>’</w:t>
      </w:r>
      <w:r>
        <w:t>elle était heureuse que le nombre d</w:t>
      </w:r>
      <w:r w:rsidR="00346F1B">
        <w:t>’</w:t>
      </w:r>
      <w:r>
        <w:t>États atteigne désormais le chiffre de 172. Elle s</w:t>
      </w:r>
      <w:r w:rsidR="00346F1B">
        <w:t>’</w:t>
      </w:r>
      <w:r>
        <w:t xml:space="preserve">attendait à ce que le Secrétariat poursuive ses efforts dans ce domaine afin de parvenir à une </w:t>
      </w:r>
      <w:r w:rsidRPr="00B828BD">
        <w:t>ratification</w:t>
      </w:r>
      <w:r>
        <w:t xml:space="preserve"> universelle de la </w:t>
      </w:r>
      <w:r w:rsidRPr="00B828BD">
        <w:t>Convention</w:t>
      </w:r>
      <w:r>
        <w:t xml:space="preserve">. Faisant référence à la </w:t>
      </w:r>
      <w:r w:rsidRPr="00B828BD">
        <w:t>présentation</w:t>
      </w:r>
      <w:r>
        <w:t xml:space="preserve"> du </w:t>
      </w:r>
      <w:r w:rsidRPr="00B828BD">
        <w:t>Secrétaire</w:t>
      </w:r>
      <w:r>
        <w:t xml:space="preserve"> et, </w:t>
      </w:r>
      <w:r w:rsidRPr="00B828BD">
        <w:t>en particulier</w:t>
      </w:r>
      <w:r>
        <w:t xml:space="preserve">, au </w:t>
      </w:r>
      <w:r w:rsidRPr="00B828BD">
        <w:t>paragraphe</w:t>
      </w:r>
      <w:r>
        <w:t xml:space="preserve"> 22 dans lequel le Secrétariat </w:t>
      </w:r>
      <w:r w:rsidR="006034B9">
        <w:t>signalait les défis potentiels liés à l</w:t>
      </w:r>
      <w:r w:rsidR="00346F1B">
        <w:t>’</w:t>
      </w:r>
      <w:r w:rsidR="006034B9">
        <w:t>augmentation de la charge de travail suite au relèvement du plafond des demandes d</w:t>
      </w:r>
      <w:r w:rsidR="00346F1B">
        <w:t>’</w:t>
      </w:r>
      <w:r w:rsidR="006034B9">
        <w:t xml:space="preserve">assistance internationale, la </w:t>
      </w:r>
      <w:r w:rsidR="006034B9" w:rsidRPr="006034B9">
        <w:t>délégation</w:t>
      </w:r>
      <w:r w:rsidR="006034B9">
        <w:t xml:space="preserve"> estimait que bien que le nombre de demande</w:t>
      </w:r>
      <w:r w:rsidR="00B578A0">
        <w:t>s</w:t>
      </w:r>
      <w:r w:rsidR="006034B9">
        <w:t xml:space="preserve"> n</w:t>
      </w:r>
      <w:r w:rsidR="00346F1B">
        <w:t>’</w:t>
      </w:r>
      <w:r w:rsidR="006034B9">
        <w:t xml:space="preserve">ait pas encore considérablement augmenté, la situation </w:t>
      </w:r>
      <w:r w:rsidR="00775A0D">
        <w:t xml:space="preserve">était </w:t>
      </w:r>
      <w:r w:rsidR="006034B9" w:rsidRPr="006034B9">
        <w:t>susceptible</w:t>
      </w:r>
      <w:r w:rsidR="006034B9">
        <w:t xml:space="preserve"> de changer, et que le Comité devait être conscient de la menace et réfléchir aux mesures à prendre. Alors que le relèvement du plafond était destiné à améliorer l</w:t>
      </w:r>
      <w:r w:rsidR="00346F1B">
        <w:t>’</w:t>
      </w:r>
      <w:r w:rsidR="006034B9">
        <w:t xml:space="preserve">accès </w:t>
      </w:r>
      <w:r w:rsidR="00B578A0">
        <w:t xml:space="preserve">à </w:t>
      </w:r>
      <w:r w:rsidR="0028101C">
        <w:t>l</w:t>
      </w:r>
      <w:r w:rsidR="00346F1B">
        <w:t>’</w:t>
      </w:r>
      <w:r w:rsidR="0028101C">
        <w:t>assistance internationale et</w:t>
      </w:r>
      <w:r w:rsidR="00B578A0">
        <w:t xml:space="preserve"> remédier à la sous-utilisation du Fonds du patrimoine culturel immatériel, </w:t>
      </w:r>
      <w:r w:rsidR="006034B9">
        <w:t xml:space="preserve">la </w:t>
      </w:r>
      <w:r w:rsidR="006034B9" w:rsidRPr="006034B9">
        <w:t>délégation</w:t>
      </w:r>
      <w:r w:rsidR="006034B9">
        <w:t xml:space="preserve"> avait le sentiment qu</w:t>
      </w:r>
      <w:r w:rsidR="00346F1B">
        <w:t>’</w:t>
      </w:r>
      <w:r w:rsidR="006034B9">
        <w:t>il était essentiel de mettre à disposition du Secrétariat les ressources humaines adéquates afin de garantir une meilleure mise en œuvre des fonds, ajoutant qu</w:t>
      </w:r>
      <w:r w:rsidR="00346F1B">
        <w:t>’</w:t>
      </w:r>
      <w:r w:rsidR="006034B9">
        <w:t xml:space="preserve">elle était certaine que le Secrétariat était déjà à la </w:t>
      </w:r>
      <w:r w:rsidR="006034B9" w:rsidRPr="006034B9">
        <w:t>recherche</w:t>
      </w:r>
      <w:r w:rsidR="006034B9">
        <w:t xml:space="preserve"> de solutions créatives à ce sujet. En outre, après avoir examiné l</w:t>
      </w:r>
      <w:r w:rsidR="00346F1B">
        <w:t>’</w:t>
      </w:r>
      <w:r w:rsidR="006034B9">
        <w:t xml:space="preserve">annexe I du rapport, la </w:t>
      </w:r>
      <w:r w:rsidR="006034B9" w:rsidRPr="006034B9">
        <w:t>délégation</w:t>
      </w:r>
      <w:r w:rsidR="006034B9">
        <w:t xml:space="preserve"> a félicité le Secrétariat pour les progrès considérables réalisés jusqu</w:t>
      </w:r>
      <w:r w:rsidR="00346F1B">
        <w:t>’</w:t>
      </w:r>
      <w:r w:rsidR="006034B9">
        <w:t>alors dans la mise en œuvre des 24 recommandations de l</w:t>
      </w:r>
      <w:r w:rsidR="00346F1B">
        <w:t>’</w:t>
      </w:r>
      <w:r w:rsidR="006034B9" w:rsidRPr="006034B9">
        <w:t>évaluation</w:t>
      </w:r>
      <w:r w:rsidR="006034B9">
        <w:t xml:space="preserve"> </w:t>
      </w:r>
      <w:r w:rsidR="00B578A0">
        <w:t>du travail normatif</w:t>
      </w:r>
      <w:r w:rsidR="006034B9">
        <w:t xml:space="preserve"> de l</w:t>
      </w:r>
      <w:r w:rsidR="00346F1B">
        <w:t>’</w:t>
      </w:r>
      <w:r w:rsidR="006034B9">
        <w:t xml:space="preserve">UNESCO concernant la </w:t>
      </w:r>
      <w:r w:rsidR="006034B9" w:rsidRPr="006034B9">
        <w:t>Convention</w:t>
      </w:r>
      <w:r w:rsidR="006034B9">
        <w:t>, ajoutant que la création d</w:t>
      </w:r>
      <w:r w:rsidR="00346F1B">
        <w:t>’</w:t>
      </w:r>
      <w:r w:rsidR="006034B9">
        <w:t xml:space="preserve">un mécanisme de </w:t>
      </w:r>
      <w:r w:rsidR="00817225">
        <w:t>suivi et la mise en place d</w:t>
      </w:r>
      <w:r w:rsidR="00346F1B">
        <w:t>’</w:t>
      </w:r>
      <w:r w:rsidR="00817225">
        <w:t>activités de renforcement des capacités étaient essentielle</w:t>
      </w:r>
      <w:r w:rsidR="00B578A0">
        <w:t>s pour assurer un</w:t>
      </w:r>
      <w:r w:rsidR="00817225">
        <w:t xml:space="preserve"> suivi adapté, dans l</w:t>
      </w:r>
      <w:r w:rsidR="00346F1B">
        <w:t>’</w:t>
      </w:r>
      <w:r w:rsidR="00817225">
        <w:t>attente de la création d</w:t>
      </w:r>
      <w:r w:rsidR="00346F1B">
        <w:t>’</w:t>
      </w:r>
      <w:r w:rsidR="00817225">
        <w:t xml:space="preserve">un cadre global de résultats pour la </w:t>
      </w:r>
      <w:r w:rsidR="00817225" w:rsidRPr="00817225">
        <w:t>Convention</w:t>
      </w:r>
      <w:r w:rsidR="00817225">
        <w:t xml:space="preserve"> de 2003. La </w:t>
      </w:r>
      <w:r w:rsidR="00817225" w:rsidRPr="00817225">
        <w:t>délégation</w:t>
      </w:r>
      <w:r w:rsidR="00817225">
        <w:t xml:space="preserve"> a trouvé fort </w:t>
      </w:r>
      <w:r w:rsidR="00B578A0">
        <w:t xml:space="preserve">utile </w:t>
      </w:r>
      <w:r w:rsidR="00817225">
        <w:t xml:space="preserve">que la brochure annuelle sur les éléments inscrits ait été remplacée par des brochures consacrées </w:t>
      </w:r>
      <w:r w:rsidR="00B578A0">
        <w:t xml:space="preserve">à des </w:t>
      </w:r>
      <w:r w:rsidR="00817225">
        <w:t xml:space="preserve">éléments </w:t>
      </w:r>
      <w:r w:rsidR="00B578A0">
        <w:t xml:space="preserve">présents </w:t>
      </w:r>
      <w:r w:rsidR="00817225">
        <w:t>sur la Liste de sauvegarde urgente</w:t>
      </w:r>
      <w:r w:rsidR="00703EC6">
        <w:t xml:space="preserve"> et à des projets </w:t>
      </w:r>
      <w:r w:rsidR="00817225">
        <w:t xml:space="preserve">sélectionnés pour le Registre des meilleures pratiques de </w:t>
      </w:r>
      <w:r w:rsidR="00817225" w:rsidRPr="00817225">
        <w:t>sauvegarde</w:t>
      </w:r>
      <w:r w:rsidR="00817225">
        <w:t>. Elle a encouragé le Secrétariat à promouvoir davantage la Liste de sauvegarde urgente car celle-ci répondait à l</w:t>
      </w:r>
      <w:r w:rsidR="00346F1B">
        <w:t>’</w:t>
      </w:r>
      <w:r w:rsidR="00817225">
        <w:t xml:space="preserve">un des objectifs principaux de la </w:t>
      </w:r>
      <w:r w:rsidR="00817225" w:rsidRPr="00817225">
        <w:t>Convention</w:t>
      </w:r>
      <w:r w:rsidR="00817225">
        <w:t xml:space="preserve">. En outre, compte tenu des ressources limitées du Secrétariat, des efforts supplémentaires pourraient être déployés pour développer des alternatives, </w:t>
      </w:r>
      <w:r w:rsidR="00817225" w:rsidRPr="00817225">
        <w:t>en particulier</w:t>
      </w:r>
      <w:r w:rsidR="00817225">
        <w:t xml:space="preserve"> en mobilisant les ONG et le secteur privé afin de diffuser les bonnes pratiques de </w:t>
      </w:r>
      <w:r w:rsidR="00817225" w:rsidRPr="00817225">
        <w:t>sauvegarde</w:t>
      </w:r>
      <w:r w:rsidR="00817225">
        <w:t xml:space="preserve"> parallèlement au Registre des meilleures pratiques de </w:t>
      </w:r>
      <w:r w:rsidR="00817225" w:rsidRPr="00817225">
        <w:t>sauvegarde</w:t>
      </w:r>
      <w:r w:rsidR="00DE0564">
        <w:t>.</w:t>
      </w:r>
    </w:p>
    <w:p w14:paraId="0A87961B" w14:textId="4E4BAF57" w:rsidR="00D55487" w:rsidRPr="00171F21" w:rsidRDefault="00D55487" w:rsidP="00AF7860">
      <w:pPr>
        <w:pStyle w:val="Orateurengris"/>
        <w:spacing w:before="120"/>
        <w:ind w:left="709" w:hanging="709"/>
      </w:pPr>
      <w:r w:rsidRPr="00D55487">
        <w:t xml:space="preserve">La délégation de </w:t>
      </w:r>
      <w:r w:rsidRPr="00D55487">
        <w:rPr>
          <w:b/>
        </w:rPr>
        <w:t>Cuba</w:t>
      </w:r>
      <w:r>
        <w:t xml:space="preserve"> a félicité le Secrétariat pour son rapport et pour le travail qu</w:t>
      </w:r>
      <w:r w:rsidR="00346F1B">
        <w:t>’</w:t>
      </w:r>
      <w:r>
        <w:t>il avait accompli avec tous les États parties. S</w:t>
      </w:r>
      <w:r w:rsidR="00346F1B">
        <w:t>’</w:t>
      </w:r>
      <w:r>
        <w:t>agissant du Fonds du PCI et du plafond relevé pour les demandes d</w:t>
      </w:r>
      <w:r w:rsidR="00346F1B">
        <w:t>’</w:t>
      </w:r>
      <w:r>
        <w:t xml:space="preserve">assistance internationale à traiter par le Bureau, la </w:t>
      </w:r>
      <w:r w:rsidRPr="00D55487">
        <w:t>délégation</w:t>
      </w:r>
      <w:r>
        <w:t xml:space="preserve"> avait le sentiment que la mesure permettrait de résoudre le problème du Fonds en accordant un meilleur accès à un mécanisme essentiel pour le renforcement des capacités</w:t>
      </w:r>
      <w:r w:rsidR="00292032">
        <w:t>, ajoutant</w:t>
      </w:r>
      <w:r>
        <w:t xml:space="preserve"> que le Comité devrait en faire de même au sein de la </w:t>
      </w:r>
      <w:r w:rsidRPr="00D55487">
        <w:t>Convention</w:t>
      </w:r>
      <w:r w:rsidR="00292032">
        <w:t>. Parallèlement, elle a mis en garde le Comité contre la désignation du Bureau en tant qu</w:t>
      </w:r>
      <w:r w:rsidR="00346F1B">
        <w:t>’</w:t>
      </w:r>
      <w:r w:rsidR="00292032">
        <w:t xml:space="preserve">organe </w:t>
      </w:r>
      <w:r w:rsidR="00185394">
        <w:t>en charge du</w:t>
      </w:r>
      <w:r w:rsidR="00292032">
        <w:t xml:space="preserve"> travail d</w:t>
      </w:r>
      <w:r w:rsidR="00346F1B">
        <w:t>’</w:t>
      </w:r>
      <w:r w:rsidR="00292032" w:rsidRPr="00292032">
        <w:t>évaluation</w:t>
      </w:r>
      <w:r w:rsidR="00292032">
        <w:t xml:space="preserve"> car, bien qu</w:t>
      </w:r>
      <w:r w:rsidR="00346F1B">
        <w:t>’</w:t>
      </w:r>
      <w:r w:rsidR="00292032">
        <w:t>il s</w:t>
      </w:r>
      <w:r w:rsidR="00346F1B">
        <w:t>’</w:t>
      </w:r>
      <w:r w:rsidR="00292032">
        <w:t>agisse d</w:t>
      </w:r>
      <w:r w:rsidR="00346F1B">
        <w:t>’</w:t>
      </w:r>
      <w:r w:rsidR="00292032">
        <w:t>une mesure temporaire, cette</w:t>
      </w:r>
      <w:r w:rsidR="00031B0E">
        <w:t xml:space="preserve"> décision</w:t>
      </w:r>
      <w:r w:rsidR="00292032">
        <w:t xml:space="preserve">, </w:t>
      </w:r>
      <w:r w:rsidR="0028101C">
        <w:t xml:space="preserve">outre </w:t>
      </w:r>
      <w:r w:rsidR="00292032">
        <w:t>la surcharge de travail qu</w:t>
      </w:r>
      <w:r w:rsidR="00346F1B">
        <w:t>’</w:t>
      </w:r>
      <w:r w:rsidR="00292032">
        <w:t xml:space="preserve">elle impliquait, autorisait le Bureau à outrepasser son rôle. La </w:t>
      </w:r>
      <w:r w:rsidR="00292032" w:rsidRPr="00292032">
        <w:t>délégation</w:t>
      </w:r>
      <w:r w:rsidR="00292032">
        <w:t xml:space="preserve"> soutenait </w:t>
      </w:r>
      <w:r w:rsidR="00292032" w:rsidRPr="00292032">
        <w:t>néanmoins</w:t>
      </w:r>
      <w:r w:rsidR="00292032">
        <w:t xml:space="preserve"> l</w:t>
      </w:r>
      <w:r w:rsidR="00346F1B">
        <w:t>’</w:t>
      </w:r>
      <w:r w:rsidR="00292032" w:rsidRPr="00292032">
        <w:t>initiative</w:t>
      </w:r>
      <w:r w:rsidR="00031B0E">
        <w:t xml:space="preserve"> car c</w:t>
      </w:r>
      <w:r w:rsidR="00346F1B">
        <w:t>’</w:t>
      </w:r>
      <w:r w:rsidR="00031B0E">
        <w:t xml:space="preserve">était un mécanisme efficace pour </w:t>
      </w:r>
      <w:r w:rsidR="00213766">
        <w:t xml:space="preserve">stimuler </w:t>
      </w:r>
      <w:r w:rsidR="00031B0E">
        <w:t xml:space="preserve">le renforcement des capacités et pour essayer </w:t>
      </w:r>
      <w:r w:rsidR="00213766">
        <w:t>d</w:t>
      </w:r>
      <w:r w:rsidR="00346F1B">
        <w:t>’</w:t>
      </w:r>
      <w:r w:rsidR="00213766">
        <w:t xml:space="preserve">alléger la </w:t>
      </w:r>
      <w:r w:rsidR="00031B0E">
        <w:t xml:space="preserve">charge de travail du Comité. </w:t>
      </w:r>
      <w:r w:rsidR="00031B0E" w:rsidRPr="00031B0E">
        <w:t>En ce qui concerne</w:t>
      </w:r>
      <w:r w:rsidR="00031B0E">
        <w:t xml:space="preserve"> les 24 recommandations de l</w:t>
      </w:r>
      <w:r w:rsidR="00346F1B">
        <w:t>’</w:t>
      </w:r>
      <w:r w:rsidR="00246292">
        <w:t>A</w:t>
      </w:r>
      <w:r w:rsidR="00031B0E">
        <w:t>uditeur externe</w:t>
      </w:r>
      <w:r w:rsidR="00246292">
        <w:t xml:space="preserve"> (</w:t>
      </w:r>
      <w:r w:rsidR="00985631">
        <w:t xml:space="preserve">également appelé </w:t>
      </w:r>
      <w:r w:rsidR="00246292">
        <w:t>Commissaire aux comptes)</w:t>
      </w:r>
      <w:r w:rsidR="00031B0E">
        <w:t xml:space="preserve">, la </w:t>
      </w:r>
      <w:r w:rsidR="00031B0E" w:rsidRPr="00031B0E">
        <w:t>délégation</w:t>
      </w:r>
      <w:r w:rsidR="00555B14">
        <w:t xml:space="preserve"> estimait</w:t>
      </w:r>
      <w:r w:rsidR="00031B0E">
        <w:t xml:space="preserve"> qu</w:t>
      </w:r>
      <w:r w:rsidR="00346F1B">
        <w:t>’</w:t>
      </w:r>
      <w:r w:rsidR="00031B0E">
        <w:t>il s</w:t>
      </w:r>
      <w:r w:rsidR="00346F1B">
        <w:t>’</w:t>
      </w:r>
      <w:r w:rsidR="00031B0E">
        <w:t>agissait d</w:t>
      </w:r>
      <w:r w:rsidR="00346F1B">
        <w:t>’</w:t>
      </w:r>
      <w:r w:rsidR="00031B0E">
        <w:t>un rapport essentiel rédigé au moment où l</w:t>
      </w:r>
      <w:r w:rsidR="00346F1B">
        <w:t>’</w:t>
      </w:r>
      <w:r w:rsidR="00031B0E">
        <w:t>UNESCO se p</w:t>
      </w:r>
      <w:r w:rsidR="00213766">
        <w:t xml:space="preserve">réoccupait de sa gouvernance, </w:t>
      </w:r>
      <w:r w:rsidR="00031B0E">
        <w:t>de l</w:t>
      </w:r>
      <w:r w:rsidR="00346F1B">
        <w:t>’</w:t>
      </w:r>
      <w:r w:rsidR="00031B0E">
        <w:t>amélioration de l</w:t>
      </w:r>
      <w:r w:rsidR="00346F1B">
        <w:t>’</w:t>
      </w:r>
      <w:r w:rsidR="00031B0E">
        <w:t>efficience et de l</w:t>
      </w:r>
      <w:r w:rsidR="00346F1B">
        <w:t>’</w:t>
      </w:r>
      <w:r w:rsidR="00031B0E">
        <w:t xml:space="preserve">efficacité de </w:t>
      </w:r>
      <w:r w:rsidR="00555B14">
        <w:t xml:space="preserve">ses organes, </w:t>
      </w:r>
      <w:r w:rsidR="00213766">
        <w:t xml:space="preserve">et du renforcement du </w:t>
      </w:r>
      <w:r w:rsidR="00031B0E">
        <w:t>caractère intergouvernemental de</w:t>
      </w:r>
      <w:r w:rsidR="00555B14">
        <w:t xml:space="preserve"> </w:t>
      </w:r>
      <w:r w:rsidR="00031B0E">
        <w:t>s</w:t>
      </w:r>
      <w:r w:rsidR="00555B14">
        <w:t>es</w:t>
      </w:r>
      <w:r w:rsidR="00031B0E">
        <w:t xml:space="preserve"> différents organes. </w:t>
      </w:r>
      <w:r w:rsidR="00555B14">
        <w:t xml:space="preserve">La </w:t>
      </w:r>
      <w:r w:rsidR="00555B14" w:rsidRPr="00555B14">
        <w:t>délégation</w:t>
      </w:r>
      <w:r w:rsidR="00555B14">
        <w:t xml:space="preserve"> a</w:t>
      </w:r>
      <w:r w:rsidR="00171F21">
        <w:t>vait</w:t>
      </w:r>
      <w:r w:rsidR="00555B14">
        <w:t xml:space="preserve"> </w:t>
      </w:r>
      <w:r w:rsidR="00555B14" w:rsidRPr="00555B14">
        <w:t>également</w:t>
      </w:r>
      <w:r w:rsidR="00555B14">
        <w:t xml:space="preserve"> apprécié les expli</w:t>
      </w:r>
      <w:r w:rsidR="00171F21">
        <w:t>cations données dans l</w:t>
      </w:r>
      <w:r w:rsidR="00346F1B">
        <w:t>’</w:t>
      </w:r>
      <w:r w:rsidR="00171F21">
        <w:t xml:space="preserve">annexe I </w:t>
      </w:r>
      <w:r w:rsidR="00555B14">
        <w:t>à propos des Directives opérationnelles</w:t>
      </w:r>
      <w:r w:rsidR="00171F21">
        <w:t xml:space="preserve"> pour lesquelles plusieurs recommandations avaient été formulées. Elle a noté que les discussions </w:t>
      </w:r>
      <w:r w:rsidR="000073D8">
        <w:t xml:space="preserve">sur </w:t>
      </w:r>
      <w:r w:rsidR="00171F21">
        <w:t xml:space="preserve">ce sujet étaient en cours. Elle croyait au </w:t>
      </w:r>
      <w:r w:rsidR="00171F21" w:rsidRPr="00171F21">
        <w:t xml:space="preserve">renforcement </w:t>
      </w:r>
      <w:r w:rsidR="00171F21">
        <w:t xml:space="preserve">de </w:t>
      </w:r>
      <w:r w:rsidR="00171F21" w:rsidRPr="00171F21">
        <w:t xml:space="preserve">la coopération Sud-Sud et </w:t>
      </w:r>
      <w:r w:rsidR="00171F21">
        <w:t xml:space="preserve">à </w:t>
      </w:r>
      <w:r w:rsidR="00171F21" w:rsidRPr="00171F21">
        <w:t>l</w:t>
      </w:r>
      <w:r w:rsidR="00346F1B">
        <w:t>’</w:t>
      </w:r>
      <w:r w:rsidR="00171F21" w:rsidRPr="00171F21">
        <w:t xml:space="preserve">échange des meilleures pratiques </w:t>
      </w:r>
      <w:r w:rsidR="00171F21">
        <w:t>entre les bureaux hors Siège de l</w:t>
      </w:r>
      <w:r w:rsidR="00346F1B">
        <w:t>’</w:t>
      </w:r>
      <w:r w:rsidR="00171F21">
        <w:t>UNESCO, qui</w:t>
      </w:r>
      <w:r w:rsidR="005B0BA6">
        <w:t xml:space="preserve"> étaient</w:t>
      </w:r>
      <w:r w:rsidR="00171F21">
        <w:t xml:space="preserve">, selon elle, essentiels pour le travail du Comité et la mise en œuvre de la </w:t>
      </w:r>
      <w:r w:rsidR="00171F21" w:rsidRPr="00171F21">
        <w:t>Convention</w:t>
      </w:r>
      <w:r w:rsidR="00171F21">
        <w:t>, comme mentionné da</w:t>
      </w:r>
      <w:r w:rsidR="000073D8">
        <w:t xml:space="preserve">ns les recommandations 2 et 6. </w:t>
      </w:r>
      <w:r w:rsidR="005B0BA6">
        <w:t>S</w:t>
      </w:r>
      <w:r w:rsidR="00346F1B">
        <w:t>’</w:t>
      </w:r>
      <w:r w:rsidR="005B0BA6">
        <w:t xml:space="preserve">agissant de la </w:t>
      </w:r>
      <w:r w:rsidR="005B0BA6" w:rsidRPr="005B0BA6">
        <w:t>recommandation</w:t>
      </w:r>
      <w:r w:rsidR="005B0BA6">
        <w:t xml:space="preserve"> 11</w:t>
      </w:r>
      <w:r w:rsidR="005B0BA6">
        <w:rPr>
          <w:rStyle w:val="FootnoteReference"/>
        </w:rPr>
        <w:footnoteReference w:id="3"/>
      </w:r>
      <w:r w:rsidR="005B0BA6">
        <w:t xml:space="preserve">, la </w:t>
      </w:r>
      <w:r w:rsidR="005B0BA6" w:rsidRPr="005B0BA6">
        <w:t>délégation</w:t>
      </w:r>
      <w:r w:rsidR="005B0BA6">
        <w:t xml:space="preserve"> a soutenu la </w:t>
      </w:r>
      <w:r w:rsidR="005B0BA6" w:rsidRPr="005B0BA6">
        <w:t>recommandation</w:t>
      </w:r>
      <w:r w:rsidR="005B0BA6">
        <w:t xml:space="preserve"> du point 7 de l</w:t>
      </w:r>
      <w:r w:rsidR="00346F1B">
        <w:t>’</w:t>
      </w:r>
      <w:r w:rsidR="005B0BA6" w:rsidRPr="005B0BA6">
        <w:t>ordre du jour</w:t>
      </w:r>
      <w:r w:rsidR="005B0BA6">
        <w:t xml:space="preserve"> et </w:t>
      </w:r>
      <w:r w:rsidR="00185394">
        <w:t>a remercié le Secrétariat pour l</w:t>
      </w:r>
      <w:r w:rsidR="005B0BA6">
        <w:t xml:space="preserve">es efforts </w:t>
      </w:r>
      <w:r w:rsidR="00185394">
        <w:t>déployés à ce sujet</w:t>
      </w:r>
      <w:r w:rsidR="005B0BA6">
        <w:t xml:space="preserve">, ajoutant que cela contribuerait au débat général sur la gouvernance. Enfin, la </w:t>
      </w:r>
      <w:r w:rsidR="005B0BA6" w:rsidRPr="005B0BA6">
        <w:t>délégation</w:t>
      </w:r>
      <w:r w:rsidR="005B0BA6">
        <w:t xml:space="preserve"> a fait référence à l</w:t>
      </w:r>
      <w:r w:rsidR="00346F1B">
        <w:t>’</w:t>
      </w:r>
      <w:r w:rsidR="005B0BA6">
        <w:t>importance de débattre des problèmes liés aux conflits armés, cela contribuait au plan d</w:t>
      </w:r>
      <w:r w:rsidR="00346F1B">
        <w:t>’</w:t>
      </w:r>
      <w:r w:rsidR="005B0BA6">
        <w:t>action, en cours d</w:t>
      </w:r>
      <w:r w:rsidR="00346F1B">
        <w:t>’</w:t>
      </w:r>
      <w:r w:rsidR="005B0BA6">
        <w:t>approbation, sur le travail de l</w:t>
      </w:r>
      <w:r w:rsidR="00346F1B">
        <w:t>’</w:t>
      </w:r>
      <w:r w:rsidR="005B0BA6">
        <w:t>U</w:t>
      </w:r>
      <w:r w:rsidR="00DE0564">
        <w:t>NESCO.</w:t>
      </w:r>
    </w:p>
    <w:p w14:paraId="4BF65E77" w14:textId="0371A9B6" w:rsidR="001114D2" w:rsidRPr="001114D2" w:rsidRDefault="000073D8" w:rsidP="00AF7860">
      <w:pPr>
        <w:pStyle w:val="Orateurengris"/>
        <w:spacing w:before="120"/>
        <w:ind w:left="709" w:hanging="709"/>
      </w:pPr>
      <w:r w:rsidRPr="000073D8">
        <w:t xml:space="preserve">La délégation des </w:t>
      </w:r>
      <w:r w:rsidRPr="000073D8">
        <w:rPr>
          <w:b/>
        </w:rPr>
        <w:t>Philippines</w:t>
      </w:r>
      <w:r w:rsidRPr="000073D8">
        <w:t xml:space="preserve"> </w:t>
      </w:r>
      <w:r>
        <w:t>a remercié le Gouvernement et le peuple de l</w:t>
      </w:r>
      <w:r w:rsidR="00346F1B">
        <w:t>’</w:t>
      </w:r>
      <w:r w:rsidRPr="000073D8">
        <w:t>Éthiopie</w:t>
      </w:r>
      <w:r w:rsidR="00200749">
        <w:t xml:space="preserve"> d</w:t>
      </w:r>
      <w:r w:rsidR="00346F1B">
        <w:t>’</w:t>
      </w:r>
      <w:r w:rsidR="00200749">
        <w:t>accueillir cette session</w:t>
      </w:r>
      <w:r>
        <w:t xml:space="preserve"> et de leur hospitalité à </w:t>
      </w:r>
      <w:r w:rsidRPr="000073D8">
        <w:t>Addis Abeba</w:t>
      </w:r>
      <w:r w:rsidR="00ED7C66">
        <w:t>, berceau de</w:t>
      </w:r>
      <w:r>
        <w:t xml:space="preserve"> </w:t>
      </w:r>
      <w:r w:rsidRPr="000073D8">
        <w:t>civilisation</w:t>
      </w:r>
      <w:r w:rsidR="00ED7C66">
        <w:t>s et de</w:t>
      </w:r>
      <w:r>
        <w:t xml:space="preserve"> traditio</w:t>
      </w:r>
      <w:r w:rsidR="00ED7C66">
        <w:t>n</w:t>
      </w:r>
      <w:r w:rsidR="00185394">
        <w:t>s</w:t>
      </w:r>
      <w:r w:rsidR="00F72ACC">
        <w:t xml:space="preserve"> anciennes comme en </w:t>
      </w:r>
      <w:r w:rsidR="001114D2">
        <w:t>avait témoigné</w:t>
      </w:r>
      <w:r w:rsidR="00F72ACC">
        <w:t xml:space="preserve"> la </w:t>
      </w:r>
      <w:r w:rsidR="00F72ACC" w:rsidRPr="00F72ACC">
        <w:t>spectaculaire</w:t>
      </w:r>
      <w:r w:rsidR="00F72ACC">
        <w:t xml:space="preserve"> cérémonie d</w:t>
      </w:r>
      <w:r w:rsidR="00346F1B">
        <w:t>’</w:t>
      </w:r>
      <w:r w:rsidR="00F72ACC">
        <w:t xml:space="preserve">ouverture organisée le soir précédent. Elle a remercié le </w:t>
      </w:r>
      <w:r w:rsidR="00F72ACC" w:rsidRPr="00F72ACC">
        <w:t>Secrétaire</w:t>
      </w:r>
      <w:r w:rsidR="00F72ACC">
        <w:t xml:space="preserve"> pour le rapport et a félicité le Secrétariat pour son impressionnant travail en faveur de la </w:t>
      </w:r>
      <w:r w:rsidR="00F72ACC" w:rsidRPr="00F72ACC">
        <w:t>Convention</w:t>
      </w:r>
      <w:r w:rsidR="00F72ACC">
        <w:t xml:space="preserve">. La </w:t>
      </w:r>
      <w:r w:rsidR="00F72ACC" w:rsidRPr="00F72ACC">
        <w:t>délégation</w:t>
      </w:r>
      <w:r w:rsidR="00B37684">
        <w:t xml:space="preserve"> a évoqué l</w:t>
      </w:r>
      <w:r w:rsidR="00346F1B">
        <w:t>’</w:t>
      </w:r>
      <w:r w:rsidR="00B37684">
        <w:t>Association des nations de l</w:t>
      </w:r>
      <w:r w:rsidR="00346F1B">
        <w:t>’</w:t>
      </w:r>
      <w:r w:rsidR="00B37684">
        <w:t xml:space="preserve">Asie du Sud-Est (Association of South-East Asian Nations – ASEAN), alors présidée par les Philippines, qui, lors de son dernier sommet, avait adopté une déclaration sur le </w:t>
      </w:r>
      <w:r w:rsidR="00B37684" w:rsidRPr="00B37684">
        <w:t xml:space="preserve">renforcement </w:t>
      </w:r>
      <w:r w:rsidR="00B37684">
        <w:t xml:space="preserve">de la </w:t>
      </w:r>
      <w:r w:rsidR="00B37684" w:rsidRPr="00B37684">
        <w:t>coopération</w:t>
      </w:r>
      <w:r w:rsidR="00B37684">
        <w:t xml:space="preserve"> régionale dans le domaine du patrimoine culturel immatériel, alors qu</w:t>
      </w:r>
      <w:r w:rsidR="00346F1B">
        <w:t>’</w:t>
      </w:r>
      <w:r w:rsidR="00B37684">
        <w:t>elle célébrerait son 50</w:t>
      </w:r>
      <w:r w:rsidR="00B37684" w:rsidRPr="00B37684">
        <w:rPr>
          <w:vertAlign w:val="superscript"/>
        </w:rPr>
        <w:t>e</w:t>
      </w:r>
      <w:r w:rsidR="00B37684">
        <w:t xml:space="preserve"> </w:t>
      </w:r>
      <w:r w:rsidR="00B37684" w:rsidRPr="00B37684">
        <w:t>anniversaire</w:t>
      </w:r>
      <w:r w:rsidR="00B37684">
        <w:t xml:space="preserve"> en 2017. Elle espérait que cela renforcerait l</w:t>
      </w:r>
      <w:r w:rsidR="00346F1B">
        <w:t>’</w:t>
      </w:r>
      <w:r w:rsidR="00B37684" w:rsidRPr="00B37684">
        <w:t>engagement</w:t>
      </w:r>
      <w:r w:rsidR="00B37684">
        <w:t xml:space="preserve"> et la </w:t>
      </w:r>
      <w:r w:rsidR="00B37684" w:rsidRPr="00B37684">
        <w:t>coopération</w:t>
      </w:r>
      <w:r w:rsidR="00B37684">
        <w:t xml:space="preserve"> de l</w:t>
      </w:r>
      <w:r w:rsidR="00346F1B">
        <w:t>’</w:t>
      </w:r>
      <w:r w:rsidR="00B37684">
        <w:t>ASEAN avec le Comité et le Secrétariat</w:t>
      </w:r>
      <w:r w:rsidR="001114D2">
        <w:t xml:space="preserve"> du PCI</w:t>
      </w:r>
      <w:r w:rsidR="00B37684">
        <w:t xml:space="preserve">, et elle a encouragé le Secrétariat à poursuivre ses efforts spécifiques en faveur du renforcement des capacités dans les pays en </w:t>
      </w:r>
      <w:r w:rsidR="00B37684" w:rsidRPr="00B37684">
        <w:t>développement</w:t>
      </w:r>
      <w:r w:rsidR="00B37684">
        <w:t xml:space="preserve">. </w:t>
      </w:r>
      <w:r w:rsidR="006C63B4">
        <w:t>Fort heureusement, l</w:t>
      </w:r>
      <w:r w:rsidR="00346F1B">
        <w:t>’</w:t>
      </w:r>
      <w:r w:rsidR="00B37684">
        <w:t>augmentation du plafond des demandes d</w:t>
      </w:r>
      <w:r w:rsidR="00346F1B">
        <w:t>’</w:t>
      </w:r>
      <w:r w:rsidR="00B37684">
        <w:t xml:space="preserve">assistance internationale </w:t>
      </w:r>
      <w:r w:rsidR="006C63B4">
        <w:t xml:space="preserve">soutiendrait cet effort, mais </w:t>
      </w:r>
      <w:r w:rsidR="006C63B4" w:rsidRPr="006C63B4">
        <w:t>l</w:t>
      </w:r>
      <w:r w:rsidR="00346F1B">
        <w:t>’</w:t>
      </w:r>
      <w:r w:rsidR="006C63B4" w:rsidRPr="006C63B4">
        <w:t>élaboration</w:t>
      </w:r>
      <w:r w:rsidR="006C63B4">
        <w:t xml:space="preserve"> d</w:t>
      </w:r>
      <w:r w:rsidR="00346F1B">
        <w:t>’</w:t>
      </w:r>
      <w:r w:rsidR="006C63B4">
        <w:t>une approche plus ciblée, stratégique et à long terme pourrait s</w:t>
      </w:r>
      <w:r w:rsidR="00346F1B">
        <w:t>’</w:t>
      </w:r>
      <w:r w:rsidR="006C63B4">
        <w:t xml:space="preserve">avérer </w:t>
      </w:r>
      <w:r w:rsidR="006C63B4" w:rsidRPr="006C63B4">
        <w:t>également</w:t>
      </w:r>
      <w:r w:rsidR="006C63B4">
        <w:t xml:space="preserve"> nécessaire. La </w:t>
      </w:r>
      <w:r w:rsidR="006C63B4" w:rsidRPr="006C63B4">
        <w:t>délégation</w:t>
      </w:r>
      <w:r w:rsidR="001114D2">
        <w:t xml:space="preserve"> reviendrait sur c</w:t>
      </w:r>
      <w:r w:rsidR="006C63B4">
        <w:t>e sujet lors du point 15 de l</w:t>
      </w:r>
      <w:r w:rsidR="00346F1B">
        <w:t>’</w:t>
      </w:r>
      <w:r w:rsidR="006C63B4" w:rsidRPr="006C63B4">
        <w:t>ordre du jour</w:t>
      </w:r>
      <w:r w:rsidR="006C63B4">
        <w:t xml:space="preserve">. La </w:t>
      </w:r>
      <w:r w:rsidR="006C63B4" w:rsidRPr="006C63B4">
        <w:t>délégation</w:t>
      </w:r>
      <w:r w:rsidR="00BB4503">
        <w:t xml:space="preserve"> soutenait</w:t>
      </w:r>
      <w:r w:rsidR="006C63B4">
        <w:t xml:space="preserve"> le </w:t>
      </w:r>
      <w:r w:rsidR="006C63B4" w:rsidRPr="006C63B4">
        <w:t>paragraphe</w:t>
      </w:r>
      <w:r w:rsidR="006C63B4">
        <w:t xml:space="preserve"> 8 du projet de décision ainsi que l</w:t>
      </w:r>
      <w:r w:rsidR="00346F1B">
        <w:t>’</w:t>
      </w:r>
      <w:r w:rsidR="006C63B4" w:rsidRPr="006C63B4">
        <w:t>amélioration</w:t>
      </w:r>
      <w:r w:rsidR="006C63B4">
        <w:t xml:space="preserve"> du dialogue et de la </w:t>
      </w:r>
      <w:r w:rsidR="006C63B4" w:rsidRPr="006C63B4">
        <w:t>coopération</w:t>
      </w:r>
      <w:r w:rsidR="006C63B4">
        <w:t xml:space="preserve"> entre les différents centres de catégorie 2 car cela laissait entrevoir des réunions de </w:t>
      </w:r>
      <w:r w:rsidR="006C63B4" w:rsidRPr="006C63B4">
        <w:t>coordination</w:t>
      </w:r>
      <w:r w:rsidR="001114D2">
        <w:t xml:space="preserve"> débouchant sur des synergies et des initiatives conjointes. Elle souscrivait au </w:t>
      </w:r>
      <w:r w:rsidR="001114D2" w:rsidRPr="001114D2">
        <w:t>paragraphe</w:t>
      </w:r>
      <w:r w:rsidR="001114D2">
        <w:t xml:space="preserve"> 18 du rapport qui suggérait que les États parties apprécierai</w:t>
      </w:r>
      <w:r w:rsidR="00BB4503">
        <w:t>en</w:t>
      </w:r>
      <w:r w:rsidR="001114D2">
        <w:t>t de disposer d</w:t>
      </w:r>
      <w:r w:rsidR="00346F1B">
        <w:t>’</w:t>
      </w:r>
      <w:r w:rsidR="001114D2">
        <w:t xml:space="preserve">études de cas pouvant illustrer le lien entre patrimoine culturel immatériel et développement durable, </w:t>
      </w:r>
      <w:r w:rsidR="001114D2" w:rsidRPr="001114D2">
        <w:t>en particulier</w:t>
      </w:r>
      <w:r w:rsidR="001114D2">
        <w:t xml:space="preserve"> dans le contexte du chapitre récemment adopté des Directives opérationnelles qui nécessiterait des clarifications en vue de sa mise en œuvre. Enfin, la </w:t>
      </w:r>
      <w:r w:rsidR="001114D2" w:rsidRPr="001114D2">
        <w:t>Convention</w:t>
      </w:r>
      <w:r w:rsidR="001114D2">
        <w:t xml:space="preserve"> traitant avec les communautés, la </w:t>
      </w:r>
      <w:r w:rsidR="001114D2" w:rsidRPr="001114D2">
        <w:t>délégation</w:t>
      </w:r>
      <w:r w:rsidR="001114D2">
        <w:t xml:space="preserve"> s</w:t>
      </w:r>
      <w:r w:rsidR="00346F1B">
        <w:t>’</w:t>
      </w:r>
      <w:r w:rsidR="001114D2">
        <w:t>est dite en faveur du lancement d</w:t>
      </w:r>
      <w:r w:rsidR="00346F1B">
        <w:t>’</w:t>
      </w:r>
      <w:r w:rsidR="001114D2">
        <w:t xml:space="preserve">un processus de réflexion sur la façon dont le Comité et ses mécanismes pourraient engager un dialogue plus constructif avec la société civile, </w:t>
      </w:r>
      <w:r w:rsidR="001114D2" w:rsidRPr="001114D2">
        <w:t>peut-être</w:t>
      </w:r>
      <w:r w:rsidR="001114D2">
        <w:t xml:space="preserve">, dans un premier temps, dans le cadre de </w:t>
      </w:r>
      <w:r w:rsidR="001114D2" w:rsidRPr="001114D2">
        <w:t>l</w:t>
      </w:r>
      <w:r w:rsidR="00346F1B">
        <w:t>’</w:t>
      </w:r>
      <w:r w:rsidR="001114D2" w:rsidRPr="001114D2">
        <w:t xml:space="preserve">évaluation </w:t>
      </w:r>
      <w:r w:rsidR="001114D2">
        <w:t>d</w:t>
      </w:r>
      <w:r w:rsidR="00346F1B">
        <w:t>’</w:t>
      </w:r>
      <w:r w:rsidR="001114D2">
        <w:t xml:space="preserve">éléments </w:t>
      </w:r>
      <w:r w:rsidR="00200749">
        <w:t xml:space="preserve">à inscrire </w:t>
      </w:r>
      <w:r w:rsidR="001114D2">
        <w:t>sur la Liste de sauvegarde urgente.</w:t>
      </w:r>
    </w:p>
    <w:p w14:paraId="030B42A9" w14:textId="6F13E392" w:rsidR="00BB4503" w:rsidRPr="00962B2B" w:rsidRDefault="007B0B9C" w:rsidP="00AF7860">
      <w:pPr>
        <w:pStyle w:val="Orateurengris"/>
        <w:tabs>
          <w:tab w:val="left" w:pos="6663"/>
        </w:tabs>
        <w:spacing w:before="120"/>
        <w:ind w:left="709" w:hanging="709"/>
      </w:pPr>
      <w:r w:rsidRPr="00962B2B">
        <w:t xml:space="preserve">La délégation du </w:t>
      </w:r>
      <w:r w:rsidRPr="00962B2B">
        <w:rPr>
          <w:b/>
        </w:rPr>
        <w:t>Sénégal</w:t>
      </w:r>
      <w:r w:rsidRPr="00962B2B">
        <w:t xml:space="preserve"> a débuté son intervention en félicitant le Président et en remerc</w:t>
      </w:r>
      <w:r w:rsidR="004F7B48">
        <w:t>iant</w:t>
      </w:r>
      <w:r w:rsidRPr="00962B2B">
        <w:t xml:space="preserve"> le </w:t>
      </w:r>
      <w:r w:rsidR="00962B2B" w:rsidRPr="00962B2B">
        <w:rPr>
          <w:rStyle w:val="ParaChar"/>
        </w:rPr>
        <w:t>G</w:t>
      </w:r>
      <w:r w:rsidRPr="00962B2B">
        <w:rPr>
          <w:rStyle w:val="ParaChar"/>
        </w:rPr>
        <w:t xml:space="preserve">ouvernement de </w:t>
      </w:r>
      <w:r w:rsidRPr="00962B2B">
        <w:t>l</w:t>
      </w:r>
      <w:r w:rsidR="00346F1B">
        <w:t>’</w:t>
      </w:r>
      <w:r w:rsidRPr="00962B2B">
        <w:t xml:space="preserve">Éthiopie pour son excellente organisation et son accueil chaleureux. Elle a également félicité le Secrétariat pour </w:t>
      </w:r>
      <w:r w:rsidR="00185394">
        <w:t xml:space="preserve">le </w:t>
      </w:r>
      <w:r w:rsidRPr="00962B2B">
        <w:t>formidable travail accompli malgré des ressources humaines et matérielles modestes, un travail</w:t>
      </w:r>
      <w:r w:rsidR="0008239C" w:rsidRPr="00962B2B">
        <w:t xml:space="preserve"> que la délégation soutenait pleinement et</w:t>
      </w:r>
      <w:r w:rsidRPr="00962B2B">
        <w:t xml:space="preserve"> qui témoignait de la nature dynamique du Secrétariat tant au Sénégal que dans toute l</w:t>
      </w:r>
      <w:r w:rsidR="00346F1B">
        <w:t>’</w:t>
      </w:r>
      <w:r w:rsidRPr="00962B2B">
        <w:t>Afrique</w:t>
      </w:r>
      <w:r w:rsidR="0008239C" w:rsidRPr="00962B2B">
        <w:t>.</w:t>
      </w:r>
      <w:r w:rsidR="00553D02" w:rsidRPr="00962B2B">
        <w:t xml:space="preserve"> [Autre </w:t>
      </w:r>
      <w:r w:rsidR="0008239C" w:rsidRPr="00962B2B">
        <w:t>intervenant, E</w:t>
      </w:r>
      <w:r w:rsidR="00553D02" w:rsidRPr="00962B2B">
        <w:t>xpert national]</w:t>
      </w:r>
      <w:r w:rsidR="00ED7C66" w:rsidRPr="00962B2B">
        <w:t>. L</w:t>
      </w:r>
      <w:r w:rsidR="00346F1B">
        <w:t>’</w:t>
      </w:r>
      <w:r w:rsidR="00ED7C66" w:rsidRPr="00962B2B">
        <w:t>Expert a souligné le cri d</w:t>
      </w:r>
      <w:r w:rsidR="00346F1B">
        <w:t>’</w:t>
      </w:r>
      <w:r w:rsidR="00ED7C66" w:rsidRPr="00962B2B">
        <w:t xml:space="preserve">alarme </w:t>
      </w:r>
      <w:r w:rsidR="00553D02" w:rsidRPr="00962B2B">
        <w:t>lancé par le Secrétariat afin que soient relevés les défis de la sauvegarde du patrimoine culturel immatériel</w:t>
      </w:r>
      <w:r w:rsidR="00027C5D" w:rsidRPr="00962B2B">
        <w:t xml:space="preserve">, </w:t>
      </w:r>
      <w:r w:rsidR="00553D02" w:rsidRPr="00962B2B">
        <w:t>et qui appelait tous les États parties</w:t>
      </w:r>
      <w:r w:rsidR="00027C5D" w:rsidRPr="00962B2B">
        <w:t xml:space="preserve"> à être plus créatifs et assumer</w:t>
      </w:r>
      <w:r w:rsidR="00553D02" w:rsidRPr="00962B2B">
        <w:t xml:space="preserve"> </w:t>
      </w:r>
      <w:r w:rsidR="00027C5D" w:rsidRPr="00962B2B">
        <w:t>en même temps de</w:t>
      </w:r>
      <w:r w:rsidR="00553D02" w:rsidRPr="00962B2B">
        <w:t xml:space="preserve"> plus grande</w:t>
      </w:r>
      <w:r w:rsidR="00027C5D" w:rsidRPr="00962B2B">
        <w:t>s</w:t>
      </w:r>
      <w:r w:rsidR="00553D02" w:rsidRPr="00962B2B">
        <w:t xml:space="preserve"> responsabilité</w:t>
      </w:r>
      <w:r w:rsidR="00027C5D" w:rsidRPr="00962B2B">
        <w:t>s</w:t>
      </w:r>
      <w:r w:rsidR="00553D02" w:rsidRPr="00962B2B">
        <w:t xml:space="preserve">, ce qui suggérait un travail en plus étroite coopération avec les structures nationales et les ONG, car elles jouaient toutes deux un rôle extrêmement important en matière de médiation, </w:t>
      </w:r>
      <w:r w:rsidR="00027C5D" w:rsidRPr="00962B2B">
        <w:t xml:space="preserve">et un encouragement et une mobilisation de la recherche. Dans le cas du Sénégal, le pays travaillait </w:t>
      </w:r>
      <w:r w:rsidR="0008239C" w:rsidRPr="00962B2B">
        <w:t xml:space="preserve">en étroite collaboration </w:t>
      </w:r>
      <w:r w:rsidR="00027C5D" w:rsidRPr="00962B2B">
        <w:t>avec les ONG. Il venait d</w:t>
      </w:r>
      <w:r w:rsidR="00346F1B">
        <w:t>’</w:t>
      </w:r>
      <w:r w:rsidR="00027C5D" w:rsidRPr="00962B2B">
        <w:t>achever un pré-inventaire national auquel les ONG</w:t>
      </w:r>
      <w:r w:rsidR="0008239C" w:rsidRPr="00962B2B">
        <w:t xml:space="preserve"> avaient pleinement pris part, </w:t>
      </w:r>
      <w:r w:rsidR="00027C5D" w:rsidRPr="00962B2B">
        <w:t xml:space="preserve">des solutions créatives pourraient </w:t>
      </w:r>
      <w:r w:rsidR="00185394">
        <w:t>d</w:t>
      </w:r>
      <w:r w:rsidR="00346F1B">
        <w:t>’</w:t>
      </w:r>
      <w:r w:rsidR="00185394">
        <w:t xml:space="preserve">ailleurs </w:t>
      </w:r>
      <w:r w:rsidR="00027C5D" w:rsidRPr="00962B2B">
        <w:t>émerger</w:t>
      </w:r>
      <w:r w:rsidR="0008239C" w:rsidRPr="00962B2B">
        <w:t xml:space="preserve"> de ce travail</w:t>
      </w:r>
      <w:r w:rsidR="00027C5D" w:rsidRPr="00962B2B">
        <w:t>. L</w:t>
      </w:r>
      <w:r w:rsidR="00346F1B">
        <w:t>’</w:t>
      </w:r>
      <w:r w:rsidR="00027C5D" w:rsidRPr="00962B2B">
        <w:t>Expert a évoqué la nécessité de diversifier les ressources afi</w:t>
      </w:r>
      <w:r w:rsidR="00200749" w:rsidRPr="00962B2B">
        <w:t>n d</w:t>
      </w:r>
      <w:r w:rsidR="00346F1B">
        <w:t>’</w:t>
      </w:r>
      <w:r w:rsidR="00200749" w:rsidRPr="00962B2B">
        <w:t>atteindre les objectifs, en ajoutant que c</w:t>
      </w:r>
      <w:r w:rsidR="00346F1B">
        <w:t>’</w:t>
      </w:r>
      <w:r w:rsidR="00200749" w:rsidRPr="00962B2B">
        <w:t>était l</w:t>
      </w:r>
      <w:r w:rsidR="00346F1B">
        <w:t>’</w:t>
      </w:r>
      <w:r w:rsidR="00200749" w:rsidRPr="00962B2B">
        <w:t>avenir même de la Convention qui était en jeu. Il était toutefois heureux de voir le nombreux croissant d</w:t>
      </w:r>
      <w:r w:rsidR="00346F1B">
        <w:t>’</w:t>
      </w:r>
      <w:r w:rsidR="00200749" w:rsidRPr="00962B2B">
        <w:t>États africains ayant ratifié la Convention qui devenait de plus en plus universelle. Il a conclu son intervention en remerciant l</w:t>
      </w:r>
      <w:r w:rsidR="00346F1B">
        <w:t>’</w:t>
      </w:r>
      <w:r w:rsidR="00200749" w:rsidRPr="00962B2B">
        <w:t>Éthiopie</w:t>
      </w:r>
      <w:r w:rsidR="0008239C" w:rsidRPr="00962B2B">
        <w:t xml:space="preserve"> qui, à </w:t>
      </w:r>
      <w:r w:rsidR="00200749" w:rsidRPr="00962B2B">
        <w:t xml:space="preserve">la suite de la Namibie, </w:t>
      </w:r>
      <w:r w:rsidR="00185394">
        <w:t xml:space="preserve">faisait </w:t>
      </w:r>
      <w:r w:rsidR="00200749" w:rsidRPr="00962B2B">
        <w:t>honneur à l</w:t>
      </w:r>
      <w:r w:rsidR="00346F1B">
        <w:t>’</w:t>
      </w:r>
      <w:r w:rsidR="00200749" w:rsidRPr="00962B2B">
        <w:t>Afrique en tant qu</w:t>
      </w:r>
      <w:r w:rsidR="00346F1B">
        <w:t>’</w:t>
      </w:r>
      <w:r w:rsidR="00200749" w:rsidRPr="00962B2B">
        <w:t>hôte du Comité, notamment parc</w:t>
      </w:r>
      <w:r w:rsidR="00185394">
        <w:t>e qu</w:t>
      </w:r>
      <w:r w:rsidR="00346F1B">
        <w:t>’</w:t>
      </w:r>
      <w:r w:rsidR="00200749" w:rsidRPr="00962B2B">
        <w:t>Addis Abeba</w:t>
      </w:r>
      <w:r w:rsidR="0008239C" w:rsidRPr="00962B2B">
        <w:t xml:space="preserve"> était</w:t>
      </w:r>
      <w:r w:rsidR="00200749" w:rsidRPr="00962B2B">
        <w:t xml:space="preserve"> la capitale historique de l</w:t>
      </w:r>
      <w:r w:rsidR="00346F1B">
        <w:t>’</w:t>
      </w:r>
      <w:r w:rsidR="00200749" w:rsidRPr="00962B2B">
        <w:t>Afrique comme on avait pu le</w:t>
      </w:r>
      <w:r w:rsidR="0008239C" w:rsidRPr="00962B2B">
        <w:t xml:space="preserve"> constater le soir précédent lors de</w:t>
      </w:r>
      <w:r w:rsidR="00200749" w:rsidRPr="00962B2B">
        <w:t xml:space="preserve"> la présentation des différentes facettes de </w:t>
      </w:r>
      <w:r w:rsidR="0008239C" w:rsidRPr="00962B2B">
        <w:t xml:space="preserve">sa </w:t>
      </w:r>
      <w:r w:rsidR="00DE0564">
        <w:t>culture très diverse.</w:t>
      </w:r>
    </w:p>
    <w:p w14:paraId="65F6FD60" w14:textId="00A4A664" w:rsidR="0008239C" w:rsidRPr="0008239C" w:rsidRDefault="0008239C" w:rsidP="00AF7860">
      <w:pPr>
        <w:pStyle w:val="Orateurengris"/>
        <w:spacing w:before="120"/>
        <w:ind w:left="709" w:hanging="709"/>
      </w:pPr>
      <w:r w:rsidRPr="0008239C">
        <w:t>La délégation de l</w:t>
      </w:r>
      <w:r w:rsidR="00346F1B">
        <w:t>’</w:t>
      </w:r>
      <w:r w:rsidRPr="0008239C">
        <w:rPr>
          <w:b/>
        </w:rPr>
        <w:t>Algérie</w:t>
      </w:r>
      <w:r w:rsidRPr="0008239C">
        <w:t xml:space="preserve"> </w:t>
      </w:r>
      <w:r>
        <w:t xml:space="preserve">a remercié le Secrétariat pour la </w:t>
      </w:r>
      <w:r w:rsidRPr="0008239C">
        <w:t>présentation</w:t>
      </w:r>
      <w:r>
        <w:t xml:space="preserve"> de son rapport et pour le travail accompli qui était d</w:t>
      </w:r>
      <w:r w:rsidR="00346F1B">
        <w:t>’</w:t>
      </w:r>
      <w:r>
        <w:t xml:space="preserve">autant plus remarquable que les ressources disponibles pour mettre en œuvre ses objectifs étaient en baisse. La </w:t>
      </w:r>
      <w:r w:rsidRPr="0008239C">
        <w:t>délégation</w:t>
      </w:r>
      <w:r>
        <w:t xml:space="preserve"> a fait remarquer qu</w:t>
      </w:r>
      <w:r w:rsidR="00346F1B">
        <w:t>’</w:t>
      </w:r>
      <w:r>
        <w:t>il n</w:t>
      </w:r>
      <w:r w:rsidR="00346F1B">
        <w:t>’</w:t>
      </w:r>
      <w:r>
        <w:t xml:space="preserve">était pas fait mention dans le rapport de </w:t>
      </w:r>
      <w:r w:rsidRPr="0008239C">
        <w:t>financement</w:t>
      </w:r>
      <w:r>
        <w:t xml:space="preserve"> extrabudgétaire. Le </w:t>
      </w:r>
      <w:r w:rsidRPr="0008239C">
        <w:t>Secrétaire</w:t>
      </w:r>
      <w:r>
        <w:t xml:space="preserve"> ayant tout </w:t>
      </w:r>
      <w:r w:rsidRPr="0008239C">
        <w:t>particulièrement</w:t>
      </w:r>
      <w:r>
        <w:t xml:space="preserve"> appelé à </w:t>
      </w:r>
      <w:r w:rsidR="00292B77">
        <w:t>« penser</w:t>
      </w:r>
      <w:r>
        <w:t xml:space="preserve"> en dehors des schémas préconçus », la </w:t>
      </w:r>
      <w:r w:rsidRPr="0008239C">
        <w:t>délégation</w:t>
      </w:r>
      <w:r>
        <w:t xml:space="preserve"> souhaitait des </w:t>
      </w:r>
      <w:r w:rsidR="00185394">
        <w:t xml:space="preserve">éclaircissements </w:t>
      </w:r>
      <w:r>
        <w:t xml:space="preserve">quant </w:t>
      </w:r>
      <w:r w:rsidR="00292B77">
        <w:t xml:space="preserve">aux façons de procurer de nouvelles ressources à la </w:t>
      </w:r>
      <w:r w:rsidR="00292B77" w:rsidRPr="00292B77">
        <w:t>Convention</w:t>
      </w:r>
      <w:r w:rsidR="00292B77">
        <w:t xml:space="preserve"> et au Secrétariat pour la mise en œuvre des décisions du Comité au sein du cadre global de </w:t>
      </w:r>
      <w:r w:rsidR="00292B77" w:rsidRPr="00292B77">
        <w:t>financement</w:t>
      </w:r>
      <w:r w:rsidR="00292B77">
        <w:t xml:space="preserve"> qui devait être adopté par</w:t>
      </w:r>
      <w:r w:rsidR="00ED7C66">
        <w:t xml:space="preserve"> l</w:t>
      </w:r>
      <w:r w:rsidR="00346F1B">
        <w:t>’</w:t>
      </w:r>
      <w:r w:rsidR="00ED7C66">
        <w:t>UNESCO, en particulier le d</w:t>
      </w:r>
      <w:r w:rsidR="00292B77">
        <w:t>ialogu</w:t>
      </w:r>
      <w:r w:rsidR="00ED7C66">
        <w:t>e structuré sur le financement</w:t>
      </w:r>
      <w:r w:rsidR="00DE0564">
        <w:t>.</w:t>
      </w:r>
    </w:p>
    <w:p w14:paraId="0B083EB0" w14:textId="34119913" w:rsidR="00292B77" w:rsidRPr="00443EB2" w:rsidRDefault="005847BD" w:rsidP="00AF7860">
      <w:pPr>
        <w:pStyle w:val="Orateurengris"/>
        <w:spacing w:before="120"/>
        <w:ind w:left="709" w:hanging="709"/>
      </w:pPr>
      <w:r w:rsidRPr="00443EB2">
        <w:t xml:space="preserve">La délégation du </w:t>
      </w:r>
      <w:r w:rsidR="00443EB2" w:rsidRPr="00443EB2">
        <w:rPr>
          <w:b/>
        </w:rPr>
        <w:t>Liban</w:t>
      </w:r>
      <w:r w:rsidR="00443EB2">
        <w:t xml:space="preserve"> a remercié le Secrétariat </w:t>
      </w:r>
      <w:r w:rsidR="00705ECE">
        <w:t>pour le rapport très clair sur s</w:t>
      </w:r>
      <w:r w:rsidR="00443EB2">
        <w:t xml:space="preserve">es </w:t>
      </w:r>
      <w:r w:rsidR="00443EB2" w:rsidRPr="00443EB2">
        <w:t>activités</w:t>
      </w:r>
      <w:r w:rsidR="00705ECE">
        <w:t xml:space="preserve"> </w:t>
      </w:r>
      <w:r w:rsidR="00443EB2">
        <w:t xml:space="preserve">ainsi que sur les défis auxquels la </w:t>
      </w:r>
      <w:r w:rsidR="00443EB2" w:rsidRPr="00443EB2">
        <w:t>Convention</w:t>
      </w:r>
      <w:r w:rsidR="00FB53DF">
        <w:t xml:space="preserve"> était</w:t>
      </w:r>
      <w:r w:rsidR="00443EB2">
        <w:t xml:space="preserve"> confronté</w:t>
      </w:r>
      <w:r w:rsidR="00705ECE">
        <w:t>e</w:t>
      </w:r>
      <w:r w:rsidR="00443EB2">
        <w:t>. S</w:t>
      </w:r>
      <w:r w:rsidR="00346F1B">
        <w:t>’</w:t>
      </w:r>
      <w:r w:rsidR="00443EB2">
        <w:t xml:space="preserve">agissant des aspects financiers de la mise en œuvre, la </w:t>
      </w:r>
      <w:r w:rsidR="00443EB2" w:rsidRPr="00443EB2">
        <w:t>délégation</w:t>
      </w:r>
      <w:r w:rsidR="00FB53DF">
        <w:t xml:space="preserve"> souhaitait</w:t>
      </w:r>
      <w:r w:rsidR="00443EB2">
        <w:t xml:space="preserve"> disposer de plus d</w:t>
      </w:r>
      <w:r w:rsidR="00346F1B">
        <w:t>’</w:t>
      </w:r>
      <w:r w:rsidR="00443EB2" w:rsidRPr="00443EB2">
        <w:t>informations</w:t>
      </w:r>
      <w:r w:rsidR="00FB53DF">
        <w:t xml:space="preserve"> sur les raisons qui sous-tendaie</w:t>
      </w:r>
      <w:r w:rsidR="00443EB2">
        <w:t xml:space="preserve">nt </w:t>
      </w:r>
      <w:r w:rsidR="00705ECE">
        <w:t>la pénurie de ressources financières</w:t>
      </w:r>
      <w:r w:rsidR="00FB53DF">
        <w:t>,</w:t>
      </w:r>
      <w:r w:rsidR="00705ECE">
        <w:t xml:space="preserve"> et </w:t>
      </w:r>
      <w:r w:rsidR="00FB53DF">
        <w:t xml:space="preserve">savoir </w:t>
      </w:r>
      <w:r w:rsidR="00705ECE">
        <w:t>si celle-ci était due à un manque de bailleurs de fonds ou si le problème venait d</w:t>
      </w:r>
      <w:r w:rsidR="00346F1B">
        <w:t>’</w:t>
      </w:r>
      <w:r w:rsidR="00705ECE">
        <w:t xml:space="preserve">une visibilité insuffisante de la </w:t>
      </w:r>
      <w:r w:rsidR="00705ECE" w:rsidRPr="00705ECE">
        <w:t>Convention</w:t>
      </w:r>
      <w:r w:rsidR="00705ECE">
        <w:t xml:space="preserve"> pour </w:t>
      </w:r>
      <w:r w:rsidR="00DE0564">
        <w:t>attirer l</w:t>
      </w:r>
      <w:r w:rsidR="00346F1B">
        <w:t>’</w:t>
      </w:r>
      <w:r w:rsidR="00DE0564">
        <w:t>attention nécessaire.</w:t>
      </w:r>
    </w:p>
    <w:p w14:paraId="71E685F6" w14:textId="03970B79" w:rsidR="00705ECE" w:rsidRPr="00705ECE" w:rsidRDefault="00705ECE" w:rsidP="00AF7860">
      <w:pPr>
        <w:pStyle w:val="Orateurengris"/>
        <w:spacing w:before="120"/>
        <w:ind w:left="709" w:hanging="709"/>
      </w:pPr>
      <w:r w:rsidRPr="00705ECE">
        <w:t xml:space="preserve">La délégation de la </w:t>
      </w:r>
      <w:r w:rsidRPr="00705ECE">
        <w:rPr>
          <w:b/>
        </w:rPr>
        <w:t>Mongolie</w:t>
      </w:r>
      <w:r w:rsidRPr="00705ECE">
        <w:t xml:space="preserve"> a félicité le Président pour sa désignation</w:t>
      </w:r>
      <w:r>
        <w:t xml:space="preserve"> à ce poste et a adressé ses remerciements à l</w:t>
      </w:r>
      <w:r w:rsidR="00346F1B">
        <w:t>’</w:t>
      </w:r>
      <w:r w:rsidRPr="00705ECE">
        <w:t>Éthiopie</w:t>
      </w:r>
      <w:r>
        <w:t xml:space="preserve"> d</w:t>
      </w:r>
      <w:r w:rsidR="00346F1B">
        <w:t>’</w:t>
      </w:r>
      <w:r>
        <w:t xml:space="preserve">accueillir cette session. Elle a </w:t>
      </w:r>
      <w:r w:rsidRPr="00705ECE">
        <w:t>également</w:t>
      </w:r>
      <w:r>
        <w:t xml:space="preserve"> félicité le Secrétariat pour son excellent travail, en prenant note du nombre d</w:t>
      </w:r>
      <w:r w:rsidR="00346F1B">
        <w:t>’</w:t>
      </w:r>
      <w:r>
        <w:t>activités entreprises par le Secrétariat pour faciliter l</w:t>
      </w:r>
      <w:r w:rsidR="00346F1B">
        <w:t>’</w:t>
      </w:r>
      <w:r>
        <w:t xml:space="preserve">accès des États parties. Elle </w:t>
      </w:r>
      <w:r w:rsidR="00BD1C0F">
        <w:t>appréciait que le nombre de demandes d</w:t>
      </w:r>
      <w:r w:rsidR="00346F1B">
        <w:t>’</w:t>
      </w:r>
      <w:r w:rsidR="00BD1C0F">
        <w:t xml:space="preserve">assistance internationale soit en augmentation, </w:t>
      </w:r>
      <w:r w:rsidR="00BD1C0F" w:rsidRPr="00BD1C0F">
        <w:t>en particulier</w:t>
      </w:r>
      <w:r w:rsidR="00BD1C0F">
        <w:t xml:space="preserve"> e</w:t>
      </w:r>
      <w:r w:rsidR="00BD1C0F" w:rsidRPr="00BD1C0F">
        <w:t>n ce qui concerne</w:t>
      </w:r>
      <w:r w:rsidR="00BD1C0F">
        <w:t xml:space="preserve"> les activités de </w:t>
      </w:r>
      <w:r w:rsidR="00BD1C0F" w:rsidRPr="00BD1C0F">
        <w:t>sauvegarde</w:t>
      </w:r>
      <w:r w:rsidR="007576F6">
        <w:t xml:space="preserve"> urgente</w:t>
      </w:r>
      <w:r w:rsidR="00BD1C0F">
        <w:t xml:space="preserve">. La </w:t>
      </w:r>
      <w:r w:rsidR="00BD1C0F" w:rsidRPr="00BD1C0F">
        <w:t>délégation</w:t>
      </w:r>
      <w:r w:rsidR="00BD1C0F">
        <w:t xml:space="preserve"> a donc apporté son soutien au Secrétariat dans le </w:t>
      </w:r>
      <w:r w:rsidR="00BD1C0F" w:rsidRPr="00BD1C0F">
        <w:t>développement</w:t>
      </w:r>
      <w:r w:rsidR="00BD1C0F">
        <w:t xml:space="preserve"> de sa </w:t>
      </w:r>
      <w:r w:rsidR="00BD1C0F" w:rsidRPr="00BD1C0F">
        <w:t>coopération</w:t>
      </w:r>
      <w:r w:rsidR="00BD1C0F">
        <w:t xml:space="preserve"> avec les centres de catégorie 2 et ses activités de renforcement des capacités, et elle a encouragé le Secrétariat à utiliser de</w:t>
      </w:r>
      <w:r w:rsidR="007576F6">
        <w:t xml:space="preserve"> nouveaux outils conformes à l</w:t>
      </w:r>
      <w:r w:rsidR="00346F1B">
        <w:t>’</w:t>
      </w:r>
      <w:r w:rsidR="007576F6">
        <w:t>A</w:t>
      </w:r>
      <w:r w:rsidR="00BD1C0F">
        <w:t>genda 2030. Elle a souhaité au Comité une fructueuse semaine à v</w:t>
      </w:r>
      <w:r w:rsidR="00DE0564">
        <w:t>enir.</w:t>
      </w:r>
    </w:p>
    <w:p w14:paraId="7B4B2599" w14:textId="7D1F9328" w:rsidR="00BD1C0F" w:rsidRPr="00BD1C0F" w:rsidRDefault="00BD1C0F" w:rsidP="00AF7860">
      <w:pPr>
        <w:pStyle w:val="Orateurengris"/>
        <w:spacing w:before="120"/>
        <w:ind w:left="709" w:hanging="709"/>
      </w:pPr>
      <w:r w:rsidRPr="00BD1C0F">
        <w:t xml:space="preserve">Le </w:t>
      </w:r>
      <w:r w:rsidRPr="00BD1C0F">
        <w:rPr>
          <w:b/>
        </w:rPr>
        <w:t>Président</w:t>
      </w:r>
      <w:r w:rsidRPr="00BD1C0F">
        <w:t xml:space="preserve"> a remercié la Mongolie et, avant de donner la parole aux autres délégations</w:t>
      </w:r>
      <w:r>
        <w:t xml:space="preserve">, il a invité le </w:t>
      </w:r>
      <w:r w:rsidRPr="00BD1C0F">
        <w:t>Secrétaire</w:t>
      </w:r>
      <w:r w:rsidR="00DE0564">
        <w:t xml:space="preserve"> à répondre aux questions.</w:t>
      </w:r>
    </w:p>
    <w:p w14:paraId="7AA0703D" w14:textId="5FDC4FB7" w:rsidR="008D48F5" w:rsidRPr="00270959" w:rsidRDefault="008D48F5" w:rsidP="00AF7860">
      <w:pPr>
        <w:pStyle w:val="Orateurengris"/>
        <w:spacing w:before="120"/>
        <w:ind w:left="709" w:hanging="709"/>
      </w:pPr>
      <w:r w:rsidRPr="00270959">
        <w:t xml:space="preserve">Le </w:t>
      </w:r>
      <w:r w:rsidRPr="00270959">
        <w:rPr>
          <w:b/>
        </w:rPr>
        <w:t>Secrétaire</w:t>
      </w:r>
      <w:r w:rsidRPr="00270959">
        <w:t xml:space="preserve"> a remercié </w:t>
      </w:r>
      <w:r w:rsidR="00475FB5" w:rsidRPr="00270959">
        <w:t>les délégations d</w:t>
      </w:r>
      <w:r w:rsidR="00346F1B">
        <w:t>’</w:t>
      </w:r>
      <w:r w:rsidR="00475FB5" w:rsidRPr="00270959">
        <w:t>avoir</w:t>
      </w:r>
      <w:r w:rsidRPr="00270959">
        <w:t xml:space="preserve"> </w:t>
      </w:r>
      <w:r w:rsidR="00475FB5" w:rsidRPr="00270959">
        <w:t>reconnu</w:t>
      </w:r>
      <w:r w:rsidRPr="00270959">
        <w:t xml:space="preserve"> le travail du Secrétariat ; leurs commentaires favorables étaient très appréciés. Faisant référence aux deux principaux thèmes qui avaient émergé des commentaires, le Secrétaire a</w:t>
      </w:r>
      <w:r w:rsidR="00FB53DF" w:rsidRPr="00270959">
        <w:t>vait</w:t>
      </w:r>
      <w:r w:rsidRPr="00270959">
        <w:t xml:space="preserve"> pris note des préoccupations relatives aux ressources humaines du Secrétariat et des questions liées au financement. Revenant sur les interventions</w:t>
      </w:r>
      <w:r w:rsidR="00FB53DF" w:rsidRPr="00270959">
        <w:t xml:space="preserve"> précédentes</w:t>
      </w:r>
      <w:r w:rsidRPr="00270959">
        <w:t>, le Secrétaire a</w:t>
      </w:r>
      <w:r w:rsidR="00FB53DF" w:rsidRPr="00270959">
        <w:t>vait noté</w:t>
      </w:r>
      <w:r w:rsidR="005002B3" w:rsidRPr="00270959">
        <w:t>, entr</w:t>
      </w:r>
      <w:r w:rsidR="00FB53DF" w:rsidRPr="00270959">
        <w:t xml:space="preserve">e autres sujets, </w:t>
      </w:r>
      <w:r w:rsidRPr="00270959">
        <w:t>que l</w:t>
      </w:r>
      <w:r w:rsidR="00346F1B">
        <w:t>’</w:t>
      </w:r>
      <w:r w:rsidRPr="00270959">
        <w:t>Inde avait posé une question sur le dialogue dans le cadre du processus d</w:t>
      </w:r>
      <w:r w:rsidR="00346F1B">
        <w:t>’</w:t>
      </w:r>
      <w:r w:rsidRPr="00270959">
        <w:t xml:space="preserve">évaluation ; </w:t>
      </w:r>
      <w:r w:rsidR="00FB53DF" w:rsidRPr="00270959">
        <w:t xml:space="preserve">que </w:t>
      </w:r>
      <w:r w:rsidRPr="00270959">
        <w:t xml:space="preserve">Cuba avait mentionné la planification stratégique à venir ; </w:t>
      </w:r>
      <w:r w:rsidR="00FB53DF" w:rsidRPr="00270959">
        <w:t xml:space="preserve">que </w:t>
      </w:r>
      <w:r w:rsidRPr="00270959">
        <w:t>plusie</w:t>
      </w:r>
      <w:r w:rsidR="00475FB5" w:rsidRPr="00270959">
        <w:t>urs délégations avaient fait état</w:t>
      </w:r>
      <w:r w:rsidRPr="00270959">
        <w:t xml:space="preserve"> de la </w:t>
      </w:r>
      <w:r w:rsidR="007576F6" w:rsidRPr="00270959">
        <w:t xml:space="preserve">communication avec </w:t>
      </w:r>
      <w:r w:rsidRPr="00270959">
        <w:t>la société civile et d</w:t>
      </w:r>
      <w:r w:rsidR="00346F1B">
        <w:t>’</w:t>
      </w:r>
      <w:r w:rsidRPr="00270959">
        <w:t xml:space="preserve">autres formes de partenariat ; et </w:t>
      </w:r>
      <w:r w:rsidR="00FB53DF" w:rsidRPr="00270959">
        <w:t xml:space="preserve">que </w:t>
      </w:r>
      <w:r w:rsidRPr="00270959">
        <w:t>la Turquie</w:t>
      </w:r>
      <w:r w:rsidR="00FB53DF" w:rsidRPr="00270959">
        <w:t>,</w:t>
      </w:r>
      <w:r w:rsidRPr="00270959">
        <w:t xml:space="preserve"> ainsi que d</w:t>
      </w:r>
      <w:r w:rsidR="00346F1B">
        <w:t>’</w:t>
      </w:r>
      <w:r w:rsidRPr="00270959">
        <w:t>autres délégations</w:t>
      </w:r>
      <w:r w:rsidR="00FB53DF" w:rsidRPr="00270959">
        <w:t>,</w:t>
      </w:r>
      <w:r w:rsidRPr="00270959">
        <w:t xml:space="preserve"> </w:t>
      </w:r>
      <w:r w:rsidR="00FB53DF" w:rsidRPr="00270959">
        <w:t>avai</w:t>
      </w:r>
      <w:r w:rsidR="005002B3" w:rsidRPr="00270959">
        <w:t>t évoqué l</w:t>
      </w:r>
      <w:r w:rsidR="00346F1B">
        <w:t>’</w:t>
      </w:r>
      <w:r w:rsidR="005002B3" w:rsidRPr="00270959">
        <w:t xml:space="preserve">importance de maintenir </w:t>
      </w:r>
      <w:r w:rsidR="00FB53DF" w:rsidRPr="00270959">
        <w:t>l</w:t>
      </w:r>
      <w:r w:rsidR="00346F1B">
        <w:t>’</w:t>
      </w:r>
      <w:r w:rsidR="00FB53DF" w:rsidRPr="00270959">
        <w:t xml:space="preserve">orientation de </w:t>
      </w:r>
      <w:r w:rsidR="005002B3" w:rsidRPr="00270959">
        <w:t>la Convention sur le mécanisme de sauvegarde urgente. S</w:t>
      </w:r>
      <w:r w:rsidR="00346F1B">
        <w:t>’</w:t>
      </w:r>
      <w:r w:rsidR="005002B3" w:rsidRPr="00270959">
        <w:t>agissant du financement et du financement extrabudgétaire, le Secrétaire a fait référence au point 6 de l</w:t>
      </w:r>
      <w:r w:rsidR="00346F1B">
        <w:t>’</w:t>
      </w:r>
      <w:r w:rsidR="005002B3" w:rsidRPr="00270959">
        <w:t xml:space="preserve">ordre du jour sur les contributions volontaires au Fonds, </w:t>
      </w:r>
      <w:r w:rsidR="00503398" w:rsidRPr="00270959">
        <w:t xml:space="preserve">dont </w:t>
      </w:r>
      <w:r w:rsidR="005002B3" w:rsidRPr="00270959">
        <w:t xml:space="preserve">le rapport </w:t>
      </w:r>
      <w:r w:rsidR="00503398" w:rsidRPr="00270959">
        <w:t xml:space="preserve">faisait </w:t>
      </w:r>
      <w:r w:rsidR="005002B3" w:rsidRPr="00270959">
        <w:t xml:space="preserve">spécifiquement </w:t>
      </w:r>
      <w:r w:rsidR="00503398" w:rsidRPr="00270959">
        <w:t>référence à</w:t>
      </w:r>
      <w:r w:rsidR="005002B3" w:rsidRPr="00270959">
        <w:t xml:space="preserve"> la mise en œuvre du mécanisme d</w:t>
      </w:r>
      <w:r w:rsidR="00346F1B">
        <w:t>’</w:t>
      </w:r>
      <w:r w:rsidR="005002B3" w:rsidRPr="00270959">
        <w:t>assistance internationale</w:t>
      </w:r>
      <w:r w:rsidR="00503398" w:rsidRPr="00270959">
        <w:t xml:space="preserve">, qui serait </w:t>
      </w:r>
      <w:r w:rsidR="007576F6" w:rsidRPr="00270959">
        <w:t>abordée</w:t>
      </w:r>
      <w:r w:rsidR="00FB53DF" w:rsidRPr="00270959">
        <w:t xml:space="preserve"> au</w:t>
      </w:r>
      <w:r w:rsidR="00503398" w:rsidRPr="00270959">
        <w:t xml:space="preserve"> point 7 ; le Secrétaire avait le sentiment que ces deux sujets étaient liés et renvoyaient à la question de l</w:t>
      </w:r>
      <w:r w:rsidR="00346F1B">
        <w:t>’</w:t>
      </w:r>
      <w:r w:rsidR="00503398" w:rsidRPr="00270959">
        <w:t>Algérie sur le dialogue structuré de financement qui était également en cours à l</w:t>
      </w:r>
      <w:r w:rsidR="00346F1B">
        <w:t>’</w:t>
      </w:r>
      <w:r w:rsidR="00503398" w:rsidRPr="00270959">
        <w:t xml:space="preserve">UNESCO. </w:t>
      </w:r>
      <w:r w:rsidR="007F39CE" w:rsidRPr="00270959">
        <w:t>Le Secrétaire a expliqué que l</w:t>
      </w:r>
      <w:r w:rsidR="00346F1B">
        <w:t>’</w:t>
      </w:r>
      <w:r w:rsidR="007F39CE" w:rsidRPr="00270959">
        <w:t xml:space="preserve">un des problèmes concernant le Fonds était que les contributions </w:t>
      </w:r>
      <w:r w:rsidR="008657EE" w:rsidRPr="00270959">
        <w:t>obligatoires au titre de</w:t>
      </w:r>
      <w:r w:rsidR="007F39CE" w:rsidRPr="00270959">
        <w:t xml:space="preserve"> la Convention</w:t>
      </w:r>
      <w:r w:rsidR="008657EE" w:rsidRPr="00270959">
        <w:t xml:space="preserve"> </w:t>
      </w:r>
      <w:r w:rsidR="007F39CE" w:rsidRPr="00270959">
        <w:t>s</w:t>
      </w:r>
      <w:r w:rsidR="00346F1B">
        <w:t>’</w:t>
      </w:r>
      <w:r w:rsidR="008657EE" w:rsidRPr="00270959">
        <w:t>accumulaient depuis</w:t>
      </w:r>
      <w:r w:rsidR="007F39CE" w:rsidRPr="00270959">
        <w:t xml:space="preserve"> </w:t>
      </w:r>
      <w:r w:rsidR="008657EE" w:rsidRPr="00270959">
        <w:t>plusi</w:t>
      </w:r>
      <w:r w:rsidR="00475FB5" w:rsidRPr="00270959">
        <w:t xml:space="preserve">eurs années et que </w:t>
      </w:r>
      <w:r w:rsidR="007F39CE" w:rsidRPr="00270959">
        <w:t xml:space="preserve">le Secrétariat </w:t>
      </w:r>
      <w:r w:rsidR="00475FB5" w:rsidRPr="00270959">
        <w:t>n</w:t>
      </w:r>
      <w:r w:rsidR="00346F1B">
        <w:t>’</w:t>
      </w:r>
      <w:r w:rsidR="00475FB5" w:rsidRPr="00270959">
        <w:t xml:space="preserve">avait pas la capacité </w:t>
      </w:r>
      <w:r w:rsidR="007F39CE" w:rsidRPr="00270959">
        <w:t>de l</w:t>
      </w:r>
      <w:r w:rsidR="008657EE" w:rsidRPr="00270959">
        <w:t>es</w:t>
      </w:r>
      <w:r w:rsidR="00FE37C4" w:rsidRPr="00270959">
        <w:t xml:space="preserve"> utiliser</w:t>
      </w:r>
      <w:r w:rsidR="00475FB5" w:rsidRPr="00270959">
        <w:t>,</w:t>
      </w:r>
      <w:r w:rsidR="00FE37C4" w:rsidRPr="00270959">
        <w:t xml:space="preserve"> en raison des articles du</w:t>
      </w:r>
      <w:r w:rsidR="008657EE" w:rsidRPr="00270959">
        <w:t xml:space="preserve"> Règlement intérieur de</w:t>
      </w:r>
      <w:r w:rsidR="00FE37C4" w:rsidRPr="00270959">
        <w:t xml:space="preserve"> la Convention, de</w:t>
      </w:r>
      <w:r w:rsidR="008657EE" w:rsidRPr="00270959">
        <w:t xml:space="preserve"> l</w:t>
      </w:r>
      <w:r w:rsidR="00346F1B">
        <w:t>’</w:t>
      </w:r>
      <w:r w:rsidR="008657EE" w:rsidRPr="00270959">
        <w:t>Assemblée générale et du Comité</w:t>
      </w:r>
      <w:r w:rsidR="00FE37C4" w:rsidRPr="00270959">
        <w:t xml:space="preserve"> sur les modalités d</w:t>
      </w:r>
      <w:r w:rsidR="00346F1B">
        <w:t>’</w:t>
      </w:r>
      <w:r w:rsidR="00FE37C4" w:rsidRPr="00270959">
        <w:t xml:space="preserve">utilisation du Fonds. Parallèlement, les bailleurs de fonds constataient </w:t>
      </w:r>
      <w:r w:rsidR="00554043" w:rsidRPr="00270959">
        <w:t>une sous-utilisation croissante du Fonds et se demandaient si des contributions supplémentaires</w:t>
      </w:r>
      <w:r w:rsidR="00475FB5" w:rsidRPr="00270959">
        <w:t xml:space="preserve"> étaient nécessaires alors que l</w:t>
      </w:r>
      <w:r w:rsidR="00554043" w:rsidRPr="00270959">
        <w:t xml:space="preserve">es fonds </w:t>
      </w:r>
      <w:r w:rsidR="00475FB5" w:rsidRPr="00270959">
        <w:t xml:space="preserve">déjà </w:t>
      </w:r>
      <w:r w:rsidR="00554043" w:rsidRPr="00270959">
        <w:t>disponibles n</w:t>
      </w:r>
      <w:r w:rsidR="00346F1B">
        <w:t>’</w:t>
      </w:r>
      <w:r w:rsidR="00554043" w:rsidRPr="00270959">
        <w:t xml:space="preserve">étaient pas dépensés. </w:t>
      </w:r>
      <w:r w:rsidR="00FB53DF" w:rsidRPr="00270959">
        <w:t>L</w:t>
      </w:r>
      <w:r w:rsidR="00554043" w:rsidRPr="00270959">
        <w:t>es fonds ne pouvaient pas être engagés par le Secrétariat, c</w:t>
      </w:r>
      <w:r w:rsidR="00346F1B">
        <w:t>’</w:t>
      </w:r>
      <w:r w:rsidR="00554043" w:rsidRPr="00270959">
        <w:t>était la raison pour laquelle le financement demeurait un problème. Une mesure importante avait cependant été prise par l</w:t>
      </w:r>
      <w:r w:rsidR="00346F1B">
        <w:t>’</w:t>
      </w:r>
      <w:r w:rsidR="00554043" w:rsidRPr="00270959">
        <w:t>Assemblée générale afin de faciliter l</w:t>
      </w:r>
      <w:r w:rsidR="00346F1B">
        <w:t>’</w:t>
      </w:r>
      <w:r w:rsidR="00554043" w:rsidRPr="00270959">
        <w:t>accès à ce Fonds, mais une demande d</w:t>
      </w:r>
      <w:r w:rsidR="00346F1B">
        <w:t>’</w:t>
      </w:r>
      <w:r w:rsidR="00554043" w:rsidRPr="00270959">
        <w:t>assistance internationale, une fois approuvée par le Bureau, mettait en œuvre un mécanisme administratif conforme au Règlement intérieur de l</w:t>
      </w:r>
      <w:r w:rsidR="00346F1B">
        <w:t>’</w:t>
      </w:r>
      <w:r w:rsidR="00554043" w:rsidRPr="00270959">
        <w:t>UNESCO, ce qui signifiait que les fonds nécessaires devaient</w:t>
      </w:r>
      <w:r w:rsidR="00314FDB" w:rsidRPr="00270959">
        <w:t xml:space="preserve"> être suivis et contrôlés du point de vue financier et du point de vue du </w:t>
      </w:r>
      <w:r w:rsidR="00554043" w:rsidRPr="00270959">
        <w:t xml:space="preserve">patrimoine culturel immatériel. La question était de savoir comment les enseignements tirés de ces projets pourraient </w:t>
      </w:r>
      <w:r w:rsidR="00B077A0" w:rsidRPr="00270959">
        <w:t xml:space="preserve">se concrétiser </w:t>
      </w:r>
      <w:r w:rsidR="00775A0D" w:rsidRPr="00270959">
        <w:t xml:space="preserve">dans </w:t>
      </w:r>
      <w:r w:rsidR="009655E0" w:rsidRPr="00270959">
        <w:t>la Convention. Des fonds de plus en plus importants demeuraient sous-utilisés mais le Secrétariat ne pouvait pas décider de leur utilisation, alors que dans le même temps, les fonds extrabudgétaires continuaient de diminuer en raison de cette perception</w:t>
      </w:r>
      <w:r w:rsidR="00B077A0" w:rsidRPr="00270959">
        <w:t xml:space="preserve"> erronée</w:t>
      </w:r>
      <w:r w:rsidR="009655E0" w:rsidRPr="00270959">
        <w:t>. Le Secrétaire</w:t>
      </w:r>
      <w:r w:rsidR="005C3471" w:rsidRPr="00270959">
        <w:t xml:space="preserve"> </w:t>
      </w:r>
      <w:r w:rsidR="00314FDB" w:rsidRPr="00270959">
        <w:t>a fait référe</w:t>
      </w:r>
      <w:r w:rsidR="00270959">
        <w:t>nce à la conclusion identique faite par</w:t>
      </w:r>
      <w:r w:rsidR="00314FDB" w:rsidRPr="00270959">
        <w:t xml:space="preserve"> la Turquie selon laquelle</w:t>
      </w:r>
      <w:r w:rsidR="00270959" w:rsidRPr="00270959">
        <w:t xml:space="preserve"> une solution à ce problème d</w:t>
      </w:r>
      <w:r w:rsidR="00346F1B">
        <w:t>’</w:t>
      </w:r>
      <w:r w:rsidR="00270959" w:rsidRPr="00270959">
        <w:t>utilisation du Fonds devait être trouvée par</w:t>
      </w:r>
      <w:r w:rsidR="009655E0" w:rsidRPr="00270959">
        <w:t xml:space="preserve"> </w:t>
      </w:r>
      <w:r w:rsidR="00270959" w:rsidRPr="00270959">
        <w:t>le Comité. La recherche de cette solution ne saurait faire abstraction de la nécessité d</w:t>
      </w:r>
      <w:r w:rsidR="00346F1B">
        <w:t>’</w:t>
      </w:r>
      <w:r w:rsidR="00270959" w:rsidRPr="00270959">
        <w:t>envisager</w:t>
      </w:r>
      <w:r w:rsidR="006166E4" w:rsidRPr="00270959">
        <w:t xml:space="preserve"> une approche plus généra</w:t>
      </w:r>
      <w:r w:rsidR="00270959" w:rsidRPr="00270959">
        <w:t>le en matière de levée de fonds</w:t>
      </w:r>
      <w:r w:rsidR="006166E4" w:rsidRPr="00270959">
        <w:t>. En ce qui concerne la question soulevée par les Philippines à propos des études de cas sur le développement durable et les problèmes des situations d</w:t>
      </w:r>
      <w:r w:rsidR="00346F1B">
        <w:t>’</w:t>
      </w:r>
      <w:r w:rsidR="006166E4" w:rsidRPr="00270959">
        <w:t>urgence suite à des catastrophes naturelles, le Secrétaire a convenu qu</w:t>
      </w:r>
      <w:r w:rsidR="00346F1B">
        <w:t>’</w:t>
      </w:r>
      <w:r w:rsidR="006166E4" w:rsidRPr="00270959">
        <w:t>il s</w:t>
      </w:r>
      <w:r w:rsidR="00346F1B">
        <w:t>’</w:t>
      </w:r>
      <w:r w:rsidR="006166E4" w:rsidRPr="00270959">
        <w:t xml:space="preserve">agissait de sujets que la Convention devrait aborder mais que les </w:t>
      </w:r>
      <w:r w:rsidR="001E7F9D" w:rsidRPr="00270959">
        <w:t xml:space="preserve">ressources disponibles </w:t>
      </w:r>
      <w:r w:rsidR="006166E4" w:rsidRPr="00270959">
        <w:t>ne couvraient que l</w:t>
      </w:r>
      <w:r w:rsidR="00346F1B">
        <w:t>’</w:t>
      </w:r>
      <w:r w:rsidR="006166E4" w:rsidRPr="00270959">
        <w:t>exécution des obligations statutaires et le programme de renforcement des capacités. Ceci expliquait le cri d</w:t>
      </w:r>
      <w:r w:rsidR="00346F1B">
        <w:t>’</w:t>
      </w:r>
      <w:r w:rsidR="006166E4" w:rsidRPr="00270959">
        <w:t xml:space="preserve">alarme </w:t>
      </w:r>
      <w:r w:rsidR="00745909" w:rsidRPr="00270959">
        <w:t>lancé et la nécessité de trouver des partenariats créatifs et d</w:t>
      </w:r>
      <w:r w:rsidR="00346F1B">
        <w:t>’</w:t>
      </w:r>
      <w:r w:rsidR="00745909" w:rsidRPr="00270959">
        <w:t xml:space="preserve">œuvrer au renforcement de la visibilité de la Convention, deux pistes de travail que le Secrétariat avait commencé à explorer, </w:t>
      </w:r>
      <w:r w:rsidR="001E7F9D" w:rsidRPr="00270959">
        <w:t xml:space="preserve">au titre des </w:t>
      </w:r>
      <w:r w:rsidR="00745909" w:rsidRPr="00270959">
        <w:t xml:space="preserve">20 pour cent </w:t>
      </w:r>
      <w:r w:rsidR="001E7F9D" w:rsidRPr="00270959">
        <w:t xml:space="preserve">du budget autorisés pour les </w:t>
      </w:r>
      <w:r w:rsidR="00745909" w:rsidRPr="00270959">
        <w:t>« autres fonctions du Comité » par l</w:t>
      </w:r>
      <w:r w:rsidR="00346F1B">
        <w:t>’</w:t>
      </w:r>
      <w:r w:rsidR="00745909" w:rsidRPr="00270959">
        <w:t>Assemblée générale et le Bureau. Le Secrétaire</w:t>
      </w:r>
      <w:r w:rsidR="00B077A0" w:rsidRPr="00270959">
        <w:t xml:space="preserve"> a assuré le</w:t>
      </w:r>
      <w:r w:rsidR="00745909" w:rsidRPr="00270959">
        <w:t xml:space="preserve"> Comité que les autres questions soulevées, </w:t>
      </w:r>
      <w:r w:rsidR="00B077A0" w:rsidRPr="00270959">
        <w:t xml:space="preserve">telles que </w:t>
      </w:r>
      <w:r w:rsidR="00745909" w:rsidRPr="00270959">
        <w:t>les situations d</w:t>
      </w:r>
      <w:r w:rsidR="00346F1B">
        <w:t>’</w:t>
      </w:r>
      <w:r w:rsidR="00745909" w:rsidRPr="00270959">
        <w:t xml:space="preserve">urgence, les cadres de suivi, etc., seraient traitées </w:t>
      </w:r>
      <w:r w:rsidR="001E7F9D" w:rsidRPr="00270959">
        <w:t xml:space="preserve">au titre </w:t>
      </w:r>
      <w:r w:rsidR="00745909" w:rsidRPr="00270959">
        <w:t>des autres points de l</w:t>
      </w:r>
      <w:r w:rsidR="00346F1B">
        <w:t>’</w:t>
      </w:r>
      <w:r w:rsidR="00745909" w:rsidRPr="00270959">
        <w:t xml:space="preserve">ordre du jour. </w:t>
      </w:r>
      <w:r w:rsidR="00B275B0" w:rsidRPr="00270959">
        <w:t>Le Secrétaire a rappelé que la solution qui se profilait était de pouvoir faire usage d</w:t>
      </w:r>
      <w:r w:rsidR="00346F1B">
        <w:t>’</w:t>
      </w:r>
      <w:r w:rsidR="00B275B0" w:rsidRPr="00270959">
        <w:t xml:space="preserve">une partie des fonds affectés </w:t>
      </w:r>
      <w:r w:rsidR="001E7F9D" w:rsidRPr="00270959">
        <w:t xml:space="preserve">à </w:t>
      </w:r>
      <w:r w:rsidR="00B275B0" w:rsidRPr="00270959">
        <w:t>l</w:t>
      </w:r>
      <w:r w:rsidR="00346F1B">
        <w:t>’</w:t>
      </w:r>
      <w:r w:rsidR="00B275B0" w:rsidRPr="00270959">
        <w:t>assistance internationale</w:t>
      </w:r>
      <w:r w:rsidR="001E7F9D" w:rsidRPr="00270959">
        <w:t xml:space="preserve"> pour permettre sa mise en œuvre</w:t>
      </w:r>
      <w:r w:rsidR="00B275B0" w:rsidRPr="00270959">
        <w:t xml:space="preserve">, à défaut de quoi, le Comité se retrouverait dans </w:t>
      </w:r>
      <w:r w:rsidR="00DE0564">
        <w:t>une impasse.</w:t>
      </w:r>
    </w:p>
    <w:p w14:paraId="2B7B860D" w14:textId="10CDF706" w:rsidR="00166180" w:rsidRPr="00166180" w:rsidRDefault="00166180" w:rsidP="00AF7860">
      <w:pPr>
        <w:pStyle w:val="Orateurengris"/>
        <w:spacing w:before="120"/>
        <w:ind w:left="709" w:hanging="709"/>
      </w:pPr>
      <w:r w:rsidRPr="00166180">
        <w:t>Avant</w:t>
      </w:r>
      <w:r>
        <w:t xml:space="preserve"> la clô</w:t>
      </w:r>
      <w:r w:rsidRPr="00166180">
        <w:t xml:space="preserve">ture de la séance, le </w:t>
      </w:r>
      <w:r w:rsidRPr="00166180">
        <w:rPr>
          <w:b/>
        </w:rPr>
        <w:t>Président</w:t>
      </w:r>
      <w:r>
        <w:t xml:space="preserve"> a donné la parole au </w:t>
      </w:r>
      <w:r w:rsidRPr="00166180">
        <w:t>Secrétaire</w:t>
      </w:r>
      <w:r>
        <w:t xml:space="preserve"> afin qu</w:t>
      </w:r>
      <w:r w:rsidR="00346F1B">
        <w:t>’</w:t>
      </w:r>
      <w:r>
        <w:t>il fasse quelques annonces d</w:t>
      </w:r>
      <w:r w:rsidR="00346F1B">
        <w:t>’</w:t>
      </w:r>
      <w:r>
        <w:t>ordre pratique.</w:t>
      </w:r>
    </w:p>
    <w:p w14:paraId="04F99326" w14:textId="127C2B5D" w:rsidR="00166180" w:rsidRPr="00166180" w:rsidRDefault="00166180" w:rsidP="00AF7860">
      <w:pPr>
        <w:pStyle w:val="Orateurengris"/>
        <w:spacing w:before="120"/>
        <w:ind w:left="709" w:hanging="709"/>
      </w:pPr>
      <w:r w:rsidRPr="00166180">
        <w:t xml:space="preserve">Le </w:t>
      </w:r>
      <w:r w:rsidRPr="00166180">
        <w:rPr>
          <w:b/>
        </w:rPr>
        <w:t>Secrétaire</w:t>
      </w:r>
      <w:r w:rsidRPr="00166180">
        <w:t xml:space="preserve"> a </w:t>
      </w:r>
      <w:r>
        <w:t>informé les délégués qu</w:t>
      </w:r>
      <w:r w:rsidR="00346F1B">
        <w:t>’</w:t>
      </w:r>
      <w:r>
        <w:t>une conférence de presse se tiendrait à l</w:t>
      </w:r>
      <w:r w:rsidR="00346F1B">
        <w:t>’</w:t>
      </w:r>
      <w:r>
        <w:t>heure du déjeuner et que tous les médias étaient invités à y participer. Les nouvelles ONG étaient invitées à une session d</w:t>
      </w:r>
      <w:r w:rsidR="00346F1B">
        <w:t>’</w:t>
      </w:r>
      <w:r>
        <w:t xml:space="preserve">accueil et de </w:t>
      </w:r>
      <w:r w:rsidRPr="00166180">
        <w:t>présentation</w:t>
      </w:r>
      <w:r>
        <w:t>. Il a été demandé aux États désireux d</w:t>
      </w:r>
      <w:r w:rsidR="00346F1B">
        <w:t>’</w:t>
      </w:r>
      <w:r>
        <w:t>organiser des représentations ou de présenter du matériel audiovisuel suite à l</w:t>
      </w:r>
      <w:r w:rsidR="00346F1B">
        <w:t>’</w:t>
      </w:r>
      <w:r>
        <w:t>examen de leurs dossiers de remettre ce matériel au Secrétar</w:t>
      </w:r>
      <w:r w:rsidR="00A46CAD">
        <w:t>iat. Le pays hôte invitait les membres</w:t>
      </w:r>
      <w:r>
        <w:t xml:space="preserve"> du Comi</w:t>
      </w:r>
      <w:r w:rsidR="00DE0564">
        <w:t>té et les ministres à déjeuner.</w:t>
      </w:r>
    </w:p>
    <w:p w14:paraId="33412C91" w14:textId="2FDECBB9" w:rsidR="00FF32CD" w:rsidRPr="00166180" w:rsidRDefault="00166180" w:rsidP="002B4948">
      <w:pPr>
        <w:pStyle w:val="Marge"/>
        <w:keepNext/>
        <w:tabs>
          <w:tab w:val="clear" w:pos="567"/>
          <w:tab w:val="left" w:pos="709"/>
          <w:tab w:val="left" w:pos="1418"/>
          <w:tab w:val="left" w:pos="2126"/>
          <w:tab w:val="left" w:pos="2835"/>
        </w:tabs>
        <w:spacing w:before="240"/>
        <w:ind w:left="567" w:hanging="567"/>
        <w:jc w:val="center"/>
        <w:outlineLvl w:val="0"/>
        <w:rPr>
          <w:rFonts w:cs="Arial"/>
          <w:i/>
          <w:szCs w:val="22"/>
        </w:rPr>
      </w:pPr>
      <w:r w:rsidRPr="00166180">
        <w:rPr>
          <w:rFonts w:cs="Arial"/>
          <w:i/>
          <w:szCs w:val="22"/>
        </w:rPr>
        <w:t>[Lundi 28 novembre 2016, séance de l</w:t>
      </w:r>
      <w:r w:rsidR="00346F1B">
        <w:rPr>
          <w:rFonts w:cs="Arial"/>
          <w:i/>
          <w:szCs w:val="22"/>
        </w:rPr>
        <w:t>’</w:t>
      </w:r>
      <w:r w:rsidRPr="00166180">
        <w:rPr>
          <w:rFonts w:cs="Arial"/>
          <w:i/>
          <w:szCs w:val="22"/>
        </w:rPr>
        <w:t>après-midi</w:t>
      </w:r>
      <w:r w:rsidR="00FF32CD" w:rsidRPr="00166180">
        <w:rPr>
          <w:rFonts w:cs="Arial"/>
          <w:i/>
          <w:szCs w:val="22"/>
        </w:rPr>
        <w:t>]</w:t>
      </w:r>
    </w:p>
    <w:p w14:paraId="4EBB87EB" w14:textId="0223F771" w:rsidR="00166180" w:rsidRPr="00166180" w:rsidRDefault="00166180" w:rsidP="00AF7860">
      <w:pPr>
        <w:pStyle w:val="Orateurengris"/>
        <w:tabs>
          <w:tab w:val="clear" w:pos="709"/>
          <w:tab w:val="clear" w:pos="1418"/>
          <w:tab w:val="clear" w:pos="2126"/>
          <w:tab w:val="clear" w:pos="2835"/>
          <w:tab w:val="clear" w:pos="3686"/>
        </w:tabs>
        <w:spacing w:before="120"/>
        <w:ind w:left="709" w:hanging="709"/>
        <w:rPr>
          <w:rFonts w:eastAsia="Calibri"/>
        </w:rPr>
      </w:pPr>
      <w:r w:rsidRPr="00166180">
        <w:rPr>
          <w:rFonts w:eastAsia="Calibri"/>
        </w:rPr>
        <w:t xml:space="preserve">Le </w:t>
      </w:r>
      <w:r w:rsidRPr="00166180">
        <w:rPr>
          <w:rFonts w:eastAsia="Calibri"/>
          <w:b/>
        </w:rPr>
        <w:t>Président</w:t>
      </w:r>
      <w:r w:rsidRPr="00166180">
        <w:rPr>
          <w:rFonts w:eastAsia="Calibri"/>
        </w:rPr>
        <w:t xml:space="preserve"> est revenu à la discussion sur le point 5 de l</w:t>
      </w:r>
      <w:r w:rsidR="00346F1B">
        <w:rPr>
          <w:rFonts w:eastAsia="Calibri"/>
        </w:rPr>
        <w:t>’</w:t>
      </w:r>
      <w:r w:rsidRPr="00166180">
        <w:rPr>
          <w:rFonts w:eastAsia="Calibri"/>
        </w:rPr>
        <w:t>ordre du jour, et a donné la parole</w:t>
      </w:r>
      <w:r w:rsidR="00A46CAD">
        <w:rPr>
          <w:rFonts w:eastAsia="Calibri"/>
        </w:rPr>
        <w:t xml:space="preserve"> aux membres</w:t>
      </w:r>
      <w:r w:rsidRPr="00166180">
        <w:rPr>
          <w:rFonts w:eastAsia="Calibri"/>
        </w:rPr>
        <w:t xml:space="preserve"> </w:t>
      </w:r>
      <w:r>
        <w:rPr>
          <w:rFonts w:eastAsia="Calibri"/>
        </w:rPr>
        <w:t xml:space="preserve">du Comité </w:t>
      </w:r>
      <w:r w:rsidRPr="00166180">
        <w:rPr>
          <w:rFonts w:eastAsia="Calibri"/>
        </w:rPr>
        <w:t>dé</w:t>
      </w:r>
      <w:r w:rsidR="00DE0564">
        <w:rPr>
          <w:rFonts w:eastAsia="Calibri"/>
        </w:rPr>
        <w:t>sireux de s</w:t>
      </w:r>
      <w:r w:rsidR="00346F1B">
        <w:rPr>
          <w:rFonts w:eastAsia="Calibri"/>
        </w:rPr>
        <w:t>’</w:t>
      </w:r>
      <w:r w:rsidR="00DE0564">
        <w:rPr>
          <w:rFonts w:eastAsia="Calibri"/>
        </w:rPr>
        <w:t>exprimer.</w:t>
      </w:r>
    </w:p>
    <w:p w14:paraId="60EA5C84" w14:textId="0628D00B" w:rsidR="00166180" w:rsidRPr="00C16720" w:rsidRDefault="00C16720" w:rsidP="00AF7860">
      <w:pPr>
        <w:pStyle w:val="Orateurengris"/>
        <w:tabs>
          <w:tab w:val="clear" w:pos="709"/>
          <w:tab w:val="clear" w:pos="1418"/>
          <w:tab w:val="clear" w:pos="2126"/>
          <w:tab w:val="clear" w:pos="2835"/>
          <w:tab w:val="clear" w:pos="3686"/>
        </w:tabs>
        <w:spacing w:before="120"/>
        <w:ind w:left="709" w:hanging="709"/>
      </w:pPr>
      <w:r w:rsidRPr="00C16720">
        <w:t xml:space="preserve">La délégation de la </w:t>
      </w:r>
      <w:r w:rsidRPr="00C16720">
        <w:rPr>
          <w:b/>
        </w:rPr>
        <w:t>Côte d</w:t>
      </w:r>
      <w:r w:rsidR="00346F1B">
        <w:rPr>
          <w:b/>
        </w:rPr>
        <w:t>’</w:t>
      </w:r>
      <w:r w:rsidRPr="00C16720">
        <w:rPr>
          <w:b/>
        </w:rPr>
        <w:t>Ivoire</w:t>
      </w:r>
      <w:r w:rsidRPr="00C16720">
        <w:t xml:space="preserve"> </w:t>
      </w:r>
      <w:r w:rsidR="00962B2B">
        <w:t>a remercié le peuple et le G</w:t>
      </w:r>
      <w:r>
        <w:t>ouvernement de l</w:t>
      </w:r>
      <w:r w:rsidR="00346F1B">
        <w:t>’</w:t>
      </w:r>
      <w:r w:rsidRPr="00C16720">
        <w:t>Éthiopie</w:t>
      </w:r>
      <w:r>
        <w:t xml:space="preserve"> pour l</w:t>
      </w:r>
      <w:r w:rsidR="00346F1B">
        <w:t>’</w:t>
      </w:r>
      <w:r>
        <w:t>excellent accueil</w:t>
      </w:r>
      <w:r w:rsidR="00072C7C">
        <w:t xml:space="preserve"> réservé et </w:t>
      </w:r>
      <w:r>
        <w:t>elle a félicité le Président et l</w:t>
      </w:r>
      <w:r w:rsidR="00346F1B">
        <w:t>’</w:t>
      </w:r>
      <w:r>
        <w:t xml:space="preserve">a assuré de son soutien. Elle a </w:t>
      </w:r>
      <w:r w:rsidRPr="00C16720">
        <w:t>également</w:t>
      </w:r>
      <w:r w:rsidR="003D4E73">
        <w:t xml:space="preserve"> félicité l</w:t>
      </w:r>
      <w:r>
        <w:t xml:space="preserve">e Secrétariat pour la qualité de son travail </w:t>
      </w:r>
      <w:r w:rsidR="003D4E73">
        <w:t>et a ajouté</w:t>
      </w:r>
      <w:r w:rsidRPr="00C16720">
        <w:t xml:space="preserve"> qu</w:t>
      </w:r>
      <w:r w:rsidR="00346F1B">
        <w:t>’</w:t>
      </w:r>
      <w:r w:rsidRPr="00C16720">
        <w:t>elle était bien consciente de l</w:t>
      </w:r>
      <w:r>
        <w:t xml:space="preserve">a difficile situation financière </w:t>
      </w:r>
      <w:r w:rsidR="003D4E73">
        <w:t>à laquelle il était confronté avec la charge de travail croissante que représentaient les nouvelles thématiques qui ven</w:t>
      </w:r>
      <w:r w:rsidR="00072C7C">
        <w:t>aient s</w:t>
      </w:r>
      <w:r w:rsidR="00346F1B">
        <w:t>’</w:t>
      </w:r>
      <w:r w:rsidR="00072C7C">
        <w:t>ajouter aux questions qu</w:t>
      </w:r>
      <w:r w:rsidR="00346F1B">
        <w:t>’</w:t>
      </w:r>
      <w:r w:rsidR="00072C7C">
        <w:t xml:space="preserve">il traitait déjà. La </w:t>
      </w:r>
      <w:r w:rsidR="00072C7C" w:rsidRPr="00072C7C">
        <w:t>délégation</w:t>
      </w:r>
      <w:r w:rsidR="00072C7C">
        <w:t xml:space="preserve"> partageait </w:t>
      </w:r>
      <w:r w:rsidR="00072C7C" w:rsidRPr="00072C7C">
        <w:t>également</w:t>
      </w:r>
      <w:r w:rsidR="00072C7C">
        <w:t xml:space="preserve"> les préoccupations exprimées par le Secrétariat dans la </w:t>
      </w:r>
      <w:r w:rsidR="00072C7C" w:rsidRPr="00072C7C">
        <w:t>recherche</w:t>
      </w:r>
      <w:r w:rsidR="00072C7C">
        <w:t xml:space="preserve"> de solutions créatives en vue d</w:t>
      </w:r>
      <w:r w:rsidR="00346F1B">
        <w:t>’</w:t>
      </w:r>
      <w:r w:rsidR="00072C7C">
        <w:t xml:space="preserve">augmenter le Fonds du PCI. Elle a salué la </w:t>
      </w:r>
      <w:r w:rsidR="00072C7C" w:rsidRPr="00072C7C">
        <w:t>ratification</w:t>
      </w:r>
      <w:r w:rsidR="00072C7C">
        <w:t xml:space="preserve"> de la </w:t>
      </w:r>
      <w:r w:rsidR="00072C7C" w:rsidRPr="00072C7C">
        <w:t>Convention</w:t>
      </w:r>
      <w:r w:rsidR="00072C7C">
        <w:t xml:space="preserve"> par de nouveaux États </w:t>
      </w:r>
      <w:r w:rsidR="00A46CAD">
        <w:t>membres</w:t>
      </w:r>
      <w:r w:rsidR="00072C7C">
        <w:t xml:space="preserve"> dont un [le Ghana] avec lequel elle partageait des frontières et des éléments du patrimoine culturel immatériel, ce qui laissait entrevoir la </w:t>
      </w:r>
      <w:r w:rsidR="00072C7C" w:rsidRPr="00072C7C">
        <w:t>perspective</w:t>
      </w:r>
      <w:r w:rsidR="00072C7C">
        <w:t xml:space="preserve"> d</w:t>
      </w:r>
      <w:r w:rsidR="00346F1B">
        <w:t>’</w:t>
      </w:r>
      <w:r w:rsidR="00072C7C">
        <w:t>un</w:t>
      </w:r>
      <w:r w:rsidR="00DE0564">
        <w:t>e candidature multilatérale.</w:t>
      </w:r>
    </w:p>
    <w:p w14:paraId="3F64CF52" w14:textId="5914A481" w:rsidR="00E700AE" w:rsidRPr="00E700AE" w:rsidRDefault="00E700AE" w:rsidP="00AF7860">
      <w:pPr>
        <w:pStyle w:val="Orateurengris"/>
        <w:tabs>
          <w:tab w:val="clear" w:pos="709"/>
          <w:tab w:val="clear" w:pos="1418"/>
          <w:tab w:val="clear" w:pos="2126"/>
          <w:tab w:val="clear" w:pos="2835"/>
          <w:tab w:val="clear" w:pos="3686"/>
        </w:tabs>
        <w:spacing w:before="120"/>
        <w:ind w:left="709" w:hanging="709"/>
      </w:pPr>
      <w:r>
        <w:t xml:space="preserve">La </w:t>
      </w:r>
      <w:r w:rsidRPr="00E700AE">
        <w:t>délégation</w:t>
      </w:r>
      <w:r>
        <w:t xml:space="preserve"> de la </w:t>
      </w:r>
      <w:r w:rsidRPr="00F44CAB">
        <w:rPr>
          <w:b/>
        </w:rPr>
        <w:t>Hongrie</w:t>
      </w:r>
      <w:r>
        <w:t xml:space="preserve"> a félicité l</w:t>
      </w:r>
      <w:r w:rsidR="00346F1B">
        <w:t>’</w:t>
      </w:r>
      <w:r w:rsidRPr="00E700AE">
        <w:t>Éthiopie</w:t>
      </w:r>
      <w:r>
        <w:t xml:space="preserve"> d</w:t>
      </w:r>
      <w:r w:rsidR="00346F1B">
        <w:t>’</w:t>
      </w:r>
      <w:r>
        <w:t>accuei</w:t>
      </w:r>
      <w:r w:rsidR="00F44CAB">
        <w:t>llir la session, en ajoutant qu</w:t>
      </w:r>
      <w:r w:rsidR="00346F1B">
        <w:t>’</w:t>
      </w:r>
      <w:r w:rsidR="00F44CAB">
        <w:t>elle était certaine que la session susciterait de fructueuses discussion</w:t>
      </w:r>
      <w:r w:rsidR="00EC0ABA">
        <w:t>s</w:t>
      </w:r>
      <w:r w:rsidR="00F44CAB">
        <w:t xml:space="preserve"> sous la conduite avisée du Président. Elle a remercié le Secrétariat pour l</w:t>
      </w:r>
      <w:r w:rsidR="00346F1B">
        <w:t>’</w:t>
      </w:r>
      <w:r w:rsidR="00F44CAB">
        <w:t>excellent rapport et a souhaité mettre l</w:t>
      </w:r>
      <w:r w:rsidR="00346F1B">
        <w:t>’</w:t>
      </w:r>
      <w:r w:rsidR="00F44CAB">
        <w:t xml:space="preserve">accent sur un point </w:t>
      </w:r>
      <w:r w:rsidR="00F44CAB" w:rsidRPr="00F44CAB">
        <w:t>également</w:t>
      </w:r>
      <w:r w:rsidR="00F44CAB">
        <w:t xml:space="preserve"> mentionné par la Turquie, à savoir le Registre des meilleures pratiques de </w:t>
      </w:r>
      <w:r w:rsidR="00F44CAB" w:rsidRPr="00F44CAB">
        <w:t>sauvegarde</w:t>
      </w:r>
      <w:r w:rsidR="00F44CAB">
        <w:t xml:space="preserve">, qui, selon elle, jouait un rôle primordial dans la </w:t>
      </w:r>
      <w:r w:rsidR="00F44CAB" w:rsidRPr="00F44CAB">
        <w:t>diffusion</w:t>
      </w:r>
      <w:r w:rsidR="00F44CAB">
        <w:t xml:space="preserve"> des valeurs de la </w:t>
      </w:r>
      <w:r w:rsidR="00F44CAB" w:rsidRPr="00F44CAB">
        <w:t>Convention</w:t>
      </w:r>
      <w:r w:rsidR="00950A58">
        <w:t xml:space="preserve"> et méritait donc de bénéficier d</w:t>
      </w:r>
      <w:r w:rsidR="00346F1B">
        <w:t>’</w:t>
      </w:r>
      <w:r w:rsidR="00950A58">
        <w:t>une plus grande visibilité.</w:t>
      </w:r>
    </w:p>
    <w:p w14:paraId="44FAEA83" w14:textId="6519FE04" w:rsidR="00E16005" w:rsidRPr="00E16005" w:rsidRDefault="00E16005" w:rsidP="00AF7860">
      <w:pPr>
        <w:pStyle w:val="Orateurengris"/>
        <w:spacing w:before="120"/>
        <w:ind w:left="709" w:hanging="709"/>
      </w:pPr>
      <w:r>
        <w:t xml:space="preserve">Ayant </w:t>
      </w:r>
      <w:r w:rsidR="00EC0ABA">
        <w:t xml:space="preserve">été </w:t>
      </w:r>
      <w:r>
        <w:t xml:space="preserve">auparavant </w:t>
      </w:r>
      <w:r w:rsidRPr="00950A58">
        <w:t>observateur</w:t>
      </w:r>
      <w:r>
        <w:t>,</w:t>
      </w:r>
      <w:r w:rsidRPr="00950A58">
        <w:t xml:space="preserve"> </w:t>
      </w:r>
      <w:r>
        <w:t>l</w:t>
      </w:r>
      <w:r w:rsidR="00950A58" w:rsidRPr="00950A58">
        <w:t>a délégation de l</w:t>
      </w:r>
      <w:r w:rsidR="00346F1B">
        <w:t>’</w:t>
      </w:r>
      <w:r w:rsidR="00950A58" w:rsidRPr="00950A58">
        <w:rPr>
          <w:b/>
        </w:rPr>
        <w:t>Arménie</w:t>
      </w:r>
      <w:r w:rsidR="00A46CAD">
        <w:t xml:space="preserve"> a évoqué l</w:t>
      </w:r>
      <w:r w:rsidR="00346F1B">
        <w:t>’</w:t>
      </w:r>
      <w:r w:rsidR="00A46CAD">
        <w:t>honneur d</w:t>
      </w:r>
      <w:r w:rsidR="00346F1B">
        <w:t>’</w:t>
      </w:r>
      <w:r w:rsidR="00A46CAD">
        <w:t>être membre</w:t>
      </w:r>
      <w:r w:rsidR="00950A58">
        <w:t xml:space="preserve"> du Comité. Elle a ajouté qu</w:t>
      </w:r>
      <w:r w:rsidR="00346F1B">
        <w:t>’</w:t>
      </w:r>
      <w:r w:rsidR="00950A58">
        <w:t xml:space="preserve">elle œuvrerait en faveur du patrimoine culturel immatériel, de la </w:t>
      </w:r>
      <w:r w:rsidR="00950A58" w:rsidRPr="00950A58">
        <w:t>Convention</w:t>
      </w:r>
      <w:r w:rsidR="00950A58">
        <w:t xml:space="preserve"> et de tous les États </w:t>
      </w:r>
      <w:r w:rsidR="00A46CAD">
        <w:t>membres</w:t>
      </w:r>
      <w:r w:rsidR="00950A58">
        <w:t xml:space="preserve">. La </w:t>
      </w:r>
      <w:r w:rsidR="00950A58" w:rsidRPr="00950A58">
        <w:t>délégation</w:t>
      </w:r>
      <w:r w:rsidR="00950A58">
        <w:t xml:space="preserve"> a remercié le Secrétaire et le Secrétariat pour le travail accompli, et a félicité le Président pour son dévouement pour son travail au cours des années</w:t>
      </w:r>
      <w:r>
        <w:t xml:space="preserve"> passées</w:t>
      </w:r>
      <w:r w:rsidR="00950A58">
        <w:t xml:space="preserve">, qui, sans aucun doute, avait été récompensé par cette nomination. Après avoir rappelé les commentaires des précédents intervenants sur la possibilité de </w:t>
      </w:r>
      <w:r>
        <w:t xml:space="preserve">débattre des dossiers de candidature, la </w:t>
      </w:r>
      <w:r w:rsidRPr="00E16005">
        <w:t>délégation</w:t>
      </w:r>
      <w:r w:rsidR="00A46CAD">
        <w:t xml:space="preserve"> a convenu que les membres</w:t>
      </w:r>
      <w:r>
        <w:t xml:space="preserve"> devraient avoir la possibilité d</w:t>
      </w:r>
      <w:r w:rsidR="00346F1B">
        <w:t>’</w:t>
      </w:r>
      <w:r>
        <w:t xml:space="preserve">échanger sur les candidatures quelle que soit la </w:t>
      </w:r>
      <w:r w:rsidRPr="00E16005">
        <w:t>recommandation</w:t>
      </w:r>
      <w:r>
        <w:t xml:space="preserve">, </w:t>
      </w:r>
      <w:r w:rsidR="00DE0564">
        <w:t>positive ou négative, formulée.</w:t>
      </w:r>
    </w:p>
    <w:p w14:paraId="28A744D6" w14:textId="0952B767" w:rsidR="00241F10" w:rsidRPr="00241F10" w:rsidRDefault="00E16005" w:rsidP="00AF7860">
      <w:pPr>
        <w:pStyle w:val="Orateurengris"/>
        <w:tabs>
          <w:tab w:val="clear" w:pos="709"/>
          <w:tab w:val="clear" w:pos="1418"/>
          <w:tab w:val="clear" w:pos="2126"/>
          <w:tab w:val="clear" w:pos="2835"/>
          <w:tab w:val="clear" w:pos="3686"/>
        </w:tabs>
        <w:spacing w:before="120"/>
        <w:ind w:left="709" w:hanging="709"/>
      </w:pPr>
      <w:r w:rsidRPr="00E16005">
        <w:t xml:space="preserve">La délégation de </w:t>
      </w:r>
      <w:r w:rsidRPr="00241F10">
        <w:rPr>
          <w:b/>
        </w:rPr>
        <w:t>Maurice</w:t>
      </w:r>
      <w:r w:rsidRPr="00E16005">
        <w:t xml:space="preserve"> </w:t>
      </w:r>
      <w:r>
        <w:t xml:space="preserve">a félicité le Président, le nouveau </w:t>
      </w:r>
      <w:r w:rsidRPr="00E16005">
        <w:t>Secrétaire</w:t>
      </w:r>
      <w:r>
        <w:t>, et le Secrétariat pour son excellent travail</w:t>
      </w:r>
      <w:r w:rsidR="00962B2B">
        <w:t>, ainsi que le pays hôte et le G</w:t>
      </w:r>
      <w:r w:rsidRPr="00E16005">
        <w:t>ouvernement</w:t>
      </w:r>
      <w:r>
        <w:t xml:space="preserve"> de l</w:t>
      </w:r>
      <w:r w:rsidR="00346F1B">
        <w:t>’</w:t>
      </w:r>
      <w:r w:rsidRPr="00E16005">
        <w:t>Éthiopie</w:t>
      </w:r>
      <w:r w:rsidR="00241F10">
        <w:t xml:space="preserve"> pour l</w:t>
      </w:r>
      <w:r w:rsidR="00346F1B">
        <w:t>’</w:t>
      </w:r>
      <w:r w:rsidR="00241F10" w:rsidRPr="00241F10">
        <w:t>organisation</w:t>
      </w:r>
      <w:r w:rsidR="00241F10">
        <w:t xml:space="preserve"> de cette session et leur accueil très c</w:t>
      </w:r>
      <w:r w:rsidR="00A46CAD">
        <w:t>haleureux. En tant que nouveau membre</w:t>
      </w:r>
      <w:r w:rsidR="00241F10">
        <w:t xml:space="preserve"> du Comité, la </w:t>
      </w:r>
      <w:r w:rsidR="00241F10" w:rsidRPr="00241F10">
        <w:t>délégation</w:t>
      </w:r>
      <w:r w:rsidR="00241F10">
        <w:t xml:space="preserve"> souhaitait collaborer pleinement avec le Comité et soutenir son travail. Elle a ajouté qu</w:t>
      </w:r>
      <w:r w:rsidR="00346F1B">
        <w:t>’</w:t>
      </w:r>
      <w:r w:rsidR="00241F10">
        <w:t>elle avait bénéficié une fois de l</w:t>
      </w:r>
      <w:r w:rsidR="00346F1B">
        <w:t>’</w:t>
      </w:r>
      <w:r w:rsidR="00241F10" w:rsidRPr="00241F10">
        <w:t>assistance</w:t>
      </w:r>
      <w:r w:rsidR="00241F10">
        <w:t xml:space="preserve"> financière pour la </w:t>
      </w:r>
      <w:r w:rsidR="00241F10" w:rsidRPr="00241F10">
        <w:t>préparation</w:t>
      </w:r>
      <w:r w:rsidR="00241F10">
        <w:t xml:space="preserve"> de ses inventaires. Elle était donc heureuse que le plafond de cette assistance ait été augmenté à 100</w:t>
      </w:r>
      <w:r w:rsidR="00346F1B">
        <w:t> 000</w:t>
      </w:r>
      <w:r w:rsidR="00241F10">
        <w:t xml:space="preserve"> dollars, ce qui bénéficierait à tous les États </w:t>
      </w:r>
      <w:r w:rsidR="00A46CAD">
        <w:t>membres</w:t>
      </w:r>
      <w:r w:rsidR="00DE0564">
        <w:t>.</w:t>
      </w:r>
    </w:p>
    <w:p w14:paraId="0756BBA9" w14:textId="65164962" w:rsidR="00E90459" w:rsidRPr="00E90459" w:rsidRDefault="00E90459" w:rsidP="00AF7860">
      <w:pPr>
        <w:pStyle w:val="Orateurengris"/>
        <w:tabs>
          <w:tab w:val="clear" w:pos="709"/>
          <w:tab w:val="clear" w:pos="1418"/>
          <w:tab w:val="clear" w:pos="2126"/>
          <w:tab w:val="clear" w:pos="2835"/>
          <w:tab w:val="clear" w:pos="3686"/>
        </w:tabs>
        <w:spacing w:before="120"/>
        <w:ind w:left="709" w:hanging="709"/>
      </w:pPr>
      <w:r w:rsidRPr="00E90459">
        <w:t xml:space="preserve">La délégation de la </w:t>
      </w:r>
      <w:r w:rsidRPr="00E90459">
        <w:rPr>
          <w:b/>
        </w:rPr>
        <w:t>Colombie</w:t>
      </w:r>
      <w:r>
        <w:t xml:space="preserve"> a remercié l</w:t>
      </w:r>
      <w:r w:rsidR="00346F1B">
        <w:t>’</w:t>
      </w:r>
      <w:r w:rsidRPr="00E90459">
        <w:t>Éthiopie</w:t>
      </w:r>
      <w:r>
        <w:t xml:space="preserve"> pour son accueil chaleureux, et a félicité le nouveau </w:t>
      </w:r>
      <w:r w:rsidRPr="00E90459">
        <w:t>Secrétaire</w:t>
      </w:r>
      <w:r>
        <w:t xml:space="preserve"> et son équipe pour leur excellent travail. S</w:t>
      </w:r>
      <w:r w:rsidR="00346F1B">
        <w:t>’</w:t>
      </w:r>
      <w:r>
        <w:t xml:space="preserve">agissant du rapport, la </w:t>
      </w:r>
      <w:r w:rsidRPr="00E90459">
        <w:t>délégation</w:t>
      </w:r>
      <w:r>
        <w:t xml:space="preserve"> soutenait les propositions du Secrétariat en faveur du </w:t>
      </w:r>
      <w:r w:rsidRPr="00E90459">
        <w:t xml:space="preserve">renforcement </w:t>
      </w:r>
      <w:r>
        <w:t xml:space="preserve">des </w:t>
      </w:r>
      <w:r w:rsidRPr="00E90459">
        <w:t>capacités</w:t>
      </w:r>
      <w:r>
        <w:t>. Elle a ajouté qu</w:t>
      </w:r>
      <w:r w:rsidR="00346F1B">
        <w:t>’</w:t>
      </w:r>
      <w:r>
        <w:t xml:space="preserve">une meilleure </w:t>
      </w:r>
      <w:r w:rsidRPr="00E90459">
        <w:t>utilisation</w:t>
      </w:r>
      <w:r>
        <w:t xml:space="preserve"> des nouveaux outils de formation et </w:t>
      </w:r>
      <w:r w:rsidR="001A0EAB">
        <w:t xml:space="preserve">que </w:t>
      </w:r>
      <w:r>
        <w:t xml:space="preserve">la priorité accordée au renforcement des capacités étaient </w:t>
      </w:r>
      <w:r w:rsidRPr="00E90459">
        <w:t>particulièrement</w:t>
      </w:r>
      <w:r>
        <w:t xml:space="preserve"> importantes pour consolider les liens étroits entre le </w:t>
      </w:r>
      <w:r w:rsidRPr="00E90459">
        <w:t>patrimoine</w:t>
      </w:r>
      <w:r>
        <w:t xml:space="preserve"> </w:t>
      </w:r>
      <w:r w:rsidRPr="00E90459">
        <w:t>culturel</w:t>
      </w:r>
      <w:r>
        <w:t xml:space="preserve"> immatériel et matériel, les objectifs du développement durable</w:t>
      </w:r>
      <w:r w:rsidR="00286316">
        <w:t xml:space="preserve">, </w:t>
      </w:r>
      <w:r w:rsidR="001A0EAB">
        <w:t>l</w:t>
      </w:r>
      <w:r w:rsidR="00346F1B">
        <w:t>’</w:t>
      </w:r>
      <w:r w:rsidR="001A0EAB">
        <w:t>A</w:t>
      </w:r>
      <w:r>
        <w:t>genda 203</w:t>
      </w:r>
      <w:r w:rsidR="00286316">
        <w:t>0 et d</w:t>
      </w:r>
      <w:r w:rsidR="00346F1B">
        <w:t>’</w:t>
      </w:r>
      <w:r w:rsidR="00286316">
        <w:t>autres en</w:t>
      </w:r>
      <w:r w:rsidR="00FC0DC8">
        <w:t>gagements internationaux ayant</w:t>
      </w:r>
      <w:r w:rsidR="00286316">
        <w:t xml:space="preserve"> un impact sur le patrimoine culturel immatériel. C</w:t>
      </w:r>
      <w:r w:rsidR="00346F1B">
        <w:t>’</w:t>
      </w:r>
      <w:r w:rsidR="00286316">
        <w:t xml:space="preserve">était donc une bonne </w:t>
      </w:r>
      <w:r w:rsidR="00286316" w:rsidRPr="00286316">
        <w:t>stratégie</w:t>
      </w:r>
      <w:r w:rsidR="00286316">
        <w:t xml:space="preserve"> pour le rôle du patrimoine culturel immatériel de se concrétiser dans les </w:t>
      </w:r>
      <w:r w:rsidR="00FC0DC8">
        <w:t xml:space="preserve">processus </w:t>
      </w:r>
      <w:r w:rsidR="00DE0564">
        <w:t>réels du développement durable.</w:t>
      </w:r>
    </w:p>
    <w:p w14:paraId="32AA8AE7" w14:textId="23F1EB7F" w:rsidR="00FC0DC8" w:rsidRPr="00FC0DC8" w:rsidRDefault="00FC0DC8" w:rsidP="00AF7860">
      <w:pPr>
        <w:pStyle w:val="Orateurengris"/>
        <w:tabs>
          <w:tab w:val="clear" w:pos="709"/>
          <w:tab w:val="clear" w:pos="1418"/>
          <w:tab w:val="clear" w:pos="2126"/>
          <w:tab w:val="clear" w:pos="2835"/>
          <w:tab w:val="clear" w:pos="3686"/>
        </w:tabs>
        <w:spacing w:before="120"/>
        <w:ind w:left="709" w:hanging="709"/>
      </w:pPr>
      <w:r w:rsidRPr="00FC0DC8">
        <w:t xml:space="preserve">Après avoir </w:t>
      </w:r>
      <w:r w:rsidR="00EC0ABA">
        <w:t xml:space="preserve">signalé </w:t>
      </w:r>
      <w:r w:rsidRPr="00FC0DC8">
        <w:t xml:space="preserve">que 15 </w:t>
      </w:r>
      <w:r w:rsidR="00A46CAD">
        <w:t>membres</w:t>
      </w:r>
      <w:r>
        <w:t xml:space="preserve"> du Comité s</w:t>
      </w:r>
      <w:r w:rsidR="00346F1B">
        <w:t>’</w:t>
      </w:r>
      <w:r>
        <w:t xml:space="preserve">étaient exprimés, le </w:t>
      </w:r>
      <w:r w:rsidRPr="00FC0DC8">
        <w:rPr>
          <w:b/>
        </w:rPr>
        <w:t>Président</w:t>
      </w:r>
      <w:r>
        <w:t xml:space="preserve"> a donné la parole au </w:t>
      </w:r>
      <w:r w:rsidRPr="00FC0DC8">
        <w:t>Secrétaire</w:t>
      </w:r>
      <w:r>
        <w:t xml:space="preserve"> afin qu</w:t>
      </w:r>
      <w:r w:rsidR="00346F1B">
        <w:t>’</w:t>
      </w:r>
      <w:r>
        <w:t>il réponde briè</w:t>
      </w:r>
      <w:r w:rsidR="00DE0564">
        <w:t>vement aux questions soulevées.</w:t>
      </w:r>
    </w:p>
    <w:p w14:paraId="14B11298" w14:textId="270F79C2" w:rsidR="00FC0DC8" w:rsidRPr="003A745D" w:rsidRDefault="003A745D" w:rsidP="00AF7860">
      <w:pPr>
        <w:pStyle w:val="Orateurengris"/>
        <w:tabs>
          <w:tab w:val="clear" w:pos="709"/>
          <w:tab w:val="clear" w:pos="1418"/>
          <w:tab w:val="clear" w:pos="2126"/>
          <w:tab w:val="clear" w:pos="2835"/>
          <w:tab w:val="clear" w:pos="3686"/>
        </w:tabs>
        <w:spacing w:before="120"/>
        <w:ind w:left="709" w:hanging="709"/>
      </w:pPr>
      <w:r w:rsidRPr="003A745D">
        <w:t xml:space="preserve">Le </w:t>
      </w:r>
      <w:r w:rsidRPr="003A745D">
        <w:rPr>
          <w:b/>
        </w:rPr>
        <w:t>Secrétaire</w:t>
      </w:r>
      <w:r w:rsidRPr="003A745D">
        <w:t xml:space="preserve"> a débuté son intervention</w:t>
      </w:r>
      <w:r>
        <w:t xml:space="preserve"> en réaf</w:t>
      </w:r>
      <w:r w:rsidR="00265F73">
        <w:t xml:space="preserve">firmant la possibilité que les </w:t>
      </w:r>
      <w:r w:rsidR="00A46CAD">
        <w:t>membres</w:t>
      </w:r>
      <w:r>
        <w:t xml:space="preserve"> </w:t>
      </w:r>
      <w:r w:rsidR="00265F73">
        <w:t xml:space="preserve">du Comité </w:t>
      </w:r>
      <w:r>
        <w:t>avaient d</w:t>
      </w:r>
      <w:r w:rsidR="00346F1B">
        <w:t>’</w:t>
      </w:r>
      <w:r>
        <w:t xml:space="preserve">intervenir </w:t>
      </w:r>
      <w:r w:rsidR="00265F73">
        <w:t xml:space="preserve">à tout moment et à propos de toute décision et de toute </w:t>
      </w:r>
      <w:r w:rsidR="00265F73" w:rsidRPr="00265F73">
        <w:t>candidature</w:t>
      </w:r>
      <w:r w:rsidR="00265F73">
        <w:t xml:space="preserve">, quelle que soit la </w:t>
      </w:r>
      <w:r w:rsidR="00265F73" w:rsidRPr="00265F73">
        <w:t>recommandation</w:t>
      </w:r>
      <w:r w:rsidR="00265F73">
        <w:t xml:space="preserve"> formulée à son égard. Puis, passant aux questions directement adressées au Secrétariat, à savoir les </w:t>
      </w:r>
      <w:r w:rsidR="00493945">
        <w:t>pression</w:t>
      </w:r>
      <w:r w:rsidR="005F6D0D">
        <w:t>s</w:t>
      </w:r>
      <w:r w:rsidR="00493945">
        <w:t xml:space="preserve"> qui pèsent sur </w:t>
      </w:r>
      <w:r w:rsidR="00412247">
        <w:t>celui-ci</w:t>
      </w:r>
      <w:r w:rsidR="00265F73">
        <w:t xml:space="preserve"> en matière de ressources humaines et financières, il a expliqué que ces questions seraient abordées lors du point de l</w:t>
      </w:r>
      <w:r w:rsidR="00346F1B">
        <w:t>’</w:t>
      </w:r>
      <w:r w:rsidR="00265F73" w:rsidRPr="00265F73">
        <w:t>ordre du jour</w:t>
      </w:r>
      <w:r w:rsidR="00265F73">
        <w:t xml:space="preserve"> consacré aux contributions volontaires, tout </w:t>
      </w:r>
      <w:r w:rsidR="00265F73" w:rsidRPr="00265F73">
        <w:t>particulièrement</w:t>
      </w:r>
      <w:r w:rsidR="00265F73">
        <w:t xml:space="preserve"> parce qu</w:t>
      </w:r>
      <w:r w:rsidR="00346F1B">
        <w:t>’</w:t>
      </w:r>
      <w:r w:rsidR="00265F73">
        <w:t xml:space="preserve">elles étaient liées au dialogue structuré de </w:t>
      </w:r>
      <w:r w:rsidR="00265F73" w:rsidRPr="00265F73">
        <w:t>financement</w:t>
      </w:r>
      <w:r w:rsidR="00265F73">
        <w:t xml:space="preserve"> et à la collecte de fonds. </w:t>
      </w:r>
      <w:r w:rsidR="00760826">
        <w:t xml:space="preserve">Le </w:t>
      </w:r>
      <w:r w:rsidR="00760826" w:rsidRPr="00760826">
        <w:t>Secrétaire</w:t>
      </w:r>
      <w:r w:rsidR="00760826">
        <w:t xml:space="preserve"> </w:t>
      </w:r>
      <w:r w:rsidR="00D301C4">
        <w:t xml:space="preserve">souhaitait </w:t>
      </w:r>
      <w:r w:rsidR="00760826">
        <w:t>attirer l</w:t>
      </w:r>
      <w:r w:rsidR="00346F1B">
        <w:t>’</w:t>
      </w:r>
      <w:r w:rsidR="00760826">
        <w:t>attention du Comité sur ce point en raison de la spécificité de l</w:t>
      </w:r>
      <w:r w:rsidR="00346F1B">
        <w:t>’</w:t>
      </w:r>
      <w:r w:rsidR="00760826">
        <w:t xml:space="preserve">assistance internationale </w:t>
      </w:r>
      <w:r w:rsidR="005F6D0D">
        <w:t>en ce qui concerne les contributions obligatoires régulières au Fonds et les difficultés de longue date qu</w:t>
      </w:r>
      <w:r w:rsidR="00346F1B">
        <w:t>’</w:t>
      </w:r>
      <w:r w:rsidR="005F6D0D">
        <w:t>a</w:t>
      </w:r>
      <w:r w:rsidR="00412247">
        <w:t xml:space="preserve">vait connu, </w:t>
      </w:r>
      <w:r w:rsidR="00AF26A5">
        <w:t>dans le passé</w:t>
      </w:r>
      <w:r w:rsidR="00412247">
        <w:t>,</w:t>
      </w:r>
      <w:r w:rsidR="00AF26A5">
        <w:t xml:space="preserve"> </w:t>
      </w:r>
      <w:r w:rsidR="005F6D0D">
        <w:t>la mise en œuvr</w:t>
      </w:r>
      <w:r w:rsidR="00AF26A5">
        <w:t>e de la partie du fonds constituée par les contributions obligatoires, difficultés qu</w:t>
      </w:r>
      <w:r w:rsidR="00346F1B">
        <w:t>’</w:t>
      </w:r>
      <w:r w:rsidR="00AF26A5">
        <w:t xml:space="preserve">elle connaitrait </w:t>
      </w:r>
      <w:r w:rsidR="00AF26A5" w:rsidRPr="00AF26A5">
        <w:t>également</w:t>
      </w:r>
      <w:r w:rsidR="00AF26A5">
        <w:t xml:space="preserve"> à l</w:t>
      </w:r>
      <w:r w:rsidR="00346F1B">
        <w:t>’</w:t>
      </w:r>
      <w:r w:rsidR="00AF26A5">
        <w:t xml:space="preserve">avenir. Le </w:t>
      </w:r>
      <w:r w:rsidR="00AF26A5" w:rsidRPr="00AF26A5">
        <w:t>Secrétaire</w:t>
      </w:r>
      <w:r w:rsidR="00D301C4">
        <w:t xml:space="preserve"> estimait</w:t>
      </w:r>
      <w:r w:rsidR="00AF26A5">
        <w:t xml:space="preserve"> que ces difficultés</w:t>
      </w:r>
      <w:r w:rsidR="006273B0">
        <w:t xml:space="preserve"> iraient croissantes car, avec s</w:t>
      </w:r>
      <w:r w:rsidR="00AF26A5">
        <w:t xml:space="preserve">a </w:t>
      </w:r>
      <w:r w:rsidR="00AF26A5" w:rsidRPr="00AF26A5">
        <w:t>structure</w:t>
      </w:r>
      <w:r w:rsidR="00AF26A5">
        <w:t xml:space="preserve"> actuelle, le Secrétariat ne serait pas en mesure de mettre les fonds à disposition des États </w:t>
      </w:r>
      <w:r w:rsidR="00A46CAD">
        <w:t>membres</w:t>
      </w:r>
      <w:r w:rsidR="00412247">
        <w:t>. Il est ensuite revenu sur les commentaires formulés par l</w:t>
      </w:r>
      <w:r w:rsidR="00346F1B">
        <w:t>’</w:t>
      </w:r>
      <w:r w:rsidR="00412247">
        <w:t>Inde, l</w:t>
      </w:r>
      <w:r w:rsidR="00346F1B">
        <w:t>’</w:t>
      </w:r>
      <w:r w:rsidR="00412247">
        <w:t>Autriche, les Philippines, la Mongolie et la Colombie qui soulignaient l</w:t>
      </w:r>
      <w:r w:rsidR="00346F1B">
        <w:t>’</w:t>
      </w:r>
      <w:r w:rsidR="00412247">
        <w:t>importance du patrimoine culturel immatériel en tant que composante essentielle du développement durable et de l</w:t>
      </w:r>
      <w:r w:rsidR="00346F1B">
        <w:t>’</w:t>
      </w:r>
      <w:r w:rsidR="00412247">
        <w:t>Agenda 2030. Il a assuré le Comité que beaucoup avait déjà été accompli avec l</w:t>
      </w:r>
      <w:r w:rsidR="00346F1B">
        <w:t>’</w:t>
      </w:r>
      <w:r w:rsidR="00412247">
        <w:t>adoption des Directives opérationnelles. La tâche à venir consisterait à les mettre en œuvre concrètement, ce qui se refléterait dans les projets du Comité et dans le travail préparatoire de la</w:t>
      </w:r>
      <w:r w:rsidR="00DE0564">
        <w:t xml:space="preserve"> Section du PCI pour le 38 C/5.</w:t>
      </w:r>
    </w:p>
    <w:p w14:paraId="1C088BE7" w14:textId="2C36EFC6" w:rsidR="00BB2401" w:rsidRPr="003D7066" w:rsidRDefault="006273B0" w:rsidP="00AF7860">
      <w:pPr>
        <w:pStyle w:val="Orateurengris"/>
        <w:tabs>
          <w:tab w:val="clear" w:pos="709"/>
          <w:tab w:val="clear" w:pos="1418"/>
          <w:tab w:val="clear" w:pos="2126"/>
          <w:tab w:val="clear" w:pos="2835"/>
          <w:tab w:val="clear" w:pos="3686"/>
        </w:tabs>
        <w:spacing w:before="120"/>
        <w:ind w:left="709" w:hanging="709"/>
      </w:pPr>
      <w:r>
        <w:t>L</w:t>
      </w:r>
      <w:r w:rsidR="00C07B78">
        <w:t xml:space="preserve">e </w:t>
      </w:r>
      <w:r w:rsidR="00C07B78" w:rsidRPr="00C07B78">
        <w:rPr>
          <w:b/>
        </w:rPr>
        <w:t>Secrétaire</w:t>
      </w:r>
      <w:r>
        <w:t xml:space="preserve">, se référant aux sujets abordés par les </w:t>
      </w:r>
      <w:r w:rsidR="00A46CAD">
        <w:t>membres</w:t>
      </w:r>
      <w:r>
        <w:t xml:space="preserve">, </w:t>
      </w:r>
      <w:r w:rsidR="00C07B78">
        <w:t>a noté que l</w:t>
      </w:r>
      <w:r w:rsidR="00346F1B">
        <w:t>’</w:t>
      </w:r>
      <w:r w:rsidR="00C07B78">
        <w:t xml:space="preserve">Autriche avait proposé le partage de certaines études de cas afin de rendre plus opérationnelles les nouvelles Directives opérationnelles sur le développement durable. Cette idée </w:t>
      </w:r>
      <w:r>
        <w:t xml:space="preserve">a été </w:t>
      </w:r>
      <w:r w:rsidR="00C07B78">
        <w:t>saluée par le Secrétariat, et la Section serait heureuse d</w:t>
      </w:r>
      <w:r w:rsidR="00346F1B">
        <w:t>’</w:t>
      </w:r>
      <w:r w:rsidR="00C07B78">
        <w:t xml:space="preserve">œuvrer à son </w:t>
      </w:r>
      <w:r w:rsidR="00C07B78" w:rsidRPr="00C07B78">
        <w:t>développement</w:t>
      </w:r>
      <w:r w:rsidR="00C07B78">
        <w:t>. La Turquie, Cuba et la Colombie avaient souligné que l</w:t>
      </w:r>
      <w:r w:rsidR="00346F1B">
        <w:t>’</w:t>
      </w:r>
      <w:r w:rsidR="00C07B78">
        <w:t>audit et l</w:t>
      </w:r>
      <w:r w:rsidR="00346F1B">
        <w:t>’</w:t>
      </w:r>
      <w:r w:rsidR="00C07B78" w:rsidRPr="00C07B78">
        <w:t>évaluation</w:t>
      </w:r>
      <w:r w:rsidR="00C07B78">
        <w:t xml:space="preserve"> du renforcement des capacités étaient des aspects essentiels des activités de la </w:t>
      </w:r>
      <w:r w:rsidR="00C07B78" w:rsidRPr="00C07B78">
        <w:t>Convention</w:t>
      </w:r>
      <w:r w:rsidR="00C07B78">
        <w:t>, et le Secrétariat poursuivrait ses activités dans ce</w:t>
      </w:r>
      <w:r>
        <w:t xml:space="preserve"> sens</w:t>
      </w:r>
      <w:r w:rsidR="00C07B78">
        <w:t xml:space="preserve">. Le </w:t>
      </w:r>
      <w:r w:rsidR="00C07B78" w:rsidRPr="00C07B78">
        <w:t>Secrétaire</w:t>
      </w:r>
      <w:r w:rsidR="00C07B78">
        <w:t xml:space="preserve"> </w:t>
      </w:r>
      <w:r>
        <w:t>appréciait</w:t>
      </w:r>
      <w:r w:rsidR="00C07B78">
        <w:t xml:space="preserve"> la </w:t>
      </w:r>
      <w:r w:rsidR="00C07B78" w:rsidRPr="00C07B78">
        <w:t>reconnaissance</w:t>
      </w:r>
      <w:r w:rsidR="00C07B78">
        <w:t xml:space="preserve"> </w:t>
      </w:r>
      <w:r w:rsidR="00BB2401">
        <w:t xml:space="preserve">par les </w:t>
      </w:r>
      <w:r w:rsidR="00A46CAD">
        <w:t>membres</w:t>
      </w:r>
      <w:r w:rsidR="00BB2401">
        <w:t xml:space="preserve"> </w:t>
      </w:r>
      <w:r w:rsidR="00C07B78">
        <w:t xml:space="preserve">des </w:t>
      </w:r>
      <w:r w:rsidR="00BB2401">
        <w:t xml:space="preserve">succès obtenus dans la mise en œuvre </w:t>
      </w:r>
      <w:r w:rsidR="00C07B78">
        <w:t>d</w:t>
      </w:r>
      <w:r w:rsidR="00BB2401">
        <w:t xml:space="preserve">e certaines des recommandations, comme </w:t>
      </w:r>
      <w:r w:rsidR="00BB2401" w:rsidRPr="00BB2401">
        <w:t>par exemple</w:t>
      </w:r>
      <w:r w:rsidR="00BB2401">
        <w:t xml:space="preserve"> les recommandations 11 et 12, et il était impatient de renforcer la </w:t>
      </w:r>
      <w:r w:rsidR="00BB2401" w:rsidRPr="00BB2401">
        <w:t>coopération</w:t>
      </w:r>
      <w:r w:rsidR="00BB2401">
        <w:t xml:space="preserve"> Sud-Sud. L</w:t>
      </w:r>
      <w:r w:rsidR="00346F1B">
        <w:t>’</w:t>
      </w:r>
      <w:r w:rsidR="00BB2401">
        <w:t xml:space="preserve">Inde avait soulevé une question à propos du cycle de </w:t>
      </w:r>
      <w:r w:rsidR="00BB2401" w:rsidRPr="00BB2401">
        <w:t>candidature</w:t>
      </w:r>
      <w:r w:rsidR="00BB2401">
        <w:t xml:space="preserve">, et le </w:t>
      </w:r>
      <w:r w:rsidR="00BB2401" w:rsidRPr="00BB2401">
        <w:t>Secrétaire</w:t>
      </w:r>
      <w:r w:rsidR="00BB2401">
        <w:t xml:space="preserve"> avait le sentiment qu</w:t>
      </w:r>
      <w:r w:rsidR="00346F1B">
        <w:t>’</w:t>
      </w:r>
      <w:r w:rsidR="00BB2401">
        <w:t xml:space="preserve">il serait difficile de </w:t>
      </w:r>
      <w:r>
        <w:t xml:space="preserve">recueillir </w:t>
      </w:r>
      <w:r w:rsidR="00BB2401">
        <w:t>plus d</w:t>
      </w:r>
      <w:r w:rsidR="00346F1B">
        <w:t>’</w:t>
      </w:r>
      <w:r w:rsidR="00BB2401" w:rsidRPr="00BB2401">
        <w:t>informations</w:t>
      </w:r>
      <w:r w:rsidR="00BB2401">
        <w:t xml:space="preserve"> </w:t>
      </w:r>
      <w:r>
        <w:t xml:space="preserve">auprès de </w:t>
      </w:r>
      <w:r w:rsidR="00BB2401">
        <w:t>l</w:t>
      </w:r>
      <w:r w:rsidR="00346F1B">
        <w:t>’</w:t>
      </w:r>
      <w:r w:rsidR="00BB2401">
        <w:t>État soumissionnaire.</w:t>
      </w:r>
      <w:r>
        <w:t xml:space="preserve"> </w:t>
      </w:r>
      <w:r w:rsidR="00BB2401" w:rsidRPr="00BB2401">
        <w:t>Toutefois</w:t>
      </w:r>
      <w:r w:rsidR="00BB2401">
        <w:t xml:space="preserve">, des </w:t>
      </w:r>
      <w:r>
        <w:t>discussions com</w:t>
      </w:r>
      <w:r w:rsidR="00BB2401">
        <w:t>plémentaires sur cette question seraient possible</w:t>
      </w:r>
      <w:r>
        <w:t>s</w:t>
      </w:r>
      <w:r w:rsidR="00BB2401">
        <w:t xml:space="preserve"> </w:t>
      </w:r>
      <w:r>
        <w:t xml:space="preserve">au </w:t>
      </w:r>
      <w:r w:rsidR="00BB2401">
        <w:t>point de l</w:t>
      </w:r>
      <w:r w:rsidR="00346F1B">
        <w:t>’</w:t>
      </w:r>
      <w:r w:rsidR="00BB2401" w:rsidRPr="00BB2401">
        <w:t>ordre du jour</w:t>
      </w:r>
      <w:r w:rsidR="00BB2401">
        <w:t xml:space="preserve"> concerné, plus tard dans la semaine. L</w:t>
      </w:r>
      <w:r w:rsidR="00346F1B">
        <w:t>’</w:t>
      </w:r>
      <w:r w:rsidR="00BB2401">
        <w:t xml:space="preserve">Autriche, les Philippines et la Mongolie avaient évoqué une </w:t>
      </w:r>
      <w:r w:rsidR="00BB2401" w:rsidRPr="00BB2401">
        <w:t>coopération</w:t>
      </w:r>
      <w:r w:rsidR="00BB2401">
        <w:t xml:space="preserve"> renforcée avec</w:t>
      </w:r>
      <w:r w:rsidR="003D7066">
        <w:t xml:space="preserve"> les centres de catégorie 2, </w:t>
      </w:r>
      <w:r w:rsidR="00BB2401">
        <w:t>le Secrétariat</w:t>
      </w:r>
      <w:r>
        <w:t xml:space="preserve"> était en train d</w:t>
      </w:r>
      <w:r w:rsidR="00346F1B">
        <w:t>’</w:t>
      </w:r>
      <w:r>
        <w:t>y</w:t>
      </w:r>
      <w:r w:rsidR="00BB2401">
        <w:t xml:space="preserve"> tra</w:t>
      </w:r>
      <w:r>
        <w:t>vailler avec le renouvellement et</w:t>
      </w:r>
      <w:r w:rsidR="00086A90">
        <w:t xml:space="preserve"> le perfectionnement </w:t>
      </w:r>
      <w:r w:rsidR="00BB2401">
        <w:t xml:space="preserve">des accords </w:t>
      </w:r>
      <w:r w:rsidR="00086A90">
        <w:t>existants, basés sur</w:t>
      </w:r>
      <w:r w:rsidR="003D7066">
        <w:t xml:space="preserve"> les enseignements </w:t>
      </w:r>
      <w:r w:rsidR="00086A90">
        <w:t xml:space="preserve">tirés </w:t>
      </w:r>
      <w:r w:rsidR="003D7066">
        <w:t xml:space="preserve">des premières phases de ces collaborations au cours des années passées. Le </w:t>
      </w:r>
      <w:r w:rsidR="003D7066" w:rsidRPr="003D7066">
        <w:t>Secrétaire</w:t>
      </w:r>
      <w:r w:rsidR="003D7066">
        <w:t xml:space="preserve"> était heureux de noter que la Turquie et d</w:t>
      </w:r>
      <w:r w:rsidR="00346F1B">
        <w:t>’</w:t>
      </w:r>
      <w:r w:rsidR="003D7066">
        <w:t xml:space="preserve">autres </w:t>
      </w:r>
      <w:r w:rsidR="00A46CAD">
        <w:t>membres</w:t>
      </w:r>
      <w:r w:rsidR="003D7066">
        <w:t xml:space="preserve"> avaient salué le nouveau format du rapport et, bien que cette nouvelle </w:t>
      </w:r>
      <w:r w:rsidR="003D7066" w:rsidRPr="003D7066">
        <w:t>présentation</w:t>
      </w:r>
      <w:r w:rsidR="003D7066">
        <w:t xml:space="preserve"> soit un peu maladroite cette année, elle devrait simplifier le travail du Comité à long terme avec le système global de rapports. Cuba avait abordé l</w:t>
      </w:r>
      <w:r w:rsidR="00346F1B">
        <w:t>’</w:t>
      </w:r>
      <w:r w:rsidR="003D7066">
        <w:t>importance du patrimoine culturel immatériel dans les situations d</w:t>
      </w:r>
      <w:r w:rsidR="00346F1B">
        <w:t>’</w:t>
      </w:r>
      <w:r w:rsidR="003D7066">
        <w:t>urgence, ce sujet serait l</w:t>
      </w:r>
      <w:r w:rsidR="00346F1B">
        <w:t>’</w:t>
      </w:r>
      <w:r w:rsidR="003D7066">
        <w:t>objet d</w:t>
      </w:r>
      <w:r w:rsidR="00346F1B">
        <w:t>’</w:t>
      </w:r>
      <w:r w:rsidR="003D7066">
        <w:t>une discussion au point 15 de l</w:t>
      </w:r>
      <w:r w:rsidR="00346F1B">
        <w:t>’</w:t>
      </w:r>
      <w:r w:rsidR="003D7066" w:rsidRPr="003D7066">
        <w:t>ordre du jour</w:t>
      </w:r>
      <w:r w:rsidR="003D7066">
        <w:t>. Les Philippines et le Sénégal avaient souligné l</w:t>
      </w:r>
      <w:r w:rsidR="00346F1B">
        <w:t>’</w:t>
      </w:r>
      <w:r w:rsidR="003D7066">
        <w:t>importance de l</w:t>
      </w:r>
      <w:r w:rsidR="00346F1B">
        <w:t>’</w:t>
      </w:r>
      <w:r w:rsidR="003D7066">
        <w:t xml:space="preserve">engagement de la société civile, </w:t>
      </w:r>
      <w:r w:rsidR="003D7066" w:rsidRPr="003D7066">
        <w:t>en particulier</w:t>
      </w:r>
      <w:r w:rsidR="003D7066">
        <w:t xml:space="preserve"> pour le su</w:t>
      </w:r>
      <w:r w:rsidR="00F978E2">
        <w:t>ivi des éléments inscrits sur la</w:t>
      </w:r>
      <w:r w:rsidR="003D7066">
        <w:t xml:space="preserve"> Liste de sauvegarde urgente, le </w:t>
      </w:r>
      <w:r w:rsidR="003D7066" w:rsidRPr="003D7066">
        <w:t>Secrétaire</w:t>
      </w:r>
      <w:r w:rsidR="00450503">
        <w:t xml:space="preserve"> estimait </w:t>
      </w:r>
      <w:r w:rsidR="003D7066">
        <w:t>qu</w:t>
      </w:r>
      <w:r w:rsidR="00346F1B">
        <w:t>’</w:t>
      </w:r>
      <w:r w:rsidR="003D7066">
        <w:t>il s</w:t>
      </w:r>
      <w:r w:rsidR="00346F1B">
        <w:t>’</w:t>
      </w:r>
      <w:r w:rsidR="003D7066">
        <w:t>agissait là d</w:t>
      </w:r>
      <w:r w:rsidR="00346F1B">
        <w:t>’</w:t>
      </w:r>
      <w:r w:rsidR="003D7066">
        <w:t>une idée intéressante qui pourrait ê</w:t>
      </w:r>
      <w:r w:rsidR="0048240A">
        <w:t xml:space="preserve">tre débattue au </w:t>
      </w:r>
      <w:r w:rsidR="003D7066">
        <w:t>point 9.b de l</w:t>
      </w:r>
      <w:r w:rsidR="00346F1B">
        <w:t>’</w:t>
      </w:r>
      <w:r w:rsidR="003D7066" w:rsidRPr="003D7066">
        <w:t>ordre du jour</w:t>
      </w:r>
      <w:r w:rsidR="00DE0564">
        <w:t>.</w:t>
      </w:r>
    </w:p>
    <w:p w14:paraId="0F678FBF" w14:textId="41E6F318" w:rsidR="00086A90" w:rsidRPr="00086A90" w:rsidRDefault="00086A90" w:rsidP="00AF7860">
      <w:pPr>
        <w:pStyle w:val="Orateurengris"/>
        <w:tabs>
          <w:tab w:val="clear" w:pos="709"/>
          <w:tab w:val="clear" w:pos="1418"/>
          <w:tab w:val="clear" w:pos="2126"/>
          <w:tab w:val="clear" w:pos="2835"/>
          <w:tab w:val="clear" w:pos="3686"/>
        </w:tabs>
        <w:spacing w:before="120"/>
        <w:ind w:left="709" w:hanging="709"/>
      </w:pPr>
      <w:r w:rsidRPr="00086A90">
        <w:t>Ayant</w:t>
      </w:r>
      <w:r>
        <w:t xml:space="preserve"> répondu à toutes les remarques, le </w:t>
      </w:r>
      <w:r w:rsidRPr="00086A90">
        <w:rPr>
          <w:b/>
        </w:rPr>
        <w:t>Président</w:t>
      </w:r>
      <w:r>
        <w:t xml:space="preserve"> est passé à l</w:t>
      </w:r>
      <w:r w:rsidR="00346F1B">
        <w:t>’</w:t>
      </w:r>
      <w:r>
        <w:t>adoption du projet de décision et, ayant pris note d</w:t>
      </w:r>
      <w:r w:rsidR="00346F1B">
        <w:t>’</w:t>
      </w:r>
      <w:r>
        <w:t xml:space="preserve">un </w:t>
      </w:r>
      <w:r w:rsidRPr="00086A90">
        <w:t>amendement</w:t>
      </w:r>
      <w:r>
        <w:t xml:space="preserve"> de la Turquie, il a procédé à une adoption </w:t>
      </w:r>
      <w:r w:rsidRPr="00086A90">
        <w:t>paragraphe</w:t>
      </w:r>
      <w:r>
        <w:t xml:space="preserve"> par </w:t>
      </w:r>
      <w:r w:rsidRPr="00086A90">
        <w:t>paragraphe</w:t>
      </w:r>
      <w:r>
        <w:t>. En l</w:t>
      </w:r>
      <w:r w:rsidR="00346F1B">
        <w:t>’</w:t>
      </w:r>
      <w:r>
        <w:t>absence d</w:t>
      </w:r>
      <w:r w:rsidR="00346F1B">
        <w:t>’</w:t>
      </w:r>
      <w:r>
        <w:t xml:space="preserve">autres commentaires, les </w:t>
      </w:r>
      <w:r w:rsidRPr="00086A90">
        <w:t>p</w:t>
      </w:r>
      <w:r>
        <w:t>aragraphes 1 et 2 ont été adoptés. L</w:t>
      </w:r>
      <w:r w:rsidR="00346F1B">
        <w:t>’</w:t>
      </w:r>
      <w:r w:rsidRPr="00086A90">
        <w:t>amendement</w:t>
      </w:r>
      <w:r>
        <w:t xml:space="preserve"> proposé par la Turquie concernait le </w:t>
      </w:r>
      <w:r w:rsidRPr="00086A90">
        <w:t>paragraphe</w:t>
      </w:r>
      <w:r w:rsidR="00DE0564">
        <w:t xml:space="preserve"> 3.</w:t>
      </w:r>
    </w:p>
    <w:p w14:paraId="4A3EC8B0" w14:textId="3C3D0820" w:rsidR="00086A90" w:rsidRPr="00086A90" w:rsidRDefault="00086A90" w:rsidP="00AF7860">
      <w:pPr>
        <w:pStyle w:val="Orateurengris"/>
        <w:tabs>
          <w:tab w:val="clear" w:pos="709"/>
          <w:tab w:val="clear" w:pos="1418"/>
          <w:tab w:val="clear" w:pos="2126"/>
          <w:tab w:val="clear" w:pos="2835"/>
          <w:tab w:val="clear" w:pos="3686"/>
        </w:tabs>
        <w:spacing w:before="120"/>
        <w:ind w:left="709" w:hanging="709"/>
      </w:pPr>
      <w:r w:rsidRPr="00086A90">
        <w:t xml:space="preserve">La délégation de la </w:t>
      </w:r>
      <w:r w:rsidRPr="00086A90">
        <w:rPr>
          <w:b/>
        </w:rPr>
        <w:t>Turquie</w:t>
      </w:r>
      <w:r w:rsidRPr="00086A90">
        <w:t xml:space="preserve"> souhaitait ajouter une phrase à la fin du paragraphe 3</w:t>
      </w:r>
      <w:r>
        <w:t>, après le mot « </w:t>
      </w:r>
      <w:r w:rsidRPr="00086A90">
        <w:t>ratification</w:t>
      </w:r>
      <w:r>
        <w:t xml:space="preserve"> », le </w:t>
      </w:r>
      <w:r w:rsidRPr="00086A90">
        <w:t>paragraphe</w:t>
      </w:r>
      <w:r>
        <w:t xml:space="preserve"> s</w:t>
      </w:r>
      <w:r w:rsidR="00346F1B">
        <w:t>’</w:t>
      </w:r>
      <w:r>
        <w:t xml:space="preserve">achèverait ainsi « encourage les États non parties à la </w:t>
      </w:r>
      <w:r w:rsidRPr="00086A90">
        <w:t>Convention</w:t>
      </w:r>
      <w:r>
        <w:t xml:space="preserve"> et demande au Secrétariat de poursuivre ses efforts </w:t>
      </w:r>
      <w:r w:rsidR="00936620">
        <w:t xml:space="preserve">pour promouvoir la </w:t>
      </w:r>
      <w:r w:rsidR="00936620" w:rsidRPr="00936620">
        <w:t>ratification</w:t>
      </w:r>
      <w:r w:rsidR="00936620">
        <w:t xml:space="preserve"> ». La </w:t>
      </w:r>
      <w:r w:rsidR="00936620" w:rsidRPr="00936620">
        <w:t>délégation</w:t>
      </w:r>
      <w:r w:rsidR="00936620">
        <w:t xml:space="preserve"> a ajouté qu</w:t>
      </w:r>
      <w:r w:rsidR="00346F1B">
        <w:t>’</w:t>
      </w:r>
      <w:r w:rsidR="00936620">
        <w:t xml:space="preserve">en 2015, sept États avaient ratifié la </w:t>
      </w:r>
      <w:r w:rsidR="00936620" w:rsidRPr="00936620">
        <w:t>Convention</w:t>
      </w:r>
      <w:r w:rsidR="00936620">
        <w:t xml:space="preserve"> et qu</w:t>
      </w:r>
      <w:r w:rsidR="00346F1B">
        <w:t>’</w:t>
      </w:r>
      <w:r w:rsidR="00936620">
        <w:t>elle espérait que d</w:t>
      </w:r>
      <w:r w:rsidR="00346F1B">
        <w:t>’</w:t>
      </w:r>
      <w:r w:rsidR="00936620">
        <w:t>autres États en feraien</w:t>
      </w:r>
      <w:r w:rsidR="00A246E7">
        <w:t>t autant.</w:t>
      </w:r>
    </w:p>
    <w:p w14:paraId="1DE824E4" w14:textId="4FC6561A" w:rsidR="00A246E7" w:rsidRPr="00A246E7" w:rsidRDefault="00A246E7" w:rsidP="00AF7860">
      <w:pPr>
        <w:pStyle w:val="Orateurengris"/>
        <w:tabs>
          <w:tab w:val="clear" w:pos="709"/>
          <w:tab w:val="clear" w:pos="1418"/>
          <w:tab w:val="clear" w:pos="2126"/>
          <w:tab w:val="clear" w:pos="2835"/>
          <w:tab w:val="clear" w:pos="3686"/>
        </w:tabs>
        <w:spacing w:before="120"/>
        <w:ind w:left="709" w:hanging="709"/>
      </w:pPr>
      <w:r w:rsidRPr="00A246E7">
        <w:t xml:space="preserve">Le </w:t>
      </w:r>
      <w:r w:rsidRPr="00E8556A">
        <w:rPr>
          <w:b/>
        </w:rPr>
        <w:t>Secrétaire</w:t>
      </w:r>
      <w:r w:rsidR="00E8556A">
        <w:t xml:space="preserve"> a signalé</w:t>
      </w:r>
      <w:r w:rsidRPr="00A246E7">
        <w:t xml:space="preserve"> que le S</w:t>
      </w:r>
      <w:r w:rsidR="00E8556A">
        <w:t>oudan du Sud n</w:t>
      </w:r>
      <w:r w:rsidR="00346F1B">
        <w:t>’</w:t>
      </w:r>
      <w:r w:rsidR="00E8556A">
        <w:t>avait pas été inclus dans la liste, car l</w:t>
      </w:r>
      <w:r w:rsidR="00346F1B">
        <w:t>’</w:t>
      </w:r>
      <w:r w:rsidR="00E8556A">
        <w:t>instrument n</w:t>
      </w:r>
      <w:r w:rsidR="00346F1B">
        <w:t>’</w:t>
      </w:r>
      <w:r w:rsidR="00E8556A">
        <w:t xml:space="preserve">avait été reçu que pendant la rédaction de la </w:t>
      </w:r>
      <w:r w:rsidR="00E8556A" w:rsidRPr="00E8556A">
        <w:t>décision</w:t>
      </w:r>
      <w:r w:rsidR="00DE0564">
        <w:t>.</w:t>
      </w:r>
    </w:p>
    <w:p w14:paraId="6082A768" w14:textId="15E883D1" w:rsidR="00E8556A" w:rsidRPr="00E8556A" w:rsidRDefault="00E8556A" w:rsidP="00AF7860">
      <w:pPr>
        <w:pStyle w:val="Orateurengris"/>
        <w:tabs>
          <w:tab w:val="clear" w:pos="709"/>
          <w:tab w:val="clear" w:pos="1418"/>
          <w:tab w:val="clear" w:pos="2126"/>
          <w:tab w:val="clear" w:pos="2835"/>
          <w:tab w:val="clear" w:pos="3686"/>
        </w:tabs>
        <w:spacing w:before="120"/>
        <w:ind w:left="709" w:hanging="709"/>
      </w:pPr>
      <w:r w:rsidRPr="00E8556A">
        <w:t>En l</w:t>
      </w:r>
      <w:r w:rsidR="00346F1B">
        <w:t>’</w:t>
      </w:r>
      <w:r w:rsidRPr="00E8556A">
        <w:t>absence d</w:t>
      </w:r>
      <w:r w:rsidR="00346F1B">
        <w:t>’</w:t>
      </w:r>
      <w:r w:rsidRPr="00E8556A">
        <w:t xml:space="preserve">objections, le </w:t>
      </w:r>
      <w:r w:rsidRPr="00E8556A">
        <w:rPr>
          <w:b/>
        </w:rPr>
        <w:t>Président</w:t>
      </w:r>
      <w:r>
        <w:t xml:space="preserve"> a inséré le Soudan du Sud, et « sept » a é</w:t>
      </w:r>
      <w:r w:rsidR="00DE0564">
        <w:t>té remplacé par « huit » États.</w:t>
      </w:r>
    </w:p>
    <w:p w14:paraId="6879751C" w14:textId="37DC42C5" w:rsidR="00E8556A" w:rsidRPr="00E8556A" w:rsidRDefault="00E8556A" w:rsidP="00AF7860">
      <w:pPr>
        <w:pStyle w:val="Orateurengris"/>
        <w:tabs>
          <w:tab w:val="clear" w:pos="709"/>
          <w:tab w:val="clear" w:pos="1418"/>
          <w:tab w:val="clear" w:pos="2126"/>
          <w:tab w:val="clear" w:pos="2835"/>
          <w:tab w:val="clear" w:pos="3686"/>
        </w:tabs>
        <w:spacing w:before="120"/>
        <w:ind w:left="709" w:hanging="709"/>
      </w:pPr>
      <w:r w:rsidRPr="00E8556A">
        <w:t>La délégation</w:t>
      </w:r>
      <w:r>
        <w:t xml:space="preserve"> de la </w:t>
      </w:r>
      <w:r w:rsidRPr="00E8556A">
        <w:rPr>
          <w:b/>
        </w:rPr>
        <w:t>Turquie</w:t>
      </w:r>
      <w:r>
        <w:t xml:space="preserve"> a réaffirmé que la version anglaise pourrait inclure le</w:t>
      </w:r>
      <w:r w:rsidR="003D563D">
        <w:t xml:space="preserve"> mot « ratifier », la phrase serait ainsi rédigée :</w:t>
      </w:r>
      <w:r>
        <w:t xml:space="preserve"> « États non parties à la </w:t>
      </w:r>
      <w:r w:rsidRPr="00E8556A">
        <w:t>Convention</w:t>
      </w:r>
      <w:r>
        <w:t xml:space="preserve"> </w:t>
      </w:r>
      <w:r w:rsidRPr="00E8556A">
        <w:rPr>
          <w:u w:val="single"/>
        </w:rPr>
        <w:t>à la ratifier</w:t>
      </w:r>
      <w:r>
        <w:t xml:space="preserve"> et demande</w:t>
      </w:r>
      <w:r w:rsidR="003D563D">
        <w:t xml:space="preserve"> </w:t>
      </w:r>
      <w:r>
        <w:t>[…] »</w:t>
      </w:r>
      <w:r w:rsidR="00DE0564">
        <w:t>.</w:t>
      </w:r>
    </w:p>
    <w:p w14:paraId="5A1CFD6D" w14:textId="591FA9B9" w:rsidR="003D563D" w:rsidRPr="003D563D" w:rsidRDefault="003D563D" w:rsidP="00AF7860">
      <w:pPr>
        <w:pStyle w:val="Orateurengris"/>
        <w:tabs>
          <w:tab w:val="clear" w:pos="709"/>
          <w:tab w:val="clear" w:pos="1418"/>
          <w:tab w:val="clear" w:pos="2126"/>
          <w:tab w:val="clear" w:pos="2835"/>
          <w:tab w:val="clear" w:pos="3686"/>
        </w:tabs>
        <w:spacing w:before="120"/>
        <w:ind w:left="709" w:hanging="709"/>
        <w:rPr>
          <w:rFonts w:eastAsia="Calibri"/>
        </w:rPr>
      </w:pPr>
      <w:r w:rsidRPr="003D563D">
        <w:rPr>
          <w:rFonts w:eastAsia="Calibri"/>
        </w:rPr>
        <w:t>En l</w:t>
      </w:r>
      <w:r w:rsidR="00346F1B">
        <w:rPr>
          <w:rFonts w:eastAsia="Calibri"/>
        </w:rPr>
        <w:t>’</w:t>
      </w:r>
      <w:r w:rsidRPr="003D563D">
        <w:rPr>
          <w:rFonts w:eastAsia="Calibri"/>
        </w:rPr>
        <w:t>absence d</w:t>
      </w:r>
      <w:r w:rsidR="00346F1B">
        <w:rPr>
          <w:rFonts w:eastAsia="Calibri"/>
        </w:rPr>
        <w:t>’</w:t>
      </w:r>
      <w:r w:rsidRPr="003D563D">
        <w:rPr>
          <w:rFonts w:eastAsia="Calibri"/>
        </w:rPr>
        <w:t xml:space="preserve">autres commentaires, le </w:t>
      </w:r>
      <w:r w:rsidRPr="003D563D">
        <w:rPr>
          <w:rFonts w:eastAsia="Calibri"/>
          <w:b/>
        </w:rPr>
        <w:t>Président</w:t>
      </w:r>
      <w:r w:rsidRPr="003D563D">
        <w:rPr>
          <w:rFonts w:eastAsia="Calibri"/>
        </w:rPr>
        <w:t xml:space="preserve"> a déclaré le paragraphe</w:t>
      </w:r>
      <w:r w:rsidR="00D42E64">
        <w:rPr>
          <w:rFonts w:eastAsia="Calibri"/>
        </w:rPr>
        <w:t xml:space="preserve"> 3 adopté </w:t>
      </w:r>
      <w:r w:rsidRPr="003D563D">
        <w:rPr>
          <w:rFonts w:eastAsia="Calibri"/>
        </w:rPr>
        <w:t>tel qu</w:t>
      </w:r>
      <w:r w:rsidR="00346F1B">
        <w:rPr>
          <w:rFonts w:eastAsia="Calibri"/>
        </w:rPr>
        <w:t>’</w:t>
      </w:r>
      <w:r w:rsidRPr="003D563D">
        <w:rPr>
          <w:rFonts w:eastAsia="Calibri"/>
        </w:rPr>
        <w:t xml:space="preserve">amendé. </w:t>
      </w:r>
      <w:r>
        <w:rPr>
          <w:rFonts w:eastAsia="Calibri"/>
        </w:rPr>
        <w:t xml:space="preserve">Le </w:t>
      </w:r>
      <w:r w:rsidRPr="003D563D">
        <w:rPr>
          <w:rFonts w:eastAsia="Calibri"/>
        </w:rPr>
        <w:t>paragraphe</w:t>
      </w:r>
      <w:r>
        <w:rPr>
          <w:rFonts w:eastAsia="Calibri"/>
        </w:rPr>
        <w:t xml:space="preserve"> 4 a </w:t>
      </w:r>
      <w:r w:rsidRPr="003D563D">
        <w:rPr>
          <w:rFonts w:eastAsia="Calibri"/>
        </w:rPr>
        <w:t>également</w:t>
      </w:r>
      <w:r>
        <w:rPr>
          <w:rFonts w:eastAsia="Calibri"/>
        </w:rPr>
        <w:t xml:space="preserve"> été adopté. La Turquie </w:t>
      </w:r>
      <w:r w:rsidR="000F72CA">
        <w:rPr>
          <w:rFonts w:eastAsia="Calibri"/>
        </w:rPr>
        <w:t>a présenté</w:t>
      </w:r>
      <w:r>
        <w:rPr>
          <w:rFonts w:eastAsia="Calibri"/>
        </w:rPr>
        <w:t xml:space="preserve"> un </w:t>
      </w:r>
      <w:r w:rsidRPr="003D563D">
        <w:rPr>
          <w:rFonts w:eastAsia="Calibri"/>
        </w:rPr>
        <w:t>amendement</w:t>
      </w:r>
      <w:r>
        <w:rPr>
          <w:rFonts w:eastAsia="Calibri"/>
        </w:rPr>
        <w:t xml:space="preserve"> au </w:t>
      </w:r>
      <w:r w:rsidRPr="003D563D">
        <w:rPr>
          <w:rFonts w:eastAsia="Calibri"/>
        </w:rPr>
        <w:t>paragraphe</w:t>
      </w:r>
      <w:r w:rsidR="00DE0564">
        <w:rPr>
          <w:rFonts w:eastAsia="Calibri"/>
        </w:rPr>
        <w:t xml:space="preserve"> 5.</w:t>
      </w:r>
    </w:p>
    <w:p w14:paraId="2F7433AF" w14:textId="35407C3D" w:rsidR="003D563D" w:rsidRPr="003D563D" w:rsidRDefault="003D563D" w:rsidP="00AF7860">
      <w:pPr>
        <w:pStyle w:val="Orateurengris"/>
        <w:tabs>
          <w:tab w:val="clear" w:pos="709"/>
          <w:tab w:val="clear" w:pos="1418"/>
          <w:tab w:val="clear" w:pos="2126"/>
          <w:tab w:val="clear" w:pos="2835"/>
          <w:tab w:val="clear" w:pos="3686"/>
        </w:tabs>
        <w:spacing w:before="120"/>
        <w:ind w:left="709" w:hanging="709"/>
        <w:rPr>
          <w:rFonts w:eastAsia="Calibri"/>
        </w:rPr>
      </w:pPr>
      <w:r w:rsidRPr="003D563D">
        <w:rPr>
          <w:rFonts w:eastAsia="Calibri"/>
        </w:rPr>
        <w:t>La délégation de l</w:t>
      </w:r>
      <w:r w:rsidR="00346F1B">
        <w:rPr>
          <w:rFonts w:eastAsia="Calibri"/>
        </w:rPr>
        <w:t>’</w:t>
      </w:r>
      <w:r w:rsidRPr="003D563D">
        <w:rPr>
          <w:rFonts w:eastAsia="Calibri"/>
          <w:b/>
        </w:rPr>
        <w:t>Algérie</w:t>
      </w:r>
      <w:r w:rsidRPr="003D563D">
        <w:rPr>
          <w:rFonts w:eastAsia="Calibri"/>
        </w:rPr>
        <w:t xml:space="preserve"> </w:t>
      </w:r>
      <w:r>
        <w:rPr>
          <w:rFonts w:eastAsia="Calibri"/>
        </w:rPr>
        <w:t>n</w:t>
      </w:r>
      <w:r w:rsidR="00346F1B">
        <w:rPr>
          <w:rFonts w:eastAsia="Calibri"/>
        </w:rPr>
        <w:t>’</w:t>
      </w:r>
      <w:r>
        <w:rPr>
          <w:rFonts w:eastAsia="Calibri"/>
        </w:rPr>
        <w:t xml:space="preserve">avait aucune objection particulière à cet </w:t>
      </w:r>
      <w:r w:rsidRPr="003D563D">
        <w:rPr>
          <w:rFonts w:eastAsia="Calibri"/>
        </w:rPr>
        <w:t>amendement</w:t>
      </w:r>
      <w:r>
        <w:rPr>
          <w:rFonts w:eastAsia="Calibri"/>
        </w:rPr>
        <w:t xml:space="preserve"> mais elle a suggéré qu</w:t>
      </w:r>
      <w:r w:rsidR="00346F1B">
        <w:rPr>
          <w:rFonts w:eastAsia="Calibri"/>
        </w:rPr>
        <w:t>’</w:t>
      </w:r>
      <w:r>
        <w:rPr>
          <w:rFonts w:eastAsia="Calibri"/>
        </w:rPr>
        <w:t>il soit inséré sous la forme d</w:t>
      </w:r>
      <w:r w:rsidR="00346F1B">
        <w:rPr>
          <w:rFonts w:eastAsia="Calibri"/>
        </w:rPr>
        <w:t>’</w:t>
      </w:r>
      <w:r>
        <w:rPr>
          <w:rFonts w:eastAsia="Calibri"/>
        </w:rPr>
        <w:t xml:space="preserve">un </w:t>
      </w:r>
      <w:r w:rsidRPr="003D563D">
        <w:rPr>
          <w:rFonts w:eastAsia="Calibri"/>
        </w:rPr>
        <w:t>paragraphe</w:t>
      </w:r>
      <w:r>
        <w:rPr>
          <w:rFonts w:eastAsia="Calibri"/>
        </w:rPr>
        <w:t xml:space="preserve"> séparé car le </w:t>
      </w:r>
      <w:r w:rsidRPr="003D563D">
        <w:rPr>
          <w:rFonts w:eastAsia="Calibri"/>
        </w:rPr>
        <w:t>paragraphe</w:t>
      </w:r>
      <w:r>
        <w:rPr>
          <w:rFonts w:eastAsia="Calibri"/>
        </w:rPr>
        <w:t xml:space="preserve"> 5 était désormais trop lourd.</w:t>
      </w:r>
    </w:p>
    <w:p w14:paraId="72601E74" w14:textId="24AF1664" w:rsidR="003D563D" w:rsidRPr="003D563D" w:rsidRDefault="003A6355" w:rsidP="00AF7860">
      <w:pPr>
        <w:pStyle w:val="Orateurengris"/>
        <w:tabs>
          <w:tab w:val="clear" w:pos="709"/>
          <w:tab w:val="clear" w:pos="1418"/>
          <w:tab w:val="clear" w:pos="2126"/>
          <w:tab w:val="clear" w:pos="2835"/>
          <w:tab w:val="clear" w:pos="3686"/>
        </w:tabs>
        <w:spacing w:before="120"/>
        <w:ind w:left="709" w:hanging="709"/>
      </w:pPr>
      <w:r>
        <w:t>Le</w:t>
      </w:r>
      <w:r w:rsidR="003D563D" w:rsidRPr="003D563D">
        <w:t xml:space="preserve"> </w:t>
      </w:r>
      <w:r w:rsidR="003D563D" w:rsidRPr="003D563D">
        <w:rPr>
          <w:b/>
        </w:rPr>
        <w:t>Président</w:t>
      </w:r>
      <w:r w:rsidR="003D563D" w:rsidRPr="003D563D">
        <w:t xml:space="preserve"> a pris </w:t>
      </w:r>
      <w:r w:rsidR="000F72CA">
        <w:t>note de la proposition de l</w:t>
      </w:r>
      <w:r w:rsidR="00346F1B">
        <w:t>’</w:t>
      </w:r>
      <w:r w:rsidR="000F72CA">
        <w:t>Algé</w:t>
      </w:r>
      <w:r w:rsidR="003D563D" w:rsidRPr="003D563D">
        <w:t xml:space="preserve">rie de </w:t>
      </w:r>
      <w:r w:rsidR="00D42E64">
        <w:t xml:space="preserve">séparer </w:t>
      </w:r>
      <w:r w:rsidR="003D563D" w:rsidRPr="003D563D">
        <w:t>le paragraphe en deux</w:t>
      </w:r>
      <w:r w:rsidR="00DE0564">
        <w:t>.</w:t>
      </w:r>
    </w:p>
    <w:p w14:paraId="20FC889A" w14:textId="0C51D958" w:rsidR="000F72CA" w:rsidRDefault="000F72CA" w:rsidP="00AF7860">
      <w:pPr>
        <w:pStyle w:val="Orateurengris"/>
        <w:tabs>
          <w:tab w:val="clear" w:pos="709"/>
          <w:tab w:val="clear" w:pos="1418"/>
          <w:tab w:val="clear" w:pos="2126"/>
          <w:tab w:val="clear" w:pos="2835"/>
          <w:tab w:val="clear" w:pos="3686"/>
        </w:tabs>
        <w:spacing w:before="120"/>
        <w:ind w:left="709" w:hanging="709"/>
      </w:pPr>
      <w:r>
        <w:t xml:space="preserve">La </w:t>
      </w:r>
      <w:r w:rsidRPr="000F72CA">
        <w:t>délégation</w:t>
      </w:r>
      <w:r>
        <w:t xml:space="preserve"> de </w:t>
      </w:r>
      <w:r w:rsidRPr="000F72CA">
        <w:rPr>
          <w:b/>
        </w:rPr>
        <w:t>Cuba</w:t>
      </w:r>
      <w:r>
        <w:t xml:space="preserve"> a suggéré de revenir sur la proposition de nouveau </w:t>
      </w:r>
      <w:r w:rsidRPr="000F72CA">
        <w:t>paragraphe</w:t>
      </w:r>
      <w:r>
        <w:t xml:space="preserve"> après l</w:t>
      </w:r>
      <w:r w:rsidR="00346F1B">
        <w:t>’</w:t>
      </w:r>
      <w:r>
        <w:t xml:space="preserve">adoption du </w:t>
      </w:r>
      <w:r w:rsidRPr="000F72CA">
        <w:t>paragraphe</w:t>
      </w:r>
      <w:r>
        <w:t xml:space="preserve"> 5</w:t>
      </w:r>
      <w:r w:rsidR="00DE0564">
        <w:t xml:space="preserve"> afin de clarifier son libellé.</w:t>
      </w:r>
    </w:p>
    <w:p w14:paraId="0DD782A4" w14:textId="2E2BC2C8" w:rsidR="000F72CA" w:rsidRDefault="000F72CA" w:rsidP="00AF7860">
      <w:pPr>
        <w:pStyle w:val="Orateurengris"/>
        <w:tabs>
          <w:tab w:val="clear" w:pos="709"/>
          <w:tab w:val="clear" w:pos="1418"/>
          <w:tab w:val="clear" w:pos="2126"/>
          <w:tab w:val="clear" w:pos="2835"/>
          <w:tab w:val="clear" w:pos="3686"/>
        </w:tabs>
        <w:spacing w:before="120"/>
        <w:ind w:left="709" w:hanging="709"/>
      </w:pPr>
      <w:r>
        <w:t>En l</w:t>
      </w:r>
      <w:r w:rsidR="00346F1B">
        <w:t>’</w:t>
      </w:r>
      <w:r>
        <w:t>absence d</w:t>
      </w:r>
      <w:r w:rsidR="00346F1B">
        <w:t>’</w:t>
      </w:r>
      <w:r>
        <w:t xml:space="preserve">objections, le </w:t>
      </w:r>
      <w:r w:rsidRPr="00EF5CD1">
        <w:rPr>
          <w:b/>
        </w:rPr>
        <w:t>Président</w:t>
      </w:r>
      <w:r w:rsidR="003A7F42">
        <w:t xml:space="preserve"> a déclaré le</w:t>
      </w:r>
      <w:r>
        <w:t xml:space="preserve"> </w:t>
      </w:r>
      <w:r w:rsidRPr="000F72CA">
        <w:t>paragraphe</w:t>
      </w:r>
      <w:r>
        <w:t xml:space="preserve"> 5 adopté, puis est passé au nouveau </w:t>
      </w:r>
      <w:r w:rsidRPr="000F72CA">
        <w:t>paragraphe</w:t>
      </w:r>
      <w:r>
        <w:t xml:space="preserve"> 6, tel que proposé par la Turquie et l</w:t>
      </w:r>
      <w:r w:rsidR="00346F1B">
        <w:t>’</w:t>
      </w:r>
      <w:r>
        <w:t>Algérie, qui serait ainsi rédigé « et note en outre que l</w:t>
      </w:r>
      <w:r w:rsidR="00346F1B">
        <w:t>’</w:t>
      </w:r>
      <w:r w:rsidRPr="000F72CA">
        <w:t>établissement</w:t>
      </w:r>
      <w:r>
        <w:t xml:space="preserve"> d</w:t>
      </w:r>
      <w:r w:rsidR="00346F1B">
        <w:t>’</w:t>
      </w:r>
      <w:r>
        <w:t>un mécanisme de suivi, dans l</w:t>
      </w:r>
      <w:r w:rsidR="00346F1B">
        <w:t>’</w:t>
      </w:r>
      <w:r>
        <w:t xml:space="preserve">attente de la création du cadre global de résultats pour la </w:t>
      </w:r>
      <w:r w:rsidRPr="000F72CA">
        <w:t>Convention</w:t>
      </w:r>
      <w:r>
        <w:t xml:space="preserve">, aurait </w:t>
      </w:r>
      <w:r w:rsidR="00EF5CD1">
        <w:t xml:space="preserve">probablement </w:t>
      </w:r>
      <w:r>
        <w:t xml:space="preserve">pour conséquence </w:t>
      </w:r>
      <w:r w:rsidR="00D42E64">
        <w:t>un meilleur</w:t>
      </w:r>
      <w:r w:rsidR="00EF5CD1">
        <w:t xml:space="preserve"> ciblage et une </w:t>
      </w:r>
      <w:r w:rsidR="00EF5CD1" w:rsidRPr="00EF5CD1">
        <w:t>efficacité</w:t>
      </w:r>
      <w:r w:rsidR="00EF5CD1">
        <w:t xml:space="preserve"> accrue ».</w:t>
      </w:r>
    </w:p>
    <w:p w14:paraId="6C922C5C" w14:textId="0C2F5051" w:rsidR="00EF5CD1" w:rsidRDefault="00EF5CD1" w:rsidP="00AF7860">
      <w:pPr>
        <w:pStyle w:val="Orateurengris"/>
        <w:tabs>
          <w:tab w:val="clear" w:pos="709"/>
          <w:tab w:val="clear" w:pos="1418"/>
          <w:tab w:val="clear" w:pos="2126"/>
          <w:tab w:val="clear" w:pos="2835"/>
          <w:tab w:val="clear" w:pos="3686"/>
        </w:tabs>
        <w:spacing w:before="120"/>
        <w:ind w:left="709" w:hanging="709"/>
      </w:pPr>
      <w:r>
        <w:t xml:space="preserve">La </w:t>
      </w:r>
      <w:r w:rsidRPr="00EF5CD1">
        <w:t>délégation</w:t>
      </w:r>
      <w:r>
        <w:t xml:space="preserve"> de l</w:t>
      </w:r>
      <w:r w:rsidR="00346F1B">
        <w:t>’</w:t>
      </w:r>
      <w:r w:rsidRPr="00EF5CD1">
        <w:rPr>
          <w:b/>
        </w:rPr>
        <w:t>Autriche</w:t>
      </w:r>
      <w:r>
        <w:t xml:space="preserve"> se demandait si la phrase (en anglais) « would lik</w:t>
      </w:r>
      <w:r w:rsidR="00DE0564">
        <w:t>ely to result » était correcte.</w:t>
      </w:r>
    </w:p>
    <w:p w14:paraId="5A125243" w14:textId="567F9860" w:rsidR="00EF5CD1" w:rsidRDefault="00EF5CD1" w:rsidP="00AF7860">
      <w:pPr>
        <w:pStyle w:val="Orateurengris"/>
        <w:tabs>
          <w:tab w:val="clear" w:pos="709"/>
          <w:tab w:val="clear" w:pos="1418"/>
          <w:tab w:val="clear" w:pos="2126"/>
          <w:tab w:val="clear" w:pos="2835"/>
          <w:tab w:val="clear" w:pos="3686"/>
        </w:tabs>
        <w:spacing w:before="120"/>
        <w:ind w:left="709" w:hanging="709"/>
      </w:pPr>
      <w:r>
        <w:t xml:space="preserve">La </w:t>
      </w:r>
      <w:r w:rsidRPr="00EF5CD1">
        <w:t>délégation</w:t>
      </w:r>
      <w:r>
        <w:t xml:space="preserve"> de l</w:t>
      </w:r>
      <w:r w:rsidR="00346F1B">
        <w:t>’</w:t>
      </w:r>
      <w:r w:rsidRPr="00EF5CD1">
        <w:rPr>
          <w:b/>
        </w:rPr>
        <w:t>Algérie</w:t>
      </w:r>
      <w:r w:rsidR="00D42E64">
        <w:t xml:space="preserve"> souhaitait </w:t>
      </w:r>
      <w:r>
        <w:t>amender la version française afin qu</w:t>
      </w:r>
      <w:r w:rsidR="00346F1B">
        <w:t>’</w:t>
      </w:r>
      <w:r>
        <w:t>elle soit plus lisible</w:t>
      </w:r>
      <w:r w:rsidR="00D42E64">
        <w:t>, et proposait</w:t>
      </w:r>
      <w:r>
        <w:t xml:space="preserve"> le libellé suivant : « note en outre qu</w:t>
      </w:r>
      <w:r w:rsidR="00346F1B">
        <w:t>’</w:t>
      </w:r>
      <w:r>
        <w:t>en attendant la création d</w:t>
      </w:r>
      <w:r w:rsidR="00346F1B">
        <w:t>’</w:t>
      </w:r>
      <w:r>
        <w:t xml:space="preserve">un cadre global ». La </w:t>
      </w:r>
      <w:r w:rsidRPr="00EF5CD1">
        <w:t>délégation</w:t>
      </w:r>
      <w:r w:rsidR="00D42E64">
        <w:t xml:space="preserve"> souhaitait </w:t>
      </w:r>
      <w:r w:rsidRPr="00EF5CD1">
        <w:t>également</w:t>
      </w:r>
      <w:r>
        <w:t xml:space="preserve"> des précisions de la part de la Turquie quant à la </w:t>
      </w:r>
      <w:r w:rsidRPr="00EF5CD1">
        <w:t xml:space="preserve">signification </w:t>
      </w:r>
      <w:r>
        <w:t>de l</w:t>
      </w:r>
      <w:r w:rsidR="00346F1B">
        <w:t>’</w:t>
      </w:r>
      <w:r>
        <w:t> « </w:t>
      </w:r>
      <w:r w:rsidRPr="00EF5CD1">
        <w:t>établissement</w:t>
      </w:r>
      <w:r>
        <w:t xml:space="preserve"> d</w:t>
      </w:r>
      <w:r w:rsidR="00346F1B">
        <w:t>’</w:t>
      </w:r>
      <w:r>
        <w:t>un mécanisme de suivi ».</w:t>
      </w:r>
    </w:p>
    <w:p w14:paraId="4D3C42DE" w14:textId="0C8C1B7F" w:rsidR="00EF5CD1" w:rsidRDefault="00EF5CD1"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EF5CD1">
        <w:rPr>
          <w:rFonts w:eastAsia="Calibri"/>
          <w:b/>
        </w:rPr>
        <w:t>Président</w:t>
      </w:r>
      <w:r>
        <w:rPr>
          <w:rFonts w:eastAsia="Calibri"/>
        </w:rPr>
        <w:t xml:space="preserve"> a demandé au </w:t>
      </w:r>
      <w:r w:rsidRPr="00EF5CD1">
        <w:rPr>
          <w:rFonts w:eastAsia="Calibri"/>
        </w:rPr>
        <w:t>Rapporteur</w:t>
      </w:r>
      <w:r>
        <w:rPr>
          <w:rFonts w:eastAsia="Calibri"/>
        </w:rPr>
        <w:t xml:space="preserve"> de supprimer « to » de la version anglaise de la phrase</w:t>
      </w:r>
      <w:r w:rsidR="00DE0564">
        <w:rPr>
          <w:rFonts w:eastAsia="Calibri"/>
        </w:rPr>
        <w:t>.</w:t>
      </w:r>
    </w:p>
    <w:p w14:paraId="3346F6DC" w14:textId="19F03FA0" w:rsidR="00EF5CD1" w:rsidRPr="00EF5CD1" w:rsidRDefault="00EF5CD1" w:rsidP="00AF7860">
      <w:pPr>
        <w:pStyle w:val="Orateurengris"/>
        <w:tabs>
          <w:tab w:val="clear" w:pos="709"/>
          <w:tab w:val="clear" w:pos="1418"/>
          <w:tab w:val="clear" w:pos="2126"/>
          <w:tab w:val="clear" w:pos="2835"/>
          <w:tab w:val="clear" w:pos="3686"/>
        </w:tabs>
        <w:spacing w:before="120"/>
        <w:ind w:left="709" w:hanging="709"/>
      </w:pPr>
      <w:r>
        <w:t xml:space="preserve">La </w:t>
      </w:r>
      <w:r w:rsidRPr="00EF5CD1">
        <w:t>délégation</w:t>
      </w:r>
      <w:r>
        <w:t xml:space="preserve"> de </w:t>
      </w:r>
      <w:r w:rsidRPr="00EF5CD1">
        <w:rPr>
          <w:b/>
        </w:rPr>
        <w:t>Maurice</w:t>
      </w:r>
      <w:r w:rsidR="00DE0564">
        <w:t xml:space="preserve"> a souscrit à cette demande.</w:t>
      </w:r>
    </w:p>
    <w:p w14:paraId="0B10CC3C" w14:textId="795D8458" w:rsidR="0002679C" w:rsidRPr="0002679C" w:rsidRDefault="0002679C" w:rsidP="00AF7860">
      <w:pPr>
        <w:pStyle w:val="Orateurengris"/>
        <w:tabs>
          <w:tab w:val="clear" w:pos="709"/>
          <w:tab w:val="clear" w:pos="1418"/>
          <w:tab w:val="clear" w:pos="2126"/>
          <w:tab w:val="clear" w:pos="2835"/>
          <w:tab w:val="clear" w:pos="3686"/>
        </w:tabs>
        <w:spacing w:before="120"/>
        <w:ind w:left="709" w:hanging="709"/>
      </w:pPr>
      <w:r>
        <w:t>Afin de répondre à la demande de précisions de l</w:t>
      </w:r>
      <w:r w:rsidR="00346F1B">
        <w:t>’</w:t>
      </w:r>
      <w:r>
        <w:t xml:space="preserve">Algérie, la </w:t>
      </w:r>
      <w:r w:rsidRPr="0002679C">
        <w:t>délégation</w:t>
      </w:r>
      <w:r>
        <w:t xml:space="preserve"> de la </w:t>
      </w:r>
      <w:r w:rsidRPr="0002679C">
        <w:rPr>
          <w:b/>
        </w:rPr>
        <w:t>Turquie</w:t>
      </w:r>
      <w:r>
        <w:t xml:space="preserve"> a expliqué que le mécanisme de suivi avait été évoqué dans le rapport du Secrétariat, c</w:t>
      </w:r>
      <w:r w:rsidR="00346F1B">
        <w:t>’</w:t>
      </w:r>
      <w:r>
        <w:t>était la raison pour laquelle cela pourrait s</w:t>
      </w:r>
      <w:r w:rsidR="00346F1B">
        <w:t>’</w:t>
      </w:r>
      <w:r>
        <w:t>avérer utile d</w:t>
      </w:r>
      <w:r w:rsidR="00346F1B">
        <w:t>’</w:t>
      </w:r>
      <w:r>
        <w:t>en faire état dans la décision, dans l</w:t>
      </w:r>
      <w:r w:rsidR="00346F1B">
        <w:t>’</w:t>
      </w:r>
      <w:r>
        <w:t>attente de la création d</w:t>
      </w:r>
      <w:r w:rsidR="00346F1B">
        <w:t>’</w:t>
      </w:r>
      <w:r>
        <w:t>un cadre globale de résultats, car cela accentuerait le ciblage et accroitrait l</w:t>
      </w:r>
      <w:r w:rsidR="00346F1B">
        <w:t>’</w:t>
      </w:r>
      <w:r w:rsidRPr="0002679C">
        <w:t>efficacité</w:t>
      </w:r>
      <w:r w:rsidR="00DE0564">
        <w:t xml:space="preserve"> du travail du Comité.</w:t>
      </w:r>
    </w:p>
    <w:p w14:paraId="1B6BBBCA" w14:textId="79570B92" w:rsidR="0002679C" w:rsidRPr="0002679C" w:rsidRDefault="0002679C" w:rsidP="00AF7860">
      <w:pPr>
        <w:pStyle w:val="Orateurengris"/>
        <w:tabs>
          <w:tab w:val="clear" w:pos="709"/>
          <w:tab w:val="clear" w:pos="1418"/>
          <w:tab w:val="clear" w:pos="2126"/>
          <w:tab w:val="clear" w:pos="2835"/>
          <w:tab w:val="clear" w:pos="3686"/>
        </w:tabs>
        <w:spacing w:before="120"/>
        <w:ind w:left="709" w:hanging="709"/>
      </w:pPr>
      <w:r w:rsidRPr="0002679C">
        <w:t xml:space="preserve">La délégation de la </w:t>
      </w:r>
      <w:r w:rsidRPr="0002679C">
        <w:rPr>
          <w:b/>
        </w:rPr>
        <w:t>Côte d</w:t>
      </w:r>
      <w:r w:rsidR="00346F1B">
        <w:rPr>
          <w:b/>
        </w:rPr>
        <w:t>’</w:t>
      </w:r>
      <w:r w:rsidRPr="0002679C">
        <w:rPr>
          <w:b/>
        </w:rPr>
        <w:t>Ivoire</w:t>
      </w:r>
      <w:r w:rsidRPr="0002679C">
        <w:t xml:space="preserve"> </w:t>
      </w:r>
      <w:r>
        <w:t xml:space="preserve">se posait </w:t>
      </w:r>
      <w:r w:rsidRPr="0002679C">
        <w:t>également la mê</w:t>
      </w:r>
      <w:r>
        <w:t xml:space="preserve">me question, et elle </w:t>
      </w:r>
      <w:r w:rsidR="00D42E64">
        <w:t>souhaitait</w:t>
      </w:r>
      <w:r>
        <w:t xml:space="preserve"> avoir des précisions de la part du Secrétariat quant au mécanisme de suivi qu</w:t>
      </w:r>
      <w:r w:rsidR="00346F1B">
        <w:t>’</w:t>
      </w:r>
      <w:r>
        <w:t xml:space="preserve">il </w:t>
      </w:r>
      <w:r w:rsidR="00D42E64">
        <w:t xml:space="preserve">désirait </w:t>
      </w:r>
      <w:r w:rsidR="00DE0564">
        <w:t>mettre en œuvre.</w:t>
      </w:r>
    </w:p>
    <w:p w14:paraId="69CD5ED4" w14:textId="73A0B910" w:rsidR="0002679C" w:rsidRPr="0002679C" w:rsidRDefault="0002679C" w:rsidP="00AF7860">
      <w:pPr>
        <w:pStyle w:val="Orateurengris"/>
        <w:tabs>
          <w:tab w:val="clear" w:pos="709"/>
          <w:tab w:val="clear" w:pos="1418"/>
          <w:tab w:val="clear" w:pos="2126"/>
          <w:tab w:val="clear" w:pos="2835"/>
          <w:tab w:val="clear" w:pos="3686"/>
        </w:tabs>
        <w:spacing w:before="120"/>
        <w:ind w:left="709" w:hanging="709"/>
      </w:pPr>
      <w:r w:rsidRPr="0002679C">
        <w:t xml:space="preserve">Le </w:t>
      </w:r>
      <w:r w:rsidRPr="0002679C">
        <w:rPr>
          <w:b/>
        </w:rPr>
        <w:t>Secrétaire</w:t>
      </w:r>
      <w:r w:rsidRPr="0002679C">
        <w:t xml:space="preserve"> a fait remarquer</w:t>
      </w:r>
      <w:r>
        <w:t xml:space="preserve"> que la question relative au cadre global de résultats pour la </w:t>
      </w:r>
      <w:r w:rsidRPr="0002679C">
        <w:t>Convention</w:t>
      </w:r>
      <w:r>
        <w:t xml:space="preserve"> serait </w:t>
      </w:r>
      <w:proofErr w:type="gramStart"/>
      <w:r>
        <w:t>discuté</w:t>
      </w:r>
      <w:proofErr w:type="gramEnd"/>
      <w:r>
        <w:t xml:space="preserve"> au point 14 de l</w:t>
      </w:r>
      <w:r w:rsidR="00346F1B">
        <w:t>’</w:t>
      </w:r>
      <w:r w:rsidRPr="0002679C">
        <w:t>ordre du jour</w:t>
      </w:r>
      <w:r>
        <w:t>, il a ajouté que l</w:t>
      </w:r>
      <w:r w:rsidR="00346F1B">
        <w:t>’</w:t>
      </w:r>
      <w:r>
        <w:t>état d</w:t>
      </w:r>
      <w:r w:rsidR="00346F1B">
        <w:t>’</w:t>
      </w:r>
      <w:r>
        <w:t xml:space="preserve">avancement du projet serait expliqué </w:t>
      </w:r>
      <w:r w:rsidR="00D42E64">
        <w:t>lors de cette discussion</w:t>
      </w:r>
      <w:r w:rsidR="00DE0564">
        <w:t>.</w:t>
      </w:r>
    </w:p>
    <w:p w14:paraId="03FBB36A" w14:textId="3CD5464B" w:rsidR="0022108B" w:rsidRPr="0022108B" w:rsidRDefault="0022108B" w:rsidP="00AF7860">
      <w:pPr>
        <w:pStyle w:val="Orateurengris"/>
        <w:tabs>
          <w:tab w:val="clear" w:pos="709"/>
          <w:tab w:val="clear" w:pos="1418"/>
          <w:tab w:val="clear" w:pos="2126"/>
          <w:tab w:val="clear" w:pos="2835"/>
          <w:tab w:val="clear" w:pos="3686"/>
        </w:tabs>
        <w:spacing w:before="120"/>
        <w:ind w:left="709" w:hanging="709"/>
      </w:pPr>
      <w:r w:rsidRPr="0022108B">
        <w:t xml:space="preserve">La délégation de </w:t>
      </w:r>
      <w:r w:rsidRPr="0022108B">
        <w:rPr>
          <w:b/>
        </w:rPr>
        <w:t>Cuba</w:t>
      </w:r>
      <w:r w:rsidRPr="0022108B">
        <w:t xml:space="preserve"> </w:t>
      </w:r>
      <w:r>
        <w:t xml:space="preserve">a expliqué que sa </w:t>
      </w:r>
      <w:r w:rsidRPr="0022108B">
        <w:t xml:space="preserve">proposition </w:t>
      </w:r>
      <w:r>
        <w:t>visait en fait à demander plus d</w:t>
      </w:r>
      <w:r w:rsidR="00346F1B">
        <w:t>’</w:t>
      </w:r>
      <w:r w:rsidRPr="0022108B">
        <w:t>informations</w:t>
      </w:r>
      <w:r>
        <w:t xml:space="preserve"> sur ce sujet. Elle a ajouté que si le </w:t>
      </w:r>
      <w:r w:rsidRPr="0022108B">
        <w:t>paragraphe</w:t>
      </w:r>
      <w:r>
        <w:t xml:space="preserve"> faisait référence à une décision qui avait déjà été prise, une référence au documen</w:t>
      </w:r>
      <w:r w:rsidR="001B4285">
        <w:t>t spécifique de la décision devr</w:t>
      </w:r>
      <w:r>
        <w:t xml:space="preserve">ait alors être faite. </w:t>
      </w:r>
      <w:r w:rsidRPr="0022108B">
        <w:t>Cependant</w:t>
      </w:r>
      <w:r>
        <w:t xml:space="preserve">, si le </w:t>
      </w:r>
      <w:r w:rsidRPr="0022108B">
        <w:t>paragraphe</w:t>
      </w:r>
      <w:r>
        <w:t xml:space="preserve"> faisait référence aux résultats escomptés lors du 39 C/5, il conviendrait </w:t>
      </w:r>
      <w:r w:rsidRPr="0022108B">
        <w:t>également</w:t>
      </w:r>
      <w:r>
        <w:t xml:space="preserve"> de le mentionner. À défaut, le </w:t>
      </w:r>
      <w:r w:rsidRPr="0022108B">
        <w:t>paragraphe</w:t>
      </w:r>
      <w:r>
        <w:t xml:space="preserve"> semblerait faire référence à un nouveau mécanisme et devrait être ainsi rédigé : « demande au Secrétariat de mettre en place un nouveau mécanisme de suivi ». Il était donc importa</w:t>
      </w:r>
      <w:r w:rsidR="009F26EC">
        <w:t xml:space="preserve">nt de décider du bon libellé et, </w:t>
      </w:r>
      <w:r w:rsidRPr="0022108B">
        <w:t>peut-être</w:t>
      </w:r>
      <w:r>
        <w:t xml:space="preserve">, de suspendre la </w:t>
      </w:r>
      <w:r w:rsidRPr="0022108B">
        <w:t>décision</w:t>
      </w:r>
      <w:r w:rsidR="00D42E64">
        <w:t xml:space="preserve"> jusqu</w:t>
      </w:r>
      <w:r w:rsidR="00346F1B">
        <w:t>’</w:t>
      </w:r>
      <w:r w:rsidR="00D42E64">
        <w:t>à la discussion d</w:t>
      </w:r>
      <w:r>
        <w:t>u point 14 de l</w:t>
      </w:r>
      <w:r w:rsidR="00346F1B">
        <w:t>’</w:t>
      </w:r>
      <w:r w:rsidRPr="0022108B">
        <w:t>ordre du jour</w:t>
      </w:r>
      <w:r>
        <w:t xml:space="preserve"> au cours de laquelle le Comité disposerait de plus de temps pour re</w:t>
      </w:r>
      <w:r w:rsidR="009F26EC">
        <w:t>ntrer dans les détails. L</w:t>
      </w:r>
      <w:r>
        <w:t xml:space="preserve">a </w:t>
      </w:r>
      <w:r w:rsidRPr="0022108B">
        <w:t>délégation</w:t>
      </w:r>
      <w:r>
        <w:t xml:space="preserve"> n</w:t>
      </w:r>
      <w:r w:rsidR="00346F1B">
        <w:t>’</w:t>
      </w:r>
      <w:r>
        <w:t xml:space="preserve">avait </w:t>
      </w:r>
      <w:r w:rsidR="009F26EC">
        <w:t xml:space="preserve">toutefois </w:t>
      </w:r>
      <w:r>
        <w:t>aucu</w:t>
      </w:r>
      <w:r w:rsidR="009F26EC">
        <w:t>ne objection</w:t>
      </w:r>
      <w:r>
        <w:t xml:space="preserve"> à la </w:t>
      </w:r>
      <w:r w:rsidRPr="0022108B">
        <w:t xml:space="preserve">proposition </w:t>
      </w:r>
      <w:r w:rsidR="00DE0564">
        <w:t>de la Turquie.</w:t>
      </w:r>
    </w:p>
    <w:p w14:paraId="7997F9F6" w14:textId="7590AEDD" w:rsidR="009F26EC" w:rsidRPr="009F26EC" w:rsidRDefault="009F26EC" w:rsidP="00AF7860">
      <w:pPr>
        <w:pStyle w:val="Orateurengris"/>
        <w:tabs>
          <w:tab w:val="clear" w:pos="709"/>
          <w:tab w:val="clear" w:pos="1418"/>
          <w:tab w:val="clear" w:pos="2126"/>
          <w:tab w:val="clear" w:pos="2835"/>
          <w:tab w:val="clear" w:pos="3686"/>
        </w:tabs>
        <w:spacing w:before="120"/>
        <w:ind w:left="709" w:hanging="709"/>
      </w:pPr>
      <w:r w:rsidRPr="009F26EC">
        <w:t xml:space="preserve">La délégation du </w:t>
      </w:r>
      <w:r w:rsidRPr="009F26EC">
        <w:rPr>
          <w:b/>
        </w:rPr>
        <w:t>Liban</w:t>
      </w:r>
      <w:r w:rsidRPr="009F26EC">
        <w:t xml:space="preserve"> </w:t>
      </w:r>
      <w:r w:rsidR="00D301C4">
        <w:t xml:space="preserve">souhaitait </w:t>
      </w:r>
      <w:r w:rsidRPr="009F26EC">
        <w:t>également</w:t>
      </w:r>
      <w:r>
        <w:t xml:space="preserve"> avoir des précisions, notamment </w:t>
      </w:r>
      <w:r w:rsidRPr="009F26EC">
        <w:t>parce que</w:t>
      </w:r>
      <w:r>
        <w:t xml:space="preserve"> le renforcement des capacités était inclus dans les rapports et examiné par le </w:t>
      </w:r>
      <w:r w:rsidRPr="009F26EC">
        <w:t>Secrétaire</w:t>
      </w:r>
      <w:r>
        <w:t xml:space="preserve"> et, qu</w:t>
      </w:r>
      <w:r w:rsidR="00346F1B">
        <w:t>’</w:t>
      </w:r>
      <w:r>
        <w:t>en tant que tel, un mé</w:t>
      </w:r>
      <w:r w:rsidR="00DE0564">
        <w:t>canisme de suivi existait déjà.</w:t>
      </w:r>
    </w:p>
    <w:p w14:paraId="20608C77" w14:textId="16CE3EAC" w:rsidR="009F26EC" w:rsidRPr="009F26EC" w:rsidRDefault="009F26EC" w:rsidP="00AF7860">
      <w:pPr>
        <w:pStyle w:val="Orateurengris"/>
        <w:tabs>
          <w:tab w:val="clear" w:pos="709"/>
          <w:tab w:val="clear" w:pos="1418"/>
          <w:tab w:val="clear" w:pos="2126"/>
          <w:tab w:val="clear" w:pos="2835"/>
          <w:tab w:val="clear" w:pos="3686"/>
        </w:tabs>
        <w:spacing w:before="120"/>
        <w:ind w:left="709" w:hanging="709"/>
      </w:pPr>
      <w:r w:rsidRPr="009F26EC">
        <w:t>La délégation de l</w:t>
      </w:r>
      <w:r w:rsidR="00346F1B">
        <w:t>’</w:t>
      </w:r>
      <w:r w:rsidRPr="009F26EC">
        <w:rPr>
          <w:b/>
        </w:rPr>
        <w:t>Arménie</w:t>
      </w:r>
      <w:r>
        <w:t xml:space="preserve"> a soumis </w:t>
      </w:r>
      <w:r w:rsidRPr="009F26EC">
        <w:t xml:space="preserve">une proposition </w:t>
      </w:r>
      <w:r>
        <w:t>quant au libellé en anglais qui consistait à remplacer « aurait probablement pour conséquence » [</w:t>
      </w:r>
      <w:r w:rsidRPr="00D42E64">
        <w:t>would likely result</w:t>
      </w:r>
      <w:r>
        <w:t>] par « est suscep</w:t>
      </w:r>
      <w:r w:rsidR="00AE6884">
        <w:t>tible d</w:t>
      </w:r>
      <w:r w:rsidR="00346F1B">
        <w:t>’</w:t>
      </w:r>
      <w:r w:rsidR="00AE6884">
        <w:t>avoir pour conséquence »</w:t>
      </w:r>
      <w:r w:rsidR="00DE0564">
        <w:t> [is likely to result].</w:t>
      </w:r>
    </w:p>
    <w:p w14:paraId="3770F68A" w14:textId="1BFBBBDD" w:rsidR="009F26EC" w:rsidRPr="00AE6884" w:rsidRDefault="00AE6884" w:rsidP="00AF7860">
      <w:pPr>
        <w:pStyle w:val="Orateurengris"/>
        <w:tabs>
          <w:tab w:val="clear" w:pos="709"/>
          <w:tab w:val="clear" w:pos="1418"/>
          <w:tab w:val="clear" w:pos="2126"/>
          <w:tab w:val="clear" w:pos="2835"/>
          <w:tab w:val="clear" w:pos="3686"/>
        </w:tabs>
        <w:spacing w:before="120"/>
        <w:ind w:left="709" w:hanging="709"/>
        <w:rPr>
          <w:rFonts w:eastAsia="Calibri"/>
        </w:rPr>
      </w:pPr>
      <w:r w:rsidRPr="00AE6884">
        <w:rPr>
          <w:rFonts w:eastAsia="Calibri"/>
        </w:rPr>
        <w:t xml:space="preserve">Le </w:t>
      </w:r>
      <w:r w:rsidRPr="00AE6884">
        <w:rPr>
          <w:rFonts w:eastAsia="Calibri"/>
          <w:b/>
        </w:rPr>
        <w:t>Président</w:t>
      </w:r>
      <w:r>
        <w:rPr>
          <w:rFonts w:eastAsia="Calibri"/>
        </w:rPr>
        <w:t xml:space="preserve"> a </w:t>
      </w:r>
      <w:r w:rsidR="00FB01A5">
        <w:rPr>
          <w:rFonts w:eastAsia="Calibri"/>
        </w:rPr>
        <w:t xml:space="preserve">signalé une </w:t>
      </w:r>
      <w:r w:rsidR="00DE0564">
        <w:rPr>
          <w:rFonts w:eastAsia="Calibri"/>
        </w:rPr>
        <w:t>motion d</w:t>
      </w:r>
      <w:r w:rsidR="00346F1B">
        <w:rPr>
          <w:rFonts w:eastAsia="Calibri"/>
        </w:rPr>
        <w:t>’</w:t>
      </w:r>
      <w:r w:rsidR="00DE0564">
        <w:rPr>
          <w:rFonts w:eastAsia="Calibri"/>
        </w:rPr>
        <w:t>ordre de Cuba.</w:t>
      </w:r>
    </w:p>
    <w:p w14:paraId="4487FE57" w14:textId="487A1716" w:rsidR="00B7504D" w:rsidRPr="00B7504D" w:rsidRDefault="00B7504D" w:rsidP="00AF7860">
      <w:pPr>
        <w:pStyle w:val="Orateurengris"/>
        <w:tabs>
          <w:tab w:val="clear" w:pos="709"/>
          <w:tab w:val="clear" w:pos="1418"/>
          <w:tab w:val="clear" w:pos="2126"/>
          <w:tab w:val="clear" w:pos="2835"/>
          <w:tab w:val="clear" w:pos="3686"/>
        </w:tabs>
        <w:spacing w:before="120"/>
        <w:ind w:left="709" w:hanging="709"/>
        <w:rPr>
          <w:rFonts w:eastAsia="Calibri"/>
        </w:rPr>
      </w:pPr>
      <w:r w:rsidRPr="00B7504D">
        <w:rPr>
          <w:rFonts w:eastAsia="Calibri"/>
        </w:rPr>
        <w:t xml:space="preserve">La délégation de </w:t>
      </w:r>
      <w:r w:rsidRPr="00B7504D">
        <w:rPr>
          <w:rFonts w:eastAsia="Calibri"/>
          <w:b/>
        </w:rPr>
        <w:t>Cuba</w:t>
      </w:r>
      <w:r w:rsidR="00FB01A5">
        <w:rPr>
          <w:rFonts w:eastAsia="Calibri"/>
        </w:rPr>
        <w:t xml:space="preserve"> a </w:t>
      </w:r>
      <w:r w:rsidR="00450503">
        <w:rPr>
          <w:rFonts w:eastAsia="Calibri"/>
        </w:rPr>
        <w:t>déclaré</w:t>
      </w:r>
      <w:r>
        <w:rPr>
          <w:rFonts w:eastAsia="Calibri"/>
        </w:rPr>
        <w:t xml:space="preserve"> qu</w:t>
      </w:r>
      <w:r w:rsidR="00346F1B">
        <w:rPr>
          <w:rFonts w:eastAsia="Calibri"/>
        </w:rPr>
        <w:t>’</w:t>
      </w:r>
      <w:r>
        <w:rPr>
          <w:rFonts w:eastAsia="Calibri"/>
        </w:rPr>
        <w:t>il était difficile de suivre le débat, et ce, malgré les précisions demandées au</w:t>
      </w:r>
      <w:r w:rsidR="001B4285">
        <w:rPr>
          <w:rFonts w:eastAsia="Calibri"/>
        </w:rPr>
        <w:t xml:space="preserve"> Secrétariat. Elle a proposé d</w:t>
      </w:r>
      <w:r w:rsidR="00346F1B">
        <w:rPr>
          <w:rFonts w:eastAsia="Calibri"/>
        </w:rPr>
        <w:t>’</w:t>
      </w:r>
      <w:r w:rsidR="001B4285">
        <w:rPr>
          <w:rFonts w:eastAsia="Calibri"/>
        </w:rPr>
        <w:t>écarter ce paragraphe et d</w:t>
      </w:r>
      <w:r w:rsidR="00346F1B">
        <w:rPr>
          <w:rFonts w:eastAsia="Calibri"/>
        </w:rPr>
        <w:t>’</w:t>
      </w:r>
      <w:r w:rsidR="001B4285">
        <w:rPr>
          <w:rFonts w:eastAsia="Calibri"/>
        </w:rPr>
        <w:t xml:space="preserve">avancer, </w:t>
      </w:r>
      <w:r w:rsidR="001B4285" w:rsidRPr="001B4285">
        <w:rPr>
          <w:rFonts w:eastAsia="Calibri"/>
        </w:rPr>
        <w:t>en particulier</w:t>
      </w:r>
      <w:r w:rsidR="001B4285">
        <w:rPr>
          <w:rFonts w:eastAsia="Calibri"/>
        </w:rPr>
        <w:t xml:space="preserve"> parce qu</w:t>
      </w:r>
      <w:r w:rsidR="00346F1B">
        <w:rPr>
          <w:rFonts w:eastAsia="Calibri"/>
        </w:rPr>
        <w:t>’</w:t>
      </w:r>
      <w:r w:rsidR="001B4285">
        <w:rPr>
          <w:rFonts w:eastAsia="Calibri"/>
        </w:rPr>
        <w:t>il n</w:t>
      </w:r>
      <w:r w:rsidR="00346F1B">
        <w:rPr>
          <w:rFonts w:eastAsia="Calibri"/>
        </w:rPr>
        <w:t>’</w:t>
      </w:r>
      <w:r w:rsidR="001B4285">
        <w:rPr>
          <w:rFonts w:eastAsia="Calibri"/>
        </w:rPr>
        <w:t xml:space="preserve">y avait pas de proposition de </w:t>
      </w:r>
      <w:r w:rsidR="001B4285" w:rsidRPr="001B4285">
        <w:rPr>
          <w:rFonts w:eastAsia="Calibri"/>
        </w:rPr>
        <w:t>changement</w:t>
      </w:r>
      <w:r w:rsidR="001B4285">
        <w:rPr>
          <w:rFonts w:eastAsia="Calibri"/>
        </w:rPr>
        <w:t xml:space="preserve"> à l</w:t>
      </w:r>
      <w:r w:rsidR="00346F1B">
        <w:rPr>
          <w:rFonts w:eastAsia="Calibri"/>
        </w:rPr>
        <w:t>’</w:t>
      </w:r>
      <w:r w:rsidR="001B4285" w:rsidRPr="001B4285">
        <w:rPr>
          <w:rFonts w:eastAsia="Calibri"/>
        </w:rPr>
        <w:t>amendement</w:t>
      </w:r>
      <w:r w:rsidR="001B4285">
        <w:rPr>
          <w:rFonts w:eastAsia="Calibri"/>
        </w:rPr>
        <w:t xml:space="preserve">. La </w:t>
      </w:r>
      <w:r w:rsidR="001B4285" w:rsidRPr="001B4285">
        <w:rPr>
          <w:rFonts w:eastAsia="Calibri"/>
        </w:rPr>
        <w:t>délégation</w:t>
      </w:r>
      <w:r w:rsidR="001B4285">
        <w:rPr>
          <w:rFonts w:eastAsia="Calibri"/>
        </w:rPr>
        <w:t xml:space="preserve"> a demandé au </w:t>
      </w:r>
      <w:r w:rsidR="001B4285" w:rsidRPr="001B4285">
        <w:rPr>
          <w:rFonts w:eastAsia="Calibri"/>
        </w:rPr>
        <w:t>Secrétaire</w:t>
      </w:r>
      <w:r w:rsidR="001B4285">
        <w:rPr>
          <w:rFonts w:eastAsia="Calibri"/>
        </w:rPr>
        <w:t xml:space="preserve"> de fa</w:t>
      </w:r>
      <w:r w:rsidR="00DE0564">
        <w:rPr>
          <w:rFonts w:eastAsia="Calibri"/>
        </w:rPr>
        <w:t>ire un point sur la discussion.</w:t>
      </w:r>
    </w:p>
    <w:p w14:paraId="460806EC" w14:textId="45638BEF" w:rsidR="00A5504B" w:rsidRPr="00A5504B" w:rsidRDefault="001B4285" w:rsidP="00AF7860">
      <w:pPr>
        <w:pStyle w:val="Orateurengris"/>
        <w:tabs>
          <w:tab w:val="clear" w:pos="709"/>
          <w:tab w:val="clear" w:pos="1418"/>
          <w:tab w:val="clear" w:pos="2126"/>
          <w:tab w:val="clear" w:pos="2835"/>
          <w:tab w:val="clear" w:pos="3686"/>
        </w:tabs>
        <w:spacing w:before="120"/>
        <w:ind w:left="709" w:hanging="709"/>
        <w:rPr>
          <w:rFonts w:eastAsia="Calibri"/>
        </w:rPr>
      </w:pPr>
      <w:r w:rsidRPr="001B4285">
        <w:rPr>
          <w:rFonts w:eastAsia="Calibri"/>
        </w:rPr>
        <w:t xml:space="preserve">Le </w:t>
      </w:r>
      <w:r w:rsidRPr="001B4285">
        <w:rPr>
          <w:rFonts w:eastAsia="Calibri"/>
          <w:b/>
        </w:rPr>
        <w:t>Secrétaire</w:t>
      </w:r>
      <w:r w:rsidRPr="001B4285">
        <w:rPr>
          <w:rFonts w:eastAsia="Calibri"/>
        </w:rPr>
        <w:t xml:space="preserve"> </w:t>
      </w:r>
      <w:r>
        <w:rPr>
          <w:rFonts w:eastAsia="Calibri"/>
        </w:rPr>
        <w:t xml:space="preserve">a expliqué le contexte du cadre global de résultats pour les nouveaux </w:t>
      </w:r>
      <w:r w:rsidR="00A46CAD">
        <w:rPr>
          <w:rFonts w:eastAsia="Calibri"/>
        </w:rPr>
        <w:t>membres</w:t>
      </w:r>
      <w:r>
        <w:rPr>
          <w:rFonts w:eastAsia="Calibri"/>
        </w:rPr>
        <w:t xml:space="preserve"> du Comité qui n</w:t>
      </w:r>
      <w:r w:rsidR="00346F1B">
        <w:rPr>
          <w:rFonts w:eastAsia="Calibri"/>
        </w:rPr>
        <w:t>’</w:t>
      </w:r>
      <w:r>
        <w:rPr>
          <w:rFonts w:eastAsia="Calibri"/>
        </w:rPr>
        <w:t xml:space="preserve">avaient </w:t>
      </w:r>
      <w:r w:rsidRPr="001B4285">
        <w:rPr>
          <w:rFonts w:eastAsia="Calibri"/>
        </w:rPr>
        <w:t>peut-être</w:t>
      </w:r>
      <w:r>
        <w:rPr>
          <w:rFonts w:eastAsia="Calibri"/>
        </w:rPr>
        <w:t xml:space="preserve"> pas participé aux précédents débats. </w:t>
      </w:r>
      <w:r w:rsidR="00A5504B">
        <w:rPr>
          <w:rFonts w:eastAsia="Calibri"/>
        </w:rPr>
        <w:t>Il a rappelé qu</w:t>
      </w:r>
      <w:r w:rsidR="00346F1B">
        <w:rPr>
          <w:rFonts w:eastAsia="Calibri"/>
        </w:rPr>
        <w:t>’</w:t>
      </w:r>
      <w:r w:rsidR="00A5504B">
        <w:rPr>
          <w:rFonts w:eastAsia="Calibri"/>
        </w:rPr>
        <w:t xml:space="preserve">il avait été demandé au Secrétariat à la neuvième </w:t>
      </w:r>
      <w:r w:rsidR="00C53FDE">
        <w:rPr>
          <w:rFonts w:eastAsia="Calibri"/>
        </w:rPr>
        <w:t xml:space="preserve">ou huitième </w:t>
      </w:r>
      <w:r w:rsidR="00A5504B">
        <w:rPr>
          <w:rFonts w:eastAsia="Calibri"/>
        </w:rPr>
        <w:t>session, suite à l</w:t>
      </w:r>
      <w:r w:rsidR="00346F1B">
        <w:rPr>
          <w:rFonts w:eastAsia="Calibri"/>
        </w:rPr>
        <w:t>’</w:t>
      </w:r>
      <w:r w:rsidR="00A5504B" w:rsidRPr="00A5504B">
        <w:rPr>
          <w:rFonts w:eastAsia="Calibri"/>
        </w:rPr>
        <w:t>évaluation</w:t>
      </w:r>
      <w:r w:rsidR="00A5504B">
        <w:rPr>
          <w:rFonts w:eastAsia="Calibri"/>
        </w:rPr>
        <w:t xml:space="preserve"> de l</w:t>
      </w:r>
      <w:r w:rsidR="00346F1B">
        <w:rPr>
          <w:rFonts w:eastAsia="Calibri"/>
        </w:rPr>
        <w:t>’</w:t>
      </w:r>
      <w:r w:rsidR="00A5504B">
        <w:rPr>
          <w:rFonts w:eastAsia="Calibri"/>
        </w:rPr>
        <w:t>IOS, d</w:t>
      </w:r>
      <w:r w:rsidR="00346F1B">
        <w:rPr>
          <w:rFonts w:eastAsia="Calibri"/>
        </w:rPr>
        <w:t>’</w:t>
      </w:r>
      <w:r w:rsidR="00A5504B">
        <w:rPr>
          <w:rFonts w:eastAsia="Calibri"/>
        </w:rPr>
        <w:t xml:space="preserve">élaborer un cadre global de résultats propre à la </w:t>
      </w:r>
      <w:r w:rsidR="00A5504B" w:rsidRPr="00A5504B">
        <w:rPr>
          <w:rFonts w:eastAsia="Calibri"/>
        </w:rPr>
        <w:t>Convention</w:t>
      </w:r>
      <w:r w:rsidR="00A5504B">
        <w:rPr>
          <w:rFonts w:eastAsia="Calibri"/>
        </w:rPr>
        <w:t>, qui soit un mécanisme séparé du cadre normal de résultats établi dans le contexte du C/5 ou du C/4. Il a</w:t>
      </w:r>
      <w:r w:rsidR="00FB01A5">
        <w:rPr>
          <w:rFonts w:eastAsia="Calibri"/>
        </w:rPr>
        <w:t>vait</w:t>
      </w:r>
      <w:r w:rsidR="00A5504B">
        <w:rPr>
          <w:rFonts w:eastAsia="Calibri"/>
        </w:rPr>
        <w:t xml:space="preserve"> donc été demandé au Secrétariat d</w:t>
      </w:r>
      <w:r w:rsidR="00346F1B">
        <w:rPr>
          <w:rFonts w:eastAsia="Calibri"/>
        </w:rPr>
        <w:t>’</w:t>
      </w:r>
      <w:r w:rsidR="00A5504B">
        <w:rPr>
          <w:rFonts w:eastAsia="Calibri"/>
        </w:rPr>
        <w:t xml:space="preserve">élaborer, en </w:t>
      </w:r>
      <w:r w:rsidR="00A5504B" w:rsidRPr="00A5504B">
        <w:rPr>
          <w:rFonts w:eastAsia="Calibri"/>
        </w:rPr>
        <w:t>collaboration</w:t>
      </w:r>
      <w:r w:rsidR="00A5504B">
        <w:rPr>
          <w:rFonts w:eastAsia="Calibri"/>
        </w:rPr>
        <w:t xml:space="preserve"> avec les États parties et le Comité, un cadre de résultats </w:t>
      </w:r>
      <w:r w:rsidR="00C53FDE">
        <w:rPr>
          <w:rFonts w:eastAsia="Calibri"/>
        </w:rPr>
        <w:t xml:space="preserve">de </w:t>
      </w:r>
      <w:r w:rsidR="00A5504B">
        <w:rPr>
          <w:rFonts w:eastAsia="Calibri"/>
        </w:rPr>
        <w:t xml:space="preserve">la mise en œuvre de la </w:t>
      </w:r>
      <w:r w:rsidR="00A5504B" w:rsidRPr="00A5504B">
        <w:rPr>
          <w:rFonts w:eastAsia="Calibri"/>
        </w:rPr>
        <w:t>Convention</w:t>
      </w:r>
      <w:r w:rsidR="00A5504B">
        <w:rPr>
          <w:rFonts w:eastAsia="Calibri"/>
        </w:rPr>
        <w:t>, dans l</w:t>
      </w:r>
      <w:r w:rsidR="00346F1B">
        <w:rPr>
          <w:rFonts w:eastAsia="Calibri"/>
        </w:rPr>
        <w:t>’</w:t>
      </w:r>
      <w:r w:rsidR="00A5504B">
        <w:rPr>
          <w:rFonts w:eastAsia="Calibri"/>
        </w:rPr>
        <w:t>attente de la mise à disposition d</w:t>
      </w:r>
      <w:r w:rsidR="00346F1B">
        <w:rPr>
          <w:rFonts w:eastAsia="Calibri"/>
        </w:rPr>
        <w:t>’</w:t>
      </w:r>
      <w:r w:rsidR="00A5504B">
        <w:rPr>
          <w:rFonts w:eastAsia="Calibri"/>
        </w:rPr>
        <w:t xml:space="preserve">un </w:t>
      </w:r>
      <w:r w:rsidR="00A5504B" w:rsidRPr="00A5504B">
        <w:rPr>
          <w:rFonts w:eastAsia="Calibri"/>
        </w:rPr>
        <w:t>financement</w:t>
      </w:r>
      <w:r w:rsidR="00A5504B">
        <w:rPr>
          <w:rFonts w:eastAsia="Calibri"/>
        </w:rPr>
        <w:t xml:space="preserve"> </w:t>
      </w:r>
      <w:r w:rsidR="00A5504B" w:rsidRPr="00A5504B">
        <w:rPr>
          <w:rFonts w:eastAsia="Calibri"/>
        </w:rPr>
        <w:t>extrabudgétaire</w:t>
      </w:r>
      <w:r w:rsidR="00A5504B">
        <w:rPr>
          <w:rFonts w:eastAsia="Calibri"/>
        </w:rPr>
        <w:t xml:space="preserve"> pour établir un </w:t>
      </w:r>
      <w:r w:rsidR="00A5504B" w:rsidRPr="00A5504B">
        <w:rPr>
          <w:rFonts w:eastAsia="Calibri"/>
        </w:rPr>
        <w:t>groupe de travail</w:t>
      </w:r>
      <w:r w:rsidR="00A5504B">
        <w:rPr>
          <w:rFonts w:eastAsia="Calibri"/>
        </w:rPr>
        <w:t xml:space="preserve"> </w:t>
      </w:r>
      <w:r w:rsidR="00A5504B" w:rsidRPr="00A5504B">
        <w:rPr>
          <w:rFonts w:eastAsia="Calibri"/>
        </w:rPr>
        <w:t>intergouvernemental</w:t>
      </w:r>
      <w:r w:rsidR="00A5504B">
        <w:rPr>
          <w:rFonts w:eastAsia="Calibri"/>
        </w:rPr>
        <w:t xml:space="preserve"> à </w:t>
      </w:r>
      <w:r w:rsidR="00881A0A">
        <w:rPr>
          <w:rFonts w:eastAsia="Calibri"/>
        </w:rPr>
        <w:t xml:space="preserve">composition </w:t>
      </w:r>
      <w:r w:rsidR="00A5504B">
        <w:rPr>
          <w:rFonts w:eastAsia="Calibri"/>
        </w:rPr>
        <w:t xml:space="preserve">non limitée. </w:t>
      </w:r>
      <w:r w:rsidR="00FB01A5">
        <w:rPr>
          <w:rFonts w:eastAsia="Calibri"/>
        </w:rPr>
        <w:t xml:space="preserve">Le rapport du Secrétariat </w:t>
      </w:r>
      <w:r w:rsidR="00A5504B">
        <w:rPr>
          <w:rFonts w:eastAsia="Calibri"/>
        </w:rPr>
        <w:t>décri</w:t>
      </w:r>
      <w:r w:rsidR="00FB01A5">
        <w:rPr>
          <w:rFonts w:eastAsia="Calibri"/>
        </w:rPr>
        <w:t>vai</w:t>
      </w:r>
      <w:r w:rsidR="00A5504B">
        <w:rPr>
          <w:rFonts w:eastAsia="Calibri"/>
        </w:rPr>
        <w:t xml:space="preserve">t les étapes, entre janvier et juin 2016, des démarches entreprises </w:t>
      </w:r>
      <w:r w:rsidR="00CD34AB">
        <w:rPr>
          <w:rFonts w:eastAsia="Calibri"/>
        </w:rPr>
        <w:t xml:space="preserve">afin de </w:t>
      </w:r>
      <w:r w:rsidR="00FB01A5">
        <w:rPr>
          <w:rFonts w:eastAsia="Calibri"/>
        </w:rPr>
        <w:t>satisfaire</w:t>
      </w:r>
      <w:r w:rsidR="00A5504B">
        <w:rPr>
          <w:rFonts w:eastAsia="Calibri"/>
        </w:rPr>
        <w:t xml:space="preserve"> cette demande, à savoir, organiser une réunion d</w:t>
      </w:r>
      <w:r w:rsidR="00346F1B">
        <w:rPr>
          <w:rFonts w:eastAsia="Calibri"/>
        </w:rPr>
        <w:t>’</w:t>
      </w:r>
      <w:r w:rsidR="00A5504B">
        <w:rPr>
          <w:rFonts w:eastAsia="Calibri"/>
        </w:rPr>
        <w:t xml:space="preserve">experts </w:t>
      </w:r>
      <w:r w:rsidR="00CD34AB">
        <w:rPr>
          <w:rFonts w:eastAsia="Calibri"/>
        </w:rPr>
        <w:t>pour établir une carte des résultats, qui seraient présentées plus tard au point 14 de l</w:t>
      </w:r>
      <w:r w:rsidR="00346F1B">
        <w:rPr>
          <w:rFonts w:eastAsia="Calibri"/>
        </w:rPr>
        <w:t>’</w:t>
      </w:r>
      <w:r w:rsidR="00CD34AB" w:rsidRPr="00CD34AB">
        <w:rPr>
          <w:rFonts w:eastAsia="Calibri"/>
        </w:rPr>
        <w:t>ordre du jour</w:t>
      </w:r>
      <w:r w:rsidR="00CD34AB">
        <w:rPr>
          <w:rFonts w:eastAsia="Calibri"/>
        </w:rPr>
        <w:t>. La réponse du Secrétariat à cette demande n</w:t>
      </w:r>
      <w:r w:rsidR="00346F1B">
        <w:rPr>
          <w:rFonts w:eastAsia="Calibri"/>
        </w:rPr>
        <w:t>’</w:t>
      </w:r>
      <w:r w:rsidR="00CD34AB">
        <w:rPr>
          <w:rFonts w:eastAsia="Calibri"/>
        </w:rPr>
        <w:t>était donc pas présentée au présent point de l</w:t>
      </w:r>
      <w:r w:rsidR="00346F1B">
        <w:rPr>
          <w:rFonts w:eastAsia="Calibri"/>
        </w:rPr>
        <w:t>’</w:t>
      </w:r>
      <w:r w:rsidR="00CD34AB" w:rsidRPr="00CD34AB">
        <w:rPr>
          <w:rFonts w:eastAsia="Calibri"/>
        </w:rPr>
        <w:t>ordre du jour</w:t>
      </w:r>
      <w:r w:rsidR="00CD34AB">
        <w:rPr>
          <w:rFonts w:eastAsia="Calibri"/>
        </w:rPr>
        <w:t>, qui faisait rapport des activités du Secrétariat, mais au point 14 de l</w:t>
      </w:r>
      <w:r w:rsidR="00346F1B">
        <w:rPr>
          <w:rFonts w:eastAsia="Calibri"/>
        </w:rPr>
        <w:t>’</w:t>
      </w:r>
      <w:r w:rsidR="00CD34AB" w:rsidRPr="00CD34AB">
        <w:rPr>
          <w:rFonts w:eastAsia="Calibri"/>
        </w:rPr>
        <w:t>ordre du jour</w:t>
      </w:r>
      <w:r w:rsidR="00DE0564">
        <w:rPr>
          <w:rFonts w:eastAsia="Calibri"/>
        </w:rPr>
        <w:t>.</w:t>
      </w:r>
    </w:p>
    <w:p w14:paraId="74D2133B" w14:textId="3DEDE346" w:rsidR="00C53FDE" w:rsidRPr="00C53FDE" w:rsidRDefault="00C53FDE" w:rsidP="00AF7860">
      <w:pPr>
        <w:pStyle w:val="Orateurengris"/>
        <w:tabs>
          <w:tab w:val="clear" w:pos="709"/>
          <w:tab w:val="clear" w:pos="1418"/>
          <w:tab w:val="clear" w:pos="2126"/>
          <w:tab w:val="clear" w:pos="2835"/>
          <w:tab w:val="clear" w:pos="3686"/>
        </w:tabs>
        <w:spacing w:before="120"/>
        <w:ind w:left="709" w:hanging="709"/>
      </w:pPr>
      <w:r w:rsidRPr="00C53FDE">
        <w:t xml:space="preserve">La délégation de la </w:t>
      </w:r>
      <w:r w:rsidRPr="00C53FDE">
        <w:rPr>
          <w:b/>
        </w:rPr>
        <w:t>Turquie</w:t>
      </w:r>
      <w:r w:rsidRPr="00C53FDE">
        <w:t xml:space="preserve"> </w:t>
      </w:r>
      <w:r>
        <w:t>a précisé qu</w:t>
      </w:r>
      <w:r w:rsidR="00346F1B">
        <w:t>’</w:t>
      </w:r>
      <w:r>
        <w:t>il ne s</w:t>
      </w:r>
      <w:r w:rsidR="00346F1B">
        <w:t>’</w:t>
      </w:r>
      <w:r>
        <w:t>agissait pas d</w:t>
      </w:r>
      <w:r w:rsidR="00346F1B">
        <w:t>’</w:t>
      </w:r>
      <w:r>
        <w:t>un nouveau mécanisme et, suite à l</w:t>
      </w:r>
      <w:r w:rsidR="00346F1B">
        <w:t>’</w:t>
      </w:r>
      <w:r>
        <w:t xml:space="preserve">explication du </w:t>
      </w:r>
      <w:r w:rsidRPr="00C53FDE">
        <w:t>Secrétaire</w:t>
      </w:r>
      <w:r>
        <w:t>, a proposé de déplacer cette question au point 14 de l</w:t>
      </w:r>
      <w:r w:rsidR="00346F1B">
        <w:t>’</w:t>
      </w:r>
      <w:r w:rsidRPr="00C53FDE">
        <w:t>ordre du jour</w:t>
      </w:r>
      <w:r w:rsidR="00DE0564">
        <w:t>.</w:t>
      </w:r>
    </w:p>
    <w:p w14:paraId="3F0E6156" w14:textId="1ABC8D17" w:rsidR="00C53FDE" w:rsidRPr="00C53FDE" w:rsidRDefault="00C53FDE" w:rsidP="00AF7860">
      <w:pPr>
        <w:pStyle w:val="Orateurengris"/>
        <w:tabs>
          <w:tab w:val="clear" w:pos="709"/>
          <w:tab w:val="clear" w:pos="1418"/>
          <w:tab w:val="clear" w:pos="2126"/>
          <w:tab w:val="clear" w:pos="2835"/>
          <w:tab w:val="clear" w:pos="3686"/>
        </w:tabs>
        <w:spacing w:before="120"/>
        <w:ind w:left="709" w:hanging="709"/>
      </w:pPr>
      <w:r w:rsidRPr="00C53FDE">
        <w:t>La délégation de l</w:t>
      </w:r>
      <w:r w:rsidR="00346F1B">
        <w:t>’</w:t>
      </w:r>
      <w:r w:rsidRPr="00C53FDE">
        <w:rPr>
          <w:b/>
        </w:rPr>
        <w:t>Algérie</w:t>
      </w:r>
      <w:r w:rsidRPr="00C53FDE">
        <w:t xml:space="preserve"> a remerc</w:t>
      </w:r>
      <w:r>
        <w:t>ié la Turquie de sa flexibilité, ajoutant qu</w:t>
      </w:r>
      <w:r w:rsidR="00346F1B">
        <w:t>’</w:t>
      </w:r>
      <w:r>
        <w:t xml:space="preserve">il était bien évidemment très important de conserver ce point. Elle a </w:t>
      </w:r>
      <w:r w:rsidRPr="00C53FDE">
        <w:t>toutefois</w:t>
      </w:r>
      <w:r>
        <w:t xml:space="preserve"> demandé au Secrétariat qu</w:t>
      </w:r>
      <w:r w:rsidR="00346F1B">
        <w:t>’</w:t>
      </w:r>
      <w:r>
        <w:t>il précise à ce moment du débat si le mécanisme avait bien été créé ou</w:t>
      </w:r>
      <w:r w:rsidR="00E25A8D">
        <w:t xml:space="preserve"> non</w:t>
      </w:r>
      <w:r>
        <w:t>. Si c</w:t>
      </w:r>
      <w:r w:rsidR="00346F1B">
        <w:t>’</w:t>
      </w:r>
      <w:r>
        <w:t xml:space="preserve">était le cas, le Comité pourrait amender le </w:t>
      </w:r>
      <w:r w:rsidRPr="00C53FDE">
        <w:t>paragraphe</w:t>
      </w:r>
      <w:r>
        <w:t xml:space="preserve"> au titre du point 14 de l</w:t>
      </w:r>
      <w:r w:rsidR="00346F1B">
        <w:t>’</w:t>
      </w:r>
      <w:r w:rsidRPr="00C53FDE">
        <w:t>ordre du jour</w:t>
      </w:r>
      <w:r w:rsidR="00DE0564">
        <w:t>.</w:t>
      </w:r>
    </w:p>
    <w:p w14:paraId="782CF446" w14:textId="5B748E33" w:rsidR="00E25A8D" w:rsidRPr="00E25A8D" w:rsidRDefault="00E25A8D" w:rsidP="00AF7860">
      <w:pPr>
        <w:pStyle w:val="Orateurengris"/>
        <w:tabs>
          <w:tab w:val="clear" w:pos="709"/>
          <w:tab w:val="clear" w:pos="1418"/>
          <w:tab w:val="clear" w:pos="2126"/>
          <w:tab w:val="clear" w:pos="2835"/>
          <w:tab w:val="clear" w:pos="3686"/>
        </w:tabs>
        <w:spacing w:before="120"/>
        <w:ind w:left="709" w:hanging="709"/>
      </w:pPr>
      <w:r w:rsidRPr="00E25A8D">
        <w:t xml:space="preserve">Le </w:t>
      </w:r>
      <w:r w:rsidRPr="00E25A8D">
        <w:rPr>
          <w:b/>
        </w:rPr>
        <w:t>Secrétaire</w:t>
      </w:r>
      <w:r>
        <w:t xml:space="preserve"> a expliqué que le cadre global de résultats n</w:t>
      </w:r>
      <w:r w:rsidR="00346F1B">
        <w:t>’</w:t>
      </w:r>
      <w:r>
        <w:t>avait pas encore élaboré mais qu</w:t>
      </w:r>
      <w:r w:rsidR="00346F1B">
        <w:t>’</w:t>
      </w:r>
      <w:r>
        <w:t>il présenterait le travail accompli en ce sens au point 14 de l</w:t>
      </w:r>
      <w:r w:rsidR="00346F1B">
        <w:t>’</w:t>
      </w:r>
      <w:r w:rsidRPr="00E25A8D">
        <w:t>ordre du jour</w:t>
      </w:r>
      <w:r w:rsidR="00DE0564">
        <w:t>.</w:t>
      </w:r>
    </w:p>
    <w:p w14:paraId="61B3EE79" w14:textId="5AB8BA49" w:rsidR="00E25A8D" w:rsidRPr="00E25A8D" w:rsidRDefault="00E25A8D" w:rsidP="00AF7860">
      <w:pPr>
        <w:pStyle w:val="Orateurengris"/>
        <w:tabs>
          <w:tab w:val="clear" w:pos="709"/>
          <w:tab w:val="clear" w:pos="1418"/>
          <w:tab w:val="clear" w:pos="2126"/>
          <w:tab w:val="clear" w:pos="2835"/>
          <w:tab w:val="clear" w:pos="3686"/>
        </w:tabs>
        <w:spacing w:before="120"/>
        <w:ind w:left="709" w:hanging="709"/>
      </w:pPr>
      <w:r w:rsidRPr="00E25A8D">
        <w:t xml:space="preserve">Le </w:t>
      </w:r>
      <w:r w:rsidRPr="00E25A8D">
        <w:rPr>
          <w:b/>
        </w:rPr>
        <w:t>Président</w:t>
      </w:r>
      <w:r w:rsidRPr="00E25A8D">
        <w:t xml:space="preserve"> a signalé que la Turqu</w:t>
      </w:r>
      <w:r w:rsidR="00DE0564">
        <w:t>ie avait retiré son amendement.</w:t>
      </w:r>
    </w:p>
    <w:p w14:paraId="7D23C09B" w14:textId="48EDB394" w:rsidR="00B84237" w:rsidRPr="00B84237" w:rsidRDefault="00B84237" w:rsidP="00AF7860">
      <w:pPr>
        <w:pStyle w:val="Orateurengris"/>
        <w:tabs>
          <w:tab w:val="clear" w:pos="709"/>
          <w:tab w:val="clear" w:pos="1418"/>
          <w:tab w:val="clear" w:pos="2126"/>
          <w:tab w:val="clear" w:pos="2835"/>
          <w:tab w:val="clear" w:pos="3686"/>
        </w:tabs>
        <w:spacing w:before="120"/>
        <w:ind w:left="709" w:hanging="709"/>
      </w:pPr>
      <w:r w:rsidRPr="00B84237">
        <w:t xml:space="preserve">La délégation de la </w:t>
      </w:r>
      <w:r w:rsidRPr="00B84237">
        <w:rPr>
          <w:b/>
        </w:rPr>
        <w:t>Turquie</w:t>
      </w:r>
      <w:r w:rsidRPr="00B84237">
        <w:t xml:space="preserve"> </w:t>
      </w:r>
      <w:r>
        <w:t>a confirmé ce retra</w:t>
      </w:r>
      <w:r w:rsidR="00FB01A5">
        <w:t>it, mais elle souhaitait</w:t>
      </w:r>
      <w:r>
        <w:t xml:space="preserve"> voir l</w:t>
      </w:r>
      <w:r w:rsidR="00346F1B">
        <w:t>’</w:t>
      </w:r>
      <w:r w:rsidRPr="00B84237">
        <w:t>amendement</w:t>
      </w:r>
      <w:r w:rsidR="00DE0564">
        <w:t xml:space="preserve"> présenté au titre du point 14.</w:t>
      </w:r>
    </w:p>
    <w:p w14:paraId="40CA12CB" w14:textId="2E2A57FC" w:rsidR="00B84237" w:rsidRPr="00B84237" w:rsidRDefault="00B84237" w:rsidP="00AF7860">
      <w:pPr>
        <w:pStyle w:val="Orateurengris"/>
        <w:tabs>
          <w:tab w:val="clear" w:pos="709"/>
          <w:tab w:val="clear" w:pos="1418"/>
          <w:tab w:val="clear" w:pos="2126"/>
          <w:tab w:val="clear" w:pos="2835"/>
          <w:tab w:val="clear" w:pos="3686"/>
        </w:tabs>
        <w:spacing w:before="120"/>
        <w:ind w:left="709" w:hanging="709"/>
      </w:pPr>
      <w:r w:rsidRPr="00B84237">
        <w:t xml:space="preserve">Le </w:t>
      </w:r>
      <w:r w:rsidRPr="00B84237">
        <w:rPr>
          <w:b/>
        </w:rPr>
        <w:t>Président</w:t>
      </w:r>
      <w:r w:rsidRPr="00B84237">
        <w:t xml:space="preserve"> a confirmé </w:t>
      </w:r>
      <w:r>
        <w:t>le retrait de l</w:t>
      </w:r>
      <w:r w:rsidR="00346F1B">
        <w:t>’</w:t>
      </w:r>
      <w:r w:rsidRPr="00B84237">
        <w:t>amendement</w:t>
      </w:r>
      <w:r>
        <w:t xml:space="preserve"> de la Turquie qui serait à nouveau présenté au point 14. En l</w:t>
      </w:r>
      <w:r w:rsidR="00346F1B">
        <w:t>’</w:t>
      </w:r>
      <w:r>
        <w:t>absence d</w:t>
      </w:r>
      <w:r w:rsidR="00346F1B">
        <w:t>’</w:t>
      </w:r>
      <w:r w:rsidRPr="00B84237">
        <w:t>objections</w:t>
      </w:r>
      <w:r>
        <w:t xml:space="preserve">, le Président est passé au </w:t>
      </w:r>
      <w:r w:rsidRPr="00B84237">
        <w:t>paragraphe</w:t>
      </w:r>
      <w:r>
        <w:t xml:space="preserve"> 6. En l</w:t>
      </w:r>
      <w:r w:rsidR="00346F1B">
        <w:t>’</w:t>
      </w:r>
      <w:r>
        <w:t>absence d</w:t>
      </w:r>
      <w:r w:rsidR="00346F1B">
        <w:t>’</w:t>
      </w:r>
      <w:r>
        <w:t xml:space="preserve">autres commentaires ou </w:t>
      </w:r>
      <w:r w:rsidRPr="00B84237">
        <w:t>objections</w:t>
      </w:r>
      <w:r>
        <w:t xml:space="preserve">, le </w:t>
      </w:r>
      <w:r w:rsidRPr="00B84237">
        <w:t>paragraphe</w:t>
      </w:r>
      <w:r>
        <w:t xml:space="preserve"> 6 a été adopté. </w:t>
      </w:r>
      <w:r w:rsidR="00382619">
        <w:t>Il a été pris note d</w:t>
      </w:r>
      <w:r w:rsidR="00346F1B">
        <w:t>’</w:t>
      </w:r>
      <w:r w:rsidR="00382619">
        <w:t xml:space="preserve">une modification linguistique dans la version française. Il est ensuite passé au </w:t>
      </w:r>
      <w:r w:rsidR="00382619" w:rsidRPr="00382619">
        <w:t>paragraphe</w:t>
      </w:r>
      <w:r w:rsidR="00DE0564">
        <w:t xml:space="preserve"> 7.</w:t>
      </w:r>
    </w:p>
    <w:p w14:paraId="65F0B8C5" w14:textId="3A8865B6" w:rsidR="00382619" w:rsidRPr="00382619" w:rsidRDefault="00382619" w:rsidP="00AF7860">
      <w:pPr>
        <w:pStyle w:val="Orateurengris"/>
        <w:tabs>
          <w:tab w:val="clear" w:pos="709"/>
          <w:tab w:val="clear" w:pos="1418"/>
          <w:tab w:val="clear" w:pos="2126"/>
          <w:tab w:val="clear" w:pos="2835"/>
          <w:tab w:val="clear" w:pos="3686"/>
        </w:tabs>
        <w:spacing w:before="120"/>
        <w:ind w:left="709" w:hanging="709"/>
      </w:pPr>
      <w:r w:rsidRPr="00382619">
        <w:t xml:space="preserve">La délégation de </w:t>
      </w:r>
      <w:r w:rsidRPr="00382619">
        <w:rPr>
          <w:b/>
        </w:rPr>
        <w:t>Cuba</w:t>
      </w:r>
      <w:r w:rsidRPr="00382619">
        <w:t xml:space="preserve"> n</w:t>
      </w:r>
      <w:r w:rsidR="00346F1B">
        <w:t>’</w:t>
      </w:r>
      <w:r w:rsidRPr="00382619">
        <w:t>avait pas d</w:t>
      </w:r>
      <w:r w:rsidR="00346F1B">
        <w:t>’</w:t>
      </w:r>
      <w:r>
        <w:t xml:space="preserve">objection au </w:t>
      </w:r>
      <w:r w:rsidRPr="00382619">
        <w:t>paragraphe</w:t>
      </w:r>
      <w:r>
        <w:t xml:space="preserve"> 7 mais elle a demandé au Comité d</w:t>
      </w:r>
      <w:r w:rsidR="00346F1B">
        <w:t>’</w:t>
      </w:r>
      <w:r>
        <w:t>accorder une plus grande attention à la langue utilisée dans les décisions, en soulignant que le libellé tel que proposé suggérait un ton de reproche (p. ex. « regrette ») et pourrait être plus positif. Elle a proposé « renforce la mise en œuvre du mécanisme », qui éta</w:t>
      </w:r>
      <w:r w:rsidR="00FB01A5">
        <w:t>it plus positif et suggérait une</w:t>
      </w:r>
      <w:r w:rsidR="00DE0564">
        <w:t xml:space="preserve"> approche moins négative.</w:t>
      </w:r>
    </w:p>
    <w:p w14:paraId="74C8D4AC" w14:textId="5814F6CA" w:rsidR="00382619" w:rsidRPr="00DE1802" w:rsidRDefault="00382619" w:rsidP="00AF7860">
      <w:pPr>
        <w:pStyle w:val="Orateurengris"/>
        <w:tabs>
          <w:tab w:val="clear" w:pos="709"/>
          <w:tab w:val="clear" w:pos="1418"/>
          <w:tab w:val="clear" w:pos="2126"/>
          <w:tab w:val="clear" w:pos="2835"/>
          <w:tab w:val="clear" w:pos="3686"/>
        </w:tabs>
        <w:spacing w:before="120"/>
        <w:ind w:left="709" w:hanging="709"/>
      </w:pPr>
      <w:r w:rsidRPr="00382619">
        <w:t xml:space="preserve">Le </w:t>
      </w:r>
      <w:r w:rsidRPr="00382619">
        <w:rPr>
          <w:b/>
        </w:rPr>
        <w:t>Président</w:t>
      </w:r>
      <w:r w:rsidRPr="00382619">
        <w:t xml:space="preserve"> a pris note du </w:t>
      </w:r>
      <w:r>
        <w:t xml:space="preserve">contraste flagrant dans le </w:t>
      </w:r>
      <w:r w:rsidRPr="00382619">
        <w:t>paragraphe</w:t>
      </w:r>
      <w:r>
        <w:t>, qui commençait pa</w:t>
      </w:r>
      <w:r w:rsidR="00DE1802">
        <w:t>r « regrette » et se finissait </w:t>
      </w:r>
      <w:r>
        <w:t>par « encourage ».</w:t>
      </w:r>
    </w:p>
    <w:p w14:paraId="5793D39A" w14:textId="64AB2C51" w:rsidR="00382619" w:rsidRPr="00382619" w:rsidRDefault="00382619" w:rsidP="00AF7860">
      <w:pPr>
        <w:pStyle w:val="Orateurengris"/>
        <w:tabs>
          <w:tab w:val="clear" w:pos="709"/>
          <w:tab w:val="clear" w:pos="1418"/>
          <w:tab w:val="clear" w:pos="2126"/>
          <w:tab w:val="clear" w:pos="2835"/>
          <w:tab w:val="clear" w:pos="3686"/>
        </w:tabs>
        <w:spacing w:before="120"/>
        <w:ind w:left="709" w:hanging="709"/>
      </w:pPr>
      <w:r w:rsidRPr="00382619">
        <w:t>La délégation de l</w:t>
      </w:r>
      <w:r w:rsidR="00346F1B">
        <w:t>’</w:t>
      </w:r>
      <w:r w:rsidRPr="00416C5F">
        <w:rPr>
          <w:b/>
        </w:rPr>
        <w:t>Algérie</w:t>
      </w:r>
      <w:r w:rsidRPr="00382619">
        <w:t xml:space="preserve"> </w:t>
      </w:r>
      <w:r>
        <w:t xml:space="preserve">comprenait que les États puissent être </w:t>
      </w:r>
      <w:r w:rsidR="00416C5F">
        <w:t>« en</w:t>
      </w:r>
      <w:r>
        <w:t>c</w:t>
      </w:r>
      <w:r w:rsidR="00416C5F">
        <w:t>o</w:t>
      </w:r>
      <w:r>
        <w:t>uragés</w:t>
      </w:r>
      <w:r w:rsidR="00416C5F">
        <w:t> », elle a proposé « </w:t>
      </w:r>
      <w:r w:rsidR="0013718A">
        <w:t xml:space="preserve">constate </w:t>
      </w:r>
      <w:r w:rsidR="00416C5F">
        <w:t>» au lieu de « regrette », car c</w:t>
      </w:r>
      <w:r w:rsidR="00346F1B">
        <w:t>’</w:t>
      </w:r>
      <w:r w:rsidR="00416C5F">
        <w:t xml:space="preserve">était </w:t>
      </w:r>
      <w:r w:rsidR="00DE0564">
        <w:t>une conclusion tirée d</w:t>
      </w:r>
      <w:r w:rsidR="00346F1B">
        <w:t>’</w:t>
      </w:r>
      <w:r w:rsidR="00DE0564">
        <w:t>un fait.</w:t>
      </w:r>
    </w:p>
    <w:p w14:paraId="29EFC76B" w14:textId="67806D07" w:rsidR="00416C5F" w:rsidRPr="00416C5F" w:rsidRDefault="00416C5F" w:rsidP="00AF7860">
      <w:pPr>
        <w:pStyle w:val="Orateurengris"/>
        <w:tabs>
          <w:tab w:val="clear" w:pos="709"/>
          <w:tab w:val="clear" w:pos="1418"/>
          <w:tab w:val="clear" w:pos="2126"/>
          <w:tab w:val="clear" w:pos="2835"/>
          <w:tab w:val="clear" w:pos="3686"/>
        </w:tabs>
        <w:spacing w:before="120"/>
        <w:ind w:left="709" w:hanging="709"/>
        <w:rPr>
          <w:rFonts w:eastAsia="Calibri"/>
        </w:rPr>
      </w:pPr>
      <w:r w:rsidRPr="00416C5F">
        <w:rPr>
          <w:rFonts w:eastAsia="Calibri"/>
        </w:rPr>
        <w:t xml:space="preserve">La délégation de </w:t>
      </w:r>
      <w:r w:rsidRPr="00416C5F">
        <w:rPr>
          <w:rFonts w:eastAsia="Calibri"/>
          <w:b/>
        </w:rPr>
        <w:t>Cuba</w:t>
      </w:r>
      <w:r w:rsidRPr="00416C5F">
        <w:rPr>
          <w:rFonts w:eastAsia="Calibri"/>
        </w:rPr>
        <w:t xml:space="preserve"> a souscrit</w:t>
      </w:r>
      <w:r w:rsidR="00DE0564">
        <w:rPr>
          <w:rFonts w:eastAsia="Calibri"/>
        </w:rPr>
        <w:t xml:space="preserve"> à la proposition de l</w:t>
      </w:r>
      <w:r w:rsidR="00346F1B">
        <w:rPr>
          <w:rFonts w:eastAsia="Calibri"/>
        </w:rPr>
        <w:t>’</w:t>
      </w:r>
      <w:r w:rsidR="00DE0564">
        <w:rPr>
          <w:rFonts w:eastAsia="Calibri"/>
        </w:rPr>
        <w:t>Algérie.</w:t>
      </w:r>
    </w:p>
    <w:p w14:paraId="27BFABA9" w14:textId="1A20917A" w:rsidR="00416C5F" w:rsidRPr="00416C5F" w:rsidRDefault="0013718A"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13718A">
        <w:rPr>
          <w:rFonts w:eastAsia="Calibri"/>
        </w:rPr>
        <w:t>délégation</w:t>
      </w:r>
      <w:r>
        <w:rPr>
          <w:rFonts w:eastAsia="Calibri"/>
        </w:rPr>
        <w:t xml:space="preserve"> de l</w:t>
      </w:r>
      <w:r w:rsidR="00346F1B">
        <w:rPr>
          <w:rFonts w:eastAsia="Calibri"/>
        </w:rPr>
        <w:t>’</w:t>
      </w:r>
      <w:r w:rsidRPr="0013718A">
        <w:rPr>
          <w:rFonts w:eastAsia="Calibri"/>
          <w:b/>
        </w:rPr>
        <w:t>Inde</w:t>
      </w:r>
      <w:r>
        <w:rPr>
          <w:rFonts w:eastAsia="Calibri"/>
        </w:rPr>
        <w:t xml:space="preserve">, qui était sur le point de proposer « reconnaît », a souscrit à la </w:t>
      </w:r>
      <w:r w:rsidRPr="0013718A">
        <w:rPr>
          <w:rFonts w:eastAsia="Calibri"/>
        </w:rPr>
        <w:t xml:space="preserve">proposition </w:t>
      </w:r>
      <w:r w:rsidR="00DE0564">
        <w:rPr>
          <w:rFonts w:eastAsia="Calibri"/>
        </w:rPr>
        <w:t>de l</w:t>
      </w:r>
      <w:r w:rsidR="00346F1B">
        <w:rPr>
          <w:rFonts w:eastAsia="Calibri"/>
        </w:rPr>
        <w:t>’</w:t>
      </w:r>
      <w:r w:rsidR="00DE0564">
        <w:rPr>
          <w:rFonts w:eastAsia="Calibri"/>
        </w:rPr>
        <w:t>Algérie.</w:t>
      </w:r>
    </w:p>
    <w:p w14:paraId="149A6C39" w14:textId="524750E9" w:rsidR="0013718A" w:rsidRDefault="0013718A"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En l</w:t>
      </w:r>
      <w:r w:rsidR="00346F1B">
        <w:rPr>
          <w:rFonts w:eastAsia="Calibri"/>
        </w:rPr>
        <w:t>’</w:t>
      </w:r>
      <w:r>
        <w:rPr>
          <w:rFonts w:eastAsia="Calibri"/>
        </w:rPr>
        <w:t>absence d</w:t>
      </w:r>
      <w:r w:rsidR="00346F1B">
        <w:rPr>
          <w:rFonts w:eastAsia="Calibri"/>
        </w:rPr>
        <w:t>’</w:t>
      </w:r>
      <w:r>
        <w:rPr>
          <w:rFonts w:eastAsia="Calibri"/>
        </w:rPr>
        <w:t xml:space="preserve">autres </w:t>
      </w:r>
      <w:r w:rsidRPr="0013718A">
        <w:rPr>
          <w:rFonts w:eastAsia="Calibri"/>
        </w:rPr>
        <w:t>objections</w:t>
      </w:r>
      <w:r>
        <w:rPr>
          <w:rFonts w:eastAsia="Calibri"/>
        </w:rPr>
        <w:t xml:space="preserve">, le </w:t>
      </w:r>
      <w:r w:rsidRPr="00CD7C77">
        <w:rPr>
          <w:rFonts w:eastAsia="Calibri"/>
          <w:b/>
        </w:rPr>
        <w:t>Président</w:t>
      </w:r>
      <w:r>
        <w:rPr>
          <w:rFonts w:eastAsia="Calibri"/>
        </w:rPr>
        <w:t xml:space="preserve"> a déclaré le </w:t>
      </w:r>
      <w:r w:rsidRPr="0013718A">
        <w:rPr>
          <w:rFonts w:eastAsia="Calibri"/>
        </w:rPr>
        <w:t>paragraphe</w:t>
      </w:r>
      <w:r>
        <w:rPr>
          <w:rFonts w:eastAsia="Calibri"/>
        </w:rPr>
        <w:t xml:space="preserve"> 7 adopté. Il est alors passé au </w:t>
      </w:r>
      <w:r w:rsidRPr="0013718A">
        <w:rPr>
          <w:rFonts w:eastAsia="Calibri"/>
        </w:rPr>
        <w:t>paragraphe</w:t>
      </w:r>
      <w:r w:rsidR="00CD7C77">
        <w:rPr>
          <w:rFonts w:eastAsia="Calibri"/>
        </w:rPr>
        <w:t xml:space="preserve"> 8</w:t>
      </w:r>
      <w:r>
        <w:rPr>
          <w:rFonts w:eastAsia="Calibri"/>
        </w:rPr>
        <w:t xml:space="preserve"> pour lequel un </w:t>
      </w:r>
      <w:r w:rsidRPr="0013718A">
        <w:rPr>
          <w:rFonts w:eastAsia="Calibri"/>
        </w:rPr>
        <w:t>amendement</w:t>
      </w:r>
      <w:r>
        <w:rPr>
          <w:rFonts w:eastAsia="Calibri"/>
        </w:rPr>
        <w:t xml:space="preserve"> </w:t>
      </w:r>
      <w:r w:rsidR="00CD7C77">
        <w:rPr>
          <w:rFonts w:eastAsia="Calibri"/>
        </w:rPr>
        <w:t xml:space="preserve">[mots soulignés] </w:t>
      </w:r>
      <w:r>
        <w:rPr>
          <w:rFonts w:eastAsia="Calibri"/>
        </w:rPr>
        <w:t>de la Turquie proposait le libellé suivant</w:t>
      </w:r>
      <w:r w:rsidR="00CD7C77">
        <w:rPr>
          <w:rFonts w:eastAsia="Calibri"/>
        </w:rPr>
        <w:t xml:space="preserve"> « à étudier des solutions créatives pour régler les difficultés administratives et humaines </w:t>
      </w:r>
      <w:r w:rsidR="00A710B7" w:rsidRPr="00A710B7">
        <w:rPr>
          <w:rFonts w:eastAsia="Calibri"/>
          <w:u w:val="single"/>
        </w:rPr>
        <w:t>à venir</w:t>
      </w:r>
      <w:r w:rsidR="00A710B7">
        <w:rPr>
          <w:rFonts w:eastAsia="Calibri"/>
        </w:rPr>
        <w:t xml:space="preserve">, </w:t>
      </w:r>
      <w:r w:rsidR="00CD7C77" w:rsidRPr="00CD7C77">
        <w:rPr>
          <w:rFonts w:eastAsia="Calibri"/>
          <w:u w:val="single"/>
        </w:rPr>
        <w:t>susceptibles de se présenter</w:t>
      </w:r>
      <w:r w:rsidR="00CD7C77">
        <w:rPr>
          <w:rFonts w:eastAsia="Calibri"/>
        </w:rPr>
        <w:t xml:space="preserve"> dans la mise en œuvre… ».</w:t>
      </w:r>
    </w:p>
    <w:p w14:paraId="42DA3988" w14:textId="1E7D2826" w:rsidR="00A23D15" w:rsidRDefault="00A23D15"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A23D15">
        <w:rPr>
          <w:rFonts w:eastAsia="Calibri"/>
        </w:rPr>
        <w:t>délégation</w:t>
      </w:r>
      <w:r>
        <w:rPr>
          <w:rFonts w:eastAsia="Calibri"/>
        </w:rPr>
        <w:t xml:space="preserve"> de </w:t>
      </w:r>
      <w:r w:rsidRPr="00434522">
        <w:rPr>
          <w:rFonts w:eastAsia="Calibri"/>
          <w:b/>
        </w:rPr>
        <w:t>Cuba</w:t>
      </w:r>
      <w:r>
        <w:rPr>
          <w:rFonts w:eastAsia="Calibri"/>
        </w:rPr>
        <w:t xml:space="preserve"> a exprimé sa </w:t>
      </w:r>
      <w:r w:rsidRPr="00A23D15">
        <w:rPr>
          <w:rFonts w:eastAsia="Calibri"/>
        </w:rPr>
        <w:t>préoccupation</w:t>
      </w:r>
      <w:r>
        <w:rPr>
          <w:rFonts w:eastAsia="Calibri"/>
        </w:rPr>
        <w:t xml:space="preserve"> quant au libellé du </w:t>
      </w:r>
      <w:r w:rsidRPr="00A23D15">
        <w:rPr>
          <w:rFonts w:eastAsia="Calibri"/>
        </w:rPr>
        <w:t>paragraphe</w:t>
      </w:r>
      <w:r>
        <w:rPr>
          <w:rFonts w:eastAsia="Calibri"/>
        </w:rPr>
        <w:t xml:space="preserve"> </w:t>
      </w:r>
      <w:r w:rsidR="00434522">
        <w:rPr>
          <w:rFonts w:eastAsia="Calibri"/>
        </w:rPr>
        <w:t>7, même si elle comprenait fort bien que l</w:t>
      </w:r>
      <w:r w:rsidR="00346F1B">
        <w:rPr>
          <w:rFonts w:eastAsia="Calibri"/>
        </w:rPr>
        <w:t>’</w:t>
      </w:r>
      <w:r w:rsidR="00434522">
        <w:rPr>
          <w:rFonts w:eastAsia="Calibri"/>
        </w:rPr>
        <w:t>on demande au Secrétariat d</w:t>
      </w:r>
      <w:r w:rsidR="00346F1B">
        <w:rPr>
          <w:rFonts w:eastAsia="Calibri"/>
        </w:rPr>
        <w:t>’</w:t>
      </w:r>
      <w:r w:rsidR="00434522">
        <w:rPr>
          <w:rFonts w:eastAsia="Calibri"/>
        </w:rPr>
        <w:t>étudier des solutions cr</w:t>
      </w:r>
      <w:r w:rsidR="00591C43">
        <w:rPr>
          <w:rFonts w:eastAsia="Calibri"/>
        </w:rPr>
        <w:t>éatives pour atténuer les effets</w:t>
      </w:r>
      <w:r w:rsidR="00434522">
        <w:rPr>
          <w:rFonts w:eastAsia="Calibri"/>
        </w:rPr>
        <w:t xml:space="preserve"> de la situation financière. Ayant constaté que cette question était évoquée dans le rapport, la </w:t>
      </w:r>
      <w:r w:rsidR="00434522" w:rsidRPr="00434522">
        <w:rPr>
          <w:rFonts w:eastAsia="Calibri"/>
        </w:rPr>
        <w:t>délégation</w:t>
      </w:r>
      <w:r w:rsidR="00434522">
        <w:rPr>
          <w:rFonts w:eastAsia="Calibri"/>
        </w:rPr>
        <w:t xml:space="preserve"> n</w:t>
      </w:r>
      <w:r w:rsidR="00346F1B">
        <w:rPr>
          <w:rFonts w:eastAsia="Calibri"/>
        </w:rPr>
        <w:t>’</w:t>
      </w:r>
      <w:r w:rsidR="00434522">
        <w:rPr>
          <w:rFonts w:eastAsia="Calibri"/>
        </w:rPr>
        <w:t>avait pas l</w:t>
      </w:r>
      <w:r w:rsidR="00346F1B">
        <w:rPr>
          <w:rFonts w:eastAsia="Calibri"/>
        </w:rPr>
        <w:t>’</w:t>
      </w:r>
      <w:r w:rsidR="00434522">
        <w:rPr>
          <w:rFonts w:eastAsia="Calibri"/>
        </w:rPr>
        <w:t>intention d</w:t>
      </w:r>
      <w:r w:rsidR="00346F1B">
        <w:rPr>
          <w:rFonts w:eastAsia="Calibri"/>
        </w:rPr>
        <w:t>’</w:t>
      </w:r>
      <w:r w:rsidR="00434522">
        <w:rPr>
          <w:rFonts w:eastAsia="Calibri"/>
        </w:rPr>
        <w:t xml:space="preserve">amender le </w:t>
      </w:r>
      <w:r w:rsidR="00434522" w:rsidRPr="00434522">
        <w:rPr>
          <w:rFonts w:eastAsia="Calibri"/>
        </w:rPr>
        <w:t>paragraphe</w:t>
      </w:r>
      <w:r w:rsidR="00434522">
        <w:rPr>
          <w:rFonts w:eastAsia="Calibri"/>
        </w:rPr>
        <w:t xml:space="preserve">. </w:t>
      </w:r>
      <w:r w:rsidR="00434522" w:rsidRPr="00434522">
        <w:rPr>
          <w:rFonts w:eastAsia="Calibri"/>
        </w:rPr>
        <w:t>Toutefois</w:t>
      </w:r>
      <w:r w:rsidR="00450503">
        <w:rPr>
          <w:rFonts w:eastAsia="Calibri"/>
        </w:rPr>
        <w:t xml:space="preserve">, elle estimait </w:t>
      </w:r>
      <w:r w:rsidR="00434522">
        <w:rPr>
          <w:rFonts w:eastAsia="Calibri"/>
        </w:rPr>
        <w:t xml:space="preserve">que le Comité devrait </w:t>
      </w:r>
      <w:r w:rsidR="00D3153A">
        <w:rPr>
          <w:rFonts w:eastAsia="Calibri"/>
        </w:rPr>
        <w:t xml:space="preserve">se rappeler du Règlement intérieur et des Directives opérationnelles, à savoir, </w:t>
      </w:r>
      <w:r w:rsidR="00A024E4">
        <w:rPr>
          <w:rFonts w:eastAsia="Calibri"/>
        </w:rPr>
        <w:t>ces propositions trouvaient leur origine dans le rapport de l</w:t>
      </w:r>
      <w:r w:rsidR="00346F1B">
        <w:rPr>
          <w:rFonts w:eastAsia="Calibri"/>
        </w:rPr>
        <w:t>’</w:t>
      </w:r>
      <w:r w:rsidR="00A024E4">
        <w:rPr>
          <w:rFonts w:eastAsia="Calibri"/>
        </w:rPr>
        <w:t>Auditeur, rapport qui n</w:t>
      </w:r>
      <w:r w:rsidR="00346F1B">
        <w:rPr>
          <w:rFonts w:eastAsia="Calibri"/>
        </w:rPr>
        <w:t>’</w:t>
      </w:r>
      <w:r w:rsidR="00A024E4">
        <w:rPr>
          <w:rFonts w:eastAsia="Calibri"/>
        </w:rPr>
        <w:t>avait pas été approuvé par l</w:t>
      </w:r>
      <w:r w:rsidR="00346F1B">
        <w:rPr>
          <w:rFonts w:eastAsia="Calibri"/>
        </w:rPr>
        <w:t>’</w:t>
      </w:r>
      <w:r w:rsidR="00A024E4">
        <w:rPr>
          <w:rFonts w:eastAsia="Calibri"/>
        </w:rPr>
        <w:t xml:space="preserve">Assemblée générale. La </w:t>
      </w:r>
      <w:r w:rsidR="00A024E4" w:rsidRPr="00A024E4">
        <w:rPr>
          <w:rFonts w:eastAsia="Calibri"/>
        </w:rPr>
        <w:t>délégation</w:t>
      </w:r>
      <w:r w:rsidR="00A024E4">
        <w:rPr>
          <w:rFonts w:eastAsia="Calibri"/>
        </w:rPr>
        <w:t xml:space="preserve"> a rappelé que de nombreux organes, suite à des rapports similaires, avaient effectivement essayé de réduire le nombre de réunions afin de réduire les coûts, mais il était </w:t>
      </w:r>
      <w:r w:rsidR="00A024E4" w:rsidRPr="00A024E4">
        <w:rPr>
          <w:rFonts w:eastAsia="Calibri"/>
        </w:rPr>
        <w:t>également</w:t>
      </w:r>
      <w:r w:rsidR="00A024E4">
        <w:rPr>
          <w:rFonts w:eastAsia="Calibri"/>
        </w:rPr>
        <w:t xml:space="preserve"> très important que le Comité conserve son statut </w:t>
      </w:r>
      <w:r w:rsidR="00A024E4" w:rsidRPr="00A024E4">
        <w:rPr>
          <w:rFonts w:eastAsia="Calibri"/>
        </w:rPr>
        <w:t>intergouvernemental</w:t>
      </w:r>
      <w:r w:rsidR="00A024E4">
        <w:rPr>
          <w:rFonts w:eastAsia="Calibri"/>
        </w:rPr>
        <w:t xml:space="preserve"> et veille à ce que les opportunités de débat soient toujours présentes, et ce, afin que le </w:t>
      </w:r>
      <w:r w:rsidR="00A024E4" w:rsidRPr="00A024E4">
        <w:rPr>
          <w:rFonts w:eastAsia="Calibri"/>
        </w:rPr>
        <w:t>Convention</w:t>
      </w:r>
      <w:r w:rsidR="00A024E4">
        <w:rPr>
          <w:rFonts w:eastAsia="Calibri"/>
        </w:rPr>
        <w:t xml:space="preserve"> puisse exercer ses activités dans les meilleures conditions possibles. La </w:t>
      </w:r>
      <w:r w:rsidR="00A024E4" w:rsidRPr="00A024E4">
        <w:rPr>
          <w:rFonts w:eastAsia="Calibri"/>
        </w:rPr>
        <w:t>délégation</w:t>
      </w:r>
      <w:r w:rsidR="00A024E4">
        <w:rPr>
          <w:rFonts w:eastAsia="Calibri"/>
        </w:rPr>
        <w:t xml:space="preserve"> était pleinement consciente de la pression qui pesait sur le Secrétariat ; </w:t>
      </w:r>
      <w:r w:rsidR="00A024E4" w:rsidRPr="00A024E4">
        <w:rPr>
          <w:rFonts w:eastAsia="Calibri"/>
        </w:rPr>
        <w:t>néanmoins</w:t>
      </w:r>
      <w:r w:rsidR="00A024E4">
        <w:rPr>
          <w:rFonts w:eastAsia="Calibri"/>
        </w:rPr>
        <w:t xml:space="preserve">, elle souhaitait conserver le statut </w:t>
      </w:r>
      <w:r w:rsidR="00A024E4" w:rsidRPr="00A024E4">
        <w:rPr>
          <w:rFonts w:eastAsia="Calibri"/>
        </w:rPr>
        <w:t>intergouvernemental</w:t>
      </w:r>
      <w:r w:rsidR="00A024E4">
        <w:rPr>
          <w:rFonts w:eastAsia="Calibri"/>
        </w:rPr>
        <w:t xml:space="preserve"> du</w:t>
      </w:r>
      <w:r w:rsidR="00D3153A">
        <w:rPr>
          <w:rFonts w:eastAsia="Calibri"/>
        </w:rPr>
        <w:t xml:space="preserve"> Comité et faire tout ce qui était</w:t>
      </w:r>
      <w:r w:rsidR="00A024E4">
        <w:rPr>
          <w:rFonts w:eastAsia="Calibri"/>
        </w:rPr>
        <w:t xml:space="preserve"> envisageable pour garantir que le travail était réalisé dans les meil</w:t>
      </w:r>
      <w:r w:rsidR="00D3153A">
        <w:rPr>
          <w:rFonts w:eastAsia="Calibri"/>
        </w:rPr>
        <w:t>leures conditions poss</w:t>
      </w:r>
      <w:r w:rsidR="00DE0564">
        <w:rPr>
          <w:rFonts w:eastAsia="Calibri"/>
        </w:rPr>
        <w:t>ibles.</w:t>
      </w:r>
    </w:p>
    <w:p w14:paraId="13956502" w14:textId="5161BF56" w:rsidR="00D3153A" w:rsidRPr="00D3153A" w:rsidRDefault="00D3153A"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D3153A">
        <w:rPr>
          <w:rFonts w:eastAsia="Calibri"/>
        </w:rPr>
        <w:t>délégation</w:t>
      </w:r>
      <w:r>
        <w:rPr>
          <w:rFonts w:eastAsia="Calibri"/>
        </w:rPr>
        <w:t xml:space="preserve"> de l</w:t>
      </w:r>
      <w:r w:rsidR="00346F1B">
        <w:rPr>
          <w:rFonts w:eastAsia="Calibri"/>
        </w:rPr>
        <w:t>’</w:t>
      </w:r>
      <w:r w:rsidRPr="00D3153A">
        <w:rPr>
          <w:rFonts w:eastAsia="Calibri"/>
          <w:b/>
        </w:rPr>
        <w:t>Algérie</w:t>
      </w:r>
      <w:r w:rsidR="00D301C4">
        <w:rPr>
          <w:rFonts w:eastAsia="Calibri"/>
        </w:rPr>
        <w:t xml:space="preserve"> souhaitait </w:t>
      </w:r>
      <w:r>
        <w:rPr>
          <w:rFonts w:eastAsia="Calibri"/>
        </w:rPr>
        <w:t xml:space="preserve">avoir des précisions quant à la </w:t>
      </w:r>
      <w:r w:rsidRPr="00D3153A">
        <w:rPr>
          <w:rFonts w:eastAsia="Calibri"/>
        </w:rPr>
        <w:t xml:space="preserve">signification </w:t>
      </w:r>
      <w:r>
        <w:rPr>
          <w:rFonts w:eastAsia="Calibri"/>
        </w:rPr>
        <w:t>des « solutions créatives » ; elle se demandait si celles-ci faisaient référence à la collecte de fonds ou aux capacités d</w:t>
      </w:r>
      <w:r w:rsidR="00346F1B">
        <w:rPr>
          <w:rFonts w:eastAsia="Calibri"/>
        </w:rPr>
        <w:t>’</w:t>
      </w:r>
      <w:r>
        <w:rPr>
          <w:rFonts w:eastAsia="Calibri"/>
        </w:rPr>
        <w:t>absorption, ce qui n</w:t>
      </w:r>
      <w:r w:rsidR="00346F1B">
        <w:rPr>
          <w:rFonts w:eastAsia="Calibri"/>
        </w:rPr>
        <w:t>’</w:t>
      </w:r>
      <w:r>
        <w:rPr>
          <w:rFonts w:eastAsia="Calibri"/>
        </w:rPr>
        <w:t>était pas pareil. Elle a demandé si le Secrétariat proposait, avec les États parties, de trouver des solutions afin d</w:t>
      </w:r>
      <w:r w:rsidR="00346F1B">
        <w:rPr>
          <w:rFonts w:eastAsia="Calibri"/>
        </w:rPr>
        <w:t>’</w:t>
      </w:r>
      <w:r>
        <w:rPr>
          <w:rFonts w:eastAsia="Calibri"/>
        </w:rPr>
        <w:t>utiliser les fonds disponibles pour l</w:t>
      </w:r>
      <w:r w:rsidR="00346F1B">
        <w:rPr>
          <w:rFonts w:eastAsia="Calibri"/>
        </w:rPr>
        <w:t>’</w:t>
      </w:r>
      <w:r>
        <w:rPr>
          <w:rFonts w:eastAsia="Calibri"/>
        </w:rPr>
        <w:t>assistance internationale, c.-à-d. bien que les fonds soient disponibles, le Secrétariat n</w:t>
      </w:r>
      <w:r w:rsidR="00346F1B">
        <w:rPr>
          <w:rFonts w:eastAsia="Calibri"/>
        </w:rPr>
        <w:t>’</w:t>
      </w:r>
      <w:r>
        <w:rPr>
          <w:rFonts w:eastAsia="Calibri"/>
        </w:rPr>
        <w:t xml:space="preserve">était pas en mesure de les utiliser </w:t>
      </w:r>
      <w:r w:rsidR="00DE0564">
        <w:rPr>
          <w:rFonts w:eastAsia="Calibri"/>
        </w:rPr>
        <w:t>de la façon la plus appropriée.</w:t>
      </w:r>
    </w:p>
    <w:p w14:paraId="592D2312" w14:textId="77B3164E" w:rsidR="00D3153A" w:rsidRDefault="00D3153A"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À la lecture du </w:t>
      </w:r>
      <w:r w:rsidRPr="00D3153A">
        <w:rPr>
          <w:rFonts w:eastAsia="Calibri"/>
        </w:rPr>
        <w:t>paragraphe</w:t>
      </w:r>
      <w:r>
        <w:rPr>
          <w:rFonts w:eastAsia="Calibri"/>
        </w:rPr>
        <w:t xml:space="preserve">, la </w:t>
      </w:r>
      <w:r w:rsidRPr="00D3153A">
        <w:rPr>
          <w:rFonts w:eastAsia="Calibri"/>
        </w:rPr>
        <w:t>délégation</w:t>
      </w:r>
      <w:r>
        <w:rPr>
          <w:rFonts w:eastAsia="Calibri"/>
        </w:rPr>
        <w:t xml:space="preserve"> de la </w:t>
      </w:r>
      <w:r w:rsidRPr="00771B33">
        <w:rPr>
          <w:rFonts w:eastAsia="Calibri"/>
          <w:b/>
        </w:rPr>
        <w:t>Turquie</w:t>
      </w:r>
      <w:r>
        <w:rPr>
          <w:rFonts w:eastAsia="Calibri"/>
        </w:rPr>
        <w:t xml:space="preserve"> comprenait que le Secrétariat </w:t>
      </w:r>
      <w:r w:rsidR="00771B33">
        <w:rPr>
          <w:rFonts w:eastAsia="Calibri"/>
        </w:rPr>
        <w:t>était susceptible d</w:t>
      </w:r>
      <w:r w:rsidR="00346F1B">
        <w:rPr>
          <w:rFonts w:eastAsia="Calibri"/>
        </w:rPr>
        <w:t>’</w:t>
      </w:r>
      <w:r w:rsidR="00771B33">
        <w:rPr>
          <w:rFonts w:eastAsia="Calibri"/>
        </w:rPr>
        <w:t>être confronté à l</w:t>
      </w:r>
      <w:r w:rsidR="00346F1B">
        <w:rPr>
          <w:rFonts w:eastAsia="Calibri"/>
        </w:rPr>
        <w:t>’</w:t>
      </w:r>
      <w:r w:rsidR="00771B33">
        <w:rPr>
          <w:rFonts w:eastAsia="Calibri"/>
        </w:rPr>
        <w:t>avenir à des problèmes financiers et de ressources humaines, et qu</w:t>
      </w:r>
      <w:r w:rsidR="00346F1B">
        <w:rPr>
          <w:rFonts w:eastAsia="Calibri"/>
        </w:rPr>
        <w:t>’</w:t>
      </w:r>
      <w:r w:rsidR="00771B33">
        <w:rPr>
          <w:rFonts w:eastAsia="Calibri"/>
        </w:rPr>
        <w:t xml:space="preserve">il lui était donc demandé de préparer et de présenter des recommandations sur la </w:t>
      </w:r>
      <w:r w:rsidR="00771B33" w:rsidRPr="00771B33">
        <w:rPr>
          <w:rFonts w:eastAsia="Calibri"/>
        </w:rPr>
        <w:t>résolution</w:t>
      </w:r>
      <w:r w:rsidR="00771B33">
        <w:rPr>
          <w:rFonts w:eastAsia="Calibri"/>
        </w:rPr>
        <w:t xml:space="preserve"> de ces problèmes. Il était donc recommandé au Secrétariat de présenter une </w:t>
      </w:r>
      <w:r w:rsidR="00771B33" w:rsidRPr="00771B33">
        <w:rPr>
          <w:rFonts w:eastAsia="Calibri"/>
        </w:rPr>
        <w:t>documentation</w:t>
      </w:r>
      <w:r w:rsidR="00771B33">
        <w:rPr>
          <w:rFonts w:eastAsia="Calibri"/>
        </w:rPr>
        <w:t xml:space="preserve"> sur le contexte de la situation, et des propositions de </w:t>
      </w:r>
      <w:r w:rsidR="00771B33" w:rsidRPr="00771B33">
        <w:rPr>
          <w:rFonts w:eastAsia="Calibri"/>
        </w:rPr>
        <w:t>résolution</w:t>
      </w:r>
      <w:r w:rsidR="00771B33">
        <w:rPr>
          <w:rFonts w:eastAsia="Calibri"/>
        </w:rPr>
        <w:t xml:space="preserve"> de ces problèmes, propositions qui seraient alors soumises à l</w:t>
      </w:r>
      <w:r w:rsidR="00346F1B">
        <w:rPr>
          <w:rFonts w:eastAsia="Calibri"/>
        </w:rPr>
        <w:t>’</w:t>
      </w:r>
      <w:r w:rsidR="00771B33">
        <w:rPr>
          <w:rFonts w:eastAsia="Calibri"/>
        </w:rPr>
        <w:t xml:space="preserve">examen du Comité. La </w:t>
      </w:r>
      <w:r w:rsidR="00771B33" w:rsidRPr="00771B33">
        <w:rPr>
          <w:rFonts w:eastAsia="Calibri"/>
        </w:rPr>
        <w:t>délégation</w:t>
      </w:r>
      <w:r w:rsidR="00771B33">
        <w:rPr>
          <w:rFonts w:eastAsia="Calibri"/>
        </w:rPr>
        <w:t xml:space="preserve"> a demandé au Secrétariat qu</w:t>
      </w:r>
      <w:r w:rsidR="00346F1B">
        <w:rPr>
          <w:rFonts w:eastAsia="Calibri"/>
        </w:rPr>
        <w:t>’</w:t>
      </w:r>
      <w:r w:rsidR="00771B33">
        <w:rPr>
          <w:rFonts w:eastAsia="Calibri"/>
        </w:rPr>
        <w:t>il garantisse que cela n</w:t>
      </w:r>
      <w:r w:rsidR="00346F1B">
        <w:rPr>
          <w:rFonts w:eastAsia="Calibri"/>
        </w:rPr>
        <w:t>’</w:t>
      </w:r>
      <w:r w:rsidR="00771B33">
        <w:rPr>
          <w:rFonts w:eastAsia="Calibri"/>
        </w:rPr>
        <w:t>entraverait pas le processus décisionnel du Comité, et qu</w:t>
      </w:r>
      <w:r w:rsidR="00346F1B">
        <w:rPr>
          <w:rFonts w:eastAsia="Calibri"/>
        </w:rPr>
        <w:t>’</w:t>
      </w:r>
      <w:r w:rsidR="00771B33">
        <w:rPr>
          <w:rFonts w:eastAsia="Calibri"/>
        </w:rPr>
        <w:t>il reviendrait bien au Comité de décider sur la base des recommandations présentée</w:t>
      </w:r>
      <w:r w:rsidR="00DE0564">
        <w:rPr>
          <w:rFonts w:eastAsia="Calibri"/>
        </w:rPr>
        <w:t>s par le Secrétariat.</w:t>
      </w:r>
    </w:p>
    <w:p w14:paraId="7EEE9545" w14:textId="0F2C7899" w:rsidR="00DE1802" w:rsidRPr="00DE1802" w:rsidRDefault="00771B3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En</w:t>
      </w:r>
      <w:r w:rsidR="00DE1802">
        <w:rPr>
          <w:rFonts w:eastAsia="Calibri"/>
        </w:rPr>
        <w:t xml:space="preserve"> réponse à la question posée</w:t>
      </w:r>
      <w:r>
        <w:rPr>
          <w:rFonts w:eastAsia="Calibri"/>
        </w:rPr>
        <w:t xml:space="preserve"> par </w:t>
      </w:r>
      <w:r w:rsidRPr="00DE1802">
        <w:rPr>
          <w:rFonts w:eastAsia="Calibri"/>
        </w:rPr>
        <w:t>l</w:t>
      </w:r>
      <w:r w:rsidR="00346F1B">
        <w:rPr>
          <w:rFonts w:eastAsia="Calibri"/>
        </w:rPr>
        <w:t>’</w:t>
      </w:r>
      <w:r w:rsidRPr="00DE1802">
        <w:rPr>
          <w:rFonts w:eastAsia="Calibri"/>
        </w:rPr>
        <w:t>Algérie</w:t>
      </w:r>
      <w:r>
        <w:rPr>
          <w:rFonts w:eastAsia="Calibri"/>
        </w:rPr>
        <w:t xml:space="preserve">, le </w:t>
      </w:r>
      <w:r w:rsidRPr="00DE1802">
        <w:rPr>
          <w:rFonts w:eastAsia="Calibri"/>
          <w:b/>
        </w:rPr>
        <w:t>Secrétaire</w:t>
      </w:r>
      <w:r>
        <w:rPr>
          <w:rFonts w:eastAsia="Calibri"/>
        </w:rPr>
        <w:t xml:space="preserve"> a expliqué </w:t>
      </w:r>
      <w:r w:rsidR="00E10E4B">
        <w:rPr>
          <w:rFonts w:eastAsia="Calibri"/>
        </w:rPr>
        <w:t xml:space="preserve">que </w:t>
      </w:r>
      <w:r>
        <w:rPr>
          <w:rFonts w:eastAsia="Calibri"/>
        </w:rPr>
        <w:t xml:space="preserve">le </w:t>
      </w:r>
      <w:r w:rsidRPr="00771B33">
        <w:rPr>
          <w:rFonts w:eastAsia="Calibri"/>
        </w:rPr>
        <w:t>paragraphe</w:t>
      </w:r>
      <w:r>
        <w:rPr>
          <w:rFonts w:eastAsia="Calibri"/>
        </w:rPr>
        <w:t xml:space="preserve"> faisait référence à la capacité de mettre en œuvre les cont</w:t>
      </w:r>
      <w:r w:rsidR="00E10E4B">
        <w:rPr>
          <w:rFonts w:eastAsia="Calibri"/>
        </w:rPr>
        <w:t xml:space="preserve">ributions obligatoires au Fonds </w:t>
      </w:r>
      <w:r>
        <w:rPr>
          <w:rFonts w:eastAsia="Calibri"/>
        </w:rPr>
        <w:t>destinées à l</w:t>
      </w:r>
      <w:r w:rsidR="00346F1B">
        <w:rPr>
          <w:rFonts w:eastAsia="Calibri"/>
        </w:rPr>
        <w:t>’</w:t>
      </w:r>
      <w:r w:rsidRPr="00771B33">
        <w:rPr>
          <w:rFonts w:eastAsia="Calibri"/>
        </w:rPr>
        <w:t>utilisation</w:t>
      </w:r>
      <w:r>
        <w:rPr>
          <w:rFonts w:eastAsia="Calibri"/>
        </w:rPr>
        <w:t xml:space="preserve"> de l</w:t>
      </w:r>
      <w:r w:rsidR="00346F1B">
        <w:rPr>
          <w:rFonts w:eastAsia="Calibri"/>
        </w:rPr>
        <w:t>’</w:t>
      </w:r>
      <w:r>
        <w:rPr>
          <w:rFonts w:eastAsia="Calibri"/>
        </w:rPr>
        <w:t xml:space="preserve">assistance internationale, et de chercher des solutions qui permettent au Secrétariat de </w:t>
      </w:r>
      <w:r w:rsidR="00E10E4B">
        <w:rPr>
          <w:rFonts w:eastAsia="Calibri"/>
        </w:rPr>
        <w:t>dispenser efficacement l</w:t>
      </w:r>
      <w:r w:rsidR="00346F1B">
        <w:rPr>
          <w:rFonts w:eastAsia="Calibri"/>
        </w:rPr>
        <w:t>’</w:t>
      </w:r>
      <w:r w:rsidR="00E10E4B">
        <w:rPr>
          <w:rFonts w:eastAsia="Calibri"/>
        </w:rPr>
        <w:t>assistance internationale aux États parties demandeurs. Il a en outre expliqué que cela avait été e</w:t>
      </w:r>
      <w:r w:rsidR="00662C7E">
        <w:rPr>
          <w:rFonts w:eastAsia="Calibri"/>
        </w:rPr>
        <w:t>xposé dans le rapport, à savoir</w:t>
      </w:r>
      <w:r w:rsidR="00E10E4B">
        <w:rPr>
          <w:rFonts w:eastAsia="Calibri"/>
        </w:rPr>
        <w:t xml:space="preserve"> que</w:t>
      </w:r>
      <w:r w:rsidR="00662C7E">
        <w:rPr>
          <w:rFonts w:eastAsia="Calibri"/>
        </w:rPr>
        <w:t xml:space="preserve">, compte tenu de la situation des ressources humaines du Secrétariat, celui-ci </w:t>
      </w:r>
      <w:r w:rsidR="00E10E4B">
        <w:rPr>
          <w:rFonts w:eastAsia="Calibri"/>
        </w:rPr>
        <w:t xml:space="preserve">ne </w:t>
      </w:r>
      <w:r w:rsidR="00662C7E">
        <w:rPr>
          <w:rFonts w:eastAsia="Calibri"/>
        </w:rPr>
        <w:t xml:space="preserve">saurait </w:t>
      </w:r>
      <w:r w:rsidR="00E10E4B">
        <w:rPr>
          <w:rFonts w:eastAsia="Calibri"/>
        </w:rPr>
        <w:t>prévoir les conséquences du relèvement du plafond à 100</w:t>
      </w:r>
      <w:r w:rsidR="00346F1B">
        <w:rPr>
          <w:rFonts w:eastAsia="Calibri"/>
        </w:rPr>
        <w:t> 000</w:t>
      </w:r>
      <w:r w:rsidR="00E10E4B">
        <w:rPr>
          <w:rFonts w:eastAsia="Calibri"/>
        </w:rPr>
        <w:t xml:space="preserve"> </w:t>
      </w:r>
      <w:r w:rsidR="00E10E4B" w:rsidRPr="00E10E4B">
        <w:rPr>
          <w:rFonts w:eastAsia="Calibri"/>
        </w:rPr>
        <w:t>dollars des États-Unis</w:t>
      </w:r>
      <w:r w:rsidR="00E10E4B">
        <w:rPr>
          <w:rFonts w:eastAsia="Calibri"/>
        </w:rPr>
        <w:t xml:space="preserve">, </w:t>
      </w:r>
      <w:r w:rsidR="00662C7E">
        <w:rPr>
          <w:rFonts w:eastAsia="Calibri"/>
        </w:rPr>
        <w:t xml:space="preserve">mesure destinée à faciliter </w:t>
      </w:r>
      <w:r w:rsidR="00E10E4B">
        <w:rPr>
          <w:rFonts w:eastAsia="Calibri"/>
        </w:rPr>
        <w:t>l</w:t>
      </w:r>
      <w:r w:rsidR="00346F1B">
        <w:rPr>
          <w:rFonts w:eastAsia="Calibri"/>
        </w:rPr>
        <w:t>’</w:t>
      </w:r>
      <w:r w:rsidR="00E10E4B">
        <w:rPr>
          <w:rFonts w:eastAsia="Calibri"/>
        </w:rPr>
        <w:t>accès des États parties</w:t>
      </w:r>
      <w:r w:rsidR="00662C7E">
        <w:rPr>
          <w:rFonts w:eastAsia="Calibri"/>
        </w:rPr>
        <w:t xml:space="preserve"> au Fonds du PCI</w:t>
      </w:r>
      <w:r w:rsidR="00E10E4B">
        <w:rPr>
          <w:rFonts w:eastAsia="Calibri"/>
        </w:rPr>
        <w:t xml:space="preserve"> et la </w:t>
      </w:r>
      <w:r w:rsidR="00FB01A5">
        <w:rPr>
          <w:rFonts w:eastAsia="Calibri"/>
        </w:rPr>
        <w:t xml:space="preserve">mise à disposition </w:t>
      </w:r>
      <w:r w:rsidR="00662C7E">
        <w:rPr>
          <w:rFonts w:eastAsia="Calibri"/>
        </w:rPr>
        <w:t>de l</w:t>
      </w:r>
      <w:r w:rsidR="00346F1B">
        <w:rPr>
          <w:rFonts w:eastAsia="Calibri"/>
        </w:rPr>
        <w:t>’</w:t>
      </w:r>
      <w:r w:rsidR="00662C7E">
        <w:rPr>
          <w:rFonts w:eastAsia="Calibri"/>
        </w:rPr>
        <w:t xml:space="preserve">assistance internationale </w:t>
      </w:r>
      <w:r w:rsidR="00E10E4B">
        <w:rPr>
          <w:rFonts w:eastAsia="Calibri"/>
        </w:rPr>
        <w:t>par le Secrétariat</w:t>
      </w:r>
      <w:r w:rsidR="00662C7E">
        <w:rPr>
          <w:rFonts w:eastAsia="Calibri"/>
        </w:rPr>
        <w:t>. Le problème résidait dans le fait que, dès leur approbation, les demandes devaient être examinées, tant d</w:t>
      </w:r>
      <w:r w:rsidR="00346F1B">
        <w:rPr>
          <w:rFonts w:eastAsia="Calibri"/>
        </w:rPr>
        <w:t>’</w:t>
      </w:r>
      <w:r w:rsidR="00662C7E">
        <w:rPr>
          <w:rFonts w:eastAsia="Calibri"/>
        </w:rPr>
        <w:t>un point de vue administ</w:t>
      </w:r>
      <w:r w:rsidR="00C75028">
        <w:rPr>
          <w:rFonts w:eastAsia="Calibri"/>
        </w:rPr>
        <w:t>ratif que substantiel</w:t>
      </w:r>
      <w:r w:rsidR="00662C7E">
        <w:rPr>
          <w:rFonts w:eastAsia="Calibri"/>
        </w:rPr>
        <w:t>, des contrats devaient être établis, un suivi devait être mis en place, etc., ce qui impliquait une grande quantité de travail. Compte tenu des ressources humaines de l</w:t>
      </w:r>
      <w:r w:rsidR="00346F1B">
        <w:rPr>
          <w:rFonts w:eastAsia="Calibri"/>
        </w:rPr>
        <w:t>’</w:t>
      </w:r>
      <w:r w:rsidR="00662C7E">
        <w:rPr>
          <w:rFonts w:eastAsia="Calibri"/>
        </w:rPr>
        <w:t xml:space="preserve">UNESCO, le </w:t>
      </w:r>
      <w:r w:rsidR="00DE1802">
        <w:rPr>
          <w:rFonts w:eastAsia="Calibri"/>
        </w:rPr>
        <w:t>Secrétaire</w:t>
      </w:r>
      <w:r w:rsidR="00662C7E">
        <w:rPr>
          <w:rFonts w:eastAsia="Calibri"/>
        </w:rPr>
        <w:t xml:space="preserve"> souhaitait simplement </w:t>
      </w:r>
      <w:r w:rsidR="00DE1802">
        <w:rPr>
          <w:rFonts w:eastAsia="Calibri"/>
        </w:rPr>
        <w:t>attirer l</w:t>
      </w:r>
      <w:r w:rsidR="00346F1B">
        <w:rPr>
          <w:rFonts w:eastAsia="Calibri"/>
        </w:rPr>
        <w:t>’</w:t>
      </w:r>
      <w:r w:rsidR="00DE1802">
        <w:rPr>
          <w:rFonts w:eastAsia="Calibri"/>
        </w:rPr>
        <w:t xml:space="preserve">attention du Comité sur cette </w:t>
      </w:r>
      <w:r w:rsidR="00DE1802" w:rsidRPr="00DE1802">
        <w:rPr>
          <w:rFonts w:eastAsia="Calibri"/>
        </w:rPr>
        <w:t>préoccupation</w:t>
      </w:r>
      <w:r w:rsidR="00DE1802">
        <w:rPr>
          <w:rFonts w:eastAsia="Calibri"/>
        </w:rPr>
        <w:t xml:space="preserve"> car il n</w:t>
      </w:r>
      <w:r w:rsidR="00346F1B">
        <w:rPr>
          <w:rFonts w:eastAsia="Calibri"/>
        </w:rPr>
        <w:t>’</w:t>
      </w:r>
      <w:r w:rsidR="00DE1802">
        <w:rPr>
          <w:rFonts w:eastAsia="Calibri"/>
        </w:rPr>
        <w:t>y avait pas de solutions toutes faites, si ce n</w:t>
      </w:r>
      <w:r w:rsidR="00346F1B">
        <w:rPr>
          <w:rFonts w:eastAsia="Calibri"/>
        </w:rPr>
        <w:t>’</w:t>
      </w:r>
      <w:r w:rsidR="00DE1802">
        <w:rPr>
          <w:rFonts w:eastAsia="Calibri"/>
        </w:rPr>
        <w:t xml:space="preserve">est </w:t>
      </w:r>
      <w:r w:rsidR="00C75028">
        <w:rPr>
          <w:rFonts w:eastAsia="Calibri"/>
        </w:rPr>
        <w:t>d</w:t>
      </w:r>
      <w:r w:rsidR="00346F1B">
        <w:rPr>
          <w:rFonts w:eastAsia="Calibri"/>
        </w:rPr>
        <w:t>’</w:t>
      </w:r>
      <w:r w:rsidR="00DE1802">
        <w:rPr>
          <w:rFonts w:eastAsia="Calibri"/>
        </w:rPr>
        <w:t>utiliser une partie des fonds disponibles pour l</w:t>
      </w:r>
      <w:r w:rsidR="00346F1B">
        <w:rPr>
          <w:rFonts w:eastAsia="Calibri"/>
        </w:rPr>
        <w:t>’</w:t>
      </w:r>
      <w:r w:rsidR="00DE1802">
        <w:rPr>
          <w:rFonts w:eastAsia="Calibri"/>
        </w:rPr>
        <w:t>assistance internationale afin de permettre au Secrétariat de dispenser cett</w:t>
      </w:r>
      <w:r w:rsidR="00C75028">
        <w:rPr>
          <w:rFonts w:eastAsia="Calibri"/>
        </w:rPr>
        <w:t>e assistance internationale.</w:t>
      </w:r>
    </w:p>
    <w:p w14:paraId="51A581AE" w14:textId="15FF2D86" w:rsidR="00C75028" w:rsidRPr="00C75028" w:rsidRDefault="00C75028" w:rsidP="00AF7860">
      <w:pPr>
        <w:pStyle w:val="Orateurengris"/>
        <w:tabs>
          <w:tab w:val="clear" w:pos="709"/>
          <w:tab w:val="clear" w:pos="1418"/>
          <w:tab w:val="clear" w:pos="2126"/>
          <w:tab w:val="clear" w:pos="2835"/>
          <w:tab w:val="clear" w:pos="3686"/>
        </w:tabs>
        <w:spacing w:before="120"/>
        <w:ind w:left="709" w:hanging="709"/>
        <w:rPr>
          <w:rFonts w:eastAsia="Calibri"/>
        </w:rPr>
      </w:pPr>
      <w:r w:rsidRPr="00C75028">
        <w:rPr>
          <w:rFonts w:eastAsia="Calibri"/>
        </w:rPr>
        <w:t>À la lumière de l</w:t>
      </w:r>
      <w:r w:rsidR="00346F1B">
        <w:rPr>
          <w:rFonts w:eastAsia="Calibri"/>
        </w:rPr>
        <w:t>’</w:t>
      </w:r>
      <w:r w:rsidRPr="00C75028">
        <w:rPr>
          <w:rFonts w:eastAsia="Calibri"/>
        </w:rPr>
        <w:t>explication du Secrétaire</w:t>
      </w:r>
      <w:r>
        <w:rPr>
          <w:rFonts w:eastAsia="Calibri"/>
        </w:rPr>
        <w:t xml:space="preserve">, la </w:t>
      </w:r>
      <w:r w:rsidRPr="00C75028">
        <w:rPr>
          <w:rFonts w:eastAsia="Calibri"/>
        </w:rPr>
        <w:t>délégation</w:t>
      </w:r>
      <w:r w:rsidR="00346F1B">
        <w:rPr>
          <w:rFonts w:eastAsia="Calibri"/>
        </w:rPr>
        <w:t xml:space="preserve"> de l’</w:t>
      </w:r>
      <w:r w:rsidRPr="00C75028">
        <w:rPr>
          <w:rFonts w:eastAsia="Calibri"/>
          <w:b/>
        </w:rPr>
        <w:t>Algérie</w:t>
      </w:r>
      <w:r w:rsidR="00FB01A5">
        <w:rPr>
          <w:rFonts w:eastAsia="Calibri"/>
        </w:rPr>
        <w:t xml:space="preserve"> souhaitait</w:t>
      </w:r>
      <w:r>
        <w:rPr>
          <w:rFonts w:eastAsia="Calibri"/>
        </w:rPr>
        <w:t xml:space="preserve"> proposer un </w:t>
      </w:r>
      <w:r w:rsidRPr="00C75028">
        <w:rPr>
          <w:rFonts w:eastAsia="Calibri"/>
        </w:rPr>
        <w:t>amendement</w:t>
      </w:r>
      <w:r>
        <w:rPr>
          <w:rFonts w:eastAsia="Calibri"/>
        </w:rPr>
        <w:t xml:space="preserve"> au </w:t>
      </w:r>
      <w:r w:rsidRPr="00C75028">
        <w:rPr>
          <w:rFonts w:eastAsia="Calibri"/>
        </w:rPr>
        <w:t>paragraphe</w:t>
      </w:r>
      <w:r>
        <w:rPr>
          <w:rFonts w:eastAsia="Calibri"/>
        </w:rPr>
        <w:t xml:space="preserve"> 8. Étant entendu que cette phrase faisait référence aux ressources financières </w:t>
      </w:r>
      <w:r w:rsidRPr="00C75028">
        <w:rPr>
          <w:rFonts w:eastAsia="Calibri"/>
          <w:i/>
        </w:rPr>
        <w:t>actuelles</w:t>
      </w:r>
      <w:r>
        <w:rPr>
          <w:rFonts w:eastAsia="Calibri"/>
        </w:rPr>
        <w:t>, il convenait que cela soit mentionné de façon explicite. L</w:t>
      </w:r>
      <w:r w:rsidR="00346F1B">
        <w:rPr>
          <w:rFonts w:eastAsia="Calibri"/>
        </w:rPr>
        <w:t>’</w:t>
      </w:r>
      <w:r w:rsidRPr="00C75028">
        <w:rPr>
          <w:rFonts w:eastAsia="Calibri"/>
        </w:rPr>
        <w:t>amendement</w:t>
      </w:r>
      <w:r>
        <w:rPr>
          <w:rFonts w:eastAsia="Calibri"/>
        </w:rPr>
        <w:t xml:space="preserve"> proposé par la Turquie pouvait donc être </w:t>
      </w:r>
      <w:r w:rsidR="004F09A9">
        <w:rPr>
          <w:rFonts w:eastAsia="Calibri"/>
        </w:rPr>
        <w:t xml:space="preserve">supprimé </w:t>
      </w:r>
      <w:r>
        <w:rPr>
          <w:rFonts w:eastAsia="Calibri"/>
        </w:rPr>
        <w:t xml:space="preserve">car les difficultés étaient actuelles et non à venir. </w:t>
      </w:r>
      <w:r w:rsidRPr="00C75028">
        <w:rPr>
          <w:rFonts w:eastAsia="Calibri"/>
        </w:rPr>
        <w:t>En conséquence</w:t>
      </w:r>
      <w:r>
        <w:rPr>
          <w:rFonts w:eastAsia="Calibri"/>
        </w:rPr>
        <w:t xml:space="preserve">, les termes tels que </w:t>
      </w:r>
      <w:r w:rsidR="004F09A9">
        <w:rPr>
          <w:rFonts w:eastAsia="Calibri"/>
        </w:rPr>
        <w:t xml:space="preserve">« susceptibles de se présenter » devraient être supprimés et la phrase « pour une meilleure </w:t>
      </w:r>
      <w:r w:rsidR="004F09A9" w:rsidRPr="004F09A9">
        <w:rPr>
          <w:rFonts w:eastAsia="Calibri"/>
        </w:rPr>
        <w:t>utilisation</w:t>
      </w:r>
      <w:r w:rsidR="004F09A9">
        <w:rPr>
          <w:rFonts w:eastAsia="Calibri"/>
        </w:rPr>
        <w:t xml:space="preserve"> des ressources fi</w:t>
      </w:r>
      <w:r w:rsidR="00DE0564">
        <w:rPr>
          <w:rFonts w:eastAsia="Calibri"/>
        </w:rPr>
        <w:t>nancières existantes » insérée.</w:t>
      </w:r>
    </w:p>
    <w:p w14:paraId="348B4CB5" w14:textId="4F6CA425" w:rsidR="004F09A9" w:rsidRPr="004F09A9" w:rsidRDefault="004F09A9" w:rsidP="00AF7860">
      <w:pPr>
        <w:pStyle w:val="Orateurengris"/>
        <w:tabs>
          <w:tab w:val="clear" w:pos="709"/>
          <w:tab w:val="clear" w:pos="1418"/>
          <w:tab w:val="clear" w:pos="2126"/>
          <w:tab w:val="clear" w:pos="2835"/>
          <w:tab w:val="clear" w:pos="3686"/>
        </w:tabs>
        <w:spacing w:before="120"/>
        <w:ind w:left="709" w:hanging="709"/>
        <w:rPr>
          <w:rFonts w:eastAsia="Calibri"/>
        </w:rPr>
      </w:pPr>
      <w:r w:rsidRPr="004F09A9">
        <w:rPr>
          <w:rFonts w:eastAsia="Calibri"/>
        </w:rPr>
        <w:t xml:space="preserve">Le </w:t>
      </w:r>
      <w:r w:rsidRPr="004F09A9">
        <w:rPr>
          <w:rFonts w:eastAsia="Calibri"/>
          <w:b/>
        </w:rPr>
        <w:t>Président</w:t>
      </w:r>
      <w:r w:rsidRPr="004F09A9">
        <w:rPr>
          <w:rFonts w:eastAsia="Calibri"/>
        </w:rPr>
        <w:t xml:space="preserve"> a demandé à l</w:t>
      </w:r>
      <w:r w:rsidR="00346F1B">
        <w:rPr>
          <w:rFonts w:eastAsia="Calibri"/>
        </w:rPr>
        <w:t>’</w:t>
      </w:r>
      <w:r w:rsidRPr="004F09A9">
        <w:rPr>
          <w:rFonts w:eastAsia="Calibri"/>
        </w:rPr>
        <w:t>Algérie d</w:t>
      </w:r>
      <w:r w:rsidR="00346F1B">
        <w:rPr>
          <w:rFonts w:eastAsia="Calibri"/>
        </w:rPr>
        <w:t>’</w:t>
      </w:r>
      <w:r w:rsidR="00DE0564">
        <w:rPr>
          <w:rFonts w:eastAsia="Calibri"/>
        </w:rPr>
        <w:t>être plus précise.</w:t>
      </w:r>
    </w:p>
    <w:p w14:paraId="26B82ABE" w14:textId="25F403C2" w:rsidR="004F09A9" w:rsidRPr="004F09A9" w:rsidRDefault="004F09A9"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4F09A9">
        <w:rPr>
          <w:rFonts w:eastAsia="Calibri"/>
        </w:rPr>
        <w:t>délégation</w:t>
      </w:r>
      <w:r>
        <w:rPr>
          <w:rFonts w:eastAsia="Calibri"/>
        </w:rPr>
        <w:t xml:space="preserve"> de l</w:t>
      </w:r>
      <w:r w:rsidR="00346F1B">
        <w:rPr>
          <w:rFonts w:eastAsia="Calibri"/>
        </w:rPr>
        <w:t>’</w:t>
      </w:r>
      <w:r w:rsidRPr="004F09A9">
        <w:rPr>
          <w:rFonts w:eastAsia="Calibri"/>
          <w:b/>
        </w:rPr>
        <w:t>Algérie</w:t>
      </w:r>
      <w:r>
        <w:rPr>
          <w:rFonts w:eastAsia="Calibri"/>
        </w:rPr>
        <w:t xml:space="preserve"> a expliqué que l</w:t>
      </w:r>
      <w:r w:rsidR="00346F1B">
        <w:rPr>
          <w:rFonts w:eastAsia="Calibri"/>
        </w:rPr>
        <w:t>’</w:t>
      </w:r>
      <w:r>
        <w:rPr>
          <w:rFonts w:eastAsia="Calibri"/>
        </w:rPr>
        <w:t xml:space="preserve">ajout de « pour une meilleure </w:t>
      </w:r>
      <w:r w:rsidRPr="004F09A9">
        <w:rPr>
          <w:rFonts w:eastAsia="Calibri"/>
        </w:rPr>
        <w:t>utilisation</w:t>
      </w:r>
      <w:r>
        <w:rPr>
          <w:rFonts w:eastAsia="Calibri"/>
        </w:rPr>
        <w:t xml:space="preserve"> des ressources financières existantes » répondait à l</w:t>
      </w:r>
      <w:r w:rsidR="00346F1B">
        <w:rPr>
          <w:rFonts w:eastAsia="Calibri"/>
        </w:rPr>
        <w:t>’</w:t>
      </w:r>
      <w:r>
        <w:rPr>
          <w:rFonts w:eastAsia="Calibri"/>
        </w:rPr>
        <w:t xml:space="preserve">explication donnée par le </w:t>
      </w:r>
      <w:r w:rsidRPr="004F09A9">
        <w:rPr>
          <w:rFonts w:eastAsia="Calibri"/>
        </w:rPr>
        <w:t>Secrétaire</w:t>
      </w:r>
      <w:r>
        <w:rPr>
          <w:rFonts w:eastAsia="Calibri"/>
        </w:rPr>
        <w:t>, à savoir, le déboursement des fonds existants qui connaissait actuellement des difficultés en raison du manque de ressources humaines pour mettre ces fonds à disposition. S</w:t>
      </w:r>
      <w:r w:rsidR="00346F1B">
        <w:rPr>
          <w:rFonts w:eastAsia="Calibri"/>
        </w:rPr>
        <w:t>’</w:t>
      </w:r>
      <w:r>
        <w:rPr>
          <w:rFonts w:eastAsia="Calibri"/>
        </w:rPr>
        <w:t xml:space="preserve">agissant des amendements présentés par la Turquie, la </w:t>
      </w:r>
      <w:r w:rsidRPr="004F09A9">
        <w:rPr>
          <w:rFonts w:eastAsia="Calibri"/>
        </w:rPr>
        <w:t>délégation</w:t>
      </w:r>
      <w:r>
        <w:rPr>
          <w:rFonts w:eastAsia="Calibri"/>
        </w:rPr>
        <w:t xml:space="preserve"> avait noté qu</w:t>
      </w:r>
      <w:r w:rsidR="00346F1B">
        <w:rPr>
          <w:rFonts w:eastAsia="Calibri"/>
        </w:rPr>
        <w:t>’</w:t>
      </w:r>
      <w:r>
        <w:rPr>
          <w:rFonts w:eastAsia="Calibri"/>
        </w:rPr>
        <w:t>ils faisaient référence à des difficultés « </w:t>
      </w:r>
      <w:r w:rsidR="00E604FF">
        <w:rPr>
          <w:rFonts w:eastAsia="Calibri"/>
        </w:rPr>
        <w:t xml:space="preserve">à venir </w:t>
      </w:r>
      <w:r>
        <w:rPr>
          <w:rFonts w:eastAsia="Calibri"/>
        </w:rPr>
        <w:t>» alors qu</w:t>
      </w:r>
      <w:r w:rsidR="00346F1B">
        <w:rPr>
          <w:rFonts w:eastAsia="Calibri"/>
        </w:rPr>
        <w:t>’</w:t>
      </w:r>
      <w:r>
        <w:rPr>
          <w:rFonts w:eastAsia="Calibri"/>
        </w:rPr>
        <w:t>en fait, il s</w:t>
      </w:r>
      <w:r w:rsidR="00346F1B">
        <w:rPr>
          <w:rFonts w:eastAsia="Calibri"/>
        </w:rPr>
        <w:t>’</w:t>
      </w:r>
      <w:r>
        <w:rPr>
          <w:rFonts w:eastAsia="Calibri"/>
        </w:rPr>
        <w:t>agissait de difficultés « réelles », c.-à-d. sans lien avec le futur. D</w:t>
      </w:r>
      <w:r w:rsidR="00346F1B">
        <w:rPr>
          <w:rFonts w:eastAsia="Calibri"/>
        </w:rPr>
        <w:t>’</w:t>
      </w:r>
      <w:r>
        <w:rPr>
          <w:rFonts w:eastAsia="Calibri"/>
        </w:rPr>
        <w:t xml:space="preserve">où sa </w:t>
      </w:r>
      <w:r w:rsidRPr="004F09A9">
        <w:rPr>
          <w:rFonts w:eastAsia="Calibri"/>
        </w:rPr>
        <w:t xml:space="preserve">proposition </w:t>
      </w:r>
      <w:r>
        <w:rPr>
          <w:rFonts w:eastAsia="Calibri"/>
        </w:rPr>
        <w:t>de supprimer les deux amendements de la Turquie.</w:t>
      </w:r>
    </w:p>
    <w:p w14:paraId="5442366A" w14:textId="2085E14D" w:rsidR="004F09A9" w:rsidRDefault="004F09A9"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4F09A9">
        <w:rPr>
          <w:rFonts w:eastAsia="Calibri"/>
        </w:rPr>
        <w:t>délégation</w:t>
      </w:r>
      <w:r>
        <w:rPr>
          <w:rFonts w:eastAsia="Calibri"/>
        </w:rPr>
        <w:t xml:space="preserve"> de la </w:t>
      </w:r>
      <w:r w:rsidRPr="004F09A9">
        <w:rPr>
          <w:rFonts w:eastAsia="Calibri"/>
          <w:b/>
        </w:rPr>
        <w:t>Côte d</w:t>
      </w:r>
      <w:r w:rsidR="00346F1B">
        <w:rPr>
          <w:rFonts w:eastAsia="Calibri"/>
          <w:b/>
        </w:rPr>
        <w:t>’</w:t>
      </w:r>
      <w:r w:rsidRPr="004F09A9">
        <w:rPr>
          <w:rFonts w:eastAsia="Calibri"/>
          <w:b/>
        </w:rPr>
        <w:t>Ivoire</w:t>
      </w:r>
      <w:r w:rsidR="005224EB">
        <w:rPr>
          <w:rFonts w:eastAsia="Calibri"/>
        </w:rPr>
        <w:t xml:space="preserve"> souhaitait </w:t>
      </w:r>
      <w:r w:rsidRPr="004F09A9">
        <w:rPr>
          <w:rFonts w:eastAsia="Calibri"/>
        </w:rPr>
        <w:t>également</w:t>
      </w:r>
      <w:r>
        <w:rPr>
          <w:rFonts w:eastAsia="Calibri"/>
        </w:rPr>
        <w:t xml:space="preserve"> avoir des précisions de la part du </w:t>
      </w:r>
      <w:r w:rsidRPr="004F09A9">
        <w:rPr>
          <w:rFonts w:eastAsia="Calibri"/>
        </w:rPr>
        <w:t>Secrétaire</w:t>
      </w:r>
      <w:r w:rsidR="0029361C">
        <w:rPr>
          <w:rFonts w:eastAsia="Calibri"/>
        </w:rPr>
        <w:t xml:space="preserve"> sur la </w:t>
      </w:r>
      <w:r w:rsidR="0029361C" w:rsidRPr="0029361C">
        <w:rPr>
          <w:rFonts w:eastAsia="Calibri"/>
        </w:rPr>
        <w:t xml:space="preserve">proposition </w:t>
      </w:r>
      <w:r w:rsidR="0029361C">
        <w:rPr>
          <w:rFonts w:eastAsia="Calibri"/>
        </w:rPr>
        <w:t>précise du Secrétariat quant à l</w:t>
      </w:r>
      <w:r w:rsidR="00346F1B">
        <w:rPr>
          <w:rFonts w:eastAsia="Calibri"/>
        </w:rPr>
        <w:t>’</w:t>
      </w:r>
      <w:r w:rsidR="0029361C" w:rsidRPr="0029361C">
        <w:rPr>
          <w:rFonts w:eastAsia="Calibri"/>
        </w:rPr>
        <w:t>utilisation</w:t>
      </w:r>
      <w:r w:rsidR="0029361C">
        <w:rPr>
          <w:rFonts w:eastAsia="Calibri"/>
        </w:rPr>
        <w:t xml:space="preserve"> des fonds, elle avait noté que le Secrétariat souhaitait assigner certains de ces fonds à la couverture des frais liés aux tâches administratives et aux ressources humaines. Toutefois, la question était de savoir si le Comité pouvait autoriser une telle </w:t>
      </w:r>
      <w:r w:rsidR="0029361C" w:rsidRPr="0029361C">
        <w:rPr>
          <w:rFonts w:eastAsia="Calibri"/>
        </w:rPr>
        <w:t>utilisation</w:t>
      </w:r>
      <w:r w:rsidR="0029361C">
        <w:rPr>
          <w:rFonts w:eastAsia="Calibri"/>
        </w:rPr>
        <w:t xml:space="preserve"> ou si la décision re</w:t>
      </w:r>
      <w:r w:rsidR="00DE0564">
        <w:rPr>
          <w:rFonts w:eastAsia="Calibri"/>
        </w:rPr>
        <w:t>levait de l</w:t>
      </w:r>
      <w:r w:rsidR="00346F1B">
        <w:rPr>
          <w:rFonts w:eastAsia="Calibri"/>
        </w:rPr>
        <w:t>’</w:t>
      </w:r>
      <w:r w:rsidR="00DE0564">
        <w:rPr>
          <w:rFonts w:eastAsia="Calibri"/>
        </w:rPr>
        <w:t>Assemblée générale.</w:t>
      </w:r>
    </w:p>
    <w:p w14:paraId="68BBC920" w14:textId="4D0C4A3D" w:rsidR="00D55144" w:rsidRDefault="00D55144"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D55144">
        <w:rPr>
          <w:rFonts w:eastAsia="Calibri"/>
          <w:b/>
        </w:rPr>
        <w:t>Président</w:t>
      </w:r>
      <w:r>
        <w:rPr>
          <w:rFonts w:eastAsia="Calibri"/>
        </w:rPr>
        <w:t xml:space="preserve"> a convenu qu</w:t>
      </w:r>
      <w:r w:rsidR="00346F1B">
        <w:rPr>
          <w:rFonts w:eastAsia="Calibri"/>
        </w:rPr>
        <w:t>’</w:t>
      </w:r>
      <w:r>
        <w:rPr>
          <w:rFonts w:eastAsia="Calibri"/>
        </w:rPr>
        <w:t>une explication plus détaillée était nécessaire.</w:t>
      </w:r>
    </w:p>
    <w:p w14:paraId="6440D675" w14:textId="1E86533A" w:rsidR="00D55144" w:rsidRPr="00307AAD" w:rsidRDefault="00D55144" w:rsidP="00AF7860">
      <w:pPr>
        <w:pStyle w:val="Orateurengris"/>
        <w:tabs>
          <w:tab w:val="clear" w:pos="709"/>
          <w:tab w:val="clear" w:pos="1418"/>
          <w:tab w:val="clear" w:pos="2126"/>
          <w:tab w:val="clear" w:pos="2835"/>
          <w:tab w:val="clear" w:pos="3686"/>
        </w:tabs>
        <w:spacing w:before="120"/>
        <w:ind w:left="709" w:hanging="709"/>
        <w:rPr>
          <w:rFonts w:eastAsia="Calibri"/>
        </w:rPr>
      </w:pPr>
      <w:r w:rsidRPr="00307AAD">
        <w:rPr>
          <w:rFonts w:eastAsia="Calibri"/>
        </w:rPr>
        <w:t xml:space="preserve">La délégation de la </w:t>
      </w:r>
      <w:r w:rsidRPr="00307AAD">
        <w:rPr>
          <w:rFonts w:eastAsia="Calibri"/>
          <w:b/>
        </w:rPr>
        <w:t>Turquie</w:t>
      </w:r>
      <w:r w:rsidR="005224EB">
        <w:rPr>
          <w:rFonts w:eastAsia="Calibri"/>
        </w:rPr>
        <w:t xml:space="preserve"> souhaitait </w:t>
      </w:r>
      <w:r w:rsidRPr="00307AAD">
        <w:rPr>
          <w:rFonts w:eastAsia="Calibri"/>
        </w:rPr>
        <w:t xml:space="preserve">également de plus amples précisions de la part du Secrétariat car elle avait </w:t>
      </w:r>
      <w:r w:rsidR="005224EB">
        <w:rPr>
          <w:rFonts w:eastAsia="Calibri"/>
        </w:rPr>
        <w:t>cru comprendre</w:t>
      </w:r>
      <w:r w:rsidRPr="00307AAD">
        <w:rPr>
          <w:rFonts w:eastAsia="Calibri"/>
        </w:rPr>
        <w:t>, à la lecture du rapport, qu</w:t>
      </w:r>
      <w:r w:rsidR="00346F1B">
        <w:rPr>
          <w:rFonts w:eastAsia="Calibri"/>
        </w:rPr>
        <w:t>’</w:t>
      </w:r>
      <w:r w:rsidRPr="00307AAD">
        <w:rPr>
          <w:rFonts w:eastAsia="Calibri"/>
        </w:rPr>
        <w:t>il n</w:t>
      </w:r>
      <w:r w:rsidR="00346F1B">
        <w:rPr>
          <w:rFonts w:eastAsia="Calibri"/>
        </w:rPr>
        <w:t>’</w:t>
      </w:r>
      <w:r w:rsidRPr="00307AAD">
        <w:rPr>
          <w:rFonts w:eastAsia="Calibri"/>
        </w:rPr>
        <w:t>y a avait pas</w:t>
      </w:r>
      <w:r w:rsidR="005224EB">
        <w:rPr>
          <w:rFonts w:eastAsia="Calibri"/>
        </w:rPr>
        <w:t xml:space="preserve"> </w:t>
      </w:r>
      <w:r w:rsidRPr="00307AAD">
        <w:rPr>
          <w:rFonts w:eastAsia="Calibri"/>
        </w:rPr>
        <w:t>de problèmes administratifs ou de ressources humaines car il n</w:t>
      </w:r>
      <w:r w:rsidR="00346F1B">
        <w:rPr>
          <w:rFonts w:eastAsia="Calibri"/>
        </w:rPr>
        <w:t>’</w:t>
      </w:r>
      <w:r w:rsidRPr="00307AAD">
        <w:rPr>
          <w:rFonts w:eastAsia="Calibri"/>
        </w:rPr>
        <w:t>y avait que six demandes d</w:t>
      </w:r>
      <w:r w:rsidR="00346F1B">
        <w:rPr>
          <w:rFonts w:eastAsia="Calibri"/>
        </w:rPr>
        <w:t>’</w:t>
      </w:r>
      <w:r w:rsidRPr="00307AAD">
        <w:rPr>
          <w:rFonts w:eastAsia="Calibri"/>
        </w:rPr>
        <w:t>assistance internationale mais que des problèmes pourraient survenir à l</w:t>
      </w:r>
      <w:r w:rsidR="00346F1B">
        <w:rPr>
          <w:rFonts w:eastAsia="Calibri"/>
        </w:rPr>
        <w:t>’</w:t>
      </w:r>
      <w:r w:rsidRPr="00307AAD">
        <w:rPr>
          <w:rFonts w:eastAsia="Calibri"/>
        </w:rPr>
        <w:t>avenir, d</w:t>
      </w:r>
      <w:r w:rsidR="00346F1B">
        <w:rPr>
          <w:rFonts w:eastAsia="Calibri"/>
        </w:rPr>
        <w:t>’</w:t>
      </w:r>
      <w:r w:rsidRPr="00307AAD">
        <w:rPr>
          <w:rFonts w:eastAsia="Calibri"/>
        </w:rPr>
        <w:t>où sa réf</w:t>
      </w:r>
      <w:r w:rsidR="00307AAD" w:rsidRPr="00307AAD">
        <w:rPr>
          <w:rFonts w:eastAsia="Calibri"/>
        </w:rPr>
        <w:t>érence à de</w:t>
      </w:r>
      <w:r w:rsidR="00E604FF">
        <w:rPr>
          <w:rFonts w:eastAsia="Calibri"/>
        </w:rPr>
        <w:t>s</w:t>
      </w:r>
      <w:r w:rsidR="00307AAD" w:rsidRPr="00307AAD">
        <w:rPr>
          <w:rFonts w:eastAsia="Calibri"/>
        </w:rPr>
        <w:t xml:space="preserve"> difficultés</w:t>
      </w:r>
      <w:r w:rsidR="00E604FF">
        <w:rPr>
          <w:rFonts w:eastAsia="Calibri"/>
        </w:rPr>
        <w:t xml:space="preserve"> « à venir » et</w:t>
      </w:r>
      <w:r w:rsidR="00307AAD" w:rsidRPr="00307AAD">
        <w:rPr>
          <w:rFonts w:eastAsia="Calibri"/>
        </w:rPr>
        <w:t xml:space="preserve"> « susceptibles de se présenter »</w:t>
      </w:r>
      <w:r w:rsidR="00307AAD">
        <w:rPr>
          <w:rFonts w:eastAsia="Calibri"/>
        </w:rPr>
        <w:t>. Si c</w:t>
      </w:r>
      <w:r w:rsidR="00346F1B">
        <w:rPr>
          <w:rFonts w:eastAsia="Calibri"/>
        </w:rPr>
        <w:t>’</w:t>
      </w:r>
      <w:r w:rsidR="00307AAD">
        <w:rPr>
          <w:rFonts w:eastAsia="Calibri"/>
        </w:rPr>
        <w:t xml:space="preserve">était bien le cas, la </w:t>
      </w:r>
      <w:r w:rsidR="00307AAD" w:rsidRPr="00307AAD">
        <w:rPr>
          <w:rFonts w:eastAsia="Calibri"/>
        </w:rPr>
        <w:t>délégation</w:t>
      </w:r>
      <w:r w:rsidR="00307AAD">
        <w:rPr>
          <w:rFonts w:eastAsia="Calibri"/>
        </w:rPr>
        <w:t xml:space="preserve"> souhai</w:t>
      </w:r>
      <w:r w:rsidR="00DE0564">
        <w:rPr>
          <w:rFonts w:eastAsia="Calibri"/>
        </w:rPr>
        <w:t>tait conserver ses amendements.</w:t>
      </w:r>
    </w:p>
    <w:p w14:paraId="48593C1A" w14:textId="539E12BC" w:rsidR="00307AAD" w:rsidRDefault="00307AAD"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307AAD">
        <w:rPr>
          <w:rFonts w:eastAsia="Calibri"/>
        </w:rPr>
        <w:t>délégation</w:t>
      </w:r>
      <w:r>
        <w:rPr>
          <w:rFonts w:eastAsia="Calibri"/>
        </w:rPr>
        <w:t xml:space="preserve"> de l</w:t>
      </w:r>
      <w:r w:rsidR="00346F1B">
        <w:rPr>
          <w:rFonts w:eastAsia="Calibri"/>
        </w:rPr>
        <w:t>’</w:t>
      </w:r>
      <w:r w:rsidRPr="00307AAD">
        <w:rPr>
          <w:rFonts w:eastAsia="Calibri"/>
          <w:b/>
        </w:rPr>
        <w:t>Algérie</w:t>
      </w:r>
      <w:r>
        <w:rPr>
          <w:rFonts w:eastAsia="Calibri"/>
        </w:rPr>
        <w:t xml:space="preserve"> n</w:t>
      </w:r>
      <w:r w:rsidR="00346F1B">
        <w:rPr>
          <w:rFonts w:eastAsia="Calibri"/>
        </w:rPr>
        <w:t>’</w:t>
      </w:r>
      <w:r>
        <w:rPr>
          <w:rFonts w:eastAsia="Calibri"/>
        </w:rPr>
        <w:t>avait pas d</w:t>
      </w:r>
      <w:r w:rsidR="00346F1B">
        <w:rPr>
          <w:rFonts w:eastAsia="Calibri"/>
        </w:rPr>
        <w:t>’</w:t>
      </w:r>
      <w:r>
        <w:rPr>
          <w:rFonts w:eastAsia="Calibri"/>
        </w:rPr>
        <w:t>objection à l</w:t>
      </w:r>
      <w:r w:rsidR="00346F1B">
        <w:rPr>
          <w:rFonts w:eastAsia="Calibri"/>
        </w:rPr>
        <w:t>’</w:t>
      </w:r>
      <w:r w:rsidRPr="00307AAD">
        <w:rPr>
          <w:rFonts w:eastAsia="Calibri"/>
        </w:rPr>
        <w:t>amendement</w:t>
      </w:r>
      <w:r>
        <w:rPr>
          <w:rFonts w:eastAsia="Calibri"/>
        </w:rPr>
        <w:t xml:space="preserve">, ajoutant que le libellé correct, que les difficultés soient </w:t>
      </w:r>
      <w:r w:rsidR="00E604FF">
        <w:rPr>
          <w:rFonts w:eastAsia="Calibri"/>
        </w:rPr>
        <w:t xml:space="preserve">existantes </w:t>
      </w:r>
      <w:r>
        <w:rPr>
          <w:rFonts w:eastAsia="Calibri"/>
        </w:rPr>
        <w:t>ou à venir, dépendait des précisions du Secrétariat.</w:t>
      </w:r>
    </w:p>
    <w:p w14:paraId="7B948E14" w14:textId="6893FEC4" w:rsidR="00307AAD" w:rsidRPr="00307AAD" w:rsidRDefault="00307AAD" w:rsidP="00AF7860">
      <w:pPr>
        <w:pStyle w:val="Orateurengris"/>
        <w:tabs>
          <w:tab w:val="clear" w:pos="709"/>
          <w:tab w:val="clear" w:pos="1418"/>
          <w:tab w:val="clear" w:pos="2126"/>
          <w:tab w:val="clear" w:pos="2835"/>
          <w:tab w:val="clear" w:pos="3686"/>
        </w:tabs>
        <w:spacing w:before="120"/>
        <w:ind w:left="709" w:hanging="709"/>
        <w:rPr>
          <w:rFonts w:eastAsia="Calibri"/>
        </w:rPr>
      </w:pPr>
      <w:r w:rsidRPr="00307AAD">
        <w:rPr>
          <w:rFonts w:eastAsia="Calibri"/>
        </w:rPr>
        <w:t xml:space="preserve">Le </w:t>
      </w:r>
      <w:r w:rsidRPr="00307AAD">
        <w:rPr>
          <w:rFonts w:eastAsia="Calibri"/>
          <w:b/>
        </w:rPr>
        <w:t>Secrétaire</w:t>
      </w:r>
      <w:r w:rsidRPr="00307AAD">
        <w:rPr>
          <w:rFonts w:eastAsia="Calibri"/>
        </w:rPr>
        <w:t xml:space="preserve"> a expliqué qu</w:t>
      </w:r>
      <w:r>
        <w:rPr>
          <w:rFonts w:eastAsia="Calibri"/>
        </w:rPr>
        <w:t>e la situation était déjà problé</w:t>
      </w:r>
      <w:r w:rsidRPr="00307AAD">
        <w:rPr>
          <w:rFonts w:eastAsia="Calibri"/>
        </w:rPr>
        <w:t>matique et</w:t>
      </w:r>
      <w:r w:rsidR="0041122C">
        <w:rPr>
          <w:rFonts w:eastAsia="Calibri"/>
        </w:rPr>
        <w:t xml:space="preserve"> qu</w:t>
      </w:r>
      <w:r w:rsidR="00346F1B">
        <w:rPr>
          <w:rFonts w:eastAsia="Calibri"/>
        </w:rPr>
        <w:t>’</w:t>
      </w:r>
      <w:r w:rsidR="0041122C">
        <w:rPr>
          <w:rFonts w:eastAsia="Calibri"/>
        </w:rPr>
        <w:t>elle n</w:t>
      </w:r>
      <w:r w:rsidR="00346F1B">
        <w:rPr>
          <w:rFonts w:eastAsia="Calibri"/>
        </w:rPr>
        <w:t>’</w:t>
      </w:r>
      <w:r w:rsidR="0041122C">
        <w:rPr>
          <w:rFonts w:eastAsia="Calibri"/>
        </w:rPr>
        <w:t>irait qu</w:t>
      </w:r>
      <w:r w:rsidR="00346F1B">
        <w:rPr>
          <w:rFonts w:eastAsia="Calibri"/>
        </w:rPr>
        <w:t>’</w:t>
      </w:r>
      <w:r w:rsidR="0041122C">
        <w:rPr>
          <w:rFonts w:eastAsia="Calibri"/>
        </w:rPr>
        <w:t>en empirant. Il a ajouté qu</w:t>
      </w:r>
      <w:r w:rsidR="00346F1B">
        <w:rPr>
          <w:rFonts w:eastAsia="Calibri"/>
        </w:rPr>
        <w:t>’</w:t>
      </w:r>
      <w:r w:rsidR="0041122C">
        <w:rPr>
          <w:rFonts w:eastAsia="Calibri"/>
        </w:rPr>
        <w:t>au cours des années précédentes, le Fonds ne semblait pas avoir fonctionné correctement. L</w:t>
      </w:r>
      <w:r w:rsidR="00346F1B">
        <w:rPr>
          <w:rFonts w:eastAsia="Calibri"/>
        </w:rPr>
        <w:t>’</w:t>
      </w:r>
      <w:r w:rsidR="0041122C">
        <w:rPr>
          <w:rFonts w:eastAsia="Calibri"/>
        </w:rPr>
        <w:t xml:space="preserve">accumulation des fonds et le taux de mise en œuvre étaient faibles </w:t>
      </w:r>
      <w:r w:rsidR="0041122C" w:rsidRPr="0041122C">
        <w:rPr>
          <w:rFonts w:eastAsia="Calibri"/>
        </w:rPr>
        <w:t>parce que</w:t>
      </w:r>
      <w:r w:rsidR="0041122C">
        <w:rPr>
          <w:rFonts w:eastAsia="Calibri"/>
        </w:rPr>
        <w:t xml:space="preserve"> le nombre de demandes avait été faible, la question était de savoir si la mise à disposition des fonds liés à ces demandes avait été optimale, et bien que la situation se soit améliorée, la réponse était </w:t>
      </w:r>
      <w:r w:rsidR="0041122C" w:rsidRPr="0041122C">
        <w:rPr>
          <w:rFonts w:eastAsia="Calibri"/>
        </w:rPr>
        <w:t>certainement</w:t>
      </w:r>
      <w:r w:rsidR="0041122C">
        <w:rPr>
          <w:rFonts w:eastAsia="Calibri"/>
        </w:rPr>
        <w:t xml:space="preserve"> « non ». Le </w:t>
      </w:r>
      <w:r w:rsidR="0041122C" w:rsidRPr="0041122C">
        <w:rPr>
          <w:rFonts w:eastAsia="Calibri"/>
        </w:rPr>
        <w:t>Secrétaire</w:t>
      </w:r>
      <w:r w:rsidR="0041122C">
        <w:rPr>
          <w:rFonts w:eastAsia="Calibri"/>
        </w:rPr>
        <w:t xml:space="preserve"> a par ailleurs expliqué que le rapport ne couvrait qu</w:t>
      </w:r>
      <w:r w:rsidR="00346F1B">
        <w:rPr>
          <w:rFonts w:eastAsia="Calibri"/>
        </w:rPr>
        <w:t>’</w:t>
      </w:r>
      <w:r w:rsidR="0041122C">
        <w:rPr>
          <w:rFonts w:eastAsia="Calibri"/>
        </w:rPr>
        <w:t>une période de six mois, jusqu</w:t>
      </w:r>
      <w:r w:rsidR="00346F1B">
        <w:rPr>
          <w:rFonts w:eastAsia="Calibri"/>
        </w:rPr>
        <w:t>’</w:t>
      </w:r>
      <w:r w:rsidR="0041122C">
        <w:rPr>
          <w:rFonts w:eastAsia="Calibri"/>
        </w:rPr>
        <w:t xml:space="preserve">en juin 2016, soit seulement deux mois après le relèvement du plafond de </w:t>
      </w:r>
      <w:r w:rsidR="0041122C" w:rsidRPr="0041122C">
        <w:rPr>
          <w:rFonts w:eastAsia="Calibri"/>
        </w:rPr>
        <w:t>financement</w:t>
      </w:r>
      <w:r w:rsidR="0041122C">
        <w:rPr>
          <w:rFonts w:eastAsia="Calibri"/>
        </w:rPr>
        <w:t xml:space="preserve">. Le rapport ne couvrait donc pas la période </w:t>
      </w:r>
      <w:r w:rsidR="009E0877">
        <w:rPr>
          <w:rFonts w:eastAsia="Calibri"/>
        </w:rPr>
        <w:t xml:space="preserve">entre </w:t>
      </w:r>
      <w:r w:rsidR="0041122C">
        <w:rPr>
          <w:rFonts w:eastAsia="Calibri"/>
        </w:rPr>
        <w:t xml:space="preserve">début 2016 </w:t>
      </w:r>
      <w:r w:rsidR="009E0877">
        <w:rPr>
          <w:rFonts w:eastAsia="Calibri"/>
        </w:rPr>
        <w:t>et</w:t>
      </w:r>
      <w:r w:rsidR="0041122C">
        <w:rPr>
          <w:rFonts w:eastAsia="Calibri"/>
        </w:rPr>
        <w:t xml:space="preserve"> cette session, période au cours de laquelle le Secrétariat avait reçu plusieurs autres demandes d</w:t>
      </w:r>
      <w:r w:rsidR="00346F1B">
        <w:rPr>
          <w:rFonts w:eastAsia="Calibri"/>
        </w:rPr>
        <w:t>’</w:t>
      </w:r>
      <w:r w:rsidR="0041122C">
        <w:rPr>
          <w:rFonts w:eastAsia="Calibri"/>
        </w:rPr>
        <w:t xml:space="preserve">assistance internationale. Les difficultés </w:t>
      </w:r>
      <w:r w:rsidR="009E0877">
        <w:rPr>
          <w:rFonts w:eastAsia="Calibri"/>
        </w:rPr>
        <w:t xml:space="preserve">étaient </w:t>
      </w:r>
      <w:r w:rsidR="0041122C">
        <w:rPr>
          <w:rFonts w:eastAsia="Calibri"/>
        </w:rPr>
        <w:t>donc</w:t>
      </w:r>
      <w:r w:rsidR="009E0877">
        <w:rPr>
          <w:rFonts w:eastAsia="Calibri"/>
        </w:rPr>
        <w:t xml:space="preserve"> déjà présentes même</w:t>
      </w:r>
      <w:r w:rsidR="0041122C">
        <w:rPr>
          <w:rFonts w:eastAsia="Calibri"/>
        </w:rPr>
        <w:t xml:space="preserve"> si elles n</w:t>
      </w:r>
      <w:r w:rsidR="00346F1B">
        <w:rPr>
          <w:rFonts w:eastAsia="Calibri"/>
        </w:rPr>
        <w:t>’</w:t>
      </w:r>
      <w:r w:rsidR="0041122C">
        <w:rPr>
          <w:rFonts w:eastAsia="Calibri"/>
        </w:rPr>
        <w:t>étaient pas reflétées dans la pé</w:t>
      </w:r>
      <w:r w:rsidR="00DE0564">
        <w:rPr>
          <w:rFonts w:eastAsia="Calibri"/>
        </w:rPr>
        <w:t>riode concernée par le rapport.</w:t>
      </w:r>
    </w:p>
    <w:p w14:paraId="1AE8BDEC" w14:textId="1F992EE7" w:rsidR="009E0877" w:rsidRPr="009E0877" w:rsidRDefault="009E0877" w:rsidP="00AF7860">
      <w:pPr>
        <w:pStyle w:val="Orateurengris"/>
        <w:tabs>
          <w:tab w:val="clear" w:pos="709"/>
          <w:tab w:val="clear" w:pos="1418"/>
          <w:tab w:val="clear" w:pos="2126"/>
          <w:tab w:val="clear" w:pos="2835"/>
          <w:tab w:val="clear" w:pos="3686"/>
        </w:tabs>
        <w:spacing w:before="120"/>
        <w:ind w:left="709" w:hanging="709"/>
        <w:rPr>
          <w:rFonts w:eastAsia="Calibri"/>
        </w:rPr>
      </w:pPr>
      <w:r w:rsidRPr="009E0877">
        <w:rPr>
          <w:rFonts w:eastAsia="Calibri"/>
        </w:rPr>
        <w:t xml:space="preserve">Le </w:t>
      </w:r>
      <w:r w:rsidRPr="009E0877">
        <w:rPr>
          <w:rFonts w:eastAsia="Calibri"/>
          <w:b/>
        </w:rPr>
        <w:t>Président</w:t>
      </w:r>
      <w:r w:rsidRPr="009E0877">
        <w:rPr>
          <w:rFonts w:eastAsia="Calibri"/>
        </w:rPr>
        <w:t xml:space="preserve"> s</w:t>
      </w:r>
      <w:r w:rsidR="00346F1B">
        <w:rPr>
          <w:rFonts w:eastAsia="Calibri"/>
        </w:rPr>
        <w:t>’</w:t>
      </w:r>
      <w:r>
        <w:rPr>
          <w:rFonts w:eastAsia="Calibri"/>
        </w:rPr>
        <w:t xml:space="preserve">est adressé à la Turquie et lui a demandé si elle souhaitait retirer son </w:t>
      </w:r>
      <w:r w:rsidRPr="009E0877">
        <w:rPr>
          <w:rFonts w:eastAsia="Calibri"/>
        </w:rPr>
        <w:t>amendement</w:t>
      </w:r>
      <w:r w:rsidR="00DE0564">
        <w:rPr>
          <w:rFonts w:eastAsia="Calibri"/>
        </w:rPr>
        <w:t>.</w:t>
      </w:r>
    </w:p>
    <w:p w14:paraId="353CF724" w14:textId="0479562F" w:rsidR="009E0877" w:rsidRPr="009E0877" w:rsidRDefault="009E0877" w:rsidP="00AF7860">
      <w:pPr>
        <w:pStyle w:val="Orateurengris"/>
        <w:tabs>
          <w:tab w:val="clear" w:pos="709"/>
          <w:tab w:val="clear" w:pos="1418"/>
          <w:tab w:val="clear" w:pos="2126"/>
          <w:tab w:val="clear" w:pos="2835"/>
          <w:tab w:val="clear" w:pos="3686"/>
        </w:tabs>
        <w:spacing w:before="120"/>
        <w:ind w:left="709" w:hanging="709"/>
        <w:rPr>
          <w:rFonts w:eastAsia="Calibri"/>
        </w:rPr>
      </w:pPr>
      <w:r w:rsidRPr="009E0877">
        <w:rPr>
          <w:rFonts w:eastAsia="Calibri"/>
        </w:rPr>
        <w:t xml:space="preserve">La délégation </w:t>
      </w:r>
      <w:r>
        <w:rPr>
          <w:rFonts w:eastAsia="Calibri"/>
        </w:rPr>
        <w:t xml:space="preserve">de la </w:t>
      </w:r>
      <w:r w:rsidRPr="009E0877">
        <w:rPr>
          <w:rFonts w:eastAsia="Calibri"/>
          <w:b/>
        </w:rPr>
        <w:t>Turquie</w:t>
      </w:r>
      <w:r>
        <w:rPr>
          <w:rFonts w:eastAsia="Calibri"/>
        </w:rPr>
        <w:t xml:space="preserve"> </w:t>
      </w:r>
      <w:r w:rsidRPr="009E0877">
        <w:rPr>
          <w:rFonts w:eastAsia="Calibri"/>
        </w:rPr>
        <w:t>s</w:t>
      </w:r>
      <w:r w:rsidR="00346F1B">
        <w:rPr>
          <w:rFonts w:eastAsia="Calibri"/>
        </w:rPr>
        <w:t>’</w:t>
      </w:r>
      <w:r w:rsidRPr="009E0877">
        <w:rPr>
          <w:rFonts w:eastAsia="Calibri"/>
        </w:rPr>
        <w:t>est dite satisfaite des</w:t>
      </w:r>
      <w:r>
        <w:rPr>
          <w:rFonts w:eastAsia="Calibri"/>
        </w:rPr>
        <w:t xml:space="preserve"> précisions données, bien que ce ne soit pas clair à la lecture du rapport qui précisait que seules six demandes d</w:t>
      </w:r>
      <w:r w:rsidR="00346F1B">
        <w:rPr>
          <w:rFonts w:eastAsia="Calibri"/>
        </w:rPr>
        <w:t>’</w:t>
      </w:r>
      <w:r>
        <w:rPr>
          <w:rFonts w:eastAsia="Calibri"/>
        </w:rPr>
        <w:t xml:space="preserve">assistance internationale avaient été reçues sans faire mention de difficultés à les traiter. Elle reconnaissait </w:t>
      </w:r>
      <w:r w:rsidRPr="009E0877">
        <w:rPr>
          <w:rFonts w:eastAsia="Calibri"/>
        </w:rPr>
        <w:t>toutefois</w:t>
      </w:r>
      <w:r>
        <w:rPr>
          <w:rFonts w:eastAsia="Calibri"/>
        </w:rPr>
        <w:t xml:space="preserve"> que, si la tendance devait se confirmer à l</w:t>
      </w:r>
      <w:r w:rsidR="00346F1B">
        <w:rPr>
          <w:rFonts w:eastAsia="Calibri"/>
        </w:rPr>
        <w:t>’</w:t>
      </w:r>
      <w:r>
        <w:rPr>
          <w:rFonts w:eastAsia="Calibri"/>
        </w:rPr>
        <w:t>ave</w:t>
      </w:r>
      <w:r w:rsidR="00DE0564">
        <w:rPr>
          <w:rFonts w:eastAsia="Calibri"/>
        </w:rPr>
        <w:t>nir, cela poserait un problème.</w:t>
      </w:r>
    </w:p>
    <w:p w14:paraId="463ACA7B" w14:textId="1DB2D29B" w:rsidR="009E0877" w:rsidRDefault="009E0877"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9E0877">
        <w:rPr>
          <w:rFonts w:eastAsia="Calibri"/>
          <w:b/>
        </w:rPr>
        <w:t>Président</w:t>
      </w:r>
      <w:r>
        <w:rPr>
          <w:rFonts w:eastAsia="Calibri"/>
        </w:rPr>
        <w:t xml:space="preserve"> a fait remarquer que le nombre minime de demandes ne changeait rien au fait que, chaque année, les fonds s</w:t>
      </w:r>
      <w:r w:rsidR="00346F1B">
        <w:rPr>
          <w:rFonts w:eastAsia="Calibri"/>
        </w:rPr>
        <w:t>’</w:t>
      </w:r>
      <w:r>
        <w:rPr>
          <w:rFonts w:eastAsia="Calibri"/>
        </w:rPr>
        <w:t xml:space="preserve">accumulaient, pour atteindre </w:t>
      </w:r>
      <w:r w:rsidRPr="009E0877">
        <w:rPr>
          <w:rFonts w:eastAsia="Calibri"/>
        </w:rPr>
        <w:t>désormais</w:t>
      </w:r>
      <w:r>
        <w:rPr>
          <w:rFonts w:eastAsia="Calibri"/>
        </w:rPr>
        <w:t xml:space="preserve"> environ 9</w:t>
      </w:r>
      <w:r w:rsidR="00695748">
        <w:rPr>
          <w:rFonts w:eastAsia="Calibri"/>
        </w:rPr>
        <w:t> </w:t>
      </w:r>
      <w:r>
        <w:rPr>
          <w:rFonts w:eastAsia="Calibri"/>
        </w:rPr>
        <w:t xml:space="preserve">millions de </w:t>
      </w:r>
      <w:r w:rsidRPr="009E0877">
        <w:rPr>
          <w:rFonts w:eastAsia="Calibri"/>
        </w:rPr>
        <w:t>dollars des États-Unis</w:t>
      </w:r>
      <w:r>
        <w:rPr>
          <w:rFonts w:eastAsia="Calibri"/>
        </w:rPr>
        <w:t>, et que le Secrétariat n</w:t>
      </w:r>
      <w:r w:rsidR="00346F1B">
        <w:rPr>
          <w:rFonts w:eastAsia="Calibri"/>
        </w:rPr>
        <w:t>’</w:t>
      </w:r>
      <w:r>
        <w:rPr>
          <w:rFonts w:eastAsia="Calibri"/>
        </w:rPr>
        <w:t>était pas en mesure de répondre aux demandes potentiel</w:t>
      </w:r>
      <w:r w:rsidR="00DE0564">
        <w:rPr>
          <w:rFonts w:eastAsia="Calibri"/>
        </w:rPr>
        <w:t>les que le Comité encourageait.</w:t>
      </w:r>
    </w:p>
    <w:p w14:paraId="036FBCBF" w14:textId="5579C41A" w:rsidR="009E0877" w:rsidRDefault="00A710B7"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Suite aux explications données par le Secrétaire, la </w:t>
      </w:r>
      <w:r w:rsidRPr="00A710B7">
        <w:rPr>
          <w:rFonts w:eastAsia="Calibri"/>
        </w:rPr>
        <w:t>délégation</w:t>
      </w:r>
      <w:r>
        <w:rPr>
          <w:rFonts w:eastAsia="Calibri"/>
        </w:rPr>
        <w:t xml:space="preserve"> de l</w:t>
      </w:r>
      <w:r w:rsidR="00346F1B">
        <w:rPr>
          <w:rFonts w:eastAsia="Calibri"/>
        </w:rPr>
        <w:t>’</w:t>
      </w:r>
      <w:r w:rsidRPr="00A710B7">
        <w:rPr>
          <w:rFonts w:eastAsia="Calibri"/>
          <w:b/>
        </w:rPr>
        <w:t>Inde</w:t>
      </w:r>
      <w:r>
        <w:rPr>
          <w:rFonts w:eastAsia="Calibri"/>
        </w:rPr>
        <w:t xml:space="preserve"> avait compris que les problèmes étaient déjà présents et pourraient potentiellement s</w:t>
      </w:r>
      <w:r w:rsidR="00346F1B">
        <w:rPr>
          <w:rFonts w:eastAsia="Calibri"/>
        </w:rPr>
        <w:t>’</w:t>
      </w:r>
      <w:r>
        <w:rPr>
          <w:rFonts w:eastAsia="Calibri"/>
        </w:rPr>
        <w:t>accroitre dans les années à venir. Elle a donc proposé de compléter l</w:t>
      </w:r>
      <w:r w:rsidR="00346F1B">
        <w:rPr>
          <w:rFonts w:eastAsia="Calibri"/>
        </w:rPr>
        <w:t>’</w:t>
      </w:r>
      <w:r w:rsidRPr="00A710B7">
        <w:rPr>
          <w:rFonts w:eastAsia="Calibri"/>
        </w:rPr>
        <w:t>amendement</w:t>
      </w:r>
      <w:r>
        <w:rPr>
          <w:rFonts w:eastAsia="Calibri"/>
        </w:rPr>
        <w:t xml:space="preserve"> existant afin qu</w:t>
      </w:r>
      <w:r w:rsidR="00346F1B">
        <w:rPr>
          <w:rFonts w:eastAsia="Calibri"/>
        </w:rPr>
        <w:t>’</w:t>
      </w:r>
      <w:r>
        <w:rPr>
          <w:rFonts w:eastAsia="Calibri"/>
        </w:rPr>
        <w:t>il se fasse l</w:t>
      </w:r>
      <w:r w:rsidR="00346F1B">
        <w:rPr>
          <w:rFonts w:eastAsia="Calibri"/>
        </w:rPr>
        <w:t>’</w:t>
      </w:r>
      <w:r>
        <w:rPr>
          <w:rFonts w:eastAsia="Calibri"/>
        </w:rPr>
        <w:t xml:space="preserve">écho des deux situations, il serait ainsi rédigé : « invite le Secrétariat </w:t>
      </w:r>
      <w:r w:rsidR="003A7F42">
        <w:rPr>
          <w:rFonts w:eastAsia="Calibri"/>
        </w:rPr>
        <w:t>à</w:t>
      </w:r>
      <w:r>
        <w:rPr>
          <w:rFonts w:eastAsia="Calibri"/>
        </w:rPr>
        <w:t xml:space="preserve"> étudier des solutions créatives pour régler les difficultés administratives et humaines existantes et à venir susceptibles de </w:t>
      </w:r>
      <w:r w:rsidR="00E604FF">
        <w:rPr>
          <w:rFonts w:eastAsia="Calibri"/>
        </w:rPr>
        <w:t>se présenter dans la mise en œuvre… ».</w:t>
      </w:r>
    </w:p>
    <w:p w14:paraId="795CFC0D" w14:textId="67BF1A5C" w:rsidR="00E604FF" w:rsidRDefault="00E604FF"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E604FF">
        <w:rPr>
          <w:rFonts w:eastAsia="Calibri"/>
        </w:rPr>
        <w:t>délégation</w:t>
      </w:r>
      <w:r>
        <w:rPr>
          <w:rFonts w:eastAsia="Calibri"/>
        </w:rPr>
        <w:t xml:space="preserve"> de la </w:t>
      </w:r>
      <w:r w:rsidRPr="00E604FF">
        <w:rPr>
          <w:rFonts w:eastAsia="Calibri"/>
          <w:b/>
        </w:rPr>
        <w:t>Côte d</w:t>
      </w:r>
      <w:r w:rsidR="00346F1B">
        <w:rPr>
          <w:rFonts w:eastAsia="Calibri"/>
          <w:b/>
        </w:rPr>
        <w:t>’</w:t>
      </w:r>
      <w:r w:rsidRPr="00E604FF">
        <w:rPr>
          <w:rFonts w:eastAsia="Calibri"/>
          <w:b/>
        </w:rPr>
        <w:t>Ivoire</w:t>
      </w:r>
      <w:r>
        <w:rPr>
          <w:rFonts w:eastAsia="Calibri"/>
        </w:rPr>
        <w:t xml:space="preserve"> a fait remarquer qu</w:t>
      </w:r>
      <w:r w:rsidR="00346F1B">
        <w:rPr>
          <w:rFonts w:eastAsia="Calibri"/>
        </w:rPr>
        <w:t>’</w:t>
      </w:r>
      <w:r>
        <w:rPr>
          <w:rFonts w:eastAsia="Calibri"/>
        </w:rPr>
        <w:t>elle était toujours dans l</w:t>
      </w:r>
      <w:r w:rsidR="00346F1B">
        <w:rPr>
          <w:rFonts w:eastAsia="Calibri"/>
        </w:rPr>
        <w:t>’</w:t>
      </w:r>
      <w:r>
        <w:rPr>
          <w:rFonts w:eastAsia="Calibri"/>
        </w:rPr>
        <w:t>attente d</w:t>
      </w:r>
      <w:r w:rsidR="00346F1B">
        <w:rPr>
          <w:rFonts w:eastAsia="Calibri"/>
        </w:rPr>
        <w:t>’</w:t>
      </w:r>
      <w:r>
        <w:rPr>
          <w:rFonts w:eastAsia="Calibri"/>
        </w:rPr>
        <w:t>une réponse à sa ques</w:t>
      </w:r>
      <w:r w:rsidR="00DE0564">
        <w:rPr>
          <w:rFonts w:eastAsia="Calibri"/>
        </w:rPr>
        <w:t>tion.</w:t>
      </w:r>
    </w:p>
    <w:p w14:paraId="50D49E47" w14:textId="55F61C3E" w:rsidR="00E604FF" w:rsidRDefault="00E604FF"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E604FF">
        <w:rPr>
          <w:rFonts w:eastAsia="Calibri"/>
          <w:b/>
        </w:rPr>
        <w:t>Secrétaire</w:t>
      </w:r>
      <w:r>
        <w:rPr>
          <w:rFonts w:eastAsia="Calibri"/>
        </w:rPr>
        <w:t xml:space="preserve"> a remercié la Côte d</w:t>
      </w:r>
      <w:r w:rsidR="00346F1B">
        <w:rPr>
          <w:rFonts w:eastAsia="Calibri"/>
        </w:rPr>
        <w:t>’</w:t>
      </w:r>
      <w:r>
        <w:rPr>
          <w:rFonts w:eastAsia="Calibri"/>
        </w:rPr>
        <w:t xml:space="preserve">Ivoire pour sa question et, après avoir étudié les </w:t>
      </w:r>
      <w:r w:rsidRPr="00E604FF">
        <w:rPr>
          <w:rFonts w:eastAsia="Calibri"/>
        </w:rPr>
        <w:t>dispositions</w:t>
      </w:r>
      <w:r>
        <w:rPr>
          <w:rFonts w:eastAsia="Calibri"/>
        </w:rPr>
        <w:t xml:space="preserve"> prévues par le Comité et les Directives opérationnelles, il était malheureusement incapable de donner, à ce moment de la session, une réponse précise. L</w:t>
      </w:r>
      <w:r w:rsidR="00346F1B">
        <w:rPr>
          <w:rFonts w:eastAsia="Calibri"/>
        </w:rPr>
        <w:t>’</w:t>
      </w:r>
      <w:r>
        <w:rPr>
          <w:rFonts w:eastAsia="Calibri"/>
        </w:rPr>
        <w:t xml:space="preserve">Assemblée générale décidait </w:t>
      </w:r>
      <w:r w:rsidR="00B01AC3">
        <w:rPr>
          <w:rFonts w:eastAsia="Calibri"/>
        </w:rPr>
        <w:t xml:space="preserve">bien </w:t>
      </w:r>
      <w:r>
        <w:rPr>
          <w:rFonts w:eastAsia="Calibri"/>
        </w:rPr>
        <w:t>de l</w:t>
      </w:r>
      <w:r w:rsidR="00346F1B">
        <w:rPr>
          <w:rFonts w:eastAsia="Calibri"/>
        </w:rPr>
        <w:t>’</w:t>
      </w:r>
      <w:r>
        <w:rPr>
          <w:rFonts w:eastAsia="Calibri"/>
        </w:rPr>
        <w:t>allocation et de l</w:t>
      </w:r>
      <w:r w:rsidR="00346F1B">
        <w:rPr>
          <w:rFonts w:eastAsia="Calibri"/>
        </w:rPr>
        <w:t>’</w:t>
      </w:r>
      <w:r w:rsidRPr="00E604FF">
        <w:rPr>
          <w:rFonts w:eastAsia="Calibri"/>
        </w:rPr>
        <w:t>utilisation</w:t>
      </w:r>
      <w:r>
        <w:rPr>
          <w:rFonts w:eastAsia="Calibri"/>
        </w:rPr>
        <w:t xml:space="preserve"> des ressources du Fonds, mais il n</w:t>
      </w:r>
      <w:r w:rsidR="00346F1B">
        <w:rPr>
          <w:rFonts w:eastAsia="Calibri"/>
        </w:rPr>
        <w:t>’</w:t>
      </w:r>
      <w:r>
        <w:rPr>
          <w:rFonts w:eastAsia="Calibri"/>
        </w:rPr>
        <w:t xml:space="preserve">était pas précisé comment ces fonds pouvaient être utilisés ligne </w:t>
      </w:r>
      <w:r w:rsidR="00B01AC3">
        <w:rPr>
          <w:rFonts w:eastAsia="Calibri"/>
        </w:rPr>
        <w:t xml:space="preserve">budgétaire </w:t>
      </w:r>
      <w:r>
        <w:rPr>
          <w:rFonts w:eastAsia="Calibri"/>
        </w:rPr>
        <w:t>par ligne</w:t>
      </w:r>
      <w:r w:rsidR="00B01AC3">
        <w:rPr>
          <w:rFonts w:eastAsia="Calibri"/>
        </w:rPr>
        <w:t xml:space="preserve"> budgétaire</w:t>
      </w:r>
      <w:r>
        <w:rPr>
          <w:rFonts w:eastAsia="Calibri"/>
        </w:rPr>
        <w:t xml:space="preserve">. Le Secrétariat poursuivrait sa </w:t>
      </w:r>
      <w:r w:rsidRPr="00E604FF">
        <w:rPr>
          <w:rFonts w:eastAsia="Calibri"/>
        </w:rPr>
        <w:t>recherche</w:t>
      </w:r>
      <w:r>
        <w:rPr>
          <w:rFonts w:eastAsia="Calibri"/>
        </w:rPr>
        <w:t xml:space="preserve"> dans la </w:t>
      </w:r>
      <w:r w:rsidRPr="00E604FF">
        <w:rPr>
          <w:rFonts w:eastAsia="Calibri"/>
        </w:rPr>
        <w:t>réglementation</w:t>
      </w:r>
      <w:r>
        <w:rPr>
          <w:rFonts w:eastAsia="Calibri"/>
        </w:rPr>
        <w:t xml:space="preserve">. Le </w:t>
      </w:r>
      <w:r w:rsidRPr="00E604FF">
        <w:rPr>
          <w:rFonts w:eastAsia="Calibri"/>
        </w:rPr>
        <w:t>Secrétaire</w:t>
      </w:r>
      <w:r>
        <w:rPr>
          <w:rFonts w:eastAsia="Calibri"/>
        </w:rPr>
        <w:t xml:space="preserve"> </w:t>
      </w:r>
      <w:r w:rsidR="00B01AC3">
        <w:rPr>
          <w:rFonts w:eastAsia="Calibri"/>
        </w:rPr>
        <w:t xml:space="preserve">a </w:t>
      </w:r>
      <w:r>
        <w:rPr>
          <w:rFonts w:eastAsia="Calibri"/>
        </w:rPr>
        <w:t>toutefois</w:t>
      </w:r>
      <w:r w:rsidR="00B01AC3">
        <w:rPr>
          <w:rFonts w:eastAsia="Calibri"/>
        </w:rPr>
        <w:t xml:space="preserve"> pu</w:t>
      </w:r>
      <w:r>
        <w:rPr>
          <w:rFonts w:eastAsia="Calibri"/>
        </w:rPr>
        <w:t xml:space="preserve"> confirmer que l</w:t>
      </w:r>
      <w:r w:rsidR="00346F1B">
        <w:rPr>
          <w:rFonts w:eastAsia="Calibri"/>
        </w:rPr>
        <w:t>’</w:t>
      </w:r>
      <w:r>
        <w:rPr>
          <w:rFonts w:eastAsia="Calibri"/>
        </w:rPr>
        <w:t>Assemblée générale avait décidé que l</w:t>
      </w:r>
      <w:r w:rsidR="00346F1B">
        <w:rPr>
          <w:rFonts w:eastAsia="Calibri"/>
        </w:rPr>
        <w:t>’</w:t>
      </w:r>
      <w:r>
        <w:rPr>
          <w:rFonts w:eastAsia="Calibri"/>
        </w:rPr>
        <w:t>enveloppe budgétaire consacré</w:t>
      </w:r>
      <w:r w:rsidR="00B01AC3">
        <w:rPr>
          <w:rFonts w:eastAsia="Calibri"/>
        </w:rPr>
        <w:t>e</w:t>
      </w:r>
      <w:r>
        <w:rPr>
          <w:rFonts w:eastAsia="Calibri"/>
        </w:rPr>
        <w:t xml:space="preserve"> à l</w:t>
      </w:r>
      <w:r w:rsidR="00346F1B">
        <w:rPr>
          <w:rFonts w:eastAsia="Calibri"/>
        </w:rPr>
        <w:t>’</w:t>
      </w:r>
      <w:r>
        <w:rPr>
          <w:rFonts w:eastAsia="Calibri"/>
        </w:rPr>
        <w:t>assistance internationale</w:t>
      </w:r>
      <w:r w:rsidR="00B01AC3">
        <w:rPr>
          <w:rFonts w:eastAsia="Calibri"/>
        </w:rPr>
        <w:t xml:space="preserve"> représent</w:t>
      </w:r>
      <w:r>
        <w:rPr>
          <w:rFonts w:eastAsia="Calibri"/>
        </w:rPr>
        <w:t xml:space="preserve">ait 59% du montant total du Fonds [pour le dernier cycle financier]. La question était de savoir ce que comprenait </w:t>
      </w:r>
      <w:r w:rsidR="00B01AC3">
        <w:rPr>
          <w:rFonts w:eastAsia="Calibri"/>
        </w:rPr>
        <w:t>l</w:t>
      </w:r>
      <w:r w:rsidR="00346F1B">
        <w:rPr>
          <w:rFonts w:eastAsia="Calibri"/>
        </w:rPr>
        <w:t>’</w:t>
      </w:r>
      <w:r w:rsidR="00B01AC3">
        <w:rPr>
          <w:rFonts w:eastAsia="Calibri"/>
        </w:rPr>
        <w:t>« assistance internationale » et si elle incluait tout, y compris les modalités de mise à</w:t>
      </w:r>
      <w:r w:rsidR="005224EB">
        <w:rPr>
          <w:rFonts w:eastAsia="Calibri"/>
        </w:rPr>
        <w:t xml:space="preserve"> disposition des fonds. On était </w:t>
      </w:r>
      <w:r w:rsidR="00DE0564">
        <w:rPr>
          <w:rFonts w:eastAsia="Calibri"/>
        </w:rPr>
        <w:t>là le cœur du problème.</w:t>
      </w:r>
    </w:p>
    <w:p w14:paraId="2578D3EC" w14:textId="57391ECC" w:rsidR="00B01AC3" w:rsidRPr="00B01AC3" w:rsidRDefault="00B01AC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B01AC3">
        <w:rPr>
          <w:rFonts w:eastAsia="Calibri"/>
        </w:rPr>
        <w:t>délégation</w:t>
      </w:r>
      <w:r>
        <w:rPr>
          <w:rFonts w:eastAsia="Calibri"/>
        </w:rPr>
        <w:t xml:space="preserve"> de la </w:t>
      </w:r>
      <w:r w:rsidRPr="00B01AC3">
        <w:rPr>
          <w:rFonts w:eastAsia="Calibri"/>
          <w:b/>
        </w:rPr>
        <w:t>Côte d</w:t>
      </w:r>
      <w:r w:rsidR="00346F1B">
        <w:rPr>
          <w:rFonts w:eastAsia="Calibri"/>
          <w:b/>
        </w:rPr>
        <w:t>’</w:t>
      </w:r>
      <w:r w:rsidRPr="00B01AC3">
        <w:rPr>
          <w:rFonts w:eastAsia="Calibri"/>
          <w:b/>
        </w:rPr>
        <w:t>Ivoire</w:t>
      </w:r>
      <w:r>
        <w:rPr>
          <w:rFonts w:eastAsia="Calibri"/>
        </w:rPr>
        <w:t xml:space="preserve"> a convenu qu</w:t>
      </w:r>
      <w:r w:rsidR="00346F1B">
        <w:rPr>
          <w:rFonts w:eastAsia="Calibri"/>
        </w:rPr>
        <w:t>’</w:t>
      </w:r>
      <w:r>
        <w:rPr>
          <w:rFonts w:eastAsia="Calibri"/>
        </w:rPr>
        <w:t>en raison de cette ambigüité, le Comité devrait continuer à étudier la q</w:t>
      </w:r>
      <w:r w:rsidR="00DE0564">
        <w:rPr>
          <w:rFonts w:eastAsia="Calibri"/>
        </w:rPr>
        <w:t>uestion et y revenir plus tard.</w:t>
      </w:r>
    </w:p>
    <w:p w14:paraId="1F627BF8" w14:textId="789A9D9F" w:rsidR="002D6784" w:rsidRDefault="00BF45E1"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BF45E1">
        <w:rPr>
          <w:rFonts w:eastAsia="Calibri"/>
          <w:b/>
        </w:rPr>
        <w:t>Président</w:t>
      </w:r>
      <w:r>
        <w:rPr>
          <w:rFonts w:eastAsia="Calibri"/>
        </w:rPr>
        <w:t xml:space="preserve"> a </w:t>
      </w:r>
      <w:r w:rsidR="005224EB">
        <w:rPr>
          <w:rFonts w:eastAsia="Calibri"/>
        </w:rPr>
        <w:t xml:space="preserve">signalé </w:t>
      </w:r>
      <w:r>
        <w:rPr>
          <w:rFonts w:eastAsia="Calibri"/>
        </w:rPr>
        <w:t>une motion d</w:t>
      </w:r>
      <w:r w:rsidR="00346F1B">
        <w:rPr>
          <w:rFonts w:eastAsia="Calibri"/>
        </w:rPr>
        <w:t>’</w:t>
      </w:r>
      <w:r>
        <w:rPr>
          <w:rFonts w:eastAsia="Calibri"/>
        </w:rPr>
        <w:t xml:space="preserve">ordre </w:t>
      </w:r>
      <w:r w:rsidR="005224EB">
        <w:rPr>
          <w:rFonts w:eastAsia="Calibri"/>
        </w:rPr>
        <w:t xml:space="preserve">de </w:t>
      </w:r>
      <w:r w:rsidR="00DE0564">
        <w:rPr>
          <w:rFonts w:eastAsia="Calibri"/>
        </w:rPr>
        <w:t>la Palestine.</w:t>
      </w:r>
    </w:p>
    <w:p w14:paraId="45C96D85" w14:textId="130F2C95" w:rsidR="001860EE" w:rsidRPr="002D6784" w:rsidRDefault="00BF45E1" w:rsidP="00AF7860">
      <w:pPr>
        <w:pStyle w:val="Orateurengris"/>
        <w:tabs>
          <w:tab w:val="clear" w:pos="709"/>
          <w:tab w:val="clear" w:pos="1418"/>
          <w:tab w:val="clear" w:pos="2126"/>
          <w:tab w:val="clear" w:pos="2835"/>
          <w:tab w:val="clear" w:pos="3686"/>
        </w:tabs>
        <w:spacing w:before="120"/>
        <w:ind w:left="709" w:hanging="709"/>
        <w:rPr>
          <w:rFonts w:eastAsia="Calibri"/>
        </w:rPr>
      </w:pPr>
      <w:r w:rsidRPr="00BF45E1">
        <w:t>En réponse à l</w:t>
      </w:r>
      <w:r w:rsidR="00346F1B">
        <w:t>’</w:t>
      </w:r>
      <w:r w:rsidRPr="00BF45E1">
        <w:t xml:space="preserve">explication fournie, la délégation de la </w:t>
      </w:r>
      <w:r w:rsidRPr="002D6784">
        <w:rPr>
          <w:b/>
        </w:rPr>
        <w:t>Palestine</w:t>
      </w:r>
      <w:r>
        <w:t xml:space="preserve"> a fait remarquer que dans une telle situation, le Comité avait besoin d</w:t>
      </w:r>
      <w:r w:rsidR="00346F1B">
        <w:t>’</w:t>
      </w:r>
      <w:r>
        <w:t>un avis juridique, elle a en outre noté l</w:t>
      </w:r>
      <w:r w:rsidR="00346F1B">
        <w:t>’</w:t>
      </w:r>
      <w:r>
        <w:t xml:space="preserve">absence du </w:t>
      </w:r>
      <w:r w:rsidR="001860EE">
        <w:t xml:space="preserve">Conseiller juridique parmi les </w:t>
      </w:r>
      <w:r w:rsidR="008A3BB3">
        <w:t>m</w:t>
      </w:r>
      <w:r w:rsidR="00A46CAD">
        <w:t>embres</w:t>
      </w:r>
      <w:r w:rsidR="00DE0564">
        <w:t xml:space="preserve"> du Comité.</w:t>
      </w:r>
    </w:p>
    <w:p w14:paraId="68B5D51F" w14:textId="7081194F" w:rsidR="001860EE" w:rsidRDefault="001860EE"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1860EE">
        <w:rPr>
          <w:rFonts w:eastAsia="Calibri"/>
          <w:b/>
        </w:rPr>
        <w:t>Secrétaire</w:t>
      </w:r>
      <w:r>
        <w:rPr>
          <w:rFonts w:eastAsia="Calibri"/>
        </w:rPr>
        <w:t xml:space="preserve"> a expliqué que les Services du conseil juridique avaient informé le Secrétariat qu</w:t>
      </w:r>
      <w:r w:rsidR="00346F1B">
        <w:rPr>
          <w:rFonts w:eastAsia="Calibri"/>
        </w:rPr>
        <w:t>’</w:t>
      </w:r>
      <w:r>
        <w:rPr>
          <w:rFonts w:eastAsia="Calibri"/>
        </w:rPr>
        <w:t xml:space="preserve">ils ne disposaient pas des ressources </w:t>
      </w:r>
      <w:r w:rsidRPr="001860EE">
        <w:rPr>
          <w:rFonts w:eastAsia="Calibri"/>
        </w:rPr>
        <w:t xml:space="preserve">nécessaires </w:t>
      </w:r>
      <w:r>
        <w:rPr>
          <w:rFonts w:eastAsia="Calibri"/>
        </w:rPr>
        <w:t>pour participer aux réunions du Comité qui ne se tenaient pas à Paris mais qu</w:t>
      </w:r>
      <w:r w:rsidR="00346F1B">
        <w:rPr>
          <w:rFonts w:eastAsia="Calibri"/>
        </w:rPr>
        <w:t>’</w:t>
      </w:r>
      <w:r>
        <w:rPr>
          <w:rFonts w:eastAsia="Calibri"/>
        </w:rPr>
        <w:t>ils étaient prêts à répondre à toute question par téléphone, comme ils l</w:t>
      </w:r>
      <w:r w:rsidR="00346F1B">
        <w:rPr>
          <w:rFonts w:eastAsia="Calibri"/>
        </w:rPr>
        <w:t>’</w:t>
      </w:r>
      <w:r>
        <w:rPr>
          <w:rFonts w:eastAsia="Calibri"/>
        </w:rPr>
        <w:t>avaient expliqué au Conseil exécutif lors de sa dernière session.</w:t>
      </w:r>
    </w:p>
    <w:p w14:paraId="54E3EB28" w14:textId="7BA89DA1" w:rsidR="001860EE" w:rsidRPr="001860EE" w:rsidRDefault="00E61D6F"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E61D6F">
        <w:rPr>
          <w:rFonts w:eastAsia="Calibri"/>
        </w:rPr>
        <w:t>délégation</w:t>
      </w:r>
      <w:r>
        <w:rPr>
          <w:rFonts w:eastAsia="Calibri"/>
        </w:rPr>
        <w:t xml:space="preserve"> de la </w:t>
      </w:r>
      <w:r w:rsidRPr="00E61D6F">
        <w:rPr>
          <w:rFonts w:eastAsia="Calibri"/>
          <w:b/>
        </w:rPr>
        <w:t>Palestine</w:t>
      </w:r>
      <w:r>
        <w:rPr>
          <w:rFonts w:eastAsia="Calibri"/>
        </w:rPr>
        <w:t xml:space="preserve"> avait cru comprendre que le Conseiller juridique serait présent et disponible si nécessaire, </w:t>
      </w:r>
      <w:r w:rsidR="00DE0564">
        <w:rPr>
          <w:rFonts w:eastAsia="Calibri"/>
        </w:rPr>
        <w:t>et pas seulement par téléphone.</w:t>
      </w:r>
    </w:p>
    <w:p w14:paraId="43A55ED1" w14:textId="09690075" w:rsidR="00E61D6F" w:rsidRDefault="00E61D6F"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E61D6F">
        <w:rPr>
          <w:rFonts w:eastAsia="Calibri"/>
        </w:rPr>
        <w:t>délégation</w:t>
      </w:r>
      <w:r>
        <w:rPr>
          <w:rFonts w:eastAsia="Calibri"/>
        </w:rPr>
        <w:t xml:space="preserve"> de l</w:t>
      </w:r>
      <w:r w:rsidR="00346F1B">
        <w:rPr>
          <w:rFonts w:eastAsia="Calibri"/>
        </w:rPr>
        <w:t>’</w:t>
      </w:r>
      <w:r w:rsidRPr="00E61D6F">
        <w:rPr>
          <w:rFonts w:eastAsia="Calibri"/>
          <w:b/>
        </w:rPr>
        <w:t>Autriche</w:t>
      </w:r>
      <w:r w:rsidR="005224EB">
        <w:rPr>
          <w:rFonts w:eastAsia="Calibri"/>
        </w:rPr>
        <w:t xml:space="preserve"> souhaitait</w:t>
      </w:r>
      <w:r>
        <w:rPr>
          <w:rFonts w:eastAsia="Calibri"/>
        </w:rPr>
        <w:t xml:space="preserve"> avoir une autre précision en ce qui concerne la politiqu</w:t>
      </w:r>
      <w:r w:rsidR="00E656BB">
        <w:rPr>
          <w:rFonts w:eastAsia="Calibri"/>
        </w:rPr>
        <w:t>e de recouvrement des coûts, à savoir, si elle était appliquée aux demandes d</w:t>
      </w:r>
      <w:r w:rsidR="00346F1B">
        <w:rPr>
          <w:rFonts w:eastAsia="Calibri"/>
        </w:rPr>
        <w:t>’</w:t>
      </w:r>
      <w:r w:rsidR="00E656BB">
        <w:rPr>
          <w:rFonts w:eastAsia="Calibri"/>
        </w:rPr>
        <w:t>assistance internationale et au Fonds du PCI par rapport</w:t>
      </w:r>
      <w:r w:rsidR="00DE0564">
        <w:rPr>
          <w:rFonts w:eastAsia="Calibri"/>
        </w:rPr>
        <w:t xml:space="preserve"> aux contributions volontaires.</w:t>
      </w:r>
    </w:p>
    <w:p w14:paraId="45BB22E0" w14:textId="71DE2767" w:rsidR="005F6867" w:rsidRPr="005F6867" w:rsidRDefault="00E656BB"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5F6867">
        <w:rPr>
          <w:rFonts w:eastAsia="Calibri"/>
          <w:b/>
        </w:rPr>
        <w:t>Secrétariat</w:t>
      </w:r>
      <w:r>
        <w:rPr>
          <w:rFonts w:eastAsia="Calibri"/>
        </w:rPr>
        <w:t xml:space="preserve"> a expliqué qu</w:t>
      </w:r>
      <w:r w:rsidR="00346F1B">
        <w:rPr>
          <w:rFonts w:eastAsia="Calibri"/>
        </w:rPr>
        <w:t>’</w:t>
      </w:r>
      <w:r>
        <w:rPr>
          <w:rFonts w:eastAsia="Calibri"/>
        </w:rPr>
        <w:t>il y avait bien un</w:t>
      </w:r>
      <w:r w:rsidR="005F6867">
        <w:rPr>
          <w:rFonts w:eastAsia="Calibri"/>
        </w:rPr>
        <w:t>e</w:t>
      </w:r>
      <w:r>
        <w:rPr>
          <w:rFonts w:eastAsia="Calibri"/>
        </w:rPr>
        <w:t xml:space="preserve"> politique de recouvrement des coûts appliquée à la mise en œuvre du Fonds, mais que le recouvrement des coûts ne s</w:t>
      </w:r>
      <w:r w:rsidR="00346F1B">
        <w:rPr>
          <w:rFonts w:eastAsia="Calibri"/>
        </w:rPr>
        <w:t>’</w:t>
      </w:r>
      <w:r>
        <w:rPr>
          <w:rFonts w:eastAsia="Calibri"/>
        </w:rPr>
        <w:t>appliquait qu</w:t>
      </w:r>
      <w:r w:rsidR="00346F1B">
        <w:rPr>
          <w:rFonts w:eastAsia="Calibri"/>
        </w:rPr>
        <w:t>’</w:t>
      </w:r>
      <w:r>
        <w:rPr>
          <w:rFonts w:eastAsia="Calibri"/>
        </w:rPr>
        <w:t>après la mise en œuvre du Fonds, d</w:t>
      </w:r>
      <w:r w:rsidR="00346F1B">
        <w:rPr>
          <w:rFonts w:eastAsia="Calibri"/>
        </w:rPr>
        <w:t>’</w:t>
      </w:r>
      <w:r>
        <w:rPr>
          <w:rFonts w:eastAsia="Calibri"/>
        </w:rPr>
        <w:t>où la création d</w:t>
      </w:r>
      <w:r w:rsidR="00346F1B">
        <w:rPr>
          <w:rFonts w:eastAsia="Calibri"/>
        </w:rPr>
        <w:t>’</w:t>
      </w:r>
      <w:r>
        <w:rPr>
          <w:rFonts w:eastAsia="Calibri"/>
        </w:rPr>
        <w:t>un cercle vicieux. Plus le Secrétariat</w:t>
      </w:r>
      <w:r w:rsidR="005F6867">
        <w:rPr>
          <w:rFonts w:eastAsia="Calibri"/>
        </w:rPr>
        <w:t xml:space="preserve"> mettait</w:t>
      </w:r>
      <w:r>
        <w:rPr>
          <w:rFonts w:eastAsia="Calibri"/>
        </w:rPr>
        <w:t xml:space="preserve"> en œuvre</w:t>
      </w:r>
      <w:r w:rsidR="005F6867">
        <w:rPr>
          <w:rFonts w:eastAsia="Calibri"/>
        </w:rPr>
        <w:t xml:space="preserve"> le Fonds, plus il pouvait récupérer.</w:t>
      </w:r>
      <w:r>
        <w:rPr>
          <w:rFonts w:eastAsia="Calibri"/>
        </w:rPr>
        <w:t xml:space="preserve"> </w:t>
      </w:r>
      <w:r w:rsidR="005F6867" w:rsidRPr="005F6867">
        <w:rPr>
          <w:rFonts w:eastAsia="Calibri"/>
        </w:rPr>
        <w:t>Toutefois</w:t>
      </w:r>
      <w:r w:rsidR="005F6867">
        <w:rPr>
          <w:rFonts w:eastAsia="Calibri"/>
        </w:rPr>
        <w:t xml:space="preserve">, </w:t>
      </w:r>
      <w:r>
        <w:rPr>
          <w:rFonts w:eastAsia="Calibri"/>
        </w:rPr>
        <w:t xml:space="preserve">du personnel était nécessaire pour </w:t>
      </w:r>
      <w:r w:rsidR="005F6867">
        <w:rPr>
          <w:rFonts w:eastAsia="Calibri"/>
        </w:rPr>
        <w:t>la mise</w:t>
      </w:r>
      <w:r>
        <w:rPr>
          <w:rFonts w:eastAsia="Calibri"/>
        </w:rPr>
        <w:t xml:space="preserve"> en œuvre </w:t>
      </w:r>
      <w:r w:rsidR="005F6867">
        <w:rPr>
          <w:rFonts w:eastAsia="Calibri"/>
        </w:rPr>
        <w:t xml:space="preserve">dans un premier temps afin de permettre un recouvrement ultérieur. Le </w:t>
      </w:r>
      <w:r w:rsidR="005F6867" w:rsidRPr="005F6867">
        <w:rPr>
          <w:rFonts w:eastAsia="Calibri"/>
        </w:rPr>
        <w:t>Secrétaire</w:t>
      </w:r>
      <w:r w:rsidR="005F6867">
        <w:rPr>
          <w:rFonts w:eastAsia="Calibri"/>
        </w:rPr>
        <w:t xml:space="preserve"> a rappelé au Comité que l</w:t>
      </w:r>
      <w:r w:rsidR="00346F1B">
        <w:rPr>
          <w:rFonts w:eastAsia="Calibri"/>
        </w:rPr>
        <w:t>’</w:t>
      </w:r>
      <w:r w:rsidR="005F6867">
        <w:rPr>
          <w:rFonts w:eastAsia="Calibri"/>
        </w:rPr>
        <w:t>idée du recouvrement des coûts consistait à récupérer les coûts liés au personnel financé par le Programme régulier mais travaillant sur des fonds de programmes non réguliers. Le Secrétariat ne disposait pas de personnel du Programme régulier pour œuvre</w:t>
      </w:r>
      <w:r w:rsidR="00DE0564">
        <w:rPr>
          <w:rFonts w:eastAsia="Calibri"/>
        </w:rPr>
        <w:t>r au recouvrement de ces coûts.</w:t>
      </w:r>
    </w:p>
    <w:p w14:paraId="78C605C8" w14:textId="1548B22D" w:rsidR="005F6867" w:rsidRDefault="005F6867"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5F6867">
        <w:rPr>
          <w:rFonts w:eastAsia="Calibri"/>
        </w:rPr>
        <w:t>délégation</w:t>
      </w:r>
      <w:r>
        <w:rPr>
          <w:rFonts w:eastAsia="Calibri"/>
        </w:rPr>
        <w:t xml:space="preserve"> de l</w:t>
      </w:r>
      <w:r w:rsidR="00346F1B">
        <w:rPr>
          <w:rFonts w:eastAsia="Calibri"/>
        </w:rPr>
        <w:t>’</w:t>
      </w:r>
      <w:r w:rsidRPr="005F6867">
        <w:rPr>
          <w:rFonts w:eastAsia="Calibri"/>
          <w:b/>
        </w:rPr>
        <w:t>Algérie</w:t>
      </w:r>
      <w:r>
        <w:rPr>
          <w:rFonts w:eastAsia="Calibri"/>
        </w:rPr>
        <w:t xml:space="preserve"> pouvait accepter l</w:t>
      </w:r>
      <w:r w:rsidR="00346F1B">
        <w:rPr>
          <w:rFonts w:eastAsia="Calibri"/>
        </w:rPr>
        <w:t>’</w:t>
      </w:r>
      <w:r w:rsidRPr="005F6867">
        <w:rPr>
          <w:rFonts w:eastAsia="Calibri"/>
        </w:rPr>
        <w:t>amendement</w:t>
      </w:r>
      <w:r>
        <w:rPr>
          <w:rFonts w:eastAsia="Calibri"/>
        </w:rPr>
        <w:t xml:space="preserve"> avec une correction linguistique mineure dans la version française. Le </w:t>
      </w:r>
      <w:r w:rsidRPr="005F6867">
        <w:rPr>
          <w:rFonts w:eastAsia="Calibri"/>
        </w:rPr>
        <w:t>paragraphe</w:t>
      </w:r>
      <w:r>
        <w:rPr>
          <w:rFonts w:eastAsia="Calibri"/>
        </w:rPr>
        <w:t xml:space="preserve"> 8 était désormais équilibré et satisfaisait </w:t>
      </w:r>
      <w:r w:rsidR="005224EB">
        <w:rPr>
          <w:rFonts w:eastAsia="Calibri"/>
        </w:rPr>
        <w:t xml:space="preserve">les </w:t>
      </w:r>
      <w:r>
        <w:rPr>
          <w:rFonts w:eastAsia="Calibri"/>
        </w:rPr>
        <w:t>attentes du Secrétariat tout en permettant au Comité de se reconnaitre dans les</w:t>
      </w:r>
      <w:r w:rsidR="00B615D4">
        <w:rPr>
          <w:rFonts w:eastAsia="Calibri"/>
        </w:rPr>
        <w:t xml:space="preserve"> poi</w:t>
      </w:r>
      <w:r w:rsidR="00DE0564">
        <w:rPr>
          <w:rFonts w:eastAsia="Calibri"/>
        </w:rPr>
        <w:t>nts soulevés au cours du débat.</w:t>
      </w:r>
    </w:p>
    <w:p w14:paraId="5C0D6477" w14:textId="16865E51" w:rsidR="00B615D4" w:rsidRPr="00B615D4" w:rsidRDefault="00B615D4"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B615D4">
        <w:rPr>
          <w:rFonts w:eastAsia="Calibri"/>
          <w:b/>
        </w:rPr>
        <w:t>Président</w:t>
      </w:r>
      <w:r>
        <w:rPr>
          <w:rFonts w:eastAsia="Calibri"/>
        </w:rPr>
        <w:t xml:space="preserve"> a procédé à l</w:t>
      </w:r>
      <w:r w:rsidR="00346F1B">
        <w:rPr>
          <w:rFonts w:eastAsia="Calibri"/>
        </w:rPr>
        <w:t>’</w:t>
      </w:r>
      <w:r>
        <w:rPr>
          <w:rFonts w:eastAsia="Calibri"/>
        </w:rPr>
        <w:t xml:space="preserve">adoption du </w:t>
      </w:r>
      <w:r w:rsidRPr="00B615D4">
        <w:rPr>
          <w:rFonts w:eastAsia="Calibri"/>
        </w:rPr>
        <w:t>paragraphe</w:t>
      </w:r>
      <w:r>
        <w:rPr>
          <w:rFonts w:eastAsia="Calibri"/>
        </w:rPr>
        <w:t xml:space="preserve"> 8 tel qu</w:t>
      </w:r>
      <w:r w:rsidR="00346F1B">
        <w:rPr>
          <w:rFonts w:eastAsia="Calibri"/>
        </w:rPr>
        <w:t>’</w:t>
      </w:r>
      <w:r>
        <w:rPr>
          <w:rFonts w:eastAsia="Calibri"/>
        </w:rPr>
        <w:t>amen</w:t>
      </w:r>
      <w:r w:rsidR="008052AC">
        <w:rPr>
          <w:rFonts w:eastAsia="Calibri"/>
        </w:rPr>
        <w:t>dé, qui a été dû</w:t>
      </w:r>
      <w:r>
        <w:rPr>
          <w:rFonts w:eastAsia="Calibri"/>
        </w:rPr>
        <w:t>ment adopté. En l</w:t>
      </w:r>
      <w:r w:rsidR="00346F1B">
        <w:rPr>
          <w:rFonts w:eastAsia="Calibri"/>
        </w:rPr>
        <w:t>’</w:t>
      </w:r>
      <w:r>
        <w:rPr>
          <w:rFonts w:eastAsia="Calibri"/>
        </w:rPr>
        <w:t>absence de commentaires ou d</w:t>
      </w:r>
      <w:r w:rsidR="00346F1B">
        <w:rPr>
          <w:rFonts w:eastAsia="Calibri"/>
        </w:rPr>
        <w:t>’</w:t>
      </w:r>
      <w:r>
        <w:rPr>
          <w:rFonts w:eastAsia="Calibri"/>
        </w:rPr>
        <w:t xml:space="preserve">objections concernant les </w:t>
      </w:r>
      <w:r w:rsidRPr="00B615D4">
        <w:rPr>
          <w:rFonts w:eastAsia="Calibri"/>
        </w:rPr>
        <w:t>paragraphe</w:t>
      </w:r>
      <w:r>
        <w:rPr>
          <w:rFonts w:eastAsia="Calibri"/>
        </w:rPr>
        <w:t xml:space="preserve">s 9, 10 et 11, ceux-ci ont été </w:t>
      </w:r>
      <w:r w:rsidR="008052AC">
        <w:rPr>
          <w:rFonts w:eastAsia="Calibri"/>
        </w:rPr>
        <w:t>dûment</w:t>
      </w:r>
      <w:r>
        <w:rPr>
          <w:rFonts w:eastAsia="Calibri"/>
        </w:rPr>
        <w:t xml:space="preserve"> adoptés. Le Président a pris note d</w:t>
      </w:r>
      <w:r w:rsidR="00346F1B">
        <w:rPr>
          <w:rFonts w:eastAsia="Calibri"/>
        </w:rPr>
        <w:t>’</w:t>
      </w:r>
      <w:r>
        <w:rPr>
          <w:rFonts w:eastAsia="Calibri"/>
        </w:rPr>
        <w:t xml:space="preserve">un </w:t>
      </w:r>
      <w:r w:rsidRPr="00B615D4">
        <w:rPr>
          <w:rFonts w:eastAsia="Calibri"/>
        </w:rPr>
        <w:t>amendement</w:t>
      </w:r>
      <w:r>
        <w:rPr>
          <w:rFonts w:eastAsia="Calibri"/>
        </w:rPr>
        <w:t xml:space="preserve"> au </w:t>
      </w:r>
      <w:r w:rsidRPr="00B615D4">
        <w:rPr>
          <w:rFonts w:eastAsia="Calibri"/>
        </w:rPr>
        <w:t>paragraphe</w:t>
      </w:r>
      <w:r w:rsidR="00DE0564">
        <w:rPr>
          <w:rFonts w:eastAsia="Calibri"/>
        </w:rPr>
        <w:t xml:space="preserve"> 12.</w:t>
      </w:r>
    </w:p>
    <w:p w14:paraId="6CB11861" w14:textId="1D0997C1" w:rsidR="00B615D4" w:rsidRPr="00B615D4" w:rsidRDefault="00B615D4"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B615D4">
        <w:rPr>
          <w:rFonts w:eastAsia="Calibri"/>
        </w:rPr>
        <w:t>délégation</w:t>
      </w:r>
      <w:r>
        <w:rPr>
          <w:rFonts w:eastAsia="Calibri"/>
        </w:rPr>
        <w:t xml:space="preserve"> de l</w:t>
      </w:r>
      <w:r w:rsidR="00346F1B">
        <w:rPr>
          <w:rFonts w:eastAsia="Calibri"/>
        </w:rPr>
        <w:t>’</w:t>
      </w:r>
      <w:r w:rsidRPr="00B615D4">
        <w:rPr>
          <w:rFonts w:eastAsia="Calibri"/>
          <w:b/>
        </w:rPr>
        <w:t>Autriche</w:t>
      </w:r>
      <w:r w:rsidR="005224EB">
        <w:rPr>
          <w:rFonts w:eastAsia="Calibri"/>
        </w:rPr>
        <w:t xml:space="preserve"> convenait</w:t>
      </w:r>
      <w:r>
        <w:rPr>
          <w:rFonts w:eastAsia="Calibri"/>
        </w:rPr>
        <w:t xml:space="preserve"> qu</w:t>
      </w:r>
      <w:r w:rsidR="00346F1B">
        <w:rPr>
          <w:rFonts w:eastAsia="Calibri"/>
        </w:rPr>
        <w:t>’</w:t>
      </w:r>
      <w:r>
        <w:rPr>
          <w:rFonts w:eastAsia="Calibri"/>
        </w:rPr>
        <w:t xml:space="preserve">il était très important de disposer de réseaux et de partenariats en </w:t>
      </w:r>
      <w:r w:rsidRPr="00B615D4">
        <w:rPr>
          <w:rFonts w:eastAsia="Calibri"/>
        </w:rPr>
        <w:t>coopération</w:t>
      </w:r>
      <w:r>
        <w:rPr>
          <w:rFonts w:eastAsia="Calibri"/>
        </w:rPr>
        <w:t xml:space="preserve"> avec, entre autres, les Chaires UNESCO et la société civi</w:t>
      </w:r>
      <w:r w:rsidR="005224EB">
        <w:rPr>
          <w:rFonts w:eastAsia="Calibri"/>
        </w:rPr>
        <w:t>le. Dans le même esprit, elle souhaitait</w:t>
      </w:r>
      <w:r>
        <w:rPr>
          <w:rFonts w:eastAsia="Calibri"/>
        </w:rPr>
        <w:t xml:space="preserve"> inclure les Commissions nationales pour l</w:t>
      </w:r>
      <w:r w:rsidR="00346F1B">
        <w:rPr>
          <w:rFonts w:eastAsia="Calibri"/>
        </w:rPr>
        <w:t>’</w:t>
      </w:r>
      <w:r>
        <w:rPr>
          <w:rFonts w:eastAsia="Calibri"/>
        </w:rPr>
        <w:t xml:space="preserve">UNESCO, profitant ainsi de leurs expériences mais </w:t>
      </w:r>
      <w:r w:rsidRPr="00B615D4">
        <w:rPr>
          <w:rFonts w:eastAsia="Calibri"/>
        </w:rPr>
        <w:t>également</w:t>
      </w:r>
      <w:r>
        <w:rPr>
          <w:rFonts w:eastAsia="Calibri"/>
        </w:rPr>
        <w:t xml:space="preserve"> de la synergie ent</w:t>
      </w:r>
      <w:r w:rsidR="00DE0564">
        <w:rPr>
          <w:rFonts w:eastAsia="Calibri"/>
        </w:rPr>
        <w:t>re les différentes Conventions.</w:t>
      </w:r>
    </w:p>
    <w:p w14:paraId="7036E46F" w14:textId="3E9CAD9A" w:rsidR="00B615D4" w:rsidRDefault="00B615D4"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B615D4">
        <w:rPr>
          <w:rFonts w:eastAsia="Calibri"/>
        </w:rPr>
        <w:t>délégation</w:t>
      </w:r>
      <w:r>
        <w:rPr>
          <w:rFonts w:eastAsia="Calibri"/>
        </w:rPr>
        <w:t xml:space="preserve"> de la </w:t>
      </w:r>
      <w:r w:rsidRPr="00752CDE">
        <w:rPr>
          <w:rFonts w:eastAsia="Calibri"/>
          <w:b/>
        </w:rPr>
        <w:t>Turquie</w:t>
      </w:r>
      <w:r>
        <w:rPr>
          <w:rFonts w:eastAsia="Calibri"/>
        </w:rPr>
        <w:t xml:space="preserve"> a remercié le Secrétariat pour son </w:t>
      </w:r>
      <w:r w:rsidRPr="00B615D4">
        <w:rPr>
          <w:rFonts w:eastAsia="Calibri"/>
        </w:rPr>
        <w:t>initiative</w:t>
      </w:r>
      <w:r>
        <w:rPr>
          <w:rFonts w:eastAsia="Calibri"/>
        </w:rPr>
        <w:t xml:space="preserve"> en faveur des Chaires UNESCO</w:t>
      </w:r>
      <w:r w:rsidR="00752CDE">
        <w:rPr>
          <w:rFonts w:eastAsia="Calibri"/>
        </w:rPr>
        <w:t>,</w:t>
      </w:r>
      <w:r>
        <w:rPr>
          <w:rFonts w:eastAsia="Calibri"/>
        </w:rPr>
        <w:t xml:space="preserve"> </w:t>
      </w:r>
      <w:r w:rsidR="00752CDE">
        <w:rPr>
          <w:rFonts w:eastAsia="Calibri"/>
        </w:rPr>
        <w:t xml:space="preserve">qui était jugée importante pour la visibilité du PCI et de la </w:t>
      </w:r>
      <w:r w:rsidR="00752CDE" w:rsidRPr="00752CDE">
        <w:rPr>
          <w:rFonts w:eastAsia="Calibri"/>
        </w:rPr>
        <w:t>Convention</w:t>
      </w:r>
      <w:r w:rsidR="00752CDE">
        <w:rPr>
          <w:rFonts w:eastAsia="Calibri"/>
        </w:rPr>
        <w:t xml:space="preserve"> dans le système universitaire. Elle a ajouté que les Chaires UNESCO et le réseau UNITWIN</w:t>
      </w:r>
      <w:r w:rsidR="00752CDE">
        <w:rPr>
          <w:rStyle w:val="FootnoteReference"/>
          <w:rFonts w:eastAsia="Calibri"/>
        </w:rPr>
        <w:footnoteReference w:id="4"/>
      </w:r>
      <w:r w:rsidR="005224EB">
        <w:rPr>
          <w:rFonts w:eastAsia="Calibri"/>
        </w:rPr>
        <w:t xml:space="preserve"> ne sauraient être séparé</w:t>
      </w:r>
      <w:r w:rsidR="00752CDE">
        <w:rPr>
          <w:rFonts w:eastAsia="Calibri"/>
        </w:rPr>
        <w:t>s. L</w:t>
      </w:r>
      <w:r w:rsidR="00346F1B">
        <w:rPr>
          <w:rFonts w:eastAsia="Calibri"/>
        </w:rPr>
        <w:t>’</w:t>
      </w:r>
      <w:r w:rsidR="00752CDE">
        <w:rPr>
          <w:rFonts w:eastAsia="Calibri"/>
        </w:rPr>
        <w:t>ajout des Commissions nationales pour l</w:t>
      </w:r>
      <w:r w:rsidR="00346F1B">
        <w:rPr>
          <w:rFonts w:eastAsia="Calibri"/>
        </w:rPr>
        <w:t>’</w:t>
      </w:r>
      <w:r w:rsidR="00752CDE">
        <w:rPr>
          <w:rFonts w:eastAsia="Calibri"/>
        </w:rPr>
        <w:t>UNESCO devrait alors se faire</w:t>
      </w:r>
      <w:r w:rsidR="00DE0564">
        <w:rPr>
          <w:rFonts w:eastAsia="Calibri"/>
        </w:rPr>
        <w:t xml:space="preserve"> après avoir mentionné UNITWIN.</w:t>
      </w:r>
    </w:p>
    <w:p w14:paraId="2C517923" w14:textId="52AF12EF" w:rsidR="006D5850" w:rsidRPr="006D5850" w:rsidRDefault="00752CDE" w:rsidP="00AF7860">
      <w:pPr>
        <w:pStyle w:val="Orateurengris"/>
        <w:tabs>
          <w:tab w:val="clear" w:pos="709"/>
          <w:tab w:val="clear" w:pos="1418"/>
          <w:tab w:val="clear" w:pos="2126"/>
          <w:tab w:val="clear" w:pos="2835"/>
          <w:tab w:val="clear" w:pos="3686"/>
        </w:tabs>
        <w:spacing w:before="120"/>
        <w:ind w:left="709" w:hanging="709"/>
        <w:rPr>
          <w:rFonts w:eastAsia="Calibri"/>
        </w:rPr>
      </w:pPr>
      <w:r w:rsidRPr="00752CDE">
        <w:rPr>
          <w:rFonts w:eastAsia="Calibri"/>
        </w:rPr>
        <w:t xml:space="preserve">La délégation de </w:t>
      </w:r>
      <w:r w:rsidRPr="006D5850">
        <w:rPr>
          <w:rFonts w:eastAsia="Calibri"/>
          <w:b/>
        </w:rPr>
        <w:t>Cuba</w:t>
      </w:r>
      <w:r w:rsidRPr="00752CDE">
        <w:rPr>
          <w:rFonts w:eastAsia="Calibri"/>
        </w:rPr>
        <w:t xml:space="preserve"> </w:t>
      </w:r>
      <w:r w:rsidR="005224EB">
        <w:rPr>
          <w:rFonts w:eastAsia="Calibri"/>
        </w:rPr>
        <w:t xml:space="preserve">soutenait </w:t>
      </w:r>
      <w:r w:rsidR="006D5850">
        <w:rPr>
          <w:rFonts w:eastAsia="Calibri"/>
        </w:rPr>
        <w:t xml:space="preserve">vivement la </w:t>
      </w:r>
      <w:r w:rsidR="006D5850" w:rsidRPr="006D5850">
        <w:rPr>
          <w:rFonts w:eastAsia="Calibri"/>
        </w:rPr>
        <w:t xml:space="preserve">proposition </w:t>
      </w:r>
      <w:r w:rsidR="006D5850">
        <w:rPr>
          <w:rFonts w:eastAsia="Calibri"/>
        </w:rPr>
        <w:t>de l</w:t>
      </w:r>
      <w:r w:rsidR="00346F1B">
        <w:rPr>
          <w:rFonts w:eastAsia="Calibri"/>
        </w:rPr>
        <w:t>’</w:t>
      </w:r>
      <w:r w:rsidR="006D5850">
        <w:rPr>
          <w:rFonts w:eastAsia="Calibri"/>
        </w:rPr>
        <w:t>Autriche selon laquelle les Commissions nationales po</w:t>
      </w:r>
      <w:r w:rsidR="005224EB">
        <w:rPr>
          <w:rFonts w:eastAsia="Calibri"/>
        </w:rPr>
        <w:t>ur l</w:t>
      </w:r>
      <w:r w:rsidR="00346F1B">
        <w:rPr>
          <w:rFonts w:eastAsia="Calibri"/>
        </w:rPr>
        <w:t>’</w:t>
      </w:r>
      <w:r w:rsidR="005224EB">
        <w:rPr>
          <w:rFonts w:eastAsia="Calibri"/>
        </w:rPr>
        <w:t>UNESCO servaient de lien</w:t>
      </w:r>
      <w:r w:rsidR="006D5850">
        <w:rPr>
          <w:rFonts w:eastAsia="Calibri"/>
        </w:rPr>
        <w:t xml:space="preserve"> entre les États parties et l</w:t>
      </w:r>
      <w:r w:rsidR="00346F1B">
        <w:rPr>
          <w:rFonts w:eastAsia="Calibri"/>
        </w:rPr>
        <w:t>’</w:t>
      </w:r>
      <w:r w:rsidR="006D5850">
        <w:rPr>
          <w:rFonts w:eastAsia="Calibri"/>
        </w:rPr>
        <w:t>UNESCO. En outre, il était explicite dans le rapport, dans ses recommandations et par le contrôle interne, que les Bureaux hors siège de l</w:t>
      </w:r>
      <w:r w:rsidR="00346F1B">
        <w:rPr>
          <w:rFonts w:eastAsia="Calibri"/>
        </w:rPr>
        <w:t>’</w:t>
      </w:r>
      <w:r w:rsidR="006D5850">
        <w:rPr>
          <w:rFonts w:eastAsia="Calibri"/>
        </w:rPr>
        <w:t xml:space="preserve">UNESCO jouaient </w:t>
      </w:r>
      <w:r w:rsidR="006D5850" w:rsidRPr="006D5850">
        <w:rPr>
          <w:rFonts w:eastAsia="Calibri"/>
        </w:rPr>
        <w:t>également</w:t>
      </w:r>
      <w:r w:rsidR="006D5850">
        <w:rPr>
          <w:rFonts w:eastAsia="Calibri"/>
        </w:rPr>
        <w:t xml:space="preserve"> un rôle essentiel dans la promotion et la mise en œuvre de la </w:t>
      </w:r>
      <w:r w:rsidR="006D5850" w:rsidRPr="006D5850">
        <w:rPr>
          <w:rFonts w:eastAsia="Calibri"/>
        </w:rPr>
        <w:t>Convention</w:t>
      </w:r>
      <w:r w:rsidR="00DE0564">
        <w:rPr>
          <w:rFonts w:eastAsia="Calibri"/>
        </w:rPr>
        <w:t>.</w:t>
      </w:r>
    </w:p>
    <w:p w14:paraId="22F81127" w14:textId="66A959A8" w:rsidR="006D5850" w:rsidRPr="006D5850" w:rsidRDefault="006D5850"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6D5850">
        <w:rPr>
          <w:rFonts w:eastAsia="Calibri"/>
        </w:rPr>
        <w:t>délégation</w:t>
      </w:r>
      <w:r>
        <w:rPr>
          <w:rFonts w:eastAsia="Calibri"/>
        </w:rPr>
        <w:t xml:space="preserve"> de la </w:t>
      </w:r>
      <w:r w:rsidRPr="006D5850">
        <w:rPr>
          <w:rFonts w:eastAsia="Calibri"/>
          <w:b/>
        </w:rPr>
        <w:t>République de Corée</w:t>
      </w:r>
      <w:r>
        <w:rPr>
          <w:rFonts w:eastAsia="Calibri"/>
        </w:rPr>
        <w:t xml:space="preserve"> souscrivait à l</w:t>
      </w:r>
      <w:r w:rsidR="00346F1B">
        <w:rPr>
          <w:rFonts w:eastAsia="Calibri"/>
        </w:rPr>
        <w:t>’</w:t>
      </w:r>
      <w:r>
        <w:rPr>
          <w:rFonts w:eastAsia="Calibri"/>
        </w:rPr>
        <w:t>idée que</w:t>
      </w:r>
      <w:r w:rsidRPr="006D5850">
        <w:rPr>
          <w:rFonts w:eastAsia="Calibri"/>
        </w:rPr>
        <w:t xml:space="preserve"> </w:t>
      </w:r>
      <w:r>
        <w:rPr>
          <w:rFonts w:eastAsia="Calibri"/>
        </w:rPr>
        <w:t xml:space="preserve">les activités visant à la diffusion de la </w:t>
      </w:r>
      <w:r w:rsidRPr="006D5850">
        <w:rPr>
          <w:rFonts w:eastAsia="Calibri"/>
        </w:rPr>
        <w:t>Convention</w:t>
      </w:r>
      <w:r w:rsidR="00F42A8A">
        <w:rPr>
          <w:rFonts w:eastAsia="Calibri"/>
        </w:rPr>
        <w:t xml:space="preserve"> et au</w:t>
      </w:r>
      <w:r>
        <w:rPr>
          <w:rFonts w:eastAsia="Calibri"/>
        </w:rPr>
        <w:t xml:space="preserve"> partage d</w:t>
      </w:r>
      <w:r w:rsidR="00346F1B">
        <w:rPr>
          <w:rFonts w:eastAsia="Calibri"/>
        </w:rPr>
        <w:t>’</w:t>
      </w:r>
      <w:r w:rsidRPr="006D5850">
        <w:rPr>
          <w:rFonts w:eastAsia="Calibri"/>
        </w:rPr>
        <w:t>informations</w:t>
      </w:r>
      <w:r>
        <w:rPr>
          <w:rFonts w:eastAsia="Calibri"/>
        </w:rPr>
        <w:t>, pour lesquel</w:t>
      </w:r>
      <w:r w:rsidR="00F42A8A">
        <w:rPr>
          <w:rFonts w:eastAsia="Calibri"/>
        </w:rPr>
        <w:t>le</w:t>
      </w:r>
      <w:r>
        <w:rPr>
          <w:rFonts w:eastAsia="Calibri"/>
        </w:rPr>
        <w:t xml:space="preserve">s toutes les </w:t>
      </w:r>
      <w:r w:rsidRPr="006D5850">
        <w:rPr>
          <w:rFonts w:eastAsia="Calibri"/>
        </w:rPr>
        <w:t>institutions</w:t>
      </w:r>
      <w:r>
        <w:rPr>
          <w:rFonts w:eastAsia="Calibri"/>
        </w:rPr>
        <w:t xml:space="preserve"> jouaient un rôle essentiel, étaient très important</w:t>
      </w:r>
      <w:r w:rsidR="00F42A8A">
        <w:rPr>
          <w:rFonts w:eastAsia="Calibri"/>
        </w:rPr>
        <w:t>e</w:t>
      </w:r>
      <w:r>
        <w:rPr>
          <w:rFonts w:eastAsia="Calibri"/>
        </w:rPr>
        <w:t xml:space="preserve">s. À cet égard, la </w:t>
      </w:r>
      <w:r w:rsidRPr="006D5850">
        <w:rPr>
          <w:rFonts w:eastAsia="Calibri"/>
        </w:rPr>
        <w:t>délégation</w:t>
      </w:r>
      <w:r>
        <w:rPr>
          <w:rFonts w:eastAsia="Calibri"/>
        </w:rPr>
        <w:t xml:space="preserve"> a suggéré </w:t>
      </w:r>
      <w:r w:rsidR="009617D2">
        <w:rPr>
          <w:rFonts w:eastAsia="Calibri"/>
        </w:rPr>
        <w:t xml:space="preserve">de placer les Chaires UNESCO, UNITWIN, les Commissions nationales, les </w:t>
      </w:r>
      <w:r w:rsidR="009617D2" w:rsidRPr="009617D2">
        <w:rPr>
          <w:rFonts w:eastAsia="Calibri"/>
        </w:rPr>
        <w:t>institutions</w:t>
      </w:r>
      <w:r w:rsidR="009617D2">
        <w:rPr>
          <w:rFonts w:eastAsia="Calibri"/>
        </w:rPr>
        <w:t xml:space="preserve"> de catégories 2 de l</w:t>
      </w:r>
      <w:r w:rsidR="00346F1B">
        <w:rPr>
          <w:rFonts w:eastAsia="Calibri"/>
        </w:rPr>
        <w:t>’</w:t>
      </w:r>
      <w:r w:rsidR="009617D2">
        <w:rPr>
          <w:rFonts w:eastAsia="Calibri"/>
        </w:rPr>
        <w:t xml:space="preserve">UNESCO et les autres </w:t>
      </w:r>
      <w:r w:rsidR="009617D2" w:rsidRPr="009617D2">
        <w:rPr>
          <w:rFonts w:eastAsia="Calibri"/>
        </w:rPr>
        <w:t>institutions</w:t>
      </w:r>
      <w:r w:rsidR="009617D2">
        <w:rPr>
          <w:rFonts w:eastAsia="Calibri"/>
        </w:rPr>
        <w:t xml:space="preserve"> sous la bannière des « instituts (ou </w:t>
      </w:r>
      <w:r w:rsidR="009617D2" w:rsidRPr="009617D2">
        <w:rPr>
          <w:rFonts w:eastAsia="Calibri"/>
        </w:rPr>
        <w:t>institutions</w:t>
      </w:r>
      <w:r w:rsidR="00DE0564">
        <w:rPr>
          <w:rFonts w:eastAsia="Calibri"/>
        </w:rPr>
        <w:t>) rattachés à l</w:t>
      </w:r>
      <w:r w:rsidR="00346F1B">
        <w:rPr>
          <w:rFonts w:eastAsia="Calibri"/>
        </w:rPr>
        <w:t>’</w:t>
      </w:r>
      <w:r w:rsidR="00DE0564">
        <w:rPr>
          <w:rFonts w:eastAsia="Calibri"/>
        </w:rPr>
        <w:t>UNESCO ».</w:t>
      </w:r>
    </w:p>
    <w:p w14:paraId="092EA551" w14:textId="26AADEE2" w:rsidR="009617D2" w:rsidRDefault="009617D2"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9617D2">
        <w:rPr>
          <w:rFonts w:eastAsia="Calibri"/>
          <w:b/>
        </w:rPr>
        <w:t>Président</w:t>
      </w:r>
      <w:r>
        <w:rPr>
          <w:rFonts w:eastAsia="Calibri"/>
        </w:rPr>
        <w:t xml:space="preserve"> a demandé si seuls les centres de catégorie 2 devaient être cités ou toutes les institutions de l</w:t>
      </w:r>
      <w:r w:rsidR="00346F1B">
        <w:rPr>
          <w:rFonts w:eastAsia="Calibri"/>
        </w:rPr>
        <w:t>’</w:t>
      </w:r>
      <w:r>
        <w:rPr>
          <w:rFonts w:eastAsia="Calibri"/>
        </w:rPr>
        <w:t>UNESCO op</w:t>
      </w:r>
      <w:r w:rsidR="00DE0564">
        <w:rPr>
          <w:rFonts w:eastAsia="Calibri"/>
        </w:rPr>
        <w:t>érant dans un champ plus vaste.</w:t>
      </w:r>
    </w:p>
    <w:p w14:paraId="7B4F3B37" w14:textId="2E89ABA1" w:rsidR="009617D2" w:rsidRDefault="009617D2"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9617D2">
        <w:rPr>
          <w:rFonts w:eastAsia="Calibri"/>
        </w:rPr>
        <w:t>délégation</w:t>
      </w:r>
      <w:r>
        <w:rPr>
          <w:rFonts w:eastAsia="Calibri"/>
        </w:rPr>
        <w:t xml:space="preserve"> de la </w:t>
      </w:r>
      <w:r w:rsidRPr="009617D2">
        <w:rPr>
          <w:rFonts w:eastAsia="Calibri"/>
          <w:b/>
        </w:rPr>
        <w:t>République de Corée</w:t>
      </w:r>
      <w:r>
        <w:rPr>
          <w:rFonts w:eastAsia="Calibri"/>
        </w:rPr>
        <w:t xml:space="preserve"> a expliqué qu</w:t>
      </w:r>
      <w:r w:rsidR="00346F1B">
        <w:rPr>
          <w:rFonts w:eastAsia="Calibri"/>
        </w:rPr>
        <w:t>’</w:t>
      </w:r>
      <w:r>
        <w:rPr>
          <w:rFonts w:eastAsia="Calibri"/>
        </w:rPr>
        <w:t>elle avait souhaité présenter d</w:t>
      </w:r>
      <w:r w:rsidR="00346F1B">
        <w:rPr>
          <w:rFonts w:eastAsia="Calibri"/>
        </w:rPr>
        <w:t>’</w:t>
      </w:r>
      <w:r>
        <w:rPr>
          <w:rFonts w:eastAsia="Calibri"/>
        </w:rPr>
        <w:t>une façon plus simple tous les souhaits des États parties, en incluant chaque institut rattaché à l</w:t>
      </w:r>
      <w:r w:rsidR="00346F1B">
        <w:rPr>
          <w:rFonts w:eastAsia="Calibri"/>
        </w:rPr>
        <w:t>’</w:t>
      </w:r>
      <w:r>
        <w:rPr>
          <w:rFonts w:eastAsia="Calibri"/>
        </w:rPr>
        <w:t>UNESCO. P</w:t>
      </w:r>
      <w:r w:rsidRPr="009617D2">
        <w:rPr>
          <w:rFonts w:eastAsia="Calibri"/>
        </w:rPr>
        <w:t>ar exemple</w:t>
      </w:r>
      <w:r>
        <w:rPr>
          <w:rFonts w:eastAsia="Calibri"/>
        </w:rPr>
        <w:t>, les écoles de l</w:t>
      </w:r>
      <w:r w:rsidR="00346F1B">
        <w:rPr>
          <w:rFonts w:eastAsia="Calibri"/>
        </w:rPr>
        <w:t>’</w:t>
      </w:r>
      <w:r>
        <w:rPr>
          <w:rFonts w:eastAsia="Calibri"/>
        </w:rPr>
        <w:t xml:space="preserve">UNESCO jouaient </w:t>
      </w:r>
      <w:r w:rsidRPr="009617D2">
        <w:rPr>
          <w:rFonts w:eastAsia="Calibri"/>
        </w:rPr>
        <w:t>également</w:t>
      </w:r>
      <w:r>
        <w:rPr>
          <w:rFonts w:eastAsia="Calibri"/>
        </w:rPr>
        <w:t xml:space="preserve"> un rôle très important dans le partage des </w:t>
      </w:r>
      <w:r w:rsidRPr="009617D2">
        <w:rPr>
          <w:rFonts w:eastAsia="Calibri"/>
        </w:rPr>
        <w:t>informations</w:t>
      </w:r>
      <w:r w:rsidR="00F42A8A">
        <w:rPr>
          <w:rFonts w:eastAsia="Calibri"/>
        </w:rPr>
        <w:t xml:space="preserve"> et la</w:t>
      </w:r>
      <w:r w:rsidR="00DE0564">
        <w:rPr>
          <w:rFonts w:eastAsia="Calibri"/>
        </w:rPr>
        <w:t xml:space="preserve"> diffusion.</w:t>
      </w:r>
    </w:p>
    <w:p w14:paraId="2399A3A1" w14:textId="60A7883C" w:rsidR="00BB46FD" w:rsidRDefault="00F42A8A"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Forte d</w:t>
      </w:r>
      <w:r w:rsidR="00346F1B">
        <w:rPr>
          <w:rFonts w:eastAsia="Calibri"/>
        </w:rPr>
        <w:t>’</w:t>
      </w:r>
      <w:r w:rsidR="00BB46FD">
        <w:rPr>
          <w:rFonts w:eastAsia="Calibri"/>
        </w:rPr>
        <w:t xml:space="preserve">expériences réussies dans son pays, la </w:t>
      </w:r>
      <w:r w:rsidR="00BB46FD" w:rsidRPr="00BB46FD">
        <w:rPr>
          <w:rFonts w:eastAsia="Calibri"/>
        </w:rPr>
        <w:t>délégation</w:t>
      </w:r>
      <w:r w:rsidR="00BB46FD">
        <w:rPr>
          <w:rFonts w:eastAsia="Calibri"/>
        </w:rPr>
        <w:t xml:space="preserve"> de la </w:t>
      </w:r>
      <w:r w:rsidR="00BB46FD" w:rsidRPr="00BB46FD">
        <w:rPr>
          <w:rFonts w:eastAsia="Calibri"/>
          <w:b/>
        </w:rPr>
        <w:t>Hongrie</w:t>
      </w:r>
      <w:r w:rsidR="00BB46FD">
        <w:rPr>
          <w:rFonts w:eastAsia="Calibri"/>
        </w:rPr>
        <w:t xml:space="preserve"> </w:t>
      </w:r>
      <w:r>
        <w:rPr>
          <w:rFonts w:eastAsia="Calibri"/>
        </w:rPr>
        <w:t>soutenait</w:t>
      </w:r>
      <w:r w:rsidR="00BB46FD">
        <w:rPr>
          <w:rFonts w:eastAsia="Calibri"/>
        </w:rPr>
        <w:t xml:space="preserve"> la Turqui</w:t>
      </w:r>
      <w:r w:rsidR="00897FA3">
        <w:rPr>
          <w:rFonts w:eastAsia="Calibri"/>
        </w:rPr>
        <w:t>e dans sa volonté d</w:t>
      </w:r>
      <w:r w:rsidR="00346F1B">
        <w:rPr>
          <w:rFonts w:eastAsia="Calibri"/>
        </w:rPr>
        <w:t>’</w:t>
      </w:r>
      <w:r w:rsidR="00897FA3">
        <w:rPr>
          <w:rFonts w:eastAsia="Calibri"/>
        </w:rPr>
        <w:t>inclure le R</w:t>
      </w:r>
      <w:r w:rsidR="00BB46FD">
        <w:rPr>
          <w:rFonts w:eastAsia="Calibri"/>
        </w:rPr>
        <w:t xml:space="preserve">éseau UNITWIN, mais </w:t>
      </w:r>
      <w:r w:rsidR="00BB46FD" w:rsidRPr="00BB46FD">
        <w:rPr>
          <w:rFonts w:eastAsia="Calibri"/>
        </w:rPr>
        <w:t>également</w:t>
      </w:r>
      <w:r w:rsidR="00BB46FD">
        <w:rPr>
          <w:rFonts w:eastAsia="Calibri"/>
        </w:rPr>
        <w:t xml:space="preserve"> les écoles de l</w:t>
      </w:r>
      <w:r w:rsidR="00346F1B">
        <w:rPr>
          <w:rFonts w:eastAsia="Calibri"/>
        </w:rPr>
        <w:t>’</w:t>
      </w:r>
      <w:r w:rsidR="00BB46FD">
        <w:rPr>
          <w:rFonts w:eastAsia="Calibri"/>
        </w:rPr>
        <w:t>UNESCO.</w:t>
      </w:r>
      <w:r>
        <w:rPr>
          <w:rFonts w:eastAsia="Calibri"/>
        </w:rPr>
        <w:t xml:space="preserve"> En effet</w:t>
      </w:r>
      <w:r w:rsidR="00BB46FD">
        <w:rPr>
          <w:rFonts w:eastAsia="Calibri"/>
        </w:rPr>
        <w:t xml:space="preserve">, tous les programmes éducatifs en lien </w:t>
      </w:r>
      <w:r w:rsidR="00DE0564">
        <w:rPr>
          <w:rFonts w:eastAsia="Calibri"/>
        </w:rPr>
        <w:t>avec le PCI étaient importants.</w:t>
      </w:r>
    </w:p>
    <w:p w14:paraId="0F29195E" w14:textId="3E9377FC" w:rsidR="00BB46FD" w:rsidRDefault="00BB46FD"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BB46FD">
        <w:rPr>
          <w:rFonts w:eastAsia="Calibri"/>
          <w:b/>
        </w:rPr>
        <w:t>Président</w:t>
      </w:r>
      <w:r>
        <w:rPr>
          <w:rFonts w:eastAsia="Calibri"/>
        </w:rPr>
        <w:t xml:space="preserve"> est revenu sur la </w:t>
      </w:r>
      <w:r w:rsidRPr="00BB46FD">
        <w:rPr>
          <w:rFonts w:eastAsia="Calibri"/>
        </w:rPr>
        <w:t xml:space="preserve">proposition </w:t>
      </w:r>
      <w:r>
        <w:rPr>
          <w:rFonts w:eastAsia="Calibri"/>
        </w:rPr>
        <w:t xml:space="preserve">de la République de Corée de regrouper toutes les </w:t>
      </w:r>
      <w:r w:rsidRPr="00BB46FD">
        <w:rPr>
          <w:rFonts w:eastAsia="Calibri"/>
        </w:rPr>
        <w:t>institutions</w:t>
      </w:r>
      <w:r>
        <w:rPr>
          <w:rFonts w:eastAsia="Calibri"/>
        </w:rPr>
        <w:t xml:space="preserve"> potentielles sous les termes « </w:t>
      </w:r>
      <w:r w:rsidRPr="00BB46FD">
        <w:rPr>
          <w:rFonts w:eastAsia="Calibri"/>
        </w:rPr>
        <w:t>institutions</w:t>
      </w:r>
      <w:r>
        <w:rPr>
          <w:rFonts w:eastAsia="Calibri"/>
        </w:rPr>
        <w:t xml:space="preserve"> et partenaires rattachés à l</w:t>
      </w:r>
      <w:r w:rsidR="00346F1B">
        <w:rPr>
          <w:rFonts w:eastAsia="Calibri"/>
        </w:rPr>
        <w:t>’</w:t>
      </w:r>
      <w:r>
        <w:rPr>
          <w:rFonts w:eastAsia="Calibri"/>
        </w:rPr>
        <w:t xml:space="preserve">UNESCO » qui engloberaient tous les organes et </w:t>
      </w:r>
      <w:r w:rsidRPr="00BB46FD">
        <w:rPr>
          <w:rFonts w:eastAsia="Calibri"/>
        </w:rPr>
        <w:t>institutions</w:t>
      </w:r>
      <w:r w:rsidR="00897FA3">
        <w:rPr>
          <w:rFonts w:eastAsia="Calibri"/>
        </w:rPr>
        <w:t xml:space="preserve"> cité</w:t>
      </w:r>
      <w:r w:rsidR="00DE0564">
        <w:rPr>
          <w:rFonts w:eastAsia="Calibri"/>
        </w:rPr>
        <w:t>s.</w:t>
      </w:r>
    </w:p>
    <w:p w14:paraId="122C9B3E" w14:textId="0A5C5C1E" w:rsidR="00BB46FD" w:rsidRDefault="00BB46FD"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BB46FD">
        <w:rPr>
          <w:rFonts w:eastAsia="Calibri"/>
        </w:rPr>
        <w:t>délégation</w:t>
      </w:r>
      <w:r>
        <w:rPr>
          <w:rFonts w:eastAsia="Calibri"/>
        </w:rPr>
        <w:t xml:space="preserve"> de la </w:t>
      </w:r>
      <w:r w:rsidRPr="00BB46FD">
        <w:rPr>
          <w:rFonts w:eastAsia="Calibri"/>
          <w:b/>
        </w:rPr>
        <w:t>République de Corée</w:t>
      </w:r>
      <w:r w:rsidR="00F42A8A">
        <w:rPr>
          <w:rFonts w:eastAsia="Calibri"/>
        </w:rPr>
        <w:t xml:space="preserve"> souscrivai</w:t>
      </w:r>
      <w:r w:rsidR="00B55A2B">
        <w:rPr>
          <w:rFonts w:eastAsia="Calibri"/>
        </w:rPr>
        <w:t xml:space="preserve">t </w:t>
      </w:r>
      <w:r w:rsidR="00DE0564">
        <w:rPr>
          <w:rFonts w:eastAsia="Calibri"/>
        </w:rPr>
        <w:t>à cette proposition.</w:t>
      </w:r>
    </w:p>
    <w:p w14:paraId="3BB3B043" w14:textId="28BF4D9B" w:rsidR="0008788A" w:rsidRPr="0008788A" w:rsidRDefault="006C5DEB"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6C5DEB">
        <w:rPr>
          <w:rFonts w:eastAsia="Calibri"/>
        </w:rPr>
        <w:t>délégation</w:t>
      </w:r>
      <w:r>
        <w:rPr>
          <w:rFonts w:eastAsia="Calibri"/>
        </w:rPr>
        <w:t xml:space="preserve"> de la </w:t>
      </w:r>
      <w:r w:rsidRPr="0008788A">
        <w:rPr>
          <w:rFonts w:eastAsia="Calibri"/>
          <w:b/>
        </w:rPr>
        <w:t>Turquie</w:t>
      </w:r>
      <w:r>
        <w:rPr>
          <w:rFonts w:eastAsia="Calibri"/>
        </w:rPr>
        <w:t xml:space="preserve"> a noté que le </w:t>
      </w:r>
      <w:r w:rsidRPr="006C5DEB">
        <w:rPr>
          <w:rFonts w:eastAsia="Calibri"/>
        </w:rPr>
        <w:t>paragraphe</w:t>
      </w:r>
      <w:r>
        <w:rPr>
          <w:rFonts w:eastAsia="Calibri"/>
        </w:rPr>
        <w:t xml:space="preserve"> 11 faisait référence au</w:t>
      </w:r>
      <w:r w:rsidR="0008788A">
        <w:rPr>
          <w:rFonts w:eastAsia="Calibri"/>
        </w:rPr>
        <w:t>x</w:t>
      </w:r>
      <w:r>
        <w:rPr>
          <w:rFonts w:eastAsia="Calibri"/>
        </w:rPr>
        <w:t xml:space="preserve"> centres de catégorie </w:t>
      </w:r>
      <w:r w:rsidR="0008788A">
        <w:rPr>
          <w:rFonts w:eastAsia="Calibri"/>
        </w:rPr>
        <w:t>2 travaillant dans le domaine du PCI à l</w:t>
      </w:r>
      <w:r w:rsidR="00346F1B">
        <w:rPr>
          <w:rFonts w:eastAsia="Calibri"/>
        </w:rPr>
        <w:t>’</w:t>
      </w:r>
      <w:r w:rsidR="0008788A">
        <w:rPr>
          <w:rFonts w:eastAsia="Calibri"/>
        </w:rPr>
        <w:t>UNESCO. S</w:t>
      </w:r>
      <w:r w:rsidR="00346F1B">
        <w:rPr>
          <w:rFonts w:eastAsia="Calibri"/>
        </w:rPr>
        <w:t>’</w:t>
      </w:r>
      <w:r w:rsidR="0008788A">
        <w:rPr>
          <w:rFonts w:eastAsia="Calibri"/>
        </w:rPr>
        <w:t xml:space="preserve">agissant du </w:t>
      </w:r>
      <w:r w:rsidR="0008788A" w:rsidRPr="0008788A">
        <w:rPr>
          <w:rFonts w:eastAsia="Calibri"/>
        </w:rPr>
        <w:t>paragraphe</w:t>
      </w:r>
      <w:r w:rsidR="0008788A">
        <w:rPr>
          <w:rFonts w:eastAsia="Calibri"/>
        </w:rPr>
        <w:t xml:space="preserve"> 12, l</w:t>
      </w:r>
      <w:r w:rsidR="00346F1B">
        <w:rPr>
          <w:rFonts w:eastAsia="Calibri"/>
        </w:rPr>
        <w:t>’</w:t>
      </w:r>
      <w:r w:rsidR="0008788A">
        <w:rPr>
          <w:rFonts w:eastAsia="Calibri"/>
        </w:rPr>
        <w:t xml:space="preserve">UNESCO avait </w:t>
      </w:r>
      <w:r w:rsidR="0008788A" w:rsidRPr="0008788A">
        <w:rPr>
          <w:rFonts w:eastAsia="Calibri"/>
        </w:rPr>
        <w:t>également</w:t>
      </w:r>
      <w:r w:rsidR="0008788A">
        <w:rPr>
          <w:rFonts w:eastAsia="Calibri"/>
        </w:rPr>
        <w:t xml:space="preserve"> un pr</w:t>
      </w:r>
      <w:r w:rsidR="00897FA3">
        <w:rPr>
          <w:rFonts w:eastAsia="Calibri"/>
        </w:rPr>
        <w:t>ogramme de « Chaires UNESCO et R</w:t>
      </w:r>
      <w:r w:rsidR="0008788A">
        <w:rPr>
          <w:rFonts w:eastAsia="Calibri"/>
        </w:rPr>
        <w:t>éseaux UNITWIN » qui dev</w:t>
      </w:r>
      <w:r w:rsidR="00F42A8A">
        <w:rPr>
          <w:rFonts w:eastAsia="Calibri"/>
        </w:rPr>
        <w:t>r</w:t>
      </w:r>
      <w:r w:rsidR="0008788A">
        <w:rPr>
          <w:rFonts w:eastAsia="Calibri"/>
        </w:rPr>
        <w:t xml:space="preserve">ait être </w:t>
      </w:r>
      <w:r w:rsidR="00B55A2B">
        <w:rPr>
          <w:rFonts w:eastAsia="Calibri"/>
        </w:rPr>
        <w:t xml:space="preserve">évoqué </w:t>
      </w:r>
      <w:r w:rsidR="00DE0564">
        <w:rPr>
          <w:rFonts w:eastAsia="Calibri"/>
        </w:rPr>
        <w:t>sous un seul et même nom.</w:t>
      </w:r>
    </w:p>
    <w:p w14:paraId="48EACE0E" w14:textId="51EB98A8" w:rsidR="00B55A2B" w:rsidRDefault="00B55A2B"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B55A2B">
        <w:rPr>
          <w:rFonts w:eastAsia="Calibri"/>
        </w:rPr>
        <w:t>délégation</w:t>
      </w:r>
      <w:r>
        <w:rPr>
          <w:rFonts w:eastAsia="Calibri"/>
        </w:rPr>
        <w:t xml:space="preserve"> de l</w:t>
      </w:r>
      <w:r w:rsidR="00346F1B">
        <w:rPr>
          <w:rFonts w:eastAsia="Calibri"/>
        </w:rPr>
        <w:t>’</w:t>
      </w:r>
      <w:r w:rsidRPr="00B55A2B">
        <w:rPr>
          <w:rFonts w:eastAsia="Calibri"/>
          <w:b/>
        </w:rPr>
        <w:t>Autriche</w:t>
      </w:r>
      <w:r>
        <w:rPr>
          <w:rFonts w:eastAsia="Calibri"/>
        </w:rPr>
        <w:t xml:space="preserve"> s</w:t>
      </w:r>
      <w:r w:rsidR="00346F1B">
        <w:rPr>
          <w:rFonts w:eastAsia="Calibri"/>
        </w:rPr>
        <w:t>’</w:t>
      </w:r>
      <w:r>
        <w:rPr>
          <w:rFonts w:eastAsia="Calibri"/>
        </w:rPr>
        <w:t xml:space="preserve">accordait avec la Turquie pour dire que les </w:t>
      </w:r>
      <w:r w:rsidRPr="00B55A2B">
        <w:rPr>
          <w:rFonts w:eastAsia="Calibri"/>
        </w:rPr>
        <w:t>institutions</w:t>
      </w:r>
      <w:r>
        <w:rPr>
          <w:rFonts w:eastAsia="Calibri"/>
        </w:rPr>
        <w:t xml:space="preserve"> rattachées à l</w:t>
      </w:r>
      <w:r w:rsidR="00346F1B">
        <w:rPr>
          <w:rFonts w:eastAsia="Calibri"/>
        </w:rPr>
        <w:t>’</w:t>
      </w:r>
      <w:r>
        <w:rPr>
          <w:rFonts w:eastAsia="Calibri"/>
        </w:rPr>
        <w:t xml:space="preserve">UNESCO comprenaient </w:t>
      </w:r>
      <w:r w:rsidRPr="00B55A2B">
        <w:rPr>
          <w:rFonts w:eastAsia="Calibri"/>
        </w:rPr>
        <w:t>également</w:t>
      </w:r>
      <w:r>
        <w:rPr>
          <w:rFonts w:eastAsia="Calibri"/>
        </w:rPr>
        <w:t xml:space="preserve"> les Commissions nationales pour l</w:t>
      </w:r>
      <w:r w:rsidR="00346F1B">
        <w:rPr>
          <w:rFonts w:eastAsia="Calibri"/>
        </w:rPr>
        <w:t>’</w:t>
      </w:r>
      <w:r>
        <w:rPr>
          <w:rFonts w:eastAsia="Calibri"/>
        </w:rPr>
        <w:t xml:space="preserve">UNESCO. </w:t>
      </w:r>
      <w:r w:rsidRPr="00B55A2B">
        <w:rPr>
          <w:rFonts w:eastAsia="Calibri"/>
        </w:rPr>
        <w:t>Toutefois</w:t>
      </w:r>
      <w:r>
        <w:rPr>
          <w:rFonts w:eastAsia="Calibri"/>
        </w:rPr>
        <w:t>, d</w:t>
      </w:r>
      <w:r w:rsidR="00346F1B">
        <w:rPr>
          <w:rFonts w:eastAsia="Calibri"/>
        </w:rPr>
        <w:t>’</w:t>
      </w:r>
      <w:r>
        <w:rPr>
          <w:rFonts w:eastAsia="Calibri"/>
        </w:rPr>
        <w:t xml:space="preserve">autres entités, </w:t>
      </w:r>
      <w:r w:rsidRPr="00B55A2B">
        <w:rPr>
          <w:rFonts w:eastAsia="Calibri"/>
        </w:rPr>
        <w:t>en particulier</w:t>
      </w:r>
      <w:r>
        <w:rPr>
          <w:rFonts w:eastAsia="Calibri"/>
        </w:rPr>
        <w:t xml:space="preserve"> la société civile et les</w:t>
      </w:r>
      <w:r w:rsidR="00897FA3">
        <w:rPr>
          <w:rFonts w:eastAsia="Calibri"/>
        </w:rPr>
        <w:t xml:space="preserve"> </w:t>
      </w:r>
      <w:r w:rsidR="00897FA3" w:rsidRPr="00897FA3">
        <w:rPr>
          <w:rFonts w:eastAsia="Calibri"/>
        </w:rPr>
        <w:t>établissement</w:t>
      </w:r>
      <w:r w:rsidR="00F42A8A">
        <w:rPr>
          <w:rFonts w:eastAsia="Calibri"/>
        </w:rPr>
        <w:t>s</w:t>
      </w:r>
      <w:r w:rsidR="00897FA3">
        <w:rPr>
          <w:rFonts w:eastAsia="Calibri"/>
        </w:rPr>
        <w:t xml:space="preserve"> d</w:t>
      </w:r>
      <w:r w:rsidR="00346F1B">
        <w:rPr>
          <w:rFonts w:eastAsia="Calibri"/>
        </w:rPr>
        <w:t>’</w:t>
      </w:r>
      <w:r w:rsidR="00897FA3" w:rsidRPr="00897FA3">
        <w:rPr>
          <w:rFonts w:eastAsia="Calibri"/>
        </w:rPr>
        <w:t>enseignement</w:t>
      </w:r>
      <w:r w:rsidR="00897FA3">
        <w:rPr>
          <w:rFonts w:eastAsia="Calibri"/>
        </w:rPr>
        <w:t>, devraient être citée</w:t>
      </w:r>
      <w:r>
        <w:rPr>
          <w:rFonts w:eastAsia="Calibri"/>
        </w:rPr>
        <w:t xml:space="preserve">s à part. Ainsi, « les </w:t>
      </w:r>
      <w:r w:rsidRPr="00B55A2B">
        <w:rPr>
          <w:rFonts w:eastAsia="Calibri"/>
        </w:rPr>
        <w:t>institutions</w:t>
      </w:r>
      <w:r>
        <w:rPr>
          <w:rFonts w:eastAsia="Calibri"/>
        </w:rPr>
        <w:t xml:space="preserve"> rattachées à l</w:t>
      </w:r>
      <w:r w:rsidR="00346F1B">
        <w:rPr>
          <w:rFonts w:eastAsia="Calibri"/>
        </w:rPr>
        <w:t>’</w:t>
      </w:r>
      <w:r>
        <w:rPr>
          <w:rFonts w:eastAsia="Calibri"/>
        </w:rPr>
        <w:t>UNESCO » ne devraient pas englober toutes les entités.</w:t>
      </w:r>
    </w:p>
    <w:p w14:paraId="0238E173" w14:textId="12EF5E2B" w:rsidR="00B55A2B" w:rsidRDefault="00B55A2B"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B55A2B">
        <w:rPr>
          <w:rFonts w:eastAsia="Calibri"/>
          <w:b/>
        </w:rPr>
        <w:t>Président</w:t>
      </w:r>
      <w:r>
        <w:rPr>
          <w:rFonts w:eastAsia="Calibri"/>
        </w:rPr>
        <w:t xml:space="preserve"> a sollicité l</w:t>
      </w:r>
      <w:r w:rsidR="00346F1B">
        <w:rPr>
          <w:rFonts w:eastAsia="Calibri"/>
        </w:rPr>
        <w:t>’</w:t>
      </w:r>
      <w:r>
        <w:rPr>
          <w:rFonts w:eastAsia="Calibri"/>
        </w:rPr>
        <w:t>aide de l</w:t>
      </w:r>
      <w:r w:rsidR="00346F1B">
        <w:rPr>
          <w:rFonts w:eastAsia="Calibri"/>
        </w:rPr>
        <w:t>’</w:t>
      </w:r>
      <w:r>
        <w:rPr>
          <w:rFonts w:eastAsia="Calibri"/>
        </w:rPr>
        <w:t>Autriche pour réécrire l</w:t>
      </w:r>
      <w:r w:rsidR="00346F1B">
        <w:rPr>
          <w:rFonts w:eastAsia="Calibri"/>
        </w:rPr>
        <w:t>’</w:t>
      </w:r>
      <w:r w:rsidRPr="00B55A2B">
        <w:rPr>
          <w:rFonts w:eastAsia="Calibri"/>
        </w:rPr>
        <w:t>amendement</w:t>
      </w:r>
      <w:r>
        <w:rPr>
          <w:rFonts w:eastAsia="Calibri"/>
        </w:rPr>
        <w:t>.</w:t>
      </w:r>
    </w:p>
    <w:p w14:paraId="3A1ECFF8" w14:textId="71076891" w:rsidR="00802D01" w:rsidRPr="00897FA3" w:rsidRDefault="00B55A2B" w:rsidP="00AF7860">
      <w:pPr>
        <w:pStyle w:val="Orateurengris"/>
        <w:tabs>
          <w:tab w:val="clear" w:pos="709"/>
          <w:tab w:val="clear" w:pos="1418"/>
          <w:tab w:val="clear" w:pos="2126"/>
          <w:tab w:val="clear" w:pos="2835"/>
          <w:tab w:val="clear" w:pos="3686"/>
        </w:tabs>
        <w:spacing w:before="120"/>
        <w:ind w:left="709" w:hanging="709"/>
        <w:rPr>
          <w:rFonts w:eastAsia="Calibri"/>
        </w:rPr>
      </w:pPr>
      <w:r w:rsidRPr="00B55A2B">
        <w:rPr>
          <w:rFonts w:eastAsia="Calibri"/>
        </w:rPr>
        <w:t xml:space="preserve">Suite aux remarques des </w:t>
      </w:r>
      <w:r>
        <w:rPr>
          <w:rFonts w:eastAsia="Calibri"/>
        </w:rPr>
        <w:t xml:space="preserve">délégations, le </w:t>
      </w:r>
      <w:r w:rsidRPr="00B55A2B">
        <w:rPr>
          <w:rFonts w:eastAsia="Calibri"/>
          <w:b/>
        </w:rPr>
        <w:t>Secrétaire</w:t>
      </w:r>
      <w:r>
        <w:rPr>
          <w:rFonts w:eastAsia="Calibri"/>
        </w:rPr>
        <w:t xml:space="preserve"> comprenait que les Chaires UNESCO</w:t>
      </w:r>
      <w:r w:rsidR="00897FA3">
        <w:rPr>
          <w:rFonts w:eastAsia="Calibri"/>
        </w:rPr>
        <w:t xml:space="preserve"> et le R</w:t>
      </w:r>
      <w:r>
        <w:rPr>
          <w:rFonts w:eastAsia="Calibri"/>
        </w:rPr>
        <w:t>éseau UNITWIN constituaient un programme plutôt qu</w:t>
      </w:r>
      <w:r w:rsidR="00346F1B">
        <w:rPr>
          <w:rFonts w:eastAsia="Calibri"/>
        </w:rPr>
        <w:t>’</w:t>
      </w:r>
      <w:r>
        <w:rPr>
          <w:rFonts w:eastAsia="Calibri"/>
        </w:rPr>
        <w:t xml:space="preserve">une institution. Toutefois, il y avait </w:t>
      </w:r>
      <w:r w:rsidRPr="00B55A2B">
        <w:rPr>
          <w:rFonts w:eastAsia="Calibri"/>
        </w:rPr>
        <w:t>également</w:t>
      </w:r>
      <w:r>
        <w:rPr>
          <w:rFonts w:eastAsia="Calibri"/>
        </w:rPr>
        <w:t xml:space="preserve"> des </w:t>
      </w:r>
      <w:r w:rsidRPr="00B55A2B">
        <w:rPr>
          <w:rFonts w:eastAsia="Calibri"/>
        </w:rPr>
        <w:t>institutions</w:t>
      </w:r>
      <w:r>
        <w:rPr>
          <w:rFonts w:eastAsia="Calibri"/>
        </w:rPr>
        <w:t xml:space="preserve"> telles que les Commissions nationales et les centres de catégorie 2</w:t>
      </w:r>
      <w:r w:rsidR="00802D01">
        <w:rPr>
          <w:rFonts w:eastAsia="Calibri"/>
        </w:rPr>
        <w:t xml:space="preserve">. La </w:t>
      </w:r>
      <w:r w:rsidR="00802D01" w:rsidRPr="00802D01">
        <w:rPr>
          <w:rFonts w:eastAsia="Calibri"/>
        </w:rPr>
        <w:t xml:space="preserve">proposition </w:t>
      </w:r>
      <w:r w:rsidR="00802D01">
        <w:rPr>
          <w:rFonts w:eastAsia="Calibri"/>
        </w:rPr>
        <w:t xml:space="preserve">de la </w:t>
      </w:r>
      <w:r w:rsidR="00802D01" w:rsidRPr="00802D01">
        <w:rPr>
          <w:rFonts w:eastAsia="Calibri"/>
        </w:rPr>
        <w:t>République</w:t>
      </w:r>
      <w:r w:rsidR="00802D01">
        <w:rPr>
          <w:rFonts w:eastAsia="Calibri"/>
        </w:rPr>
        <w:t xml:space="preserve"> de Corée était de regrouper ces entités sous les termes « </w:t>
      </w:r>
      <w:r w:rsidR="00802D01" w:rsidRPr="00802D01">
        <w:rPr>
          <w:rFonts w:eastAsia="Calibri"/>
        </w:rPr>
        <w:t>institutions</w:t>
      </w:r>
      <w:r w:rsidR="00802D01">
        <w:rPr>
          <w:rFonts w:eastAsia="Calibri"/>
        </w:rPr>
        <w:t xml:space="preserve"> affiliées à l</w:t>
      </w:r>
      <w:r w:rsidR="00346F1B">
        <w:rPr>
          <w:rFonts w:eastAsia="Calibri"/>
        </w:rPr>
        <w:t>’</w:t>
      </w:r>
      <w:r w:rsidR="00802D01">
        <w:rPr>
          <w:rFonts w:eastAsia="Calibri"/>
        </w:rPr>
        <w:t>UNESCO ou rattachées à l</w:t>
      </w:r>
      <w:r w:rsidR="00346F1B">
        <w:rPr>
          <w:rFonts w:eastAsia="Calibri"/>
        </w:rPr>
        <w:t>’</w:t>
      </w:r>
      <w:r w:rsidR="00802D01">
        <w:rPr>
          <w:rFonts w:eastAsia="Calibri"/>
        </w:rPr>
        <w:t>UNESCO », tandis que l</w:t>
      </w:r>
      <w:r w:rsidR="00346F1B">
        <w:rPr>
          <w:rFonts w:eastAsia="Calibri"/>
        </w:rPr>
        <w:t>’</w:t>
      </w:r>
      <w:r w:rsidR="00802D01">
        <w:rPr>
          <w:rFonts w:eastAsia="Calibri"/>
        </w:rPr>
        <w:t>Autriche souhaitait conserver la mention des</w:t>
      </w:r>
      <w:r w:rsidR="00897FA3">
        <w:rPr>
          <w:rFonts w:eastAsia="Calibri"/>
        </w:rPr>
        <w:t xml:space="preserve"> établissements d</w:t>
      </w:r>
      <w:r w:rsidR="00346F1B">
        <w:rPr>
          <w:rFonts w:eastAsia="Calibri"/>
        </w:rPr>
        <w:t>’</w:t>
      </w:r>
      <w:r w:rsidR="00897FA3" w:rsidRPr="00897FA3">
        <w:rPr>
          <w:rFonts w:eastAsia="Calibri"/>
        </w:rPr>
        <w:t>enseignement</w:t>
      </w:r>
      <w:r w:rsidR="00802D01" w:rsidRPr="00897FA3">
        <w:rPr>
          <w:rFonts w:eastAsia="Calibri"/>
        </w:rPr>
        <w:t>, de la société civile et autres, qu</w:t>
      </w:r>
      <w:r w:rsidR="00346F1B">
        <w:rPr>
          <w:rFonts w:eastAsia="Calibri"/>
        </w:rPr>
        <w:t>’</w:t>
      </w:r>
      <w:r w:rsidR="00802D01" w:rsidRPr="00897FA3">
        <w:rPr>
          <w:rFonts w:eastAsia="Calibri"/>
        </w:rPr>
        <w:t>elles soient ou non des institutions de l</w:t>
      </w:r>
      <w:r w:rsidR="00346F1B">
        <w:rPr>
          <w:rFonts w:eastAsia="Calibri"/>
        </w:rPr>
        <w:t>’</w:t>
      </w:r>
      <w:r w:rsidR="00802D01" w:rsidRPr="00897FA3">
        <w:rPr>
          <w:rFonts w:eastAsia="Calibri"/>
        </w:rPr>
        <w:t xml:space="preserve">UNESCO. Le Secrétaire a suggéré que la solution pourrait résider dans la reconnaissance des programmes spécifiques des Chaires UNESCO et du réseau UNITWIN, qui </w:t>
      </w:r>
      <w:r w:rsidR="00F42A8A">
        <w:rPr>
          <w:rFonts w:eastAsia="Calibri"/>
        </w:rPr>
        <w:t xml:space="preserve">étaient </w:t>
      </w:r>
      <w:r w:rsidR="00802D01" w:rsidRPr="00897FA3">
        <w:rPr>
          <w:rFonts w:eastAsia="Calibri"/>
        </w:rPr>
        <w:t>des programmes et non des institutions, et la référence à toutes les institutions rattachées à l</w:t>
      </w:r>
      <w:r w:rsidR="00346F1B">
        <w:rPr>
          <w:rFonts w:eastAsia="Calibri"/>
        </w:rPr>
        <w:t>’</w:t>
      </w:r>
      <w:r w:rsidR="00802D01" w:rsidRPr="00897FA3">
        <w:rPr>
          <w:rFonts w:eastAsia="Calibri"/>
        </w:rPr>
        <w:t>UNESCO ainsi qu</w:t>
      </w:r>
      <w:r w:rsidR="00346F1B">
        <w:rPr>
          <w:rFonts w:eastAsia="Calibri"/>
        </w:rPr>
        <w:t>’</w:t>
      </w:r>
      <w:r w:rsidR="00802D01" w:rsidRPr="00897FA3">
        <w:rPr>
          <w:rFonts w:eastAsia="Calibri"/>
        </w:rPr>
        <w:t xml:space="preserve">aux </w:t>
      </w:r>
      <w:r w:rsidR="00897FA3" w:rsidRPr="00897FA3">
        <w:rPr>
          <w:rFonts w:eastAsia="Calibri"/>
        </w:rPr>
        <w:t>établissement</w:t>
      </w:r>
      <w:r w:rsidR="00F42A8A">
        <w:rPr>
          <w:rFonts w:eastAsia="Calibri"/>
        </w:rPr>
        <w:t>s</w:t>
      </w:r>
      <w:r w:rsidR="00897FA3">
        <w:rPr>
          <w:rFonts w:eastAsia="Calibri"/>
        </w:rPr>
        <w:t xml:space="preserve"> d</w:t>
      </w:r>
      <w:r w:rsidR="00346F1B">
        <w:rPr>
          <w:rFonts w:eastAsia="Calibri"/>
        </w:rPr>
        <w:t>’</w:t>
      </w:r>
      <w:r w:rsidR="00897FA3" w:rsidRPr="00897FA3">
        <w:rPr>
          <w:rFonts w:eastAsia="Calibri"/>
        </w:rPr>
        <w:t>enseignement</w:t>
      </w:r>
      <w:r w:rsidR="00802D01" w:rsidRPr="00897FA3">
        <w:rPr>
          <w:rFonts w:eastAsia="Calibri"/>
        </w:rPr>
        <w:t xml:space="preserve">, à la société civile et autres, qui </w:t>
      </w:r>
      <w:r w:rsidR="00F42A8A">
        <w:rPr>
          <w:rFonts w:eastAsia="Calibri"/>
        </w:rPr>
        <w:t xml:space="preserve">étaient </w:t>
      </w:r>
      <w:r w:rsidR="00802D01" w:rsidRPr="00897FA3">
        <w:rPr>
          <w:rFonts w:eastAsia="Calibri"/>
        </w:rPr>
        <w:t>des programmes ou des institutions qui ne dépend</w:t>
      </w:r>
      <w:r w:rsidR="00F42A8A">
        <w:rPr>
          <w:rFonts w:eastAsia="Calibri"/>
        </w:rPr>
        <w:t>ai</w:t>
      </w:r>
      <w:r w:rsidR="00802D01" w:rsidRPr="00897FA3">
        <w:rPr>
          <w:rFonts w:eastAsia="Calibri"/>
        </w:rPr>
        <w:t>ent pas de l</w:t>
      </w:r>
      <w:r w:rsidR="00346F1B">
        <w:rPr>
          <w:rFonts w:eastAsia="Calibri"/>
        </w:rPr>
        <w:t>’</w:t>
      </w:r>
      <w:r w:rsidR="00802D01" w:rsidRPr="00897FA3">
        <w:rPr>
          <w:rFonts w:eastAsia="Calibri"/>
        </w:rPr>
        <w:t>UNESCO. L</w:t>
      </w:r>
      <w:r w:rsidR="00346F1B">
        <w:rPr>
          <w:rFonts w:eastAsia="Calibri"/>
        </w:rPr>
        <w:t>’</w:t>
      </w:r>
      <w:r w:rsidR="00802D01" w:rsidRPr="00897FA3">
        <w:rPr>
          <w:rFonts w:eastAsia="Calibri"/>
        </w:rPr>
        <w:t xml:space="preserve">amendement proposé serait ainsi rédigé : « Invite également le Secrétariat à renforcer la portée et la visibilité de ses activités en consolidant les réseaux et partenariats, tels que la coopération avec les Chaires UNESCO et </w:t>
      </w:r>
      <w:r w:rsidR="00897FA3" w:rsidRPr="00897FA3">
        <w:rPr>
          <w:rFonts w:eastAsia="Calibri"/>
        </w:rPr>
        <w:t>réseaux UNITWIN, les institutions rattachées à l</w:t>
      </w:r>
      <w:r w:rsidR="00346F1B">
        <w:rPr>
          <w:rFonts w:eastAsia="Calibri"/>
        </w:rPr>
        <w:t>’</w:t>
      </w:r>
      <w:r w:rsidR="00897FA3" w:rsidRPr="00897FA3">
        <w:rPr>
          <w:rFonts w:eastAsia="Calibri"/>
        </w:rPr>
        <w:t>UNESCO, les établissements d</w:t>
      </w:r>
      <w:r w:rsidR="00346F1B">
        <w:rPr>
          <w:rFonts w:eastAsia="Calibri"/>
        </w:rPr>
        <w:t>’</w:t>
      </w:r>
      <w:r w:rsidR="00897FA3" w:rsidRPr="00897FA3">
        <w:rPr>
          <w:rFonts w:eastAsia="Calibri"/>
        </w:rPr>
        <w:t>enseignement, la société civile, entre autres ».</w:t>
      </w:r>
    </w:p>
    <w:p w14:paraId="0DD262C4" w14:textId="6BFB2F2D" w:rsidR="00897FA3" w:rsidRDefault="00897FA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897FA3">
        <w:rPr>
          <w:rFonts w:eastAsia="Calibri"/>
          <w:b/>
        </w:rPr>
        <w:t>Président</w:t>
      </w:r>
      <w:r>
        <w:rPr>
          <w:rFonts w:eastAsia="Calibri"/>
        </w:rPr>
        <w:t xml:space="preserve"> a suggéré de réorganiser le </w:t>
      </w:r>
      <w:r w:rsidRPr="00897FA3">
        <w:rPr>
          <w:rFonts w:eastAsia="Calibri"/>
        </w:rPr>
        <w:t>paragraphe</w:t>
      </w:r>
      <w:r w:rsidR="00DE0564">
        <w:rPr>
          <w:rFonts w:eastAsia="Calibri"/>
        </w:rPr>
        <w:t xml:space="preserve"> et d</w:t>
      </w:r>
      <w:r w:rsidR="00346F1B">
        <w:rPr>
          <w:rFonts w:eastAsia="Calibri"/>
        </w:rPr>
        <w:t>’</w:t>
      </w:r>
      <w:r w:rsidR="00DE0564">
        <w:rPr>
          <w:rFonts w:eastAsia="Calibri"/>
        </w:rPr>
        <w:t>ajouter « ainsi que ».</w:t>
      </w:r>
    </w:p>
    <w:p w14:paraId="468638E2" w14:textId="1B59EFEB" w:rsidR="00897FA3" w:rsidRDefault="00897FA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897FA3">
        <w:rPr>
          <w:rFonts w:eastAsia="Calibri"/>
        </w:rPr>
        <w:t>délégation</w:t>
      </w:r>
      <w:r>
        <w:rPr>
          <w:rFonts w:eastAsia="Calibri"/>
        </w:rPr>
        <w:t xml:space="preserve"> de la </w:t>
      </w:r>
      <w:r w:rsidRPr="00897FA3">
        <w:rPr>
          <w:rFonts w:eastAsia="Calibri"/>
          <w:b/>
        </w:rPr>
        <w:t>République de Corée</w:t>
      </w:r>
      <w:r w:rsidR="00F42A8A">
        <w:rPr>
          <w:rFonts w:eastAsia="Calibri"/>
        </w:rPr>
        <w:t xml:space="preserve"> </w:t>
      </w:r>
      <w:r>
        <w:rPr>
          <w:rFonts w:eastAsia="Calibri"/>
        </w:rPr>
        <w:t>souscri</w:t>
      </w:r>
      <w:r w:rsidR="00F42A8A">
        <w:rPr>
          <w:rFonts w:eastAsia="Calibri"/>
        </w:rPr>
        <w:t>vai</w:t>
      </w:r>
      <w:r>
        <w:rPr>
          <w:rFonts w:eastAsia="Calibri"/>
        </w:rPr>
        <w:t>t au libellé proposé.</w:t>
      </w:r>
    </w:p>
    <w:p w14:paraId="51CD66F0" w14:textId="313DA596" w:rsidR="00355DF5" w:rsidRDefault="00897FA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897FA3">
        <w:rPr>
          <w:rFonts w:eastAsia="Calibri"/>
        </w:rPr>
        <w:t>délégation</w:t>
      </w:r>
      <w:r>
        <w:rPr>
          <w:rFonts w:eastAsia="Calibri"/>
        </w:rPr>
        <w:t xml:space="preserve"> de </w:t>
      </w:r>
      <w:r w:rsidR="00355DF5">
        <w:rPr>
          <w:rFonts w:eastAsia="Calibri"/>
        </w:rPr>
        <w:t xml:space="preserve">la </w:t>
      </w:r>
      <w:r w:rsidR="00355DF5" w:rsidRPr="00355DF5">
        <w:rPr>
          <w:rFonts w:eastAsia="Calibri"/>
          <w:b/>
        </w:rPr>
        <w:t>Côte d</w:t>
      </w:r>
      <w:r w:rsidR="00346F1B">
        <w:rPr>
          <w:rFonts w:eastAsia="Calibri"/>
          <w:b/>
        </w:rPr>
        <w:t>’</w:t>
      </w:r>
      <w:r w:rsidR="00355DF5" w:rsidRPr="00355DF5">
        <w:rPr>
          <w:rFonts w:eastAsia="Calibri"/>
          <w:b/>
        </w:rPr>
        <w:t>Ivoire</w:t>
      </w:r>
      <w:r w:rsidR="00355DF5">
        <w:rPr>
          <w:rFonts w:eastAsia="Calibri"/>
        </w:rPr>
        <w:t xml:space="preserve"> a proposé : « </w:t>
      </w:r>
      <w:r w:rsidRPr="00897FA3">
        <w:rPr>
          <w:rFonts w:eastAsia="Calibri"/>
        </w:rPr>
        <w:t xml:space="preserve">Invite également le Secrétariat à renforcer la portée et la visibilité de ses activités en consolidant les réseaux </w:t>
      </w:r>
      <w:r w:rsidR="00355DF5">
        <w:rPr>
          <w:rFonts w:eastAsia="Calibri"/>
        </w:rPr>
        <w:t xml:space="preserve">et les </w:t>
      </w:r>
      <w:r w:rsidR="00355DF5" w:rsidRPr="00355DF5">
        <w:rPr>
          <w:rFonts w:eastAsia="Calibri"/>
        </w:rPr>
        <w:t>institutions</w:t>
      </w:r>
      <w:r w:rsidR="00355DF5">
        <w:rPr>
          <w:rFonts w:eastAsia="Calibri"/>
        </w:rPr>
        <w:t xml:space="preserve"> affiliées à l</w:t>
      </w:r>
      <w:r w:rsidR="00346F1B">
        <w:rPr>
          <w:rFonts w:eastAsia="Calibri"/>
        </w:rPr>
        <w:t>’</w:t>
      </w:r>
      <w:r w:rsidR="00355DF5">
        <w:rPr>
          <w:rFonts w:eastAsia="Calibri"/>
        </w:rPr>
        <w:t>UNESCO, les établissements d</w:t>
      </w:r>
      <w:r w:rsidR="00346F1B">
        <w:rPr>
          <w:rFonts w:eastAsia="Calibri"/>
        </w:rPr>
        <w:t>’</w:t>
      </w:r>
      <w:r w:rsidR="00355DF5" w:rsidRPr="00355DF5">
        <w:rPr>
          <w:rFonts w:eastAsia="Calibri"/>
        </w:rPr>
        <w:t>enseignement</w:t>
      </w:r>
      <w:r w:rsidR="00355DF5">
        <w:rPr>
          <w:rFonts w:eastAsia="Calibri"/>
        </w:rPr>
        <w:t xml:space="preserve"> et la société civile ». Ainsi, toutes les </w:t>
      </w:r>
      <w:r w:rsidR="00355DF5" w:rsidRPr="00355DF5">
        <w:rPr>
          <w:rFonts w:eastAsia="Calibri"/>
        </w:rPr>
        <w:t>institutions</w:t>
      </w:r>
      <w:r w:rsidR="00355DF5">
        <w:rPr>
          <w:rFonts w:eastAsia="Calibri"/>
        </w:rPr>
        <w:t xml:space="preserve"> rattachées </w:t>
      </w:r>
      <w:r w:rsidR="00DE0564">
        <w:rPr>
          <w:rFonts w:eastAsia="Calibri"/>
        </w:rPr>
        <w:t>à l</w:t>
      </w:r>
      <w:r w:rsidR="00346F1B">
        <w:rPr>
          <w:rFonts w:eastAsia="Calibri"/>
        </w:rPr>
        <w:t>’</w:t>
      </w:r>
      <w:r w:rsidR="00DE0564">
        <w:rPr>
          <w:rFonts w:eastAsia="Calibri"/>
        </w:rPr>
        <w:t>UNESCO seraient regroupées.</w:t>
      </w:r>
    </w:p>
    <w:p w14:paraId="2B884E45" w14:textId="193216A2" w:rsidR="00355DF5" w:rsidRDefault="00355DF5"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355DF5">
        <w:rPr>
          <w:rFonts w:eastAsia="Calibri"/>
        </w:rPr>
        <w:t>délégation</w:t>
      </w:r>
      <w:r>
        <w:rPr>
          <w:rFonts w:eastAsia="Calibri"/>
        </w:rPr>
        <w:t xml:space="preserve"> de </w:t>
      </w:r>
      <w:r w:rsidRPr="00355DF5">
        <w:rPr>
          <w:rFonts w:eastAsia="Calibri"/>
          <w:b/>
        </w:rPr>
        <w:t>Cuba</w:t>
      </w:r>
      <w:r>
        <w:rPr>
          <w:rFonts w:eastAsia="Calibri"/>
        </w:rPr>
        <w:t xml:space="preserve"> entendait les préoccupations exprimées par les délégations qui souhaitaient distinguer les Chaires UNESCO ainsi que les Réseaux UNITWIN. Dans le cadre de la </w:t>
      </w:r>
      <w:r w:rsidRPr="00355DF5">
        <w:rPr>
          <w:rFonts w:eastAsia="Calibri"/>
        </w:rPr>
        <w:t>Convention</w:t>
      </w:r>
      <w:r>
        <w:rPr>
          <w:rFonts w:eastAsia="Calibri"/>
        </w:rPr>
        <w:t xml:space="preserve">, les Chaires UNESCO travaillaient effectivement sur le PCI, notamment en Amérique latine. En outre, le </w:t>
      </w:r>
      <w:r w:rsidRPr="00355DF5">
        <w:rPr>
          <w:rFonts w:eastAsia="Calibri"/>
        </w:rPr>
        <w:t>paragraphe</w:t>
      </w:r>
      <w:r>
        <w:rPr>
          <w:rFonts w:eastAsia="Calibri"/>
        </w:rPr>
        <w:t xml:space="preserve"> 12 mettait en évidence les réseaux et la société civile, ainsi que les Commissions nationales</w:t>
      </w:r>
      <w:r w:rsidR="00A713A3">
        <w:rPr>
          <w:rFonts w:eastAsia="Calibri"/>
        </w:rPr>
        <w:t xml:space="preserve"> et </w:t>
      </w:r>
      <w:r w:rsidR="00A713A3" w:rsidRPr="00A713A3">
        <w:rPr>
          <w:rFonts w:eastAsia="Calibri"/>
        </w:rPr>
        <w:t>institutions</w:t>
      </w:r>
      <w:r w:rsidR="00A713A3">
        <w:rPr>
          <w:rFonts w:eastAsia="Calibri"/>
        </w:rPr>
        <w:t xml:space="preserve"> rattachées à l</w:t>
      </w:r>
      <w:r w:rsidR="00346F1B">
        <w:rPr>
          <w:rFonts w:eastAsia="Calibri"/>
        </w:rPr>
        <w:t>’</w:t>
      </w:r>
      <w:r w:rsidR="00A713A3">
        <w:rPr>
          <w:rFonts w:eastAsia="Calibri"/>
        </w:rPr>
        <w:t xml:space="preserve">UNESCO, qui étaient toutes essentielles pour la visibilité de la </w:t>
      </w:r>
      <w:r w:rsidR="00A713A3" w:rsidRPr="00A713A3">
        <w:rPr>
          <w:rFonts w:eastAsia="Calibri"/>
        </w:rPr>
        <w:t>Convention</w:t>
      </w:r>
      <w:r w:rsidR="00A713A3">
        <w:rPr>
          <w:rFonts w:eastAsia="Calibri"/>
        </w:rPr>
        <w:t xml:space="preserve"> et ne s</w:t>
      </w:r>
      <w:r w:rsidR="00346F1B">
        <w:rPr>
          <w:rFonts w:eastAsia="Calibri"/>
        </w:rPr>
        <w:t>’</w:t>
      </w:r>
      <w:r w:rsidR="00A713A3">
        <w:rPr>
          <w:rFonts w:eastAsia="Calibri"/>
        </w:rPr>
        <w:t>excluaient donc pas mutuellement.</w:t>
      </w:r>
      <w:r w:rsidR="00F42A8A">
        <w:rPr>
          <w:rFonts w:eastAsia="Calibri"/>
        </w:rPr>
        <w:t xml:space="preserve"> Ainsi</w:t>
      </w:r>
      <w:r w:rsidR="00A713A3">
        <w:rPr>
          <w:rFonts w:eastAsia="Calibri"/>
        </w:rPr>
        <w:t xml:space="preserve">, les Chaires UNESCO et les Réseaux UNITWIN devraient </w:t>
      </w:r>
      <w:r w:rsidR="00A713A3" w:rsidRPr="00A713A3">
        <w:rPr>
          <w:rFonts w:eastAsia="Calibri"/>
        </w:rPr>
        <w:t>également</w:t>
      </w:r>
      <w:r w:rsidR="00DE0564">
        <w:rPr>
          <w:rFonts w:eastAsia="Calibri"/>
        </w:rPr>
        <w:t xml:space="preserve"> être inclus.</w:t>
      </w:r>
    </w:p>
    <w:p w14:paraId="0323CD75" w14:textId="4695F7CC" w:rsidR="00A713A3" w:rsidRPr="00A713A3" w:rsidRDefault="00A713A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A713A3">
        <w:rPr>
          <w:rFonts w:eastAsia="Calibri"/>
        </w:rPr>
        <w:t>délégation</w:t>
      </w:r>
      <w:r>
        <w:rPr>
          <w:rFonts w:eastAsia="Calibri"/>
        </w:rPr>
        <w:t xml:space="preserve"> de la </w:t>
      </w:r>
      <w:r w:rsidRPr="00A713A3">
        <w:rPr>
          <w:rFonts w:eastAsia="Calibri"/>
          <w:b/>
        </w:rPr>
        <w:t>Côte d</w:t>
      </w:r>
      <w:r w:rsidR="00346F1B">
        <w:rPr>
          <w:rFonts w:eastAsia="Calibri"/>
          <w:b/>
        </w:rPr>
        <w:t>’</w:t>
      </w:r>
      <w:r w:rsidRPr="00A713A3">
        <w:rPr>
          <w:rFonts w:eastAsia="Calibri"/>
          <w:b/>
        </w:rPr>
        <w:t>Ivoire</w:t>
      </w:r>
      <w:r w:rsidR="00F42A8A">
        <w:rPr>
          <w:rFonts w:eastAsia="Calibri"/>
        </w:rPr>
        <w:t xml:space="preserve"> estimait</w:t>
      </w:r>
      <w:r>
        <w:rPr>
          <w:rFonts w:eastAsia="Calibri"/>
        </w:rPr>
        <w:t xml:space="preserve"> qu</w:t>
      </w:r>
      <w:r w:rsidR="00346F1B">
        <w:rPr>
          <w:rFonts w:eastAsia="Calibri"/>
        </w:rPr>
        <w:t>’</w:t>
      </w:r>
      <w:r>
        <w:rPr>
          <w:rFonts w:eastAsia="Calibri"/>
        </w:rPr>
        <w:t>on courait le risque d</w:t>
      </w:r>
      <w:r w:rsidR="00346F1B">
        <w:rPr>
          <w:rFonts w:eastAsia="Calibri"/>
        </w:rPr>
        <w:t>’</w:t>
      </w:r>
      <w:r>
        <w:rPr>
          <w:rFonts w:eastAsia="Calibri"/>
        </w:rPr>
        <w:t xml:space="preserve">omettre des </w:t>
      </w:r>
      <w:r w:rsidRPr="00A713A3">
        <w:rPr>
          <w:rFonts w:eastAsia="Calibri"/>
        </w:rPr>
        <w:t>institutions</w:t>
      </w:r>
      <w:r w:rsidR="003A6355">
        <w:rPr>
          <w:rFonts w:eastAsia="Calibri"/>
        </w:rPr>
        <w:t xml:space="preserve"> lorsque l</w:t>
      </w:r>
      <w:r w:rsidR="00346F1B">
        <w:rPr>
          <w:rFonts w:eastAsia="Calibri"/>
        </w:rPr>
        <w:t>’</w:t>
      </w:r>
      <w:r w:rsidR="003A6355">
        <w:rPr>
          <w:rFonts w:eastAsia="Calibri"/>
        </w:rPr>
        <w:t>on</w:t>
      </w:r>
      <w:r>
        <w:rPr>
          <w:rFonts w:eastAsia="Calibri"/>
        </w:rPr>
        <w:t xml:space="preserve"> établissait une liste des réseaux et </w:t>
      </w:r>
      <w:r w:rsidRPr="00A713A3">
        <w:rPr>
          <w:rFonts w:eastAsia="Calibri"/>
        </w:rPr>
        <w:t>institutions</w:t>
      </w:r>
      <w:r>
        <w:rPr>
          <w:rFonts w:eastAsia="Calibri"/>
        </w:rPr>
        <w:t xml:space="preserve"> de l</w:t>
      </w:r>
      <w:r w:rsidR="00346F1B">
        <w:rPr>
          <w:rFonts w:eastAsia="Calibri"/>
        </w:rPr>
        <w:t>’</w:t>
      </w:r>
      <w:r>
        <w:rPr>
          <w:rFonts w:eastAsia="Calibri"/>
        </w:rPr>
        <w:t>UNESCO, c</w:t>
      </w:r>
      <w:r w:rsidR="00346F1B">
        <w:rPr>
          <w:rFonts w:eastAsia="Calibri"/>
        </w:rPr>
        <w:t>’</w:t>
      </w:r>
      <w:r>
        <w:rPr>
          <w:rFonts w:eastAsia="Calibri"/>
        </w:rPr>
        <w:t>était la raison pour laquell</w:t>
      </w:r>
      <w:r w:rsidR="006611C3">
        <w:rPr>
          <w:rFonts w:eastAsia="Calibri"/>
        </w:rPr>
        <w:t>e un terme générique engloban</w:t>
      </w:r>
      <w:r>
        <w:rPr>
          <w:rFonts w:eastAsia="Calibri"/>
        </w:rPr>
        <w:t xml:space="preserve">t toutes les entités </w:t>
      </w:r>
      <w:r w:rsidR="00DE0564">
        <w:rPr>
          <w:rFonts w:eastAsia="Calibri"/>
        </w:rPr>
        <w:t>évitait tout risque d</w:t>
      </w:r>
      <w:r w:rsidR="00346F1B">
        <w:rPr>
          <w:rFonts w:eastAsia="Calibri"/>
        </w:rPr>
        <w:t>’</w:t>
      </w:r>
      <w:r w:rsidR="00DE0564">
        <w:rPr>
          <w:rFonts w:eastAsia="Calibri"/>
        </w:rPr>
        <w:t>omission.</w:t>
      </w:r>
    </w:p>
    <w:p w14:paraId="08FE49B1" w14:textId="5A826C76" w:rsidR="00A713A3" w:rsidRDefault="00A713A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A713A3">
        <w:rPr>
          <w:rFonts w:eastAsia="Calibri"/>
          <w:b/>
        </w:rPr>
        <w:t>Président</w:t>
      </w:r>
      <w:r>
        <w:rPr>
          <w:rFonts w:eastAsia="Calibri"/>
        </w:rPr>
        <w:t xml:space="preserve"> est revenu à la </w:t>
      </w:r>
      <w:r w:rsidRPr="00A713A3">
        <w:rPr>
          <w:rFonts w:eastAsia="Calibri"/>
        </w:rPr>
        <w:t xml:space="preserve">proposition </w:t>
      </w:r>
      <w:r>
        <w:rPr>
          <w:rFonts w:eastAsia="Calibri"/>
        </w:rPr>
        <w:t>d</w:t>
      </w:r>
      <w:r w:rsidR="00346F1B">
        <w:rPr>
          <w:rFonts w:eastAsia="Calibri"/>
        </w:rPr>
        <w:t>’</w:t>
      </w:r>
      <w:r>
        <w:rPr>
          <w:rFonts w:eastAsia="Calibri"/>
        </w:rPr>
        <w:t xml:space="preserve">origine, soumise par la </w:t>
      </w:r>
      <w:r w:rsidRPr="00A713A3">
        <w:rPr>
          <w:rFonts w:eastAsia="Calibri"/>
        </w:rPr>
        <w:t>République de Corée</w:t>
      </w:r>
      <w:r>
        <w:rPr>
          <w:rFonts w:eastAsia="Calibri"/>
        </w:rPr>
        <w:t xml:space="preserve">, qui visait à rendre le </w:t>
      </w:r>
      <w:r w:rsidRPr="00A713A3">
        <w:rPr>
          <w:rFonts w:eastAsia="Calibri"/>
        </w:rPr>
        <w:t>paragraphe</w:t>
      </w:r>
      <w:r>
        <w:rPr>
          <w:rFonts w:eastAsia="Calibri"/>
        </w:rPr>
        <w:t xml:space="preserve"> aussi général que possible tout en évoquant toutes les in</w:t>
      </w:r>
      <w:r w:rsidR="00DE0564">
        <w:rPr>
          <w:rFonts w:eastAsia="Calibri"/>
        </w:rPr>
        <w:t>stitutions cibles potentielles.</w:t>
      </w:r>
    </w:p>
    <w:p w14:paraId="067807D1" w14:textId="5412C460" w:rsidR="00A713A3" w:rsidRPr="00A713A3" w:rsidRDefault="00A713A3"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A713A3">
        <w:rPr>
          <w:rFonts w:eastAsia="Calibri"/>
        </w:rPr>
        <w:t>délégation</w:t>
      </w:r>
      <w:r>
        <w:rPr>
          <w:rFonts w:eastAsia="Calibri"/>
        </w:rPr>
        <w:t xml:space="preserve"> de la </w:t>
      </w:r>
      <w:r w:rsidRPr="00A713A3">
        <w:rPr>
          <w:rFonts w:eastAsia="Calibri"/>
          <w:b/>
        </w:rPr>
        <w:t>Turquie</w:t>
      </w:r>
      <w:r>
        <w:rPr>
          <w:rFonts w:eastAsia="Calibri"/>
        </w:rPr>
        <w:t xml:space="preserve"> a expliqué qu</w:t>
      </w:r>
      <w:r w:rsidR="00346F1B">
        <w:rPr>
          <w:rFonts w:eastAsia="Calibri"/>
        </w:rPr>
        <w:t>’</w:t>
      </w:r>
      <w:r>
        <w:rPr>
          <w:rFonts w:eastAsia="Calibri"/>
        </w:rPr>
        <w:t xml:space="preserve">il existait, au sein du système universitaire, </w:t>
      </w:r>
      <w:r w:rsidR="0045757C">
        <w:rPr>
          <w:rFonts w:eastAsia="Calibri"/>
        </w:rPr>
        <w:t xml:space="preserve">des rouages essentiels qui encourageaient la </w:t>
      </w:r>
      <w:r w:rsidR="0045757C" w:rsidRPr="0045757C">
        <w:rPr>
          <w:rFonts w:eastAsia="Calibri"/>
        </w:rPr>
        <w:t>recherche</w:t>
      </w:r>
      <w:r w:rsidR="0045757C">
        <w:rPr>
          <w:rFonts w:eastAsia="Calibri"/>
        </w:rPr>
        <w:t xml:space="preserve">, la promotion et la </w:t>
      </w:r>
      <w:r w:rsidR="0045757C" w:rsidRPr="0045757C">
        <w:rPr>
          <w:rFonts w:eastAsia="Calibri"/>
        </w:rPr>
        <w:t xml:space="preserve">transmission </w:t>
      </w:r>
      <w:r w:rsidR="0045757C">
        <w:rPr>
          <w:rFonts w:eastAsia="Calibri"/>
        </w:rPr>
        <w:t>du PCI de génération en génération, et que ceux-ci étaient d</w:t>
      </w:r>
      <w:r w:rsidR="00346F1B">
        <w:rPr>
          <w:rFonts w:eastAsia="Calibri"/>
        </w:rPr>
        <w:t>’</w:t>
      </w:r>
      <w:r w:rsidR="0045757C">
        <w:rPr>
          <w:rFonts w:eastAsia="Calibri"/>
        </w:rPr>
        <w:t>une importance capitale. Les Chaires UNESCO et les Réseaux UNITWIN concernaient environ 700 universités travaillant sur les programmes de l</w:t>
      </w:r>
      <w:r w:rsidR="00346F1B">
        <w:rPr>
          <w:rFonts w:eastAsia="Calibri"/>
        </w:rPr>
        <w:t>’</w:t>
      </w:r>
      <w:r w:rsidR="0045757C">
        <w:rPr>
          <w:rFonts w:eastAsia="Calibri"/>
        </w:rPr>
        <w:t xml:space="preserve">UNESCO. Il y avait environ dix Chaires UNESCO travaillant sur le PCI. Le </w:t>
      </w:r>
      <w:r w:rsidR="0045757C" w:rsidRPr="0045757C">
        <w:rPr>
          <w:rFonts w:eastAsia="Calibri"/>
        </w:rPr>
        <w:t>paragraphe</w:t>
      </w:r>
      <w:r w:rsidR="0045757C">
        <w:rPr>
          <w:rFonts w:eastAsia="Calibri"/>
        </w:rPr>
        <w:t xml:space="preserve"> 11 abordait le rôle des centres de catégorie 2, le rôle d</w:t>
      </w:r>
      <w:r w:rsidR="00346F1B">
        <w:rPr>
          <w:rFonts w:eastAsia="Calibri"/>
        </w:rPr>
        <w:t>’</w:t>
      </w:r>
      <w:r w:rsidR="0045757C">
        <w:rPr>
          <w:rFonts w:eastAsia="Calibri"/>
        </w:rPr>
        <w:t xml:space="preserve">UNITWIN et des Chaires UNESCO devrait </w:t>
      </w:r>
      <w:r w:rsidR="0045757C" w:rsidRPr="0045757C">
        <w:rPr>
          <w:rFonts w:eastAsia="Calibri"/>
        </w:rPr>
        <w:t>également</w:t>
      </w:r>
      <w:r w:rsidR="0045757C">
        <w:rPr>
          <w:rFonts w:eastAsia="Calibri"/>
        </w:rPr>
        <w:t xml:space="preserve"> être mis en avant, comme le Comité l</w:t>
      </w:r>
      <w:r w:rsidR="00346F1B">
        <w:rPr>
          <w:rFonts w:eastAsia="Calibri"/>
        </w:rPr>
        <w:t>’</w:t>
      </w:r>
      <w:r w:rsidR="0045757C">
        <w:rPr>
          <w:rFonts w:eastAsia="Calibri"/>
        </w:rPr>
        <w:t xml:space="preserve">avait reconnu en 2015. La </w:t>
      </w:r>
      <w:r w:rsidR="0045757C" w:rsidRPr="0045757C">
        <w:rPr>
          <w:rFonts w:eastAsia="Calibri"/>
        </w:rPr>
        <w:t>délégation</w:t>
      </w:r>
      <w:r w:rsidR="006611C3">
        <w:rPr>
          <w:rFonts w:eastAsia="Calibri"/>
        </w:rPr>
        <w:t xml:space="preserve"> souhaitait </w:t>
      </w:r>
      <w:r w:rsidR="0045757C">
        <w:rPr>
          <w:rFonts w:eastAsia="Calibri"/>
        </w:rPr>
        <w:t xml:space="preserve">donc conserver le </w:t>
      </w:r>
      <w:r w:rsidR="0045757C" w:rsidRPr="0045757C">
        <w:rPr>
          <w:rFonts w:eastAsia="Calibri"/>
        </w:rPr>
        <w:t>paragraphe</w:t>
      </w:r>
      <w:r w:rsidR="0045757C">
        <w:rPr>
          <w:rFonts w:eastAsia="Calibri"/>
        </w:rPr>
        <w:t xml:space="preserve"> 12 avec l</w:t>
      </w:r>
      <w:r w:rsidR="00346F1B">
        <w:rPr>
          <w:rFonts w:eastAsia="Calibri"/>
        </w:rPr>
        <w:t>’</w:t>
      </w:r>
      <w:r w:rsidR="0045757C">
        <w:rPr>
          <w:rFonts w:eastAsia="Calibri"/>
        </w:rPr>
        <w:t>ajout des Réseaux</w:t>
      </w:r>
      <w:r w:rsidR="00DE0564">
        <w:rPr>
          <w:rFonts w:eastAsia="Calibri"/>
        </w:rPr>
        <w:t xml:space="preserve"> UNITWIN.</w:t>
      </w:r>
    </w:p>
    <w:p w14:paraId="32EAFE92" w14:textId="531BA289" w:rsidR="006E2CD8" w:rsidRPr="006E2CD8" w:rsidRDefault="0045757C" w:rsidP="00AF7860">
      <w:pPr>
        <w:pStyle w:val="Orateurengris"/>
        <w:tabs>
          <w:tab w:val="clear" w:pos="709"/>
          <w:tab w:val="clear" w:pos="1418"/>
          <w:tab w:val="clear" w:pos="2126"/>
          <w:tab w:val="clear" w:pos="2835"/>
          <w:tab w:val="clear" w:pos="3686"/>
        </w:tabs>
        <w:spacing w:before="120"/>
        <w:ind w:left="709" w:hanging="709"/>
        <w:rPr>
          <w:rFonts w:eastAsia="Calibri"/>
        </w:rPr>
      </w:pPr>
      <w:r w:rsidRPr="0045757C">
        <w:rPr>
          <w:rFonts w:eastAsia="Calibri"/>
        </w:rPr>
        <w:t xml:space="preserve">La délégation de la </w:t>
      </w:r>
      <w:r w:rsidRPr="006E2CD8">
        <w:rPr>
          <w:rFonts w:eastAsia="Calibri"/>
          <w:b/>
        </w:rPr>
        <w:t>Palestine</w:t>
      </w:r>
      <w:r w:rsidRPr="0045757C">
        <w:rPr>
          <w:rFonts w:eastAsia="Calibri"/>
        </w:rPr>
        <w:t xml:space="preserve"> </w:t>
      </w:r>
      <w:r>
        <w:rPr>
          <w:rFonts w:eastAsia="Calibri"/>
        </w:rPr>
        <w:t>a</w:t>
      </w:r>
      <w:r w:rsidR="006E2CD8">
        <w:rPr>
          <w:rFonts w:eastAsia="Calibri"/>
        </w:rPr>
        <w:t xml:space="preserve"> fait remarquer </w:t>
      </w:r>
      <w:r>
        <w:rPr>
          <w:rFonts w:eastAsia="Calibri"/>
        </w:rPr>
        <w:t>que le Comité</w:t>
      </w:r>
      <w:r w:rsidR="006E2CD8">
        <w:rPr>
          <w:rFonts w:eastAsia="Calibri"/>
        </w:rPr>
        <w:t xml:space="preserve"> était d</w:t>
      </w:r>
      <w:r w:rsidR="00346F1B">
        <w:rPr>
          <w:rFonts w:eastAsia="Calibri"/>
        </w:rPr>
        <w:t>’</w:t>
      </w:r>
      <w:r w:rsidR="006E2CD8">
        <w:rPr>
          <w:rFonts w:eastAsia="Calibri"/>
        </w:rPr>
        <w:t xml:space="preserve">accord avec le principe du </w:t>
      </w:r>
      <w:r w:rsidR="006E2CD8" w:rsidRPr="006E2CD8">
        <w:rPr>
          <w:rFonts w:eastAsia="Calibri"/>
        </w:rPr>
        <w:t>paragraphe</w:t>
      </w:r>
      <w:r w:rsidR="006E2CD8">
        <w:rPr>
          <w:rFonts w:eastAsia="Calibri"/>
        </w:rPr>
        <w:t xml:space="preserve"> et a proposé : « avec les programmes et </w:t>
      </w:r>
      <w:r w:rsidR="006E2CD8" w:rsidRPr="006E2CD8">
        <w:rPr>
          <w:rFonts w:eastAsia="Calibri"/>
        </w:rPr>
        <w:t>institutions</w:t>
      </w:r>
      <w:r w:rsidR="006E2CD8">
        <w:rPr>
          <w:rFonts w:eastAsia="Calibri"/>
        </w:rPr>
        <w:t xml:space="preserve"> rattachés à l</w:t>
      </w:r>
      <w:r w:rsidR="00346F1B">
        <w:rPr>
          <w:rFonts w:eastAsia="Calibri"/>
        </w:rPr>
        <w:t>’</w:t>
      </w:r>
      <w:r w:rsidR="006E2CD8">
        <w:rPr>
          <w:rFonts w:eastAsia="Calibri"/>
        </w:rPr>
        <w:t xml:space="preserve">UNESCO » car UNITWIN était un </w:t>
      </w:r>
      <w:r w:rsidR="006E2CD8" w:rsidRPr="006E2CD8">
        <w:rPr>
          <w:rFonts w:eastAsia="Calibri"/>
        </w:rPr>
        <w:t>programme</w:t>
      </w:r>
      <w:r w:rsidR="006E2CD8">
        <w:rPr>
          <w:rFonts w:eastAsia="Calibri"/>
        </w:rPr>
        <w:t xml:space="preserve"> et non une institution. Ce libellé incluait toutes les entités. Le </w:t>
      </w:r>
      <w:r w:rsidR="006E2CD8" w:rsidRPr="006E2CD8">
        <w:rPr>
          <w:rFonts w:eastAsia="Calibri"/>
        </w:rPr>
        <w:t>paragraphe</w:t>
      </w:r>
      <w:r w:rsidR="006E2CD8">
        <w:rPr>
          <w:rFonts w:eastAsia="Calibri"/>
        </w:rPr>
        <w:t xml:space="preserve"> pourrait sinon faire mention de chaque entité, </w:t>
      </w:r>
      <w:r w:rsidR="00897477">
        <w:rPr>
          <w:rFonts w:eastAsia="Calibri"/>
        </w:rPr>
        <w:t>mention introduite après l</w:t>
      </w:r>
      <w:r w:rsidR="00346F1B">
        <w:rPr>
          <w:rFonts w:eastAsia="Calibri"/>
        </w:rPr>
        <w:t>’</w:t>
      </w:r>
      <w:r w:rsidR="00897477" w:rsidRPr="00897477">
        <w:rPr>
          <w:rFonts w:eastAsia="Calibri"/>
        </w:rPr>
        <w:t>utilisation</w:t>
      </w:r>
      <w:r w:rsidR="00897477">
        <w:rPr>
          <w:rFonts w:eastAsia="Calibri"/>
        </w:rPr>
        <w:t xml:space="preserve"> de </w:t>
      </w:r>
      <w:r w:rsidR="006E2CD8">
        <w:rPr>
          <w:rFonts w:eastAsia="Calibri"/>
        </w:rPr>
        <w:t>deux points, et ce, afin de tenir compt</w:t>
      </w:r>
      <w:r w:rsidR="0093340B">
        <w:rPr>
          <w:rFonts w:eastAsia="Calibri"/>
        </w:rPr>
        <w:t>e des préoccupations de chacun.</w:t>
      </w:r>
    </w:p>
    <w:p w14:paraId="22647448" w14:textId="6C641481" w:rsidR="006E2CD8" w:rsidRDefault="006E2CD8"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Après avoir </w:t>
      </w:r>
      <w:r w:rsidR="00897477">
        <w:rPr>
          <w:rFonts w:eastAsia="Calibri"/>
        </w:rPr>
        <w:t xml:space="preserve">souligné </w:t>
      </w:r>
      <w:r>
        <w:rPr>
          <w:rFonts w:eastAsia="Calibri"/>
        </w:rPr>
        <w:t xml:space="preserve">le temps passé sur ce point, la </w:t>
      </w:r>
      <w:r w:rsidRPr="006E2CD8">
        <w:rPr>
          <w:rFonts w:eastAsia="Calibri"/>
        </w:rPr>
        <w:t>délégation</w:t>
      </w:r>
      <w:r>
        <w:rPr>
          <w:rFonts w:eastAsia="Calibri"/>
        </w:rPr>
        <w:t xml:space="preserve"> de </w:t>
      </w:r>
      <w:r w:rsidRPr="00897477">
        <w:rPr>
          <w:rFonts w:eastAsia="Calibri"/>
          <w:b/>
        </w:rPr>
        <w:t>Chypre</w:t>
      </w:r>
      <w:r w:rsidR="0040517F">
        <w:rPr>
          <w:rFonts w:eastAsia="Calibri"/>
        </w:rPr>
        <w:t xml:space="preserve"> soutenait </w:t>
      </w:r>
      <w:r>
        <w:rPr>
          <w:rFonts w:eastAsia="Calibri"/>
        </w:rPr>
        <w:t xml:space="preserve">la </w:t>
      </w:r>
      <w:r w:rsidRPr="006E2CD8">
        <w:rPr>
          <w:rFonts w:eastAsia="Calibri"/>
        </w:rPr>
        <w:t xml:space="preserve">proposition </w:t>
      </w:r>
      <w:r>
        <w:rPr>
          <w:rFonts w:eastAsia="Calibri"/>
        </w:rPr>
        <w:t>de la Palestine bien qu</w:t>
      </w:r>
      <w:r w:rsidR="00346F1B">
        <w:rPr>
          <w:rFonts w:eastAsia="Calibri"/>
        </w:rPr>
        <w:t>’</w:t>
      </w:r>
      <w:r>
        <w:rPr>
          <w:rFonts w:eastAsia="Calibri"/>
        </w:rPr>
        <w:t>elle ne soit pas d</w:t>
      </w:r>
      <w:r w:rsidR="00346F1B">
        <w:rPr>
          <w:rFonts w:eastAsia="Calibri"/>
        </w:rPr>
        <w:t>’</w:t>
      </w:r>
      <w:r>
        <w:rPr>
          <w:rFonts w:eastAsia="Calibri"/>
        </w:rPr>
        <w:t>accord avec l</w:t>
      </w:r>
      <w:r w:rsidR="00346F1B">
        <w:rPr>
          <w:rFonts w:eastAsia="Calibri"/>
        </w:rPr>
        <w:t>’</w:t>
      </w:r>
      <w:r w:rsidRPr="006E2CD8">
        <w:rPr>
          <w:rFonts w:eastAsia="Calibri"/>
        </w:rPr>
        <w:t>utilisation</w:t>
      </w:r>
      <w:r>
        <w:rPr>
          <w:rFonts w:eastAsia="Calibri"/>
        </w:rPr>
        <w:t xml:space="preserve"> de</w:t>
      </w:r>
      <w:r w:rsidR="00897477">
        <w:rPr>
          <w:rFonts w:eastAsia="Calibri"/>
        </w:rPr>
        <w:t>s</w:t>
      </w:r>
      <w:r>
        <w:rPr>
          <w:rFonts w:eastAsia="Calibri"/>
        </w:rPr>
        <w:t xml:space="preserve"> deux points</w:t>
      </w:r>
      <w:r w:rsidR="00897477">
        <w:rPr>
          <w:rFonts w:eastAsia="Calibri"/>
        </w:rPr>
        <w:t>, au cas où une entité</w:t>
      </w:r>
      <w:r w:rsidR="0093340B">
        <w:rPr>
          <w:rFonts w:eastAsia="Calibri"/>
        </w:rPr>
        <w:t xml:space="preserve"> serait omise par inadvertance.</w:t>
      </w:r>
    </w:p>
    <w:p w14:paraId="7FA7619C" w14:textId="44038E45" w:rsidR="00897477" w:rsidRDefault="00897477"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897477">
        <w:rPr>
          <w:rFonts w:eastAsia="Calibri"/>
        </w:rPr>
        <w:t>délégation</w:t>
      </w:r>
      <w:r>
        <w:rPr>
          <w:rFonts w:eastAsia="Calibri"/>
        </w:rPr>
        <w:t xml:space="preserve"> du </w:t>
      </w:r>
      <w:r w:rsidRPr="00897477">
        <w:rPr>
          <w:rFonts w:eastAsia="Calibri"/>
          <w:b/>
        </w:rPr>
        <w:t>Liban</w:t>
      </w:r>
      <w:r w:rsidR="006611C3">
        <w:rPr>
          <w:rFonts w:eastAsia="Calibri"/>
        </w:rPr>
        <w:t xml:space="preserve"> soutenait</w:t>
      </w:r>
      <w:r>
        <w:rPr>
          <w:rFonts w:eastAsia="Calibri"/>
        </w:rPr>
        <w:t xml:space="preserve"> la </w:t>
      </w:r>
      <w:r w:rsidRPr="00897477">
        <w:rPr>
          <w:rFonts w:eastAsia="Calibri"/>
        </w:rPr>
        <w:t xml:space="preserve">proposition </w:t>
      </w:r>
      <w:r>
        <w:rPr>
          <w:rFonts w:eastAsia="Calibri"/>
        </w:rPr>
        <w:t>de la Palestine et de Chypre.</w:t>
      </w:r>
    </w:p>
    <w:p w14:paraId="4B70155C" w14:textId="3D9C3D5D" w:rsidR="00897477" w:rsidRDefault="00897477"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En l</w:t>
      </w:r>
      <w:r w:rsidR="00346F1B">
        <w:rPr>
          <w:rFonts w:eastAsia="Calibri"/>
        </w:rPr>
        <w:t>’</w:t>
      </w:r>
      <w:r>
        <w:rPr>
          <w:rFonts w:eastAsia="Calibri"/>
        </w:rPr>
        <w:t>absence d</w:t>
      </w:r>
      <w:r w:rsidR="00346F1B">
        <w:rPr>
          <w:rFonts w:eastAsia="Calibri"/>
        </w:rPr>
        <w:t>’</w:t>
      </w:r>
      <w:r>
        <w:rPr>
          <w:rFonts w:eastAsia="Calibri"/>
        </w:rPr>
        <w:t xml:space="preserve">autres commentaires, le </w:t>
      </w:r>
      <w:r w:rsidRPr="00897477">
        <w:rPr>
          <w:rFonts w:eastAsia="Calibri"/>
          <w:b/>
        </w:rPr>
        <w:t>Président</w:t>
      </w:r>
      <w:r>
        <w:rPr>
          <w:rFonts w:eastAsia="Calibri"/>
        </w:rPr>
        <w:t xml:space="preserve"> a adopté le </w:t>
      </w:r>
      <w:r w:rsidRPr="00897477">
        <w:rPr>
          <w:rFonts w:eastAsia="Calibri"/>
        </w:rPr>
        <w:t>paragraphe</w:t>
      </w:r>
      <w:r>
        <w:rPr>
          <w:rFonts w:eastAsia="Calibri"/>
        </w:rPr>
        <w:t xml:space="preserve"> 12 tel qu</w:t>
      </w:r>
      <w:r w:rsidR="00346F1B">
        <w:rPr>
          <w:rFonts w:eastAsia="Calibri"/>
        </w:rPr>
        <w:t>’</w:t>
      </w:r>
      <w:r>
        <w:rPr>
          <w:rFonts w:eastAsia="Calibri"/>
        </w:rPr>
        <w:t xml:space="preserve">amendé. Il est alors passé à la décision dans son </w:t>
      </w:r>
      <w:r w:rsidRPr="00897477">
        <w:rPr>
          <w:rFonts w:eastAsia="Calibri"/>
        </w:rPr>
        <w:t>ensemble</w:t>
      </w:r>
      <w:r w:rsidR="0093340B">
        <w:rPr>
          <w:rFonts w:eastAsia="Calibri"/>
        </w:rPr>
        <w:t>.</w:t>
      </w:r>
    </w:p>
    <w:p w14:paraId="44036E6A" w14:textId="31710846" w:rsidR="00C17C25" w:rsidRPr="00C17C25" w:rsidRDefault="00B6593A"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La </w:t>
      </w:r>
      <w:r w:rsidRPr="00B6593A">
        <w:rPr>
          <w:rFonts w:eastAsia="Calibri"/>
        </w:rPr>
        <w:t>délégation</w:t>
      </w:r>
      <w:r>
        <w:rPr>
          <w:rFonts w:eastAsia="Calibri"/>
        </w:rPr>
        <w:t xml:space="preserve"> de </w:t>
      </w:r>
      <w:r w:rsidRPr="00B6593A">
        <w:rPr>
          <w:rFonts w:eastAsia="Calibri"/>
          <w:b/>
        </w:rPr>
        <w:t>Cuba</w:t>
      </w:r>
      <w:r>
        <w:rPr>
          <w:rFonts w:eastAsia="Calibri"/>
        </w:rPr>
        <w:t xml:space="preserve"> n</w:t>
      </w:r>
      <w:r w:rsidR="00346F1B">
        <w:rPr>
          <w:rFonts w:eastAsia="Calibri"/>
        </w:rPr>
        <w:t>’</w:t>
      </w:r>
      <w:r>
        <w:rPr>
          <w:rFonts w:eastAsia="Calibri"/>
        </w:rPr>
        <w:t>avait pas d</w:t>
      </w:r>
      <w:r w:rsidR="00346F1B">
        <w:rPr>
          <w:rFonts w:eastAsia="Calibri"/>
        </w:rPr>
        <w:t>’</w:t>
      </w:r>
      <w:r>
        <w:rPr>
          <w:rFonts w:eastAsia="Calibri"/>
        </w:rPr>
        <w:t>objection à l</w:t>
      </w:r>
      <w:r w:rsidR="00346F1B">
        <w:rPr>
          <w:rFonts w:eastAsia="Calibri"/>
        </w:rPr>
        <w:t>’</w:t>
      </w:r>
      <w:r>
        <w:rPr>
          <w:rFonts w:eastAsia="Calibri"/>
        </w:rPr>
        <w:t>adoption du projet de décision</w:t>
      </w:r>
      <w:r w:rsidR="00C17C25">
        <w:rPr>
          <w:rFonts w:eastAsia="Calibri"/>
        </w:rPr>
        <w:t xml:space="preserve">, mais elle a demandé que, </w:t>
      </w:r>
      <w:r>
        <w:rPr>
          <w:rFonts w:eastAsia="Calibri"/>
        </w:rPr>
        <w:t xml:space="preserve">lors des prochaines sessions du Comité, le Secrétariat </w:t>
      </w:r>
      <w:r w:rsidR="00C17C25">
        <w:rPr>
          <w:rFonts w:eastAsia="Calibri"/>
        </w:rPr>
        <w:t xml:space="preserve">communique </w:t>
      </w:r>
      <w:r>
        <w:rPr>
          <w:rFonts w:eastAsia="Calibri"/>
        </w:rPr>
        <w:t xml:space="preserve">une </w:t>
      </w:r>
      <w:r w:rsidRPr="00B6593A">
        <w:rPr>
          <w:rFonts w:eastAsia="Calibri"/>
        </w:rPr>
        <w:t>documentation</w:t>
      </w:r>
      <w:r>
        <w:rPr>
          <w:rFonts w:eastAsia="Calibri"/>
        </w:rPr>
        <w:t xml:space="preserve"> et des éléments de contexte plus complets sur tous les efforts déployés </w:t>
      </w:r>
      <w:r w:rsidR="00C17C25">
        <w:rPr>
          <w:rFonts w:eastAsia="Calibri"/>
        </w:rPr>
        <w:t xml:space="preserve">dans le cadre du budget et en prévision du prochain 39 C/5. La </w:t>
      </w:r>
      <w:r w:rsidR="00C17C25" w:rsidRPr="00C17C25">
        <w:rPr>
          <w:rFonts w:eastAsia="Calibri"/>
        </w:rPr>
        <w:t>délégation</w:t>
      </w:r>
      <w:r w:rsidR="006611C3">
        <w:rPr>
          <w:rFonts w:eastAsia="Calibri"/>
        </w:rPr>
        <w:t xml:space="preserve"> estimait</w:t>
      </w:r>
      <w:r w:rsidR="00C17C25">
        <w:rPr>
          <w:rFonts w:eastAsia="Calibri"/>
        </w:rPr>
        <w:t xml:space="preserve"> que tous les organes impliqués pourraient communiquer de plus amples </w:t>
      </w:r>
      <w:r w:rsidR="00C17C25" w:rsidRPr="00C17C25">
        <w:rPr>
          <w:rFonts w:eastAsia="Calibri"/>
        </w:rPr>
        <w:t>informations</w:t>
      </w:r>
      <w:r w:rsidR="00C17C25">
        <w:rPr>
          <w:rFonts w:eastAsia="Calibri"/>
        </w:rPr>
        <w:t xml:space="preserve"> au Comité sur leur travail quotidien. Elle a ajouté qu</w:t>
      </w:r>
      <w:r w:rsidR="00346F1B">
        <w:rPr>
          <w:rFonts w:eastAsia="Calibri"/>
        </w:rPr>
        <w:t>’</w:t>
      </w:r>
      <w:r w:rsidR="00C17C25">
        <w:rPr>
          <w:rFonts w:eastAsia="Calibri"/>
        </w:rPr>
        <w:t xml:space="preserve">elle était certaine que le Secrétariat ferait sienne cette </w:t>
      </w:r>
      <w:r w:rsidR="00C17C25" w:rsidRPr="00C17C25">
        <w:rPr>
          <w:rFonts w:eastAsia="Calibri"/>
        </w:rPr>
        <w:t>recommandation</w:t>
      </w:r>
      <w:r w:rsidR="0093340B">
        <w:rPr>
          <w:rFonts w:eastAsia="Calibri"/>
        </w:rPr>
        <w:t xml:space="preserve"> dans son prochain rapport.</w:t>
      </w:r>
    </w:p>
    <w:p w14:paraId="4E0453D2" w14:textId="33DB7283" w:rsidR="00C17C25" w:rsidRPr="00C17C25" w:rsidRDefault="00C17C25"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C17C25">
        <w:rPr>
          <w:rFonts w:eastAsia="Calibri"/>
          <w:b/>
        </w:rPr>
        <w:t>Secrétaire</w:t>
      </w:r>
      <w:r>
        <w:rPr>
          <w:rFonts w:eastAsia="Calibri"/>
        </w:rPr>
        <w:t xml:space="preserve"> comprenait que </w:t>
      </w:r>
      <w:r w:rsidR="004B0437">
        <w:rPr>
          <w:rFonts w:eastAsia="Calibri"/>
        </w:rPr>
        <w:t xml:space="preserve">la </w:t>
      </w:r>
      <w:r w:rsidR="004B0437" w:rsidRPr="004B0437">
        <w:rPr>
          <w:rFonts w:eastAsia="Calibri"/>
        </w:rPr>
        <w:t>délégation</w:t>
      </w:r>
      <w:r w:rsidR="004B0437">
        <w:rPr>
          <w:rFonts w:eastAsia="Calibri"/>
        </w:rPr>
        <w:t xml:space="preserve"> de </w:t>
      </w:r>
      <w:r>
        <w:rPr>
          <w:rFonts w:eastAsia="Calibri"/>
        </w:rPr>
        <w:t>Cuba faisait référence au prochain point de l</w:t>
      </w:r>
      <w:r w:rsidR="00346F1B">
        <w:rPr>
          <w:rFonts w:eastAsia="Calibri"/>
        </w:rPr>
        <w:t>’</w:t>
      </w:r>
      <w:r w:rsidRPr="00C17C25">
        <w:rPr>
          <w:rFonts w:eastAsia="Calibri"/>
        </w:rPr>
        <w:t>ordre du jour</w:t>
      </w:r>
      <w:r>
        <w:rPr>
          <w:rFonts w:eastAsia="Calibri"/>
        </w:rPr>
        <w:t xml:space="preserve"> qui traitait des contributions volontaires et supplémentaires. Il a ajouté que le Secrétariat</w:t>
      </w:r>
      <w:r w:rsidR="004B0437">
        <w:rPr>
          <w:rFonts w:eastAsia="Calibri"/>
        </w:rPr>
        <w:t xml:space="preserve"> était très reconnaissant à la </w:t>
      </w:r>
      <w:r w:rsidR="004B0437" w:rsidRPr="004B0437">
        <w:rPr>
          <w:rFonts w:eastAsia="Calibri"/>
        </w:rPr>
        <w:t>délégation</w:t>
      </w:r>
      <w:r w:rsidR="0093340B">
        <w:rPr>
          <w:rFonts w:eastAsia="Calibri"/>
        </w:rPr>
        <w:t xml:space="preserve"> d</w:t>
      </w:r>
      <w:r w:rsidR="00346F1B">
        <w:rPr>
          <w:rFonts w:eastAsia="Calibri"/>
        </w:rPr>
        <w:t>’</w:t>
      </w:r>
      <w:r w:rsidR="0093340B">
        <w:rPr>
          <w:rFonts w:eastAsia="Calibri"/>
        </w:rPr>
        <w:t>avoir fait cette requête.</w:t>
      </w:r>
    </w:p>
    <w:p w14:paraId="18D0A7C5" w14:textId="5B8FC831" w:rsidR="004B0437" w:rsidRDefault="004B0437"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Compte tenu de l</w:t>
      </w:r>
      <w:r w:rsidR="00346F1B">
        <w:rPr>
          <w:rFonts w:eastAsia="Calibri"/>
        </w:rPr>
        <w:t>’</w:t>
      </w:r>
      <w:r>
        <w:rPr>
          <w:rFonts w:eastAsia="Calibri"/>
        </w:rPr>
        <w:t xml:space="preserve">importance de la question, la </w:t>
      </w:r>
      <w:r w:rsidRPr="004B0437">
        <w:rPr>
          <w:rFonts w:eastAsia="Calibri"/>
        </w:rPr>
        <w:t>délégation</w:t>
      </w:r>
      <w:r>
        <w:rPr>
          <w:rFonts w:eastAsia="Calibri"/>
        </w:rPr>
        <w:t xml:space="preserve"> de la </w:t>
      </w:r>
      <w:r w:rsidRPr="004B0437">
        <w:rPr>
          <w:rFonts w:eastAsia="Calibri"/>
          <w:b/>
        </w:rPr>
        <w:t>Côte d</w:t>
      </w:r>
      <w:r w:rsidR="00346F1B">
        <w:rPr>
          <w:rFonts w:eastAsia="Calibri"/>
          <w:b/>
        </w:rPr>
        <w:t>’</w:t>
      </w:r>
      <w:r w:rsidRPr="004B0437">
        <w:rPr>
          <w:rFonts w:eastAsia="Calibri"/>
          <w:b/>
        </w:rPr>
        <w:t>Ivoire</w:t>
      </w:r>
      <w:r>
        <w:rPr>
          <w:rFonts w:eastAsia="Calibri"/>
        </w:rPr>
        <w:t xml:space="preserve"> a proposé que l</w:t>
      </w:r>
      <w:r w:rsidR="00346F1B">
        <w:rPr>
          <w:rFonts w:eastAsia="Calibri"/>
        </w:rPr>
        <w:t>’</w:t>
      </w:r>
      <w:r w:rsidRPr="004B0437">
        <w:rPr>
          <w:rFonts w:eastAsia="Calibri"/>
        </w:rPr>
        <w:t>utilisation</w:t>
      </w:r>
      <w:r>
        <w:rPr>
          <w:rFonts w:eastAsia="Calibri"/>
        </w:rPr>
        <w:t xml:space="preserve"> des fonds soit un point de l</w:t>
      </w:r>
      <w:r w:rsidR="00346F1B">
        <w:rPr>
          <w:rFonts w:eastAsia="Calibri"/>
        </w:rPr>
        <w:t>’</w:t>
      </w:r>
      <w:r w:rsidRPr="004B0437">
        <w:rPr>
          <w:rFonts w:eastAsia="Calibri"/>
        </w:rPr>
        <w:t>ordre du jour</w:t>
      </w:r>
      <w:r>
        <w:rPr>
          <w:rFonts w:eastAsia="Calibri"/>
        </w:rPr>
        <w:t xml:space="preserve"> de l</w:t>
      </w:r>
      <w:r w:rsidR="0093340B">
        <w:rPr>
          <w:rFonts w:eastAsia="Calibri"/>
        </w:rPr>
        <w:t>a prochaine Assemblée générale.</w:t>
      </w:r>
    </w:p>
    <w:p w14:paraId="2B5AC51E" w14:textId="302CA177" w:rsidR="004B0437" w:rsidRDefault="004B0437" w:rsidP="00AF7860">
      <w:pPr>
        <w:pStyle w:val="Orateurengris"/>
        <w:tabs>
          <w:tab w:val="clear" w:pos="709"/>
          <w:tab w:val="clear" w:pos="1418"/>
          <w:tab w:val="clear" w:pos="2126"/>
          <w:tab w:val="clear" w:pos="2835"/>
          <w:tab w:val="clear" w:pos="3686"/>
        </w:tabs>
        <w:spacing w:before="120"/>
        <w:ind w:left="709" w:hanging="709"/>
        <w:rPr>
          <w:rFonts w:eastAsia="Calibri"/>
        </w:rPr>
      </w:pPr>
      <w:r>
        <w:rPr>
          <w:rFonts w:eastAsia="Calibri"/>
        </w:rPr>
        <w:t xml:space="preserve">Le </w:t>
      </w:r>
      <w:r w:rsidRPr="004B0437">
        <w:rPr>
          <w:rFonts w:eastAsia="Calibri"/>
          <w:b/>
        </w:rPr>
        <w:t>Secrétaire</w:t>
      </w:r>
      <w:r>
        <w:rPr>
          <w:rFonts w:eastAsia="Calibri"/>
        </w:rPr>
        <w:t xml:space="preserve"> a confirmé que c</w:t>
      </w:r>
      <w:r w:rsidR="00346F1B">
        <w:rPr>
          <w:rFonts w:eastAsia="Calibri"/>
        </w:rPr>
        <w:t>’</w:t>
      </w:r>
      <w:r>
        <w:rPr>
          <w:rFonts w:eastAsia="Calibri"/>
        </w:rPr>
        <w:t>était effectivement le cas et que cela continuerait à</w:t>
      </w:r>
      <w:r w:rsidR="0093340B">
        <w:rPr>
          <w:rFonts w:eastAsia="Calibri"/>
        </w:rPr>
        <w:t xml:space="preserve"> l</w:t>
      </w:r>
      <w:r w:rsidR="00346F1B">
        <w:rPr>
          <w:rFonts w:eastAsia="Calibri"/>
        </w:rPr>
        <w:t>’</w:t>
      </w:r>
      <w:r w:rsidR="0093340B">
        <w:rPr>
          <w:rFonts w:eastAsia="Calibri"/>
        </w:rPr>
        <w:t>être.</w:t>
      </w:r>
    </w:p>
    <w:p w14:paraId="5D850800" w14:textId="78E920BE" w:rsidR="004B0437" w:rsidRPr="00584C7F" w:rsidRDefault="004B0437" w:rsidP="00AF7860">
      <w:pPr>
        <w:pStyle w:val="Orateurengris"/>
        <w:tabs>
          <w:tab w:val="clear" w:pos="709"/>
          <w:tab w:val="clear" w:pos="1418"/>
          <w:tab w:val="clear" w:pos="2126"/>
          <w:tab w:val="clear" w:pos="2835"/>
          <w:tab w:val="clear" w:pos="3686"/>
        </w:tabs>
        <w:spacing w:before="120"/>
        <w:ind w:left="709" w:hanging="709"/>
        <w:rPr>
          <w:rFonts w:eastAsia="Calibri"/>
        </w:rPr>
      </w:pPr>
      <w:r w:rsidRPr="00584C7F">
        <w:rPr>
          <w:rFonts w:eastAsia="Calibri"/>
        </w:rPr>
        <w:t>En l</w:t>
      </w:r>
      <w:r w:rsidR="00346F1B">
        <w:rPr>
          <w:rFonts w:eastAsia="Calibri"/>
        </w:rPr>
        <w:t>’</w:t>
      </w:r>
      <w:r w:rsidRPr="00584C7F">
        <w:rPr>
          <w:rFonts w:eastAsia="Calibri"/>
        </w:rPr>
        <w:t>absence d</w:t>
      </w:r>
      <w:r w:rsidR="00346F1B">
        <w:rPr>
          <w:rFonts w:eastAsia="Calibri"/>
        </w:rPr>
        <w:t>’</w:t>
      </w:r>
      <w:r w:rsidRPr="00584C7F">
        <w:rPr>
          <w:rFonts w:eastAsia="Calibri"/>
        </w:rPr>
        <w:t xml:space="preserve">autres commentaires ou objections, le </w:t>
      </w:r>
      <w:r w:rsidRPr="00584C7F">
        <w:rPr>
          <w:rFonts w:eastAsia="Calibri"/>
          <w:b/>
        </w:rPr>
        <w:t>Président a déclaré la décision 11.COM 5 adoptée</w:t>
      </w:r>
      <w:r w:rsidRPr="00584C7F">
        <w:rPr>
          <w:rFonts w:eastAsia="Calibri"/>
        </w:rPr>
        <w:t>. Avant de passer au prochain point de l</w:t>
      </w:r>
      <w:r w:rsidR="00346F1B">
        <w:rPr>
          <w:rFonts w:eastAsia="Calibri"/>
        </w:rPr>
        <w:t>’</w:t>
      </w:r>
      <w:r w:rsidRPr="00584C7F">
        <w:rPr>
          <w:rFonts w:eastAsia="Calibri"/>
        </w:rPr>
        <w:t>ordre du jour, le point 6, le Président a annoncé que le ministre de</w:t>
      </w:r>
      <w:r w:rsidR="00584C7F" w:rsidRPr="00584C7F">
        <w:rPr>
          <w:rFonts w:eastAsia="Calibri"/>
        </w:rPr>
        <w:t xml:space="preserve"> la Renaissance culturelle, des A</w:t>
      </w:r>
      <w:r w:rsidRPr="00584C7F">
        <w:rPr>
          <w:rFonts w:eastAsia="Calibri"/>
        </w:rPr>
        <w:t>rts et de la Modernisation sociale du Niger s</w:t>
      </w:r>
      <w:r w:rsidR="0093340B">
        <w:rPr>
          <w:rFonts w:eastAsia="Calibri"/>
        </w:rPr>
        <w:t>ouhaitait s</w:t>
      </w:r>
      <w:r w:rsidR="00346F1B">
        <w:rPr>
          <w:rFonts w:eastAsia="Calibri"/>
        </w:rPr>
        <w:t>’</w:t>
      </w:r>
      <w:r w:rsidR="0093340B">
        <w:rPr>
          <w:rFonts w:eastAsia="Calibri"/>
        </w:rPr>
        <w:t>adresser au Comité.</w:t>
      </w:r>
    </w:p>
    <w:p w14:paraId="7FB23F09" w14:textId="65AA572C" w:rsidR="00944DB7" w:rsidRPr="00944DB7" w:rsidRDefault="0048724E" w:rsidP="00AF7860">
      <w:pPr>
        <w:pStyle w:val="Orateurengris"/>
        <w:tabs>
          <w:tab w:val="clear" w:pos="709"/>
          <w:tab w:val="clear" w:pos="1418"/>
          <w:tab w:val="clear" w:pos="2126"/>
          <w:tab w:val="clear" w:pos="2835"/>
          <w:tab w:val="clear" w:pos="3686"/>
          <w:tab w:val="left" w:pos="5529"/>
          <w:tab w:val="left" w:pos="7371"/>
        </w:tabs>
        <w:spacing w:before="120"/>
        <w:ind w:left="709" w:hanging="709"/>
        <w:rPr>
          <w:rFonts w:eastAsia="Cambria"/>
        </w:rPr>
      </w:pPr>
      <w:r w:rsidRPr="00584C7F">
        <w:rPr>
          <w:rFonts w:eastAsia="Cambria"/>
        </w:rPr>
        <w:t xml:space="preserve">Au nom du Niger, le </w:t>
      </w:r>
      <w:r w:rsidR="00584C7F" w:rsidRPr="00584C7F">
        <w:rPr>
          <w:rFonts w:eastAsia="Cambria"/>
          <w:b/>
        </w:rPr>
        <w:t xml:space="preserve">ministre </w:t>
      </w:r>
      <w:r w:rsidR="00584C7F" w:rsidRPr="00584C7F">
        <w:rPr>
          <w:rFonts w:eastAsia="Calibri"/>
          <w:b/>
        </w:rPr>
        <w:t>de la Renaissance culturelle, des Arts et de la Modernisation sociale du Niger</w:t>
      </w:r>
      <w:r w:rsidR="00584C7F">
        <w:rPr>
          <w:rFonts w:eastAsia="Calibri"/>
        </w:rPr>
        <w:t xml:space="preserve"> a adressé ses remerciements aux délégués, au peuple de l</w:t>
      </w:r>
      <w:r w:rsidR="00346F1B">
        <w:rPr>
          <w:rFonts w:eastAsia="Calibri"/>
        </w:rPr>
        <w:t>’</w:t>
      </w:r>
      <w:r w:rsidR="00584C7F" w:rsidRPr="00584C7F">
        <w:rPr>
          <w:rFonts w:eastAsia="Calibri"/>
        </w:rPr>
        <w:t>Éthiopie</w:t>
      </w:r>
      <w:r w:rsidR="00584C7F">
        <w:rPr>
          <w:rFonts w:eastAsia="Calibri"/>
        </w:rPr>
        <w:t xml:space="preserve"> et à l</w:t>
      </w:r>
      <w:r w:rsidR="00346F1B">
        <w:rPr>
          <w:rFonts w:eastAsia="Calibri"/>
        </w:rPr>
        <w:t>’</w:t>
      </w:r>
      <w:r w:rsidR="00584C7F">
        <w:rPr>
          <w:rFonts w:eastAsia="Calibri"/>
        </w:rPr>
        <w:t>UNESCO pour l</w:t>
      </w:r>
      <w:r w:rsidR="00346F1B">
        <w:rPr>
          <w:rFonts w:eastAsia="Calibri"/>
        </w:rPr>
        <w:t>’</w:t>
      </w:r>
      <w:r w:rsidR="00584C7F" w:rsidRPr="00584C7F">
        <w:rPr>
          <w:rFonts w:eastAsia="Calibri"/>
        </w:rPr>
        <w:t>organisation</w:t>
      </w:r>
      <w:r w:rsidR="00584C7F">
        <w:rPr>
          <w:rFonts w:eastAsia="Calibri"/>
        </w:rPr>
        <w:t xml:space="preserve"> de cette session. Le ministre a transmis les salutations du président de la République et du </w:t>
      </w:r>
      <w:r w:rsidR="00962B2B">
        <w:rPr>
          <w:rFonts w:eastAsia="Calibri"/>
        </w:rPr>
        <w:t>G</w:t>
      </w:r>
      <w:r w:rsidR="00584C7F" w:rsidRPr="00584C7F">
        <w:rPr>
          <w:rFonts w:eastAsia="Calibri"/>
        </w:rPr>
        <w:t>ouvernement</w:t>
      </w:r>
      <w:r w:rsidR="00584C7F">
        <w:rPr>
          <w:rFonts w:eastAsia="Calibri"/>
        </w:rPr>
        <w:t xml:space="preserve"> du Niger et </w:t>
      </w:r>
      <w:r w:rsidR="006611C3">
        <w:rPr>
          <w:rFonts w:eastAsia="Calibri"/>
        </w:rPr>
        <w:t xml:space="preserve">a </w:t>
      </w:r>
      <w:r w:rsidR="00584C7F">
        <w:rPr>
          <w:rFonts w:eastAsia="Calibri"/>
        </w:rPr>
        <w:t xml:space="preserve">félicité les </w:t>
      </w:r>
      <w:r w:rsidR="00A46CAD">
        <w:rPr>
          <w:rFonts w:eastAsia="Calibri"/>
        </w:rPr>
        <w:t>membres du Comité</w:t>
      </w:r>
      <w:r w:rsidR="00584C7F">
        <w:rPr>
          <w:rFonts w:eastAsia="Calibri"/>
        </w:rPr>
        <w:t xml:space="preserve"> et autres Organisations consultatives pour leur excellent travail de </w:t>
      </w:r>
      <w:r w:rsidR="00584C7F" w:rsidRPr="00584C7F">
        <w:rPr>
          <w:rFonts w:eastAsia="Calibri"/>
        </w:rPr>
        <w:t>sauvegarde</w:t>
      </w:r>
      <w:r w:rsidR="00584C7F">
        <w:rPr>
          <w:rFonts w:eastAsia="Calibri"/>
        </w:rPr>
        <w:t xml:space="preserve"> du </w:t>
      </w:r>
      <w:r w:rsidR="00584C7F" w:rsidRPr="00584C7F">
        <w:rPr>
          <w:rFonts w:eastAsia="Calibri"/>
        </w:rPr>
        <w:t>patrimoine</w:t>
      </w:r>
      <w:r w:rsidR="00584C7F">
        <w:rPr>
          <w:rFonts w:eastAsia="Calibri"/>
        </w:rPr>
        <w:t xml:space="preserve"> </w:t>
      </w:r>
      <w:r w:rsidR="00584C7F" w:rsidRPr="00584C7F">
        <w:rPr>
          <w:rFonts w:eastAsia="Calibri"/>
        </w:rPr>
        <w:t>immatériel</w:t>
      </w:r>
      <w:r w:rsidR="00584C7F">
        <w:rPr>
          <w:rFonts w:eastAsia="Calibri"/>
        </w:rPr>
        <w:t xml:space="preserve"> de l</w:t>
      </w:r>
      <w:r w:rsidR="00346F1B">
        <w:rPr>
          <w:rFonts w:eastAsia="Calibri"/>
        </w:rPr>
        <w:t>’</w:t>
      </w:r>
      <w:r w:rsidR="00584C7F">
        <w:rPr>
          <w:rFonts w:eastAsia="Calibri"/>
        </w:rPr>
        <w:t xml:space="preserve">humanité. À </w:t>
      </w:r>
      <w:r w:rsidR="005176E2">
        <w:rPr>
          <w:rFonts w:eastAsia="Calibri"/>
        </w:rPr>
        <w:t>cet égard, le Niger œuvrait</w:t>
      </w:r>
      <w:r w:rsidR="00584C7F">
        <w:rPr>
          <w:rFonts w:eastAsia="Calibri"/>
        </w:rPr>
        <w:t xml:space="preserve"> sans relâche pour contribuer de façon positive à la mise en œuvre de la </w:t>
      </w:r>
      <w:r w:rsidR="00584C7F" w:rsidRPr="00584C7F">
        <w:rPr>
          <w:rFonts w:eastAsia="Calibri"/>
        </w:rPr>
        <w:t>Convention</w:t>
      </w:r>
      <w:r w:rsidR="005176E2">
        <w:rPr>
          <w:rFonts w:eastAsia="Calibri"/>
        </w:rPr>
        <w:t xml:space="preserve"> de 2003, comme en témoignait</w:t>
      </w:r>
      <w:r w:rsidR="00584C7F">
        <w:rPr>
          <w:rFonts w:eastAsia="Calibri"/>
        </w:rPr>
        <w:t xml:space="preserve"> l</w:t>
      </w:r>
      <w:r w:rsidR="00346F1B">
        <w:rPr>
          <w:rFonts w:eastAsia="Calibri"/>
        </w:rPr>
        <w:t>’</w:t>
      </w:r>
      <w:r w:rsidR="00584C7F">
        <w:rPr>
          <w:rFonts w:eastAsia="Calibri"/>
        </w:rPr>
        <w:t>inclusion de deux éléments sur la Liste représentative, « </w:t>
      </w:r>
      <w:r w:rsidR="00115767">
        <w:rPr>
          <w:rFonts w:eastAsia="Calibri"/>
        </w:rPr>
        <w:t>Pratiques</w:t>
      </w:r>
      <w:r w:rsidR="005176E2">
        <w:rPr>
          <w:rFonts w:eastAsia="Calibri"/>
        </w:rPr>
        <w:t xml:space="preserve"> et expressions de la parenté au</w:t>
      </w:r>
      <w:r w:rsidR="00115767">
        <w:rPr>
          <w:rFonts w:eastAsia="Calibri"/>
        </w:rPr>
        <w:t xml:space="preserve"> Niger », un instrument de prévention et de </w:t>
      </w:r>
      <w:r w:rsidR="00115767" w:rsidRPr="00115767">
        <w:rPr>
          <w:rFonts w:eastAsia="Calibri"/>
        </w:rPr>
        <w:t>résolution</w:t>
      </w:r>
      <w:r w:rsidR="00115767">
        <w:rPr>
          <w:rFonts w:eastAsia="Calibri"/>
        </w:rPr>
        <w:t xml:space="preserve"> des conflits sociaux, et « Les pratiques et savoirs liés à l</w:t>
      </w:r>
      <w:r w:rsidR="00346F1B">
        <w:rPr>
          <w:rFonts w:eastAsia="Calibri"/>
        </w:rPr>
        <w:t>’</w:t>
      </w:r>
      <w:r w:rsidR="00115767">
        <w:rPr>
          <w:rFonts w:eastAsia="Calibri"/>
        </w:rPr>
        <w:t>imzad des communautés touarègues de l</w:t>
      </w:r>
      <w:r w:rsidR="00346F1B">
        <w:rPr>
          <w:rFonts w:eastAsia="Calibri"/>
        </w:rPr>
        <w:t>’</w:t>
      </w:r>
      <w:r w:rsidR="00115767">
        <w:rPr>
          <w:rFonts w:eastAsia="Calibri"/>
        </w:rPr>
        <w:t>Algérie, du Mali et du Niger »</w:t>
      </w:r>
      <w:r w:rsidR="00E52476">
        <w:rPr>
          <w:rFonts w:eastAsia="Calibri"/>
        </w:rPr>
        <w:t xml:space="preserve"> qui était </w:t>
      </w:r>
      <w:r w:rsidR="00E52476" w:rsidRPr="00E52476">
        <w:rPr>
          <w:rFonts w:eastAsia="Calibri"/>
        </w:rPr>
        <w:t>également</w:t>
      </w:r>
      <w:r w:rsidR="00E52476">
        <w:rPr>
          <w:rFonts w:eastAsia="Calibri"/>
        </w:rPr>
        <w:t xml:space="preserve"> une expression de la diversité culturelle et du lien qui unissait les états du Sahel</w:t>
      </w:r>
      <w:r w:rsidR="00E52476">
        <w:rPr>
          <w:rFonts w:eastAsia="Cambria"/>
        </w:rPr>
        <w:t xml:space="preserve">. Conscient de </w:t>
      </w:r>
      <w:r w:rsidR="001A4C2B">
        <w:rPr>
          <w:rFonts w:eastAsia="Cambria"/>
        </w:rPr>
        <w:t>la contribution du patrimoine culturel immatériel au développement, le G</w:t>
      </w:r>
      <w:r w:rsidR="001A4C2B" w:rsidRPr="001A4C2B">
        <w:rPr>
          <w:rFonts w:eastAsia="Cambria"/>
        </w:rPr>
        <w:t>ouvernement</w:t>
      </w:r>
      <w:r w:rsidR="005176E2">
        <w:rPr>
          <w:rFonts w:eastAsia="Cambria"/>
        </w:rPr>
        <w:t xml:space="preserve"> du Niger était en train de mettre</w:t>
      </w:r>
      <w:r w:rsidR="001A4C2B">
        <w:rPr>
          <w:rFonts w:eastAsia="Cambria"/>
        </w:rPr>
        <w:t xml:space="preserve"> </w:t>
      </w:r>
      <w:r w:rsidR="00944DB7">
        <w:rPr>
          <w:rFonts w:eastAsia="Cambria"/>
        </w:rPr>
        <w:t>en œuvre un programme de renaissance culturelle, essentiellement basé sur la promotion des traditions et autres valeurs culturelles qui contribuaient à l</w:t>
      </w:r>
      <w:r w:rsidR="00346F1B">
        <w:rPr>
          <w:rFonts w:eastAsia="Cambria"/>
        </w:rPr>
        <w:t>’</w:t>
      </w:r>
      <w:r w:rsidR="00944DB7" w:rsidRPr="00944DB7">
        <w:rPr>
          <w:rFonts w:eastAsia="Cambria"/>
        </w:rPr>
        <w:t>éducation</w:t>
      </w:r>
      <w:r w:rsidR="00944DB7">
        <w:rPr>
          <w:rFonts w:eastAsia="Cambria"/>
        </w:rPr>
        <w:t xml:space="preserve"> et la citoyenneté ; cette nouvelle dynamique se reflétait dans la mission du </w:t>
      </w:r>
      <w:r w:rsidR="00944DB7" w:rsidRPr="00944DB7">
        <w:rPr>
          <w:rFonts w:eastAsia="Cambria"/>
        </w:rPr>
        <w:t>ministère</w:t>
      </w:r>
      <w:r w:rsidR="00944DB7">
        <w:rPr>
          <w:rFonts w:eastAsia="Cambria"/>
        </w:rPr>
        <w:t xml:space="preserve"> de la Renaissance culturelle, des Arts et de la Modernisation sociale. Le ministre a évoqué l</w:t>
      </w:r>
      <w:r w:rsidR="00346F1B">
        <w:rPr>
          <w:rFonts w:eastAsia="Cambria"/>
        </w:rPr>
        <w:t>’</w:t>
      </w:r>
      <w:r w:rsidR="00944DB7">
        <w:rPr>
          <w:rFonts w:eastAsia="Cambria"/>
        </w:rPr>
        <w:t xml:space="preserve">ouverture du pays à tout </w:t>
      </w:r>
      <w:r w:rsidR="005176E2">
        <w:rPr>
          <w:rFonts w:eastAsia="Cambria"/>
        </w:rPr>
        <w:t xml:space="preserve">accord de </w:t>
      </w:r>
      <w:r w:rsidR="00944DB7" w:rsidRPr="00944DB7">
        <w:rPr>
          <w:rFonts w:eastAsia="Cambria"/>
        </w:rPr>
        <w:t>partenariat</w:t>
      </w:r>
      <w:r w:rsidR="00944DB7">
        <w:rPr>
          <w:rFonts w:eastAsia="Cambria"/>
        </w:rPr>
        <w:t xml:space="preserve"> ou </w:t>
      </w:r>
      <w:r w:rsidR="005176E2">
        <w:rPr>
          <w:rFonts w:eastAsia="Cambria"/>
        </w:rPr>
        <w:t xml:space="preserve">de </w:t>
      </w:r>
      <w:r w:rsidR="00944DB7" w:rsidRPr="00944DB7">
        <w:rPr>
          <w:rFonts w:eastAsia="Cambria"/>
        </w:rPr>
        <w:t>coopération</w:t>
      </w:r>
      <w:r w:rsidR="00944DB7">
        <w:rPr>
          <w:rFonts w:eastAsia="Cambria"/>
        </w:rPr>
        <w:t xml:space="preserve"> destiné à mettre en valeur le </w:t>
      </w:r>
      <w:r w:rsidR="00944DB7" w:rsidRPr="00944DB7">
        <w:rPr>
          <w:rFonts w:eastAsia="Cambria"/>
        </w:rPr>
        <w:t>patrimoine</w:t>
      </w:r>
      <w:r w:rsidR="00944DB7">
        <w:rPr>
          <w:rFonts w:eastAsia="Cambria"/>
        </w:rPr>
        <w:t xml:space="preserve"> </w:t>
      </w:r>
      <w:r w:rsidR="00944DB7" w:rsidRPr="00944DB7">
        <w:rPr>
          <w:rFonts w:eastAsia="Cambria"/>
        </w:rPr>
        <w:t>culturel</w:t>
      </w:r>
      <w:r w:rsidR="00944DB7">
        <w:rPr>
          <w:rFonts w:eastAsia="Cambria"/>
        </w:rPr>
        <w:t xml:space="preserve"> mais </w:t>
      </w:r>
      <w:r w:rsidR="00944DB7" w:rsidRPr="00944DB7">
        <w:rPr>
          <w:rFonts w:eastAsia="Cambria"/>
        </w:rPr>
        <w:t>également</w:t>
      </w:r>
      <w:r w:rsidR="00944DB7">
        <w:rPr>
          <w:rFonts w:eastAsia="Cambria"/>
        </w:rPr>
        <w:t xml:space="preserve"> à contrer le fléau que représentait Boko Haram, qui avait entrainé le Niger, le Nigeria, le Cameroun et le Tchad dans un situation de conflit dévastateur. Des vies avaient ma</w:t>
      </w:r>
      <w:r w:rsidR="005176E2">
        <w:rPr>
          <w:rFonts w:eastAsia="Cambria"/>
        </w:rPr>
        <w:t>lheureusement été perdues et le</w:t>
      </w:r>
      <w:r w:rsidR="00944DB7">
        <w:rPr>
          <w:rFonts w:eastAsia="Cambria"/>
        </w:rPr>
        <w:t xml:space="preserve"> PCI</w:t>
      </w:r>
      <w:r w:rsidR="005176E2">
        <w:rPr>
          <w:rFonts w:eastAsia="Cambria"/>
        </w:rPr>
        <w:t xml:space="preserve"> était menacé et souvent </w:t>
      </w:r>
      <w:r w:rsidR="00944DB7">
        <w:rPr>
          <w:rFonts w:eastAsia="Cambria"/>
        </w:rPr>
        <w:t xml:space="preserve">détruit. </w:t>
      </w:r>
      <w:r w:rsidR="005176E2">
        <w:rPr>
          <w:rFonts w:eastAsia="Cambria"/>
        </w:rPr>
        <w:t>C</w:t>
      </w:r>
      <w:r w:rsidR="00346F1B">
        <w:rPr>
          <w:rFonts w:eastAsia="Cambria"/>
        </w:rPr>
        <w:t>’</w:t>
      </w:r>
      <w:r w:rsidR="005176E2">
        <w:rPr>
          <w:rFonts w:eastAsia="Cambria"/>
        </w:rPr>
        <w:t>était la raison pour laquelle le Niger envisageait la création d</w:t>
      </w:r>
      <w:r w:rsidR="00346F1B">
        <w:rPr>
          <w:rFonts w:eastAsia="Cambria"/>
        </w:rPr>
        <w:t>’</w:t>
      </w:r>
      <w:r w:rsidR="005176E2">
        <w:rPr>
          <w:rFonts w:eastAsia="Cambria"/>
        </w:rPr>
        <w:t xml:space="preserve">un programme de protection et de préservation du </w:t>
      </w:r>
      <w:r w:rsidR="005176E2" w:rsidRPr="005176E2">
        <w:rPr>
          <w:rFonts w:eastAsia="Cambria"/>
        </w:rPr>
        <w:t>patrimoine</w:t>
      </w:r>
      <w:r w:rsidR="005176E2">
        <w:rPr>
          <w:rFonts w:eastAsia="Cambria"/>
        </w:rPr>
        <w:t xml:space="preserve"> </w:t>
      </w:r>
      <w:r w:rsidR="005176E2" w:rsidRPr="005176E2">
        <w:rPr>
          <w:rFonts w:eastAsia="Cambria"/>
        </w:rPr>
        <w:t>culturel</w:t>
      </w:r>
      <w:r w:rsidR="005176E2">
        <w:rPr>
          <w:rFonts w:eastAsia="Cambria"/>
        </w:rPr>
        <w:t>, comme prévu dans la politique culturelle nationale et son article 18, afin de mettre en œuvre des mesures administratives, financières et tech</w:t>
      </w:r>
      <w:r w:rsidR="00932E67">
        <w:rPr>
          <w:rFonts w:eastAsia="Cambria"/>
        </w:rPr>
        <w:t>niques destinées à préserver le</w:t>
      </w:r>
      <w:r w:rsidR="005176E2">
        <w:rPr>
          <w:rFonts w:eastAsia="Cambria"/>
        </w:rPr>
        <w:t xml:space="preserve"> </w:t>
      </w:r>
      <w:r w:rsidR="005176E2" w:rsidRPr="005176E2">
        <w:rPr>
          <w:rFonts w:eastAsia="Cambria"/>
        </w:rPr>
        <w:t>patrimoine</w:t>
      </w:r>
      <w:r w:rsidR="005176E2">
        <w:rPr>
          <w:rFonts w:eastAsia="Cambria"/>
        </w:rPr>
        <w:t xml:space="preserve"> </w:t>
      </w:r>
      <w:r w:rsidR="005176E2" w:rsidRPr="005176E2">
        <w:rPr>
          <w:rFonts w:eastAsia="Cambria"/>
        </w:rPr>
        <w:t>culturel</w:t>
      </w:r>
      <w:r w:rsidR="005176E2">
        <w:rPr>
          <w:rFonts w:eastAsia="Cambria"/>
        </w:rPr>
        <w:t xml:space="preserve">, </w:t>
      </w:r>
      <w:r w:rsidR="005176E2" w:rsidRPr="005176E2">
        <w:rPr>
          <w:rFonts w:eastAsia="Cambria"/>
        </w:rPr>
        <w:t>en particulier</w:t>
      </w:r>
      <w:r w:rsidR="005176E2">
        <w:rPr>
          <w:rFonts w:eastAsia="Cambria"/>
        </w:rPr>
        <w:t xml:space="preserve"> lorsqu</w:t>
      </w:r>
      <w:r w:rsidR="00346F1B">
        <w:rPr>
          <w:rFonts w:eastAsia="Cambria"/>
        </w:rPr>
        <w:t>’</w:t>
      </w:r>
      <w:r w:rsidR="005176E2">
        <w:rPr>
          <w:rFonts w:eastAsia="Cambria"/>
        </w:rPr>
        <w:t xml:space="preserve">il était en péril. Le ministre rentrerait bientôt en contact avec le Secrétariat </w:t>
      </w:r>
      <w:r w:rsidR="006611C3">
        <w:rPr>
          <w:rFonts w:eastAsia="Cambria"/>
        </w:rPr>
        <w:t xml:space="preserve">pour évoquer </w:t>
      </w:r>
      <w:r w:rsidR="005176E2">
        <w:rPr>
          <w:rFonts w:eastAsia="Cambria"/>
        </w:rPr>
        <w:t xml:space="preserve">son </w:t>
      </w:r>
      <w:r w:rsidR="005176E2" w:rsidRPr="005176E2">
        <w:rPr>
          <w:rFonts w:eastAsia="Cambria"/>
        </w:rPr>
        <w:t>programme</w:t>
      </w:r>
      <w:r w:rsidR="005176E2">
        <w:rPr>
          <w:rFonts w:eastAsia="Cambria"/>
        </w:rPr>
        <w:t xml:space="preserve"> dont l</w:t>
      </w:r>
      <w:r w:rsidR="00346F1B">
        <w:rPr>
          <w:rFonts w:eastAsia="Cambria"/>
        </w:rPr>
        <w:t>’</w:t>
      </w:r>
      <w:r w:rsidR="005176E2">
        <w:rPr>
          <w:rFonts w:eastAsia="Cambria"/>
        </w:rPr>
        <w:t xml:space="preserve">objectif était de protéger et de sauvegarder le </w:t>
      </w:r>
      <w:r w:rsidR="005176E2" w:rsidRPr="005176E2">
        <w:rPr>
          <w:rFonts w:eastAsia="Cambria"/>
        </w:rPr>
        <w:t>patrimoine</w:t>
      </w:r>
      <w:r w:rsidR="005176E2">
        <w:rPr>
          <w:rFonts w:eastAsia="Cambria"/>
        </w:rPr>
        <w:t xml:space="preserve"> </w:t>
      </w:r>
      <w:r w:rsidR="005176E2" w:rsidRPr="005176E2">
        <w:rPr>
          <w:rFonts w:eastAsia="Cambria"/>
        </w:rPr>
        <w:t>culturel</w:t>
      </w:r>
      <w:r w:rsidR="005176E2">
        <w:rPr>
          <w:rFonts w:eastAsia="Cambria"/>
        </w:rPr>
        <w:t xml:space="preserve"> dans le nord du pays, à la frontière avec le Mali, programme dont l</w:t>
      </w:r>
      <w:r w:rsidR="00346F1B">
        <w:rPr>
          <w:rFonts w:eastAsia="Cambria"/>
        </w:rPr>
        <w:t>’</w:t>
      </w:r>
      <w:r w:rsidR="005176E2" w:rsidRPr="005176E2">
        <w:rPr>
          <w:rFonts w:eastAsia="Cambria"/>
        </w:rPr>
        <w:t>élaboration</w:t>
      </w:r>
      <w:r w:rsidR="005176E2">
        <w:rPr>
          <w:rFonts w:eastAsia="Cambria"/>
        </w:rPr>
        <w:t xml:space="preserve"> était en co</w:t>
      </w:r>
      <w:r w:rsidR="00932E67">
        <w:rPr>
          <w:rFonts w:eastAsia="Cambria"/>
        </w:rPr>
        <w:t>urs d</w:t>
      </w:r>
      <w:r w:rsidR="00346F1B">
        <w:rPr>
          <w:rFonts w:eastAsia="Cambria"/>
        </w:rPr>
        <w:t>’</w:t>
      </w:r>
      <w:r w:rsidR="00932E67">
        <w:rPr>
          <w:rFonts w:eastAsia="Cambria"/>
        </w:rPr>
        <w:t xml:space="preserve">achèvement. Le ministre a, </w:t>
      </w:r>
      <w:r w:rsidR="005176E2">
        <w:rPr>
          <w:rFonts w:eastAsia="Cambria"/>
        </w:rPr>
        <w:t>une fois encore</w:t>
      </w:r>
      <w:r w:rsidR="00932E67">
        <w:rPr>
          <w:rFonts w:eastAsia="Cambria"/>
        </w:rPr>
        <w:t>,</w:t>
      </w:r>
      <w:r w:rsidR="005176E2">
        <w:rPr>
          <w:rFonts w:eastAsia="Cambria"/>
        </w:rPr>
        <w:t xml:space="preserve"> félicité l</w:t>
      </w:r>
      <w:r w:rsidR="00346F1B">
        <w:rPr>
          <w:rFonts w:eastAsia="Cambria"/>
        </w:rPr>
        <w:t>’</w:t>
      </w:r>
      <w:r w:rsidR="005176E2">
        <w:rPr>
          <w:rFonts w:eastAsia="Cambria"/>
        </w:rPr>
        <w:t>UNESCO pour les nombreux efforts entrepris afin d</w:t>
      </w:r>
      <w:r w:rsidR="00346F1B">
        <w:rPr>
          <w:rFonts w:eastAsia="Cambria"/>
        </w:rPr>
        <w:t>’</w:t>
      </w:r>
      <w:r w:rsidR="003A7F42">
        <w:rPr>
          <w:rFonts w:eastAsia="Cambria"/>
        </w:rPr>
        <w:t>accroitre la</w:t>
      </w:r>
      <w:r w:rsidR="005176E2">
        <w:rPr>
          <w:rFonts w:eastAsia="Cambria"/>
        </w:rPr>
        <w:t xml:space="preserve"> visibilité de l</w:t>
      </w:r>
      <w:r w:rsidR="0093340B">
        <w:rPr>
          <w:rFonts w:eastAsia="Cambria"/>
        </w:rPr>
        <w:t>a culture dans le monde entier.</w:t>
      </w:r>
    </w:p>
    <w:p w14:paraId="422820A2" w14:textId="5CC3060D" w:rsidR="0093340B" w:rsidRDefault="008155AF" w:rsidP="002B4948">
      <w:pPr>
        <w:pStyle w:val="Orateurengris"/>
        <w:keepNext/>
        <w:widowControl/>
        <w:numPr>
          <w:ilvl w:val="0"/>
          <w:numId w:val="0"/>
        </w:numPr>
        <w:tabs>
          <w:tab w:val="left" w:pos="3969"/>
        </w:tabs>
        <w:spacing w:before="360" w:after="60"/>
        <w:jc w:val="left"/>
        <w:outlineLvl w:val="0"/>
        <w:rPr>
          <w:rFonts w:eastAsia="Cambria"/>
          <w:b/>
          <w:u w:val="single"/>
        </w:rPr>
      </w:pPr>
      <w:bookmarkStart w:id="5" w:name="Item6"/>
      <w:r>
        <w:rPr>
          <w:rFonts w:eastAsia="Cambria"/>
          <w:b/>
          <w:u w:val="single"/>
        </w:rPr>
        <w:t>POINT 6 DE L</w:t>
      </w:r>
      <w:r w:rsidR="00346F1B">
        <w:rPr>
          <w:rFonts w:eastAsia="Cambria"/>
          <w:b/>
          <w:u w:val="single"/>
        </w:rPr>
        <w:t>’</w:t>
      </w:r>
      <w:r w:rsidRPr="008155AF">
        <w:rPr>
          <w:rFonts w:eastAsia="Cambria"/>
          <w:b/>
          <w:u w:val="single"/>
        </w:rPr>
        <w:t>ORDRE DU JOUR</w:t>
      </w:r>
      <w:r>
        <w:rPr>
          <w:rFonts w:eastAsia="Cambria"/>
          <w:b/>
          <w:u w:val="single"/>
        </w:rPr>
        <w:t> :</w:t>
      </w:r>
    </w:p>
    <w:p w14:paraId="35A3AD9B" w14:textId="1878B022" w:rsidR="008155AF" w:rsidRPr="0093340B" w:rsidRDefault="008155AF" w:rsidP="002B4948">
      <w:pPr>
        <w:pStyle w:val="Orateurengris"/>
        <w:keepNext/>
        <w:widowControl/>
        <w:numPr>
          <w:ilvl w:val="0"/>
          <w:numId w:val="0"/>
        </w:numPr>
        <w:tabs>
          <w:tab w:val="left" w:pos="3969"/>
        </w:tabs>
        <w:jc w:val="left"/>
        <w:outlineLvl w:val="0"/>
        <w:rPr>
          <w:rFonts w:eastAsia="Cambria"/>
          <w:b/>
        </w:rPr>
      </w:pPr>
      <w:r w:rsidRPr="008155AF">
        <w:rPr>
          <w:rFonts w:eastAsia="Cambria"/>
          <w:b/>
        </w:rPr>
        <w:t>CON</w:t>
      </w:r>
      <w:r>
        <w:rPr>
          <w:rFonts w:eastAsia="Cambria"/>
          <w:b/>
        </w:rPr>
        <w:t>TRIBUTIONS VOLONTAIRES SUPPLÉMENTAIRES AU FONDS DU PATRIMOINE CULTUREL IMMATÉRIEL</w:t>
      </w:r>
      <w:bookmarkEnd w:id="5"/>
    </w:p>
    <w:p w14:paraId="356FC0F4" w14:textId="78C5D911" w:rsidR="00E21B06" w:rsidRPr="008155AF" w:rsidRDefault="00A70D54" w:rsidP="0093340B">
      <w:pPr>
        <w:pStyle w:val="NormalWeb"/>
        <w:keepNext/>
        <w:tabs>
          <w:tab w:val="left" w:pos="709"/>
          <w:tab w:val="left" w:pos="1418"/>
          <w:tab w:val="left" w:pos="2126"/>
          <w:tab w:val="left" w:pos="2835"/>
          <w:tab w:val="left" w:pos="3969"/>
        </w:tabs>
        <w:spacing w:before="0" w:beforeAutospacing="0" w:after="0" w:afterAutospacing="0"/>
        <w:ind w:left="709" w:hanging="709"/>
        <w:jc w:val="both"/>
        <w:rPr>
          <w:rFonts w:ascii="Arial" w:hAnsi="Arial" w:cs="Arial"/>
          <w:i/>
          <w:sz w:val="22"/>
          <w:szCs w:val="22"/>
          <w:lang w:val="fr-FR"/>
        </w:rPr>
      </w:pPr>
      <w:r w:rsidRPr="008155AF">
        <w:rPr>
          <w:rFonts w:ascii="Arial" w:hAnsi="Arial" w:cs="Arial"/>
          <w:b/>
          <w:sz w:val="22"/>
          <w:szCs w:val="22"/>
          <w:lang w:val="fr-FR"/>
        </w:rPr>
        <w:tab/>
      </w:r>
      <w:r w:rsidR="00E21B06" w:rsidRPr="008155AF">
        <w:rPr>
          <w:rFonts w:ascii="Arial" w:hAnsi="Arial" w:cs="Arial"/>
          <w:b/>
          <w:sz w:val="22"/>
          <w:szCs w:val="22"/>
          <w:lang w:val="fr-FR"/>
        </w:rPr>
        <w:t>Document</w:t>
      </w:r>
      <w:r w:rsidR="00E21B06" w:rsidRPr="008155AF">
        <w:rPr>
          <w:rFonts w:ascii="Arial" w:hAnsi="Arial" w:cs="Arial"/>
          <w:b/>
          <w:sz w:val="22"/>
          <w:szCs w:val="22"/>
          <w:lang w:val="fr-FR"/>
        </w:rPr>
        <w:tab/>
      </w:r>
      <w:hyperlink r:id="rId31" w:history="1">
        <w:r w:rsidR="00E21B06" w:rsidRPr="008155AF">
          <w:rPr>
            <w:rStyle w:val="Hyperlink"/>
            <w:rFonts w:ascii="Arial" w:hAnsi="Arial" w:cs="Arial"/>
            <w:i/>
            <w:sz w:val="22"/>
            <w:szCs w:val="22"/>
            <w:lang w:val="fr-FR"/>
          </w:rPr>
          <w:t>ITH/16/11.COM/6 Rev.</w:t>
        </w:r>
      </w:hyperlink>
    </w:p>
    <w:p w14:paraId="1F53411D" w14:textId="6909D48D" w:rsidR="005C37D6" w:rsidRPr="008155AF" w:rsidRDefault="00A70D54" w:rsidP="0093340B">
      <w:pPr>
        <w:keepNext/>
        <w:tabs>
          <w:tab w:val="left" w:pos="709"/>
          <w:tab w:val="left" w:pos="1418"/>
          <w:tab w:val="left" w:pos="2126"/>
          <w:tab w:val="left" w:pos="2835"/>
          <w:tab w:val="left" w:pos="3969"/>
        </w:tabs>
        <w:spacing w:after="240"/>
        <w:ind w:left="709" w:hanging="709"/>
        <w:rPr>
          <w:rFonts w:ascii="Arial" w:hAnsi="Arial" w:cs="Arial"/>
          <w:i/>
          <w:sz w:val="22"/>
          <w:szCs w:val="22"/>
          <w:lang w:eastAsia="en-US"/>
        </w:rPr>
      </w:pPr>
      <w:r w:rsidRPr="008155AF">
        <w:rPr>
          <w:rFonts w:ascii="Arial" w:hAnsi="Arial" w:cs="Arial"/>
          <w:b/>
          <w:sz w:val="22"/>
          <w:szCs w:val="22"/>
          <w:lang w:eastAsia="en-US"/>
        </w:rPr>
        <w:tab/>
      </w:r>
      <w:r w:rsidR="008155AF">
        <w:rPr>
          <w:rFonts w:ascii="Arial" w:hAnsi="Arial" w:cs="Arial"/>
          <w:b/>
          <w:sz w:val="22"/>
          <w:szCs w:val="22"/>
          <w:lang w:eastAsia="en-US"/>
        </w:rPr>
        <w:t>Dé</w:t>
      </w:r>
      <w:r w:rsidR="00E21B06" w:rsidRPr="008155AF">
        <w:rPr>
          <w:rFonts w:ascii="Arial" w:hAnsi="Arial" w:cs="Arial"/>
          <w:b/>
          <w:sz w:val="22"/>
          <w:szCs w:val="22"/>
          <w:lang w:eastAsia="en-US"/>
        </w:rPr>
        <w:t>cision</w:t>
      </w:r>
      <w:r w:rsidR="00E21B06" w:rsidRPr="008155AF">
        <w:rPr>
          <w:rFonts w:ascii="Arial" w:hAnsi="Arial" w:cs="Arial"/>
          <w:b/>
          <w:sz w:val="22"/>
          <w:szCs w:val="22"/>
        </w:rPr>
        <w:tab/>
      </w:r>
      <w:r w:rsidR="00E21B06" w:rsidRPr="008155AF">
        <w:rPr>
          <w:rFonts w:ascii="Arial" w:hAnsi="Arial" w:cs="Arial"/>
          <w:i/>
          <w:sz w:val="22"/>
          <w:szCs w:val="22"/>
          <w:lang w:eastAsia="en-US"/>
        </w:rPr>
        <w:t>11.COM 6</w:t>
      </w:r>
    </w:p>
    <w:p w14:paraId="3AEF6068" w14:textId="4E1032B0" w:rsidR="008155AF" w:rsidRDefault="008155AF" w:rsidP="00AF7860">
      <w:pPr>
        <w:pStyle w:val="Orateurengris"/>
        <w:tabs>
          <w:tab w:val="left" w:pos="3969"/>
        </w:tabs>
        <w:spacing w:before="120"/>
        <w:ind w:left="709" w:hanging="709"/>
      </w:pPr>
      <w:r>
        <w:t xml:space="preserve">Après avoir signalé que la session était en retard sur son programme, le </w:t>
      </w:r>
      <w:r w:rsidRPr="008155AF">
        <w:rPr>
          <w:b/>
        </w:rPr>
        <w:t>Président</w:t>
      </w:r>
      <w:r>
        <w:t xml:space="preserve"> a prié instamment le Comité d</w:t>
      </w:r>
      <w:r w:rsidR="00346F1B">
        <w:t>’</w:t>
      </w:r>
      <w:r>
        <w:t>avancer rapidement</w:t>
      </w:r>
      <w:r w:rsidR="00777761">
        <w:t xml:space="preserve"> et il est passé au point 6 de l</w:t>
      </w:r>
      <w:r w:rsidR="00346F1B">
        <w:t>’</w:t>
      </w:r>
      <w:r w:rsidR="00777761" w:rsidRPr="00777761">
        <w:t>ordre du jour</w:t>
      </w:r>
      <w:r w:rsidR="00777761">
        <w:t>. Il a souligné que ce point était étroitement lié aux autres questions abordées, notamment la mise en œuvre des activités qui ne pouvaient pas être financées au titre du budget ordinaire de l</w:t>
      </w:r>
      <w:r w:rsidR="00346F1B">
        <w:t>’</w:t>
      </w:r>
      <w:r w:rsidR="00777761">
        <w:t>UNESCO</w:t>
      </w:r>
      <w:r w:rsidR="008C2F5A">
        <w:t xml:space="preserve"> qui connaissai</w:t>
      </w:r>
      <w:r w:rsidR="00777761">
        <w:t>t des temps difficiles depuis plusieurs années. En outre, c</w:t>
      </w:r>
      <w:r w:rsidR="00346F1B">
        <w:t>’</w:t>
      </w:r>
      <w:r w:rsidR="00777761">
        <w:t>était la prérogative de l</w:t>
      </w:r>
      <w:r w:rsidR="00346F1B">
        <w:t>’</w:t>
      </w:r>
      <w:r w:rsidR="00777761">
        <w:t>Assemblée générale</w:t>
      </w:r>
      <w:r w:rsidR="008C2F5A">
        <w:t xml:space="preserve"> d</w:t>
      </w:r>
      <w:r w:rsidR="00346F1B">
        <w:t>’</w:t>
      </w:r>
      <w:r w:rsidR="008C2F5A">
        <w:t>approuver un plan bienn</w:t>
      </w:r>
      <w:r w:rsidR="00777761">
        <w:t>al d</w:t>
      </w:r>
      <w:r w:rsidR="00346F1B">
        <w:t>’</w:t>
      </w:r>
      <w:r w:rsidR="00777761">
        <w:t xml:space="preserve">utilisation des ressources du Fonds du patrimoine culturel immatériel. Toutefois, </w:t>
      </w:r>
      <w:r w:rsidR="008C2F5A" w:rsidRPr="00777761">
        <w:t>conformément</w:t>
      </w:r>
      <w:r w:rsidR="008C2F5A">
        <w:t xml:space="preserve"> à l</w:t>
      </w:r>
      <w:r w:rsidR="00346F1B">
        <w:t>’</w:t>
      </w:r>
      <w:r w:rsidR="008C2F5A">
        <w:t xml:space="preserve">article 26 de la </w:t>
      </w:r>
      <w:r w:rsidR="008C2F5A" w:rsidRPr="00777761">
        <w:t>Convention</w:t>
      </w:r>
      <w:r w:rsidR="008C2F5A">
        <w:t xml:space="preserve">, </w:t>
      </w:r>
      <w:r w:rsidR="00777761">
        <w:t>ce plan ne concernait que les contributions obligatoires des États parties</w:t>
      </w:r>
      <w:r w:rsidR="008C2F5A">
        <w:t>.</w:t>
      </w:r>
      <w:r w:rsidR="00777761">
        <w:t xml:space="preserve"> </w:t>
      </w:r>
      <w:r w:rsidR="008C2F5A">
        <w:t>S</w:t>
      </w:r>
      <w:r w:rsidR="00346F1B">
        <w:t>’</w:t>
      </w:r>
      <w:r w:rsidR="008C2F5A">
        <w:t>agissant des contributions volontaires, c</w:t>
      </w:r>
      <w:r w:rsidR="00346F1B">
        <w:t>’</w:t>
      </w:r>
      <w:r w:rsidR="008C2F5A">
        <w:t>était au Comité qu</w:t>
      </w:r>
      <w:r w:rsidR="00346F1B">
        <w:t>’</w:t>
      </w:r>
      <w:r w:rsidR="008C2F5A">
        <w:t>il revenait d</w:t>
      </w:r>
      <w:r w:rsidR="00346F1B">
        <w:t>’</w:t>
      </w:r>
      <w:r w:rsidR="008C2F5A">
        <w:t>approuver tout projet particulier qu</w:t>
      </w:r>
      <w:r w:rsidR="00346F1B">
        <w:t>’</w:t>
      </w:r>
      <w:r w:rsidR="008C2F5A">
        <w:t>il souhaitait soutenir. Le Président a noté qu</w:t>
      </w:r>
      <w:r w:rsidR="00346F1B">
        <w:t>’</w:t>
      </w:r>
      <w:r w:rsidR="008C2F5A">
        <w:t>il n</w:t>
      </w:r>
      <w:r w:rsidR="00346F1B">
        <w:t>’</w:t>
      </w:r>
      <w:r w:rsidR="008C2F5A">
        <w:t>y avait malheureusement pas beaucoup de propositions de contributions soum</w:t>
      </w:r>
      <w:r w:rsidR="0093340B">
        <w:t>ises à l</w:t>
      </w:r>
      <w:r w:rsidR="00346F1B">
        <w:t>’</w:t>
      </w:r>
      <w:r w:rsidR="0093340B">
        <w:t>approbation du Comité.</w:t>
      </w:r>
    </w:p>
    <w:p w14:paraId="7A3AFB6C" w14:textId="37EAE144" w:rsidR="00713BC7" w:rsidRPr="00713BC7" w:rsidRDefault="008C2F5A" w:rsidP="00AF7860">
      <w:pPr>
        <w:pStyle w:val="Orateurengris"/>
        <w:spacing w:before="120"/>
        <w:ind w:left="709" w:hanging="709"/>
      </w:pPr>
      <w:r w:rsidRPr="009212F1">
        <w:t xml:space="preserve">Le </w:t>
      </w:r>
      <w:r w:rsidRPr="009212F1">
        <w:rPr>
          <w:b/>
        </w:rPr>
        <w:t>Secrétaire</w:t>
      </w:r>
      <w:r w:rsidRPr="009212F1">
        <w:t xml:space="preserve"> est passé au rapport sur les contributions volontaires supplémentaires au Fonds du PCI, en précisant que le document avait été révisé et qu</w:t>
      </w:r>
      <w:r w:rsidR="00346F1B">
        <w:t>’</w:t>
      </w:r>
      <w:r w:rsidRPr="009212F1">
        <w:t>il portait désormais la cote ITH/16/11.COM/6. Rev. Le Secrétaire a attiré l</w:t>
      </w:r>
      <w:r w:rsidR="00346F1B">
        <w:t>’</w:t>
      </w:r>
      <w:r w:rsidRPr="009212F1">
        <w:t>attention du Comité sur deux révisions au document 6 suite à i) une contribution volontaire supplémentaire des Pays Bas qui avait été reçue le 31 octobre (date butoir pour la publication en ligne des documents de la session), et ii) l</w:t>
      </w:r>
      <w:r w:rsidR="00346F1B">
        <w:t>’</w:t>
      </w:r>
      <w:r w:rsidRPr="009212F1">
        <w:t>incapacité du Viet Nam à payer la contribution volontaire supplémentaire reçue en 2013 [destinée à soutenir l</w:t>
      </w:r>
      <w:r w:rsidR="00346F1B">
        <w:t>’</w:t>
      </w:r>
      <w:r w:rsidRPr="009212F1">
        <w:t>organisation d</w:t>
      </w:r>
      <w:r w:rsidR="00346F1B">
        <w:t>’</w:t>
      </w:r>
      <w:r w:rsidRPr="009212F1">
        <w:t>une réunion d</w:t>
      </w:r>
      <w:r w:rsidR="00346F1B">
        <w:t>’</w:t>
      </w:r>
      <w:r w:rsidRPr="009212F1">
        <w:t xml:space="preserve">experts sur le PCI et le changement climatique]. Le Secrétaire a expliqué que le document 6 </w:t>
      </w:r>
      <w:r w:rsidR="003175D2" w:rsidRPr="009212F1">
        <w:t>présentait les grandes lignes des contributions volontaires sur Fonds du PCI qui étaient affectées à des objectifs particuliers. Il a été précisé qu</w:t>
      </w:r>
      <w:r w:rsidR="00346F1B">
        <w:t>’</w:t>
      </w:r>
      <w:r w:rsidR="003175D2" w:rsidRPr="009212F1">
        <w:t>à sa neuvième session, le Comité avait approuvé la Note conceptuelle pour le Programme additionnel complémentaire 2014-2017 (CAP) intitulé « Renforcement des capacités de sauvegarde du patrimoine culturel immatériel pour le développement durable », et i</w:t>
      </w:r>
      <w:r w:rsidR="00C47115">
        <w:t>l</w:t>
      </w:r>
      <w:r w:rsidR="003175D2" w:rsidRPr="009212F1">
        <w:t xml:space="preserve"> a été fait référence à la décision 9.COM 7, </w:t>
      </w:r>
      <w:r w:rsidR="00BB34C8" w:rsidRPr="009212F1">
        <w:t xml:space="preserve">élaborée </w:t>
      </w:r>
      <w:r w:rsidR="003175D2" w:rsidRPr="009212F1">
        <w:t>par le Secrétariat</w:t>
      </w:r>
      <w:r w:rsidR="00BB34C8" w:rsidRPr="009212F1">
        <w:t xml:space="preserve"> à propos de </w:t>
      </w:r>
      <w:r w:rsidR="003175D2" w:rsidRPr="009212F1">
        <w:t xml:space="preserve">la stratégie de renforcement des capacités. </w:t>
      </w:r>
      <w:r w:rsidR="00BB34C8" w:rsidRPr="009212F1">
        <w:t>À l</w:t>
      </w:r>
      <w:r w:rsidR="00346F1B">
        <w:t>’</w:t>
      </w:r>
      <w:r w:rsidR="00BB34C8" w:rsidRPr="009212F1">
        <w:t>époque, en 2014, le CAP était le principal outil de l</w:t>
      </w:r>
      <w:r w:rsidR="00346F1B">
        <w:t>’</w:t>
      </w:r>
      <w:r w:rsidR="00BB34C8" w:rsidRPr="009212F1">
        <w:t>UNESCO pour programmer des act</w:t>
      </w:r>
      <w:r w:rsidR="009212F1" w:rsidRPr="009212F1">
        <w:t xml:space="preserve">ivités extrabudgétaires dans la mesure </w:t>
      </w:r>
      <w:r w:rsidR="00BB34C8" w:rsidRPr="009212F1">
        <w:t>où</w:t>
      </w:r>
      <w:r w:rsidR="009212F1" w:rsidRPr="009212F1">
        <w:t>,</w:t>
      </w:r>
      <w:r w:rsidR="00BB34C8" w:rsidRPr="009212F1">
        <w:t xml:space="preserve"> tout en soutenant directement le travail du C/5, il était </w:t>
      </w:r>
      <w:r w:rsidR="00C47115">
        <w:t xml:space="preserve">conçu pour </w:t>
      </w:r>
      <w:r w:rsidR="00BB34C8" w:rsidRPr="009212F1">
        <w:t xml:space="preserve">être le </w:t>
      </w:r>
      <w:r w:rsidR="00E13D71">
        <w:t xml:space="preserve">vecteur </w:t>
      </w:r>
      <w:r w:rsidR="00BB34C8" w:rsidRPr="009212F1">
        <w:t xml:space="preserve">du dialogue avec les donateurs et </w:t>
      </w:r>
      <w:r w:rsidR="009212F1" w:rsidRPr="009212F1">
        <w:t>pour soutenir l</w:t>
      </w:r>
      <w:r w:rsidR="00346F1B">
        <w:t>’</w:t>
      </w:r>
      <w:r w:rsidR="009212F1" w:rsidRPr="009212F1">
        <w:t>harmonisation entre les ressources extrabudgétaires et celles du Programme ordinaire. Le Comité, en tant qu</w:t>
      </w:r>
      <w:r w:rsidR="00346F1B">
        <w:t>’</w:t>
      </w:r>
      <w:r w:rsidR="009212F1" w:rsidRPr="009212F1">
        <w:t>Organe directeur de la Convention</w:t>
      </w:r>
      <w:r w:rsidR="009212F1">
        <w:t xml:space="preserve"> en charge des projets spécifiques à financer par le Fonds du PCI, avait estimé qu</w:t>
      </w:r>
      <w:r w:rsidR="00346F1B">
        <w:t>’</w:t>
      </w:r>
      <w:r w:rsidR="009212F1">
        <w:t xml:space="preserve">il pouvait approuver ce cadre programmatique afin de garantir </w:t>
      </w:r>
      <w:r w:rsidR="00C47115">
        <w:t>l</w:t>
      </w:r>
      <w:r w:rsidR="00346F1B">
        <w:t>’</w:t>
      </w:r>
      <w:r w:rsidR="00C47115">
        <w:t xml:space="preserve">alignement du </w:t>
      </w:r>
      <w:r w:rsidR="009212F1">
        <w:t xml:space="preserve">travail réalisé au titre de la </w:t>
      </w:r>
      <w:r w:rsidR="009212F1" w:rsidRPr="009212F1">
        <w:t>Convention</w:t>
      </w:r>
      <w:r w:rsidR="009212F1">
        <w:t xml:space="preserve"> </w:t>
      </w:r>
      <w:r w:rsidR="00C47115">
        <w:t xml:space="preserve">sur le </w:t>
      </w:r>
      <w:r w:rsidR="009212F1">
        <w:t xml:space="preserve">C/5 et </w:t>
      </w:r>
      <w:r w:rsidR="00C47115">
        <w:t xml:space="preserve">le </w:t>
      </w:r>
      <w:r w:rsidR="009212F1">
        <w:t>C/4 de l</w:t>
      </w:r>
      <w:r w:rsidR="00346F1B">
        <w:t>’</w:t>
      </w:r>
      <w:r w:rsidR="009212F1">
        <w:t>UNESCO</w:t>
      </w:r>
      <w:r w:rsidR="00C47115">
        <w:t xml:space="preserve"> et, </w:t>
      </w:r>
      <w:r w:rsidR="00C47115" w:rsidRPr="00C47115">
        <w:t>par conséquent</w:t>
      </w:r>
      <w:r w:rsidR="009212F1">
        <w:t xml:space="preserve">, </w:t>
      </w:r>
      <w:r w:rsidR="00C47115">
        <w:t xml:space="preserve">sur les </w:t>
      </w:r>
      <w:r w:rsidR="009212F1">
        <w:t xml:space="preserve">priorités de la Conférence générale. </w:t>
      </w:r>
      <w:r w:rsidR="009212F1" w:rsidRPr="009212F1">
        <w:t>Conformément</w:t>
      </w:r>
      <w:r w:rsidR="00C47115">
        <w:t xml:space="preserve"> à la décision 9.COM </w:t>
      </w:r>
      <w:r w:rsidR="009212F1">
        <w:t xml:space="preserve">7, toute </w:t>
      </w:r>
      <w:r w:rsidR="00713BC7">
        <w:t>future contribution</w:t>
      </w:r>
      <w:r w:rsidR="009212F1">
        <w:t xml:space="preserve"> volontaire </w:t>
      </w:r>
      <w:r w:rsidR="009212F1" w:rsidRPr="009212F1">
        <w:t>supplémentaire</w:t>
      </w:r>
      <w:r w:rsidR="00713BC7">
        <w:t xml:space="preserve"> reçue entre deux sessions du Comité pour soutenir des activités de renforcement des capacités et entrant dans ce cadre programmatique serait acceptée sans devoir attendre l</w:t>
      </w:r>
      <w:r w:rsidR="00346F1B">
        <w:t>’</w:t>
      </w:r>
      <w:r w:rsidR="00713BC7">
        <w:t>approbation du Comité. Depuis sa dernière session, le Fonds du PCI avait reçu deux contributions entrant dans le cadre défini par le CAP, à savoir : i) une contribution de 131</w:t>
      </w:r>
      <w:r w:rsidR="00695748">
        <w:t> </w:t>
      </w:r>
      <w:r w:rsidR="00713BC7">
        <w:t xml:space="preserve">868 </w:t>
      </w:r>
      <w:r w:rsidR="00713BC7" w:rsidRPr="00713BC7">
        <w:t>dollars des États-Unis</w:t>
      </w:r>
      <w:r w:rsidR="00713BC7">
        <w:t xml:space="preserve"> du G</w:t>
      </w:r>
      <w:r w:rsidR="00713BC7" w:rsidRPr="00713BC7">
        <w:t>ouvernement</w:t>
      </w:r>
      <w:r w:rsidR="00713BC7">
        <w:t xml:space="preserve"> de </w:t>
      </w:r>
      <w:r w:rsidR="00C47115">
        <w:t xml:space="preserve">la </w:t>
      </w:r>
      <w:r w:rsidR="00713BC7">
        <w:t xml:space="preserve">Catalogne, Espagne, pour </w:t>
      </w:r>
      <w:r w:rsidR="00C47115">
        <w:t xml:space="preserve">soutenir plus avant </w:t>
      </w:r>
      <w:r w:rsidR="00713BC7">
        <w:t xml:space="preserve">un programme pluriannuel de renforcement des capacités en Mauritanie, au Maroc et en Tunisie (le Comité avait pris note de cet </w:t>
      </w:r>
      <w:r w:rsidR="00713BC7" w:rsidRPr="00713BC7">
        <w:t>engagement</w:t>
      </w:r>
      <w:r w:rsidR="00713BC7">
        <w:t xml:space="preserve"> lors de sa dernière session mais la </w:t>
      </w:r>
      <w:r w:rsidR="00713BC7" w:rsidRPr="00713BC7">
        <w:t xml:space="preserve">contribution </w:t>
      </w:r>
      <w:r w:rsidR="00713BC7">
        <w:t xml:space="preserve">avait été versée depuis lors) ; et ii) une </w:t>
      </w:r>
      <w:r w:rsidR="00713BC7" w:rsidRPr="00713BC7">
        <w:t xml:space="preserve">contribution </w:t>
      </w:r>
      <w:r w:rsidR="00713BC7">
        <w:t>de 110</w:t>
      </w:r>
      <w:r w:rsidR="00695748">
        <w:t> </w:t>
      </w:r>
      <w:r w:rsidR="00713BC7">
        <w:t xml:space="preserve">375 </w:t>
      </w:r>
      <w:r w:rsidR="00713BC7" w:rsidRPr="00713BC7">
        <w:t>dollars des États-Unis</w:t>
      </w:r>
      <w:r w:rsidR="00713BC7">
        <w:t xml:space="preserve"> du Gouvernement des Pays-Bas pour mettre à profit les résultats du </w:t>
      </w:r>
      <w:r w:rsidR="00713BC7" w:rsidRPr="00713BC7">
        <w:t>programme</w:t>
      </w:r>
      <w:r w:rsidR="00713BC7">
        <w:t xml:space="preserve"> de renforcement des capacités mis en œuvre au Suriname et dans les îles néerlandaises des Caraïbes depuis 2014 (c</w:t>
      </w:r>
      <w:r w:rsidR="00346F1B">
        <w:t>’</w:t>
      </w:r>
      <w:r w:rsidR="00713BC7">
        <w:t>était la troisième contribution des Pays-Bas à ce programme).</w:t>
      </w:r>
    </w:p>
    <w:p w14:paraId="2145860B" w14:textId="177A2F27" w:rsidR="008B2C33" w:rsidRPr="007646D7" w:rsidRDefault="007646D7" w:rsidP="00AF7860">
      <w:pPr>
        <w:pStyle w:val="Orateurengris"/>
        <w:spacing w:before="120"/>
        <w:ind w:left="709" w:hanging="709"/>
      </w:pPr>
      <w:r w:rsidRPr="007646D7">
        <w:t xml:space="preserve">Le </w:t>
      </w:r>
      <w:r w:rsidRPr="007646D7">
        <w:rPr>
          <w:b/>
        </w:rPr>
        <w:t>Secrétaire</w:t>
      </w:r>
      <w:r>
        <w:t xml:space="preserve"> est ensuite passé à une autre contribution volontaire qui était proposée en dehors du programme de renforcement des capacités et qui nécessitait donc l</w:t>
      </w:r>
      <w:r w:rsidR="00346F1B">
        <w:t>’</w:t>
      </w:r>
      <w:r>
        <w:t>approbation du C</w:t>
      </w:r>
      <w:r w:rsidR="00A97EEF">
        <w:t>omité (</w:t>
      </w:r>
      <w:r>
        <w:t>paragraphes 4 et 5 du projet de décision</w:t>
      </w:r>
      <w:r w:rsidR="00A97EEF">
        <w:t>)</w:t>
      </w:r>
      <w:r>
        <w:t> : une contribution d</w:t>
      </w:r>
      <w:r w:rsidR="00346F1B">
        <w:t>’</w:t>
      </w:r>
      <w:r>
        <w:t>un montant de 300</w:t>
      </w:r>
      <w:r w:rsidR="00346F1B">
        <w:t> 000</w:t>
      </w:r>
      <w:r>
        <w:t xml:space="preserve"> dollars des États-Uni</w:t>
      </w:r>
      <w:r w:rsidR="0067257D">
        <w:t>s de la part du Département</w:t>
      </w:r>
      <w:r>
        <w:t xml:space="preserve"> du patrimoine culturel de la République de Corée affectée à l</w:t>
      </w:r>
      <w:r w:rsidR="00346F1B">
        <w:t>’</w:t>
      </w:r>
      <w:r>
        <w:t xml:space="preserve">amélioration du mécanisme de rapports périodiques de la Convention, dont on ne saurait </w:t>
      </w:r>
      <w:r w:rsidR="00530BFE">
        <w:t xml:space="preserve">dire </w:t>
      </w:r>
      <w:r>
        <w:t>qu</w:t>
      </w:r>
      <w:r w:rsidR="00346F1B">
        <w:t>’</w:t>
      </w:r>
      <w:r>
        <w:t>il fonctionnait correctement (comme le soulignait l</w:t>
      </w:r>
      <w:r w:rsidR="00346F1B">
        <w:t>’</w:t>
      </w:r>
      <w:r>
        <w:t xml:space="preserve">annexe 1 du document 6). </w:t>
      </w:r>
      <w:r w:rsidR="0067257D">
        <w:t>L</w:t>
      </w:r>
      <w:r w:rsidR="00346F1B">
        <w:t>’</w:t>
      </w:r>
      <w:r w:rsidR="0067257D">
        <w:t>annexe 2 répondait à la demande du Comité d</w:t>
      </w:r>
      <w:r w:rsidR="00346F1B">
        <w:t>’</w:t>
      </w:r>
      <w:r w:rsidR="0067257D">
        <w:t>être tenu informé de tout soutien volontaire accordé à la Convention, dans le cadre du Fonds du PCI ou non. L</w:t>
      </w:r>
      <w:r w:rsidR="00346F1B">
        <w:t>’</w:t>
      </w:r>
      <w:r w:rsidR="0067257D">
        <w:t>annexe présentait donc la liste des différents soutiens accordés à la Convention depuis la précédente session du Comité, notamment : i) les contributions au Fonds du PCI affectées à des programmes spécifiques, telles qu</w:t>
      </w:r>
      <w:r w:rsidR="00346F1B">
        <w:t>’</w:t>
      </w:r>
      <w:r w:rsidR="0067257D">
        <w:t xml:space="preserve">acceptées par le Comité ; ii) les contributions volontaires au sous-fonds pour le renforcement des </w:t>
      </w:r>
      <w:r w:rsidR="00530BFE">
        <w:t xml:space="preserve">ressources </w:t>
      </w:r>
      <w:r w:rsidR="0067257D">
        <w:t>humaines du Secrétariat</w:t>
      </w:r>
      <w:r w:rsidR="00E103CF">
        <w:t>, établi par l</w:t>
      </w:r>
      <w:r w:rsidR="00346F1B">
        <w:t>’</w:t>
      </w:r>
      <w:r w:rsidR="00E103CF">
        <w:t>Assemblée générale ; iii) les nouveaux projets approuvés au titre du Fonds-en-dépôt</w:t>
      </w:r>
      <w:r w:rsidR="00E13D71">
        <w:t xml:space="preserve"> </w:t>
      </w:r>
      <w:r w:rsidR="00E103CF">
        <w:t xml:space="preserve">; et iv) </w:t>
      </w:r>
      <w:r w:rsidR="00530BFE">
        <w:t xml:space="preserve">les </w:t>
      </w:r>
      <w:r w:rsidR="00E103CF">
        <w:t>prêts et détachements de personnel</w:t>
      </w:r>
      <w:r w:rsidR="00E13D71">
        <w:t xml:space="preserve">. Le document de travail et le projet de décision évoquaient également une circonstance particulière, à savoir le </w:t>
      </w:r>
      <w:r w:rsidR="003A7F42">
        <w:t>non-paiement</w:t>
      </w:r>
      <w:r w:rsidR="00E13D71">
        <w:t xml:space="preserve"> de deux contributions affectées approuvées par le Comité. Dans les deux cas, le Secrétariat avait été officiellement informé des difficultés rencontrées par le Brésil et le Viet Nam pour honorer leurs offres de contributions (les paragraphes 7 et 8 du projet de décision </w:t>
      </w:r>
      <w:r w:rsidR="00530BFE">
        <w:t xml:space="preserve">rendaient compte </w:t>
      </w:r>
      <w:r w:rsidR="00E13D71">
        <w:t>de cette situation). Enfin, le Comité était invité à prendre note du fait que les deux groupes de travail à composition non limitée qu</w:t>
      </w:r>
      <w:r w:rsidR="00346F1B">
        <w:t>’</w:t>
      </w:r>
      <w:r w:rsidR="00E13D71">
        <w:t>il avait décidé d</w:t>
      </w:r>
      <w:r w:rsidR="00346F1B">
        <w:t>’</w:t>
      </w:r>
      <w:r w:rsidR="00E13D71">
        <w:t>établir, l</w:t>
      </w:r>
      <w:r w:rsidR="00346F1B">
        <w:t>’</w:t>
      </w:r>
      <w:r w:rsidR="00E13D71">
        <w:t xml:space="preserve">un </w:t>
      </w:r>
      <w:r w:rsidR="008B2C33">
        <w:t>sur l</w:t>
      </w:r>
      <w:r w:rsidR="00346F1B">
        <w:t>’</w:t>
      </w:r>
      <w:r w:rsidR="008B2C33">
        <w:t>élaboration d</w:t>
      </w:r>
      <w:r w:rsidR="00346F1B">
        <w:t>’</w:t>
      </w:r>
      <w:r w:rsidR="008B2C33">
        <w:t>un cadre global de résultats</w:t>
      </w:r>
      <w:r w:rsidR="00530BFE">
        <w:t xml:space="preserve"> pour la Convention</w:t>
      </w:r>
      <w:r w:rsidR="008B2C33">
        <w:t xml:space="preserve"> et l</w:t>
      </w:r>
      <w:r w:rsidR="00346F1B">
        <w:t>’</w:t>
      </w:r>
      <w:r w:rsidR="008B2C33">
        <w:t>autre sur la procédure de transfert d</w:t>
      </w:r>
      <w:r w:rsidR="00346F1B">
        <w:t>’</w:t>
      </w:r>
      <w:r w:rsidR="008B2C33">
        <w:t>un élément d</w:t>
      </w:r>
      <w:r w:rsidR="00346F1B">
        <w:t>’</w:t>
      </w:r>
      <w:r w:rsidR="008B2C33">
        <w:t>une Liste à une autre et le retrait d</w:t>
      </w:r>
      <w:r w:rsidR="00346F1B">
        <w:t>’</w:t>
      </w:r>
      <w:r w:rsidR="008B2C33">
        <w:t>un élément d</w:t>
      </w:r>
      <w:r w:rsidR="00346F1B">
        <w:t>’</w:t>
      </w:r>
      <w:r w:rsidR="008B2C33">
        <w:t>une Liste, n</w:t>
      </w:r>
      <w:r w:rsidR="00346F1B">
        <w:t>’</w:t>
      </w:r>
      <w:r w:rsidR="008B2C33">
        <w:t>avaient pas encore reçu le soutien extrabudgétaire sur laquelle leur organisation reposait (paragraphe 9 du projet de décision). Le Secrét</w:t>
      </w:r>
      <w:r w:rsidR="00530BFE">
        <w:t xml:space="preserve">aire était toutefois heureux de </w:t>
      </w:r>
      <w:r w:rsidR="008B2C33">
        <w:t>pouvoir informer le Comité que le Secrétariat avait reçu un lettre d</w:t>
      </w:r>
      <w:r w:rsidR="00346F1B">
        <w:t>’</w:t>
      </w:r>
      <w:r w:rsidR="008B2C33">
        <w:t xml:space="preserve">intention du ministère de la Culture du Gouvernement de la République populaire de Chine </w:t>
      </w:r>
      <w:r w:rsidR="00530BFE">
        <w:t>s</w:t>
      </w:r>
      <w:r w:rsidR="00346F1B">
        <w:t>’</w:t>
      </w:r>
      <w:r w:rsidR="00530BFE">
        <w:t xml:space="preserve">engageant à </w:t>
      </w:r>
      <w:r w:rsidR="008B2C33">
        <w:t xml:space="preserve">accorder </w:t>
      </w:r>
      <w:r w:rsidR="00530BFE">
        <w:t xml:space="preserve">son </w:t>
      </w:r>
      <w:r w:rsidR="008B2C33">
        <w:t>soutien à l</w:t>
      </w:r>
      <w:r w:rsidR="00346F1B">
        <w:t>’</w:t>
      </w:r>
      <w:r w:rsidR="008B2C33">
        <w:t>organisation du premier des deux groupes de travail à composition non limitée, consacré au cadre de résultats, et les négociations étai</w:t>
      </w:r>
      <w:r w:rsidR="00530BFE">
        <w:t>ent bien engagées afin que l</w:t>
      </w:r>
      <w:r w:rsidR="008B2C33">
        <w:t>a réunion soit organisée à Chengdu au début du mois de juin 2017 (question à aborder au point 14 de l</w:t>
      </w:r>
      <w:r w:rsidR="00346F1B">
        <w:t>’</w:t>
      </w:r>
      <w:r w:rsidR="008B2C33">
        <w:t>ordre du jour).</w:t>
      </w:r>
    </w:p>
    <w:p w14:paraId="48E951F8" w14:textId="0DA65B1D" w:rsidR="0052706E" w:rsidRPr="00A14121" w:rsidRDefault="00A6176A" w:rsidP="00AF7860">
      <w:pPr>
        <w:pStyle w:val="Orateurengris"/>
        <w:tabs>
          <w:tab w:val="left" w:pos="4962"/>
        </w:tabs>
        <w:spacing w:before="120"/>
        <w:ind w:left="709" w:hanging="709"/>
      </w:pPr>
      <w:r w:rsidRPr="00A14121">
        <w:t xml:space="preserve">Le </w:t>
      </w:r>
      <w:r w:rsidRPr="00A14121">
        <w:rPr>
          <w:b/>
        </w:rPr>
        <w:t>Secrétaire</w:t>
      </w:r>
      <w:r w:rsidR="00CF0D2A">
        <w:t xml:space="preserve"> a ensuite fait référence à</w:t>
      </w:r>
      <w:r w:rsidRPr="00A14121">
        <w:t xml:space="preserve"> deux graphiques (présentés à l</w:t>
      </w:r>
      <w:r w:rsidR="00346F1B">
        <w:t>’</w:t>
      </w:r>
      <w:r w:rsidRPr="00A14121">
        <w:t>écran) extraits du document de travail et consacrés à l</w:t>
      </w:r>
      <w:r w:rsidR="00346F1B">
        <w:t>’</w:t>
      </w:r>
      <w:r w:rsidRPr="00A14121">
        <w:t>évolution des ressources mobilisées en faveur, d</w:t>
      </w:r>
      <w:r w:rsidR="00346F1B">
        <w:t>’</w:t>
      </w:r>
      <w:r w:rsidRPr="00A14121">
        <w:t>une part, du programm</w:t>
      </w:r>
      <w:r w:rsidR="00CF0D2A">
        <w:t>e de renforcement des capacités</w:t>
      </w:r>
      <w:r w:rsidRPr="00A14121">
        <w:t xml:space="preserve"> et</w:t>
      </w:r>
      <w:r w:rsidR="00CF0D2A">
        <w:t>,</w:t>
      </w:r>
      <w:r w:rsidRPr="00A14121">
        <w:t xml:space="preserve"> d</w:t>
      </w:r>
      <w:r w:rsidR="00346F1B">
        <w:t>’</w:t>
      </w:r>
      <w:r w:rsidRPr="00A14121">
        <w:t>autre part</w:t>
      </w:r>
      <w:r w:rsidR="00CF0D2A">
        <w:t>,</w:t>
      </w:r>
      <w:r w:rsidRPr="00A14121">
        <w:t xml:space="preserve"> des ressources humaines du Secrétariat</w:t>
      </w:r>
      <w:r w:rsidR="009F6C67" w:rsidRPr="00A14121">
        <w:t xml:space="preserve">. Les graphiques, qui présentaient </w:t>
      </w:r>
      <w:r w:rsidRPr="00A14121">
        <w:t xml:space="preserve">les données </w:t>
      </w:r>
      <w:r w:rsidR="00CF0D2A">
        <w:t>des trois précédents bienniums et du</w:t>
      </w:r>
      <w:r w:rsidRPr="00A14121">
        <w:t xml:space="preserve"> biennium en cours, </w:t>
      </w:r>
      <w:r w:rsidR="00CF0D2A">
        <w:t xml:space="preserve">étaient éloquents </w:t>
      </w:r>
      <w:r w:rsidRPr="00A14121">
        <w:t xml:space="preserve">dans </w:t>
      </w:r>
      <w:r w:rsidR="009F6C67" w:rsidRPr="00A14121">
        <w:t xml:space="preserve">la mesure où ils reflétaient une baisse </w:t>
      </w:r>
      <w:r w:rsidRPr="00A14121">
        <w:t>net</w:t>
      </w:r>
      <w:r w:rsidR="009F6C67" w:rsidRPr="00A14121">
        <w:t xml:space="preserve">te et alarmante du soutien accordé à toutes les </w:t>
      </w:r>
      <w:r w:rsidR="00220608">
        <w:t>modalités, y compris le Fonds</w:t>
      </w:r>
      <w:r w:rsidR="009F6C67" w:rsidRPr="00A14121">
        <w:t>. Il</w:t>
      </w:r>
      <w:r w:rsidR="00802CFA" w:rsidRPr="00A14121">
        <w:t xml:space="preserve"> a été précisé que les graphiques </w:t>
      </w:r>
      <w:r w:rsidR="009F6C67" w:rsidRPr="00A14121">
        <w:t>représentai</w:t>
      </w:r>
      <w:r w:rsidR="00802CFA" w:rsidRPr="00A14121">
        <w:t>en</w:t>
      </w:r>
      <w:r w:rsidR="009F6C67" w:rsidRPr="00A14121">
        <w:t>t les ressources mobilisées et non les dépenses engagées. S</w:t>
      </w:r>
      <w:r w:rsidR="00346F1B">
        <w:t>’</w:t>
      </w:r>
      <w:r w:rsidR="009F6C67" w:rsidRPr="00A14121">
        <w:t>agissant du programme de renforcement des capacités, seul 12% de l</w:t>
      </w:r>
      <w:r w:rsidR="00346F1B">
        <w:t>’</w:t>
      </w:r>
      <w:r w:rsidR="009F6C67" w:rsidRPr="00A14121">
        <w:t>objectif fixé avait été atteint jusqu</w:t>
      </w:r>
      <w:r w:rsidR="00346F1B">
        <w:t>’</w:t>
      </w:r>
      <w:r w:rsidR="009F6C67" w:rsidRPr="00A14121">
        <w:t>alors</w:t>
      </w:r>
      <w:r w:rsidR="00E24191">
        <w:t>,</w:t>
      </w:r>
      <w:r w:rsidR="009F6C67" w:rsidRPr="00A14121">
        <w:t xml:space="preserve"> ce qui rendait hautement improbable la réalisation de l</w:t>
      </w:r>
      <w:r w:rsidR="00346F1B">
        <w:t>’</w:t>
      </w:r>
      <w:r w:rsidR="009F6C67" w:rsidRPr="00A14121">
        <w:t>objectif de 6 millions de dollars des État</w:t>
      </w:r>
      <w:r w:rsidR="00802CFA" w:rsidRPr="00A14121">
        <w:t>s-Unis fixé pour le quadriennum</w:t>
      </w:r>
      <w:r w:rsidR="009F6C67" w:rsidRPr="00A14121">
        <w:t xml:space="preserve"> </w:t>
      </w:r>
      <w:r w:rsidR="00802CFA" w:rsidRPr="00A14121">
        <w:t>2014-2017. Le Secrétaire a précisé que la situation n</w:t>
      </w:r>
      <w:r w:rsidR="00346F1B">
        <w:t>’</w:t>
      </w:r>
      <w:r w:rsidR="00802CFA" w:rsidRPr="00A14121">
        <w:t>était pas meilleure en ce qui concerne le soutien aux ressources humaines du Secrétariat qui n</w:t>
      </w:r>
      <w:r w:rsidR="00346F1B">
        <w:t>’</w:t>
      </w:r>
      <w:r w:rsidR="00802CFA" w:rsidRPr="00A14121">
        <w:t>avait, en fait, jamais atteint l</w:t>
      </w:r>
      <w:r w:rsidR="00346F1B">
        <w:t>’</w:t>
      </w:r>
      <w:r w:rsidR="00802CFA" w:rsidRPr="00A14121">
        <w:t>objectif annuel de 1,1 million de dollars des États-Unis fixé par l</w:t>
      </w:r>
      <w:r w:rsidR="00346F1B">
        <w:t>’</w:t>
      </w:r>
      <w:r w:rsidR="00802CFA" w:rsidRPr="00A14121">
        <w:t>Assemblée générale, et n</w:t>
      </w:r>
      <w:r w:rsidR="00346F1B">
        <w:t>’</w:t>
      </w:r>
      <w:r w:rsidR="00802CFA" w:rsidRPr="00A14121">
        <w:t xml:space="preserve">avait </w:t>
      </w:r>
      <w:r w:rsidR="00220608">
        <w:t>d</w:t>
      </w:r>
      <w:r w:rsidR="00346F1B">
        <w:t>’</w:t>
      </w:r>
      <w:r w:rsidR="00220608">
        <w:t xml:space="preserve">ailleurs </w:t>
      </w:r>
      <w:r w:rsidR="00802CFA" w:rsidRPr="00A14121">
        <w:t>jamais atteint un niveau aussi bas depuis l</w:t>
      </w:r>
      <w:r w:rsidR="00346F1B">
        <w:t>’</w:t>
      </w:r>
      <w:r w:rsidR="00802CFA" w:rsidRPr="00A14121">
        <w:t xml:space="preserve">établissement du sous-fonds en 2010. Les chiffres étaient </w:t>
      </w:r>
      <w:r w:rsidR="003C30C9" w:rsidRPr="00A14121">
        <w:t>également importants car ils permettaient de dissiper un malentendu persistant, comme cela avait déjà été fait précédemment, concernant le solde excédentaire du Fonds du PCI (10 millions de dollars des États-Unis à la date du 30 juin 2016). Le Secrétaire a attiré l</w:t>
      </w:r>
      <w:r w:rsidR="00346F1B">
        <w:t>’</w:t>
      </w:r>
      <w:r w:rsidR="003C30C9" w:rsidRPr="00A14121">
        <w:t xml:space="preserve">attention du Comité sur le fait que ce solde positif ne concernait </w:t>
      </w:r>
      <w:r w:rsidR="003C30C9" w:rsidRPr="00A14121">
        <w:rPr>
          <w:i/>
        </w:rPr>
        <w:t>que</w:t>
      </w:r>
      <w:r w:rsidR="003C30C9" w:rsidRPr="00A14121">
        <w:t xml:space="preserve"> les contributions </w:t>
      </w:r>
      <w:r w:rsidR="00E210A6" w:rsidRPr="00A14121">
        <w:t xml:space="preserve">obligatoires </w:t>
      </w:r>
      <w:r w:rsidR="003C30C9" w:rsidRPr="00A14121">
        <w:t>mises en recouvrement et que ces contributions étaient mises en œuvre conformément au plan d</w:t>
      </w:r>
      <w:r w:rsidR="00346F1B">
        <w:t>’</w:t>
      </w:r>
      <w:r w:rsidR="003C30C9" w:rsidRPr="00A14121">
        <w:t>utilisation des ressources du Fonds approuvé par l</w:t>
      </w:r>
      <w:r w:rsidR="00346F1B">
        <w:t>’</w:t>
      </w:r>
      <w:r w:rsidR="003C30C9" w:rsidRPr="00A14121">
        <w:t xml:space="preserve">Assemblée générale. Le Secrétaire a souligné </w:t>
      </w:r>
      <w:r w:rsidR="00E210A6" w:rsidRPr="00A14121">
        <w:t>que 80% des ressources dépendaient des demandes présentées par les États parties : i) 64,5% pour les demandes d</w:t>
      </w:r>
      <w:r w:rsidR="00346F1B">
        <w:t>’</w:t>
      </w:r>
      <w:r w:rsidR="00E210A6" w:rsidRPr="00A14121">
        <w:t>assistance internationale soumises par les États parties ; et ii) 15,5% pour la participation aux séances du Comité d</w:t>
      </w:r>
      <w:r w:rsidR="00346F1B">
        <w:t>’</w:t>
      </w:r>
      <w:r w:rsidR="00E210A6" w:rsidRPr="00A14121">
        <w:t xml:space="preserve">experts du PCI représentant des États en développement, des </w:t>
      </w:r>
      <w:r w:rsidR="00A46CAD">
        <w:t>membres du Comité</w:t>
      </w:r>
      <w:r w:rsidR="00E210A6" w:rsidRPr="00A14121">
        <w:t xml:space="preserve">, des États parties, des ONG accréditées originaires de pays en développement, ainsi que pour </w:t>
      </w:r>
      <w:r w:rsidR="00220608">
        <w:t>la couverture d</w:t>
      </w:r>
      <w:r w:rsidR="00E210A6" w:rsidRPr="00A14121">
        <w:t>es coûts des services fournis par l</w:t>
      </w:r>
      <w:r w:rsidR="00346F1B">
        <w:t>’</w:t>
      </w:r>
      <w:r w:rsidR="00E210A6" w:rsidRPr="00A14121">
        <w:t>Organe d</w:t>
      </w:r>
      <w:r w:rsidR="00346F1B">
        <w:t>’</w:t>
      </w:r>
      <w:r w:rsidR="00E210A6" w:rsidRPr="00A14121">
        <w:t>évaluation. En d</w:t>
      </w:r>
      <w:r w:rsidR="00346F1B">
        <w:t>’</w:t>
      </w:r>
      <w:r w:rsidR="00E210A6" w:rsidRPr="00A14121">
        <w:t>autres mots, le Secrétariat n</w:t>
      </w:r>
      <w:r w:rsidR="00346F1B">
        <w:t>’</w:t>
      </w:r>
      <w:r w:rsidR="00E210A6" w:rsidRPr="00A14121">
        <w:t xml:space="preserve">était pas en mesure </w:t>
      </w:r>
      <w:r w:rsidR="00F4574A" w:rsidRPr="00A14121">
        <w:t xml:space="preserve">de mettre en œuvre cette partie du Fonds, qui avait donc considérablement augmenté au cours des années. En résumé, le </w:t>
      </w:r>
      <w:r w:rsidR="00A14121">
        <w:t xml:space="preserve">cumul </w:t>
      </w:r>
      <w:r w:rsidR="00F4574A" w:rsidRPr="00A14121">
        <w:t xml:space="preserve">des contributions obligatoires mises en recouvrement </w:t>
      </w:r>
      <w:r w:rsidR="00E24191">
        <w:t>ne cessait d</w:t>
      </w:r>
      <w:r w:rsidR="00346F1B">
        <w:t>’</w:t>
      </w:r>
      <w:r w:rsidR="00E24191">
        <w:t>augmenter</w:t>
      </w:r>
      <w:r w:rsidR="00F4574A" w:rsidRPr="00A14121">
        <w:t>, donnant ainsi l</w:t>
      </w:r>
      <w:r w:rsidR="00346F1B">
        <w:t>’</w:t>
      </w:r>
      <w:r w:rsidR="00F4574A" w:rsidRPr="00A14121">
        <w:t>impression que des fonds largement suffisants étaient disponibles pour les programmes, mais ce n</w:t>
      </w:r>
      <w:r w:rsidR="00346F1B">
        <w:t>’</w:t>
      </w:r>
      <w:r w:rsidR="00F4574A" w:rsidRPr="00A14121">
        <w:t>était en fait pas le cas car la mise e</w:t>
      </w:r>
      <w:r w:rsidR="00E24191">
        <w:t>n œuvre de ces fonds ne pouvai</w:t>
      </w:r>
      <w:r w:rsidR="00F4574A" w:rsidRPr="00A14121">
        <w:t>t se faire qu</w:t>
      </w:r>
      <w:r w:rsidR="00346F1B">
        <w:t>’</w:t>
      </w:r>
      <w:r w:rsidR="00F4574A" w:rsidRPr="00A14121">
        <w:t>à la demande des États parties. Parallèlement, le mécanisme de finan</w:t>
      </w:r>
      <w:r w:rsidR="00E24191">
        <w:t>cement extrabudgétaire était</w:t>
      </w:r>
      <w:r w:rsidR="00F4574A" w:rsidRPr="00A14121">
        <w:t xml:space="preserve"> en baisse constante, de telle façon que le Secrétariat ne serait bientôt plus en mesure de dispenser les services de renforcement des capacités en cours. Le Secrétair</w:t>
      </w:r>
      <w:r w:rsidR="00A14121">
        <w:t>e a ensuite fait référence à l</w:t>
      </w:r>
      <w:r w:rsidR="00346F1B">
        <w:t>’</w:t>
      </w:r>
      <w:r w:rsidR="00A14121">
        <w:t>état financier I du rapport financier du Fonds du PCI, présenté</w:t>
      </w:r>
      <w:r w:rsidR="00F4574A" w:rsidRPr="00A14121">
        <w:t xml:space="preserve"> sur la page 6 du </w:t>
      </w:r>
      <w:hyperlink r:id="rId32" w:history="1">
        <w:r w:rsidR="00A14121" w:rsidRPr="00A14121">
          <w:rPr>
            <w:rStyle w:val="Hyperlink"/>
          </w:rPr>
          <w:t>document d</w:t>
        </w:r>
        <w:r w:rsidR="00346F1B">
          <w:rPr>
            <w:rStyle w:val="Hyperlink"/>
          </w:rPr>
          <w:t>’</w:t>
        </w:r>
        <w:r w:rsidR="00A14121" w:rsidRPr="00A14121">
          <w:rPr>
            <w:rStyle w:val="Hyperlink"/>
          </w:rPr>
          <w:t>information 5</w:t>
        </w:r>
      </w:hyperlink>
      <w:r w:rsidR="00A14121" w:rsidRPr="00A14121">
        <w:rPr>
          <w:rStyle w:val="Hyperlink"/>
          <w:color w:val="auto"/>
          <w:u w:val="none"/>
        </w:rPr>
        <w:t xml:space="preserve"> (présenté à l</w:t>
      </w:r>
      <w:r w:rsidR="00346F1B">
        <w:rPr>
          <w:rStyle w:val="Hyperlink"/>
          <w:color w:val="auto"/>
          <w:u w:val="none"/>
        </w:rPr>
        <w:t>’</w:t>
      </w:r>
      <w:r w:rsidR="00A14121" w:rsidRPr="00A14121">
        <w:rPr>
          <w:rStyle w:val="Hyperlink"/>
          <w:color w:val="auto"/>
          <w:u w:val="none"/>
        </w:rPr>
        <w:t xml:space="preserve">écran) </w:t>
      </w:r>
      <w:r w:rsidR="00A14121">
        <w:rPr>
          <w:rStyle w:val="Hyperlink"/>
          <w:color w:val="auto"/>
          <w:u w:val="none"/>
        </w:rPr>
        <w:t>dans lequel les deux colonnes du centre présentaient les contributions volontaires au Fonds entre le 1</w:t>
      </w:r>
      <w:r w:rsidR="00A14121" w:rsidRPr="00A14121">
        <w:rPr>
          <w:rStyle w:val="Hyperlink"/>
          <w:color w:val="auto"/>
          <w:u w:val="none"/>
          <w:vertAlign w:val="superscript"/>
        </w:rPr>
        <w:t>er</w:t>
      </w:r>
      <w:r w:rsidR="00A14121">
        <w:rPr>
          <w:rStyle w:val="Hyperlink"/>
          <w:color w:val="auto"/>
          <w:u w:val="none"/>
        </w:rPr>
        <w:t xml:space="preserve"> janvier et le 30 juin 2016. Le </w:t>
      </w:r>
      <w:r w:rsidR="00A14121" w:rsidRPr="00A14121">
        <w:rPr>
          <w:rStyle w:val="Hyperlink"/>
          <w:color w:val="auto"/>
          <w:u w:val="none"/>
        </w:rPr>
        <w:t>Secrétaire</w:t>
      </w:r>
      <w:r w:rsidR="00A14121">
        <w:rPr>
          <w:rStyle w:val="Hyperlink"/>
          <w:color w:val="auto"/>
          <w:u w:val="none"/>
        </w:rPr>
        <w:t xml:space="preserve"> a </w:t>
      </w:r>
      <w:r w:rsidR="00220608">
        <w:rPr>
          <w:rStyle w:val="Hyperlink"/>
          <w:color w:val="auto"/>
          <w:u w:val="none"/>
        </w:rPr>
        <w:t xml:space="preserve">souligné </w:t>
      </w:r>
      <w:r w:rsidR="00A14121">
        <w:rPr>
          <w:rStyle w:val="Hyperlink"/>
          <w:color w:val="auto"/>
          <w:u w:val="none"/>
        </w:rPr>
        <w:t>un déficit de</w:t>
      </w:r>
      <w:r w:rsidR="002E1F23">
        <w:rPr>
          <w:rStyle w:val="Hyperlink"/>
          <w:color w:val="auto"/>
          <w:u w:val="none"/>
        </w:rPr>
        <w:t>s</w:t>
      </w:r>
      <w:r w:rsidR="00A14121">
        <w:rPr>
          <w:rStyle w:val="Hyperlink"/>
          <w:color w:val="auto"/>
          <w:u w:val="none"/>
        </w:rPr>
        <w:t xml:space="preserve"> revenus </w:t>
      </w:r>
      <w:r w:rsidR="002E1F23">
        <w:rPr>
          <w:rStyle w:val="Hyperlink"/>
          <w:color w:val="auto"/>
          <w:u w:val="none"/>
        </w:rPr>
        <w:t xml:space="preserve">sur les </w:t>
      </w:r>
      <w:r w:rsidR="00A14121">
        <w:rPr>
          <w:rStyle w:val="Hyperlink"/>
          <w:color w:val="auto"/>
          <w:u w:val="none"/>
        </w:rPr>
        <w:t>dépenses (435</w:t>
      </w:r>
      <w:r w:rsidR="00695748">
        <w:rPr>
          <w:rStyle w:val="Hyperlink"/>
          <w:color w:val="auto"/>
          <w:u w:val="none"/>
        </w:rPr>
        <w:t> </w:t>
      </w:r>
      <w:r w:rsidR="00A14121">
        <w:rPr>
          <w:rStyle w:val="Hyperlink"/>
          <w:color w:val="auto"/>
          <w:u w:val="none"/>
        </w:rPr>
        <w:t xml:space="preserve">568,36 </w:t>
      </w:r>
      <w:r w:rsidR="00A14121" w:rsidRPr="00A14121">
        <w:rPr>
          <w:rStyle w:val="Hyperlink"/>
          <w:color w:val="auto"/>
          <w:u w:val="none"/>
        </w:rPr>
        <w:t>dollars des États-Unis</w:t>
      </w:r>
      <w:r w:rsidR="002E1F23">
        <w:rPr>
          <w:rStyle w:val="Hyperlink"/>
          <w:color w:val="auto"/>
          <w:u w:val="none"/>
        </w:rPr>
        <w:t>)</w:t>
      </w:r>
      <w:r w:rsidR="00A14121">
        <w:rPr>
          <w:rStyle w:val="Hyperlink"/>
          <w:color w:val="auto"/>
          <w:u w:val="none"/>
        </w:rPr>
        <w:t xml:space="preserve"> au titre des activités </w:t>
      </w:r>
      <w:r w:rsidR="002E1F23">
        <w:rPr>
          <w:rStyle w:val="Hyperlink"/>
          <w:color w:val="auto"/>
          <w:u w:val="none"/>
        </w:rPr>
        <w:t xml:space="preserve">à des fins spécifiques </w:t>
      </w:r>
      <w:r w:rsidR="00A14121">
        <w:rPr>
          <w:rStyle w:val="Hyperlink"/>
          <w:color w:val="auto"/>
          <w:u w:val="none"/>
        </w:rPr>
        <w:t>approuvées par le Comité, ainsi qu</w:t>
      </w:r>
      <w:r w:rsidR="00346F1B">
        <w:rPr>
          <w:rStyle w:val="Hyperlink"/>
          <w:color w:val="auto"/>
          <w:u w:val="none"/>
        </w:rPr>
        <w:t>’</w:t>
      </w:r>
      <w:r w:rsidR="00A14121">
        <w:rPr>
          <w:rStyle w:val="Hyperlink"/>
          <w:color w:val="auto"/>
          <w:u w:val="none"/>
        </w:rPr>
        <w:t>un autre déficit de</w:t>
      </w:r>
      <w:r w:rsidR="002E1F23">
        <w:rPr>
          <w:rStyle w:val="Hyperlink"/>
          <w:color w:val="auto"/>
          <w:u w:val="none"/>
        </w:rPr>
        <w:t>s revenus sur les</w:t>
      </w:r>
      <w:r w:rsidR="00A14121">
        <w:rPr>
          <w:rStyle w:val="Hyperlink"/>
          <w:color w:val="auto"/>
          <w:u w:val="none"/>
        </w:rPr>
        <w:t xml:space="preserve"> dépenses (87</w:t>
      </w:r>
      <w:r w:rsidR="00695748">
        <w:rPr>
          <w:rStyle w:val="Hyperlink"/>
          <w:color w:val="auto"/>
          <w:u w:val="none"/>
        </w:rPr>
        <w:t> </w:t>
      </w:r>
      <w:r w:rsidR="00A14121">
        <w:rPr>
          <w:rStyle w:val="Hyperlink"/>
          <w:color w:val="auto"/>
          <w:u w:val="none"/>
        </w:rPr>
        <w:t xml:space="preserve">296,99 </w:t>
      </w:r>
      <w:r w:rsidR="00A14121" w:rsidRPr="00A14121">
        <w:rPr>
          <w:rStyle w:val="Hyperlink"/>
          <w:color w:val="auto"/>
          <w:u w:val="none"/>
        </w:rPr>
        <w:t>dollars des États-Unis</w:t>
      </w:r>
      <w:r w:rsidR="00A14121">
        <w:rPr>
          <w:rStyle w:val="Hyperlink"/>
          <w:color w:val="auto"/>
          <w:u w:val="none"/>
        </w:rPr>
        <w:t>) au ti</w:t>
      </w:r>
      <w:r w:rsidR="002E1F23">
        <w:rPr>
          <w:rStyle w:val="Hyperlink"/>
          <w:color w:val="auto"/>
          <w:u w:val="none"/>
        </w:rPr>
        <w:t>tre d</w:t>
      </w:r>
      <w:r w:rsidR="00A14121">
        <w:rPr>
          <w:rStyle w:val="Hyperlink"/>
          <w:color w:val="auto"/>
          <w:u w:val="none"/>
        </w:rPr>
        <w:t xml:space="preserve">u sous-fonds </w:t>
      </w:r>
      <w:r w:rsidR="002E1F23">
        <w:rPr>
          <w:rStyle w:val="Hyperlink"/>
          <w:color w:val="auto"/>
          <w:u w:val="none"/>
        </w:rPr>
        <w:t xml:space="preserve">pour le </w:t>
      </w:r>
      <w:r w:rsidR="002E1F23" w:rsidRPr="002E1F23">
        <w:rPr>
          <w:rStyle w:val="Hyperlink"/>
          <w:color w:val="auto"/>
          <w:u w:val="none"/>
        </w:rPr>
        <w:t xml:space="preserve">renforcement </w:t>
      </w:r>
      <w:r w:rsidR="002E1F23">
        <w:rPr>
          <w:rStyle w:val="Hyperlink"/>
          <w:color w:val="auto"/>
          <w:u w:val="none"/>
        </w:rPr>
        <w:t xml:space="preserve">des </w:t>
      </w:r>
      <w:r w:rsidR="002E1F23" w:rsidRPr="002E1F23">
        <w:rPr>
          <w:rStyle w:val="Hyperlink"/>
          <w:color w:val="auto"/>
          <w:u w:val="none"/>
        </w:rPr>
        <w:t>capacités</w:t>
      </w:r>
      <w:r w:rsidR="002E1F23">
        <w:rPr>
          <w:rStyle w:val="Hyperlink"/>
          <w:color w:val="auto"/>
          <w:u w:val="none"/>
        </w:rPr>
        <w:t xml:space="preserve"> humaines du Secrétariat. </w:t>
      </w:r>
      <w:r w:rsidR="002E1F23" w:rsidRPr="002E1F23">
        <w:rPr>
          <w:rStyle w:val="Hyperlink"/>
          <w:color w:val="auto"/>
          <w:u w:val="none"/>
        </w:rPr>
        <w:t>En conséquence</w:t>
      </w:r>
      <w:r w:rsidR="002E1F23">
        <w:rPr>
          <w:rStyle w:val="Hyperlink"/>
          <w:color w:val="auto"/>
          <w:u w:val="none"/>
        </w:rPr>
        <w:t xml:space="preserve">, le </w:t>
      </w:r>
      <w:r w:rsidR="002E1F23" w:rsidRPr="002E1F23">
        <w:rPr>
          <w:rStyle w:val="Hyperlink"/>
          <w:color w:val="auto"/>
          <w:u w:val="none"/>
        </w:rPr>
        <w:t>Secrétaire</w:t>
      </w:r>
      <w:r w:rsidR="002E1F23">
        <w:rPr>
          <w:rStyle w:val="Hyperlink"/>
          <w:color w:val="auto"/>
          <w:u w:val="none"/>
        </w:rPr>
        <w:t xml:space="preserve"> a précisé que, bien que le Fonds présente encore un </w:t>
      </w:r>
      <w:r w:rsidR="00E24191">
        <w:rPr>
          <w:rStyle w:val="Hyperlink"/>
          <w:color w:val="auto"/>
          <w:u w:val="none"/>
        </w:rPr>
        <w:t xml:space="preserve">bilan </w:t>
      </w:r>
      <w:r w:rsidR="00346F1B">
        <w:rPr>
          <w:rStyle w:val="Hyperlink"/>
          <w:color w:val="auto"/>
          <w:u w:val="none"/>
        </w:rPr>
        <w:t>positif en date du 30 juin 2016 (911 </w:t>
      </w:r>
      <w:r w:rsidR="002E1F23">
        <w:rPr>
          <w:rStyle w:val="Hyperlink"/>
          <w:color w:val="auto"/>
          <w:u w:val="none"/>
        </w:rPr>
        <w:t xml:space="preserve">921 </w:t>
      </w:r>
      <w:r w:rsidR="002E1F23" w:rsidRPr="002E1F23">
        <w:rPr>
          <w:rStyle w:val="Hyperlink"/>
          <w:color w:val="auto"/>
          <w:u w:val="none"/>
        </w:rPr>
        <w:t>dollars des États-Unis</w:t>
      </w:r>
      <w:r w:rsidR="00346F1B">
        <w:rPr>
          <w:rStyle w:val="Hyperlink"/>
          <w:color w:val="auto"/>
          <w:u w:val="none"/>
        </w:rPr>
        <w:t xml:space="preserve"> pour les fonds affectés et 301 </w:t>
      </w:r>
      <w:r w:rsidR="002E1F23">
        <w:rPr>
          <w:rStyle w:val="Hyperlink"/>
          <w:color w:val="auto"/>
          <w:u w:val="none"/>
        </w:rPr>
        <w:t xml:space="preserve">892 </w:t>
      </w:r>
      <w:r w:rsidR="002E1F23" w:rsidRPr="002E1F23">
        <w:rPr>
          <w:rStyle w:val="Hyperlink"/>
          <w:color w:val="auto"/>
          <w:u w:val="none"/>
        </w:rPr>
        <w:t>dollars des États-Unis</w:t>
      </w:r>
      <w:r w:rsidR="002E1F23">
        <w:rPr>
          <w:rStyle w:val="Hyperlink"/>
          <w:color w:val="auto"/>
          <w:u w:val="none"/>
        </w:rPr>
        <w:t xml:space="preserve"> pour le sous-fonds de renforcement des capacités humaines du Secrétariat)</w:t>
      </w:r>
      <w:r w:rsidR="0052706E">
        <w:rPr>
          <w:rStyle w:val="Hyperlink"/>
          <w:color w:val="auto"/>
          <w:u w:val="none"/>
        </w:rPr>
        <w:t xml:space="preserve">, il y avait </w:t>
      </w:r>
      <w:r w:rsidR="00220608">
        <w:rPr>
          <w:rStyle w:val="Hyperlink"/>
          <w:color w:val="auto"/>
          <w:u w:val="none"/>
        </w:rPr>
        <w:t xml:space="preserve">en fait </w:t>
      </w:r>
      <w:r w:rsidR="0052706E">
        <w:rPr>
          <w:rStyle w:val="Hyperlink"/>
          <w:color w:val="auto"/>
          <w:u w:val="none"/>
        </w:rPr>
        <w:t>un déficit de revenus sur les dépenses ce qui signifiait qu</w:t>
      </w:r>
      <w:r w:rsidR="00346F1B">
        <w:rPr>
          <w:rStyle w:val="Hyperlink"/>
          <w:color w:val="auto"/>
          <w:u w:val="none"/>
        </w:rPr>
        <w:t>’</w:t>
      </w:r>
      <w:r w:rsidR="0052706E">
        <w:rPr>
          <w:rStyle w:val="Hyperlink"/>
          <w:color w:val="auto"/>
          <w:u w:val="none"/>
        </w:rPr>
        <w:t>au cours de la période concernée par le rapport (du 1</w:t>
      </w:r>
      <w:r w:rsidR="0052706E" w:rsidRPr="0052706E">
        <w:rPr>
          <w:rStyle w:val="Hyperlink"/>
          <w:color w:val="auto"/>
          <w:u w:val="none"/>
          <w:vertAlign w:val="superscript"/>
        </w:rPr>
        <w:t>er</w:t>
      </w:r>
      <w:r w:rsidR="0052706E">
        <w:rPr>
          <w:rStyle w:val="Hyperlink"/>
          <w:color w:val="auto"/>
          <w:u w:val="none"/>
        </w:rPr>
        <w:t xml:space="preserve"> janvier au 30 juin 2016), le Secrétariat dépensait des sommes reçues avant le 1</w:t>
      </w:r>
      <w:r w:rsidR="0052706E" w:rsidRPr="0052706E">
        <w:rPr>
          <w:rStyle w:val="Hyperlink"/>
          <w:color w:val="auto"/>
          <w:u w:val="none"/>
          <w:vertAlign w:val="superscript"/>
        </w:rPr>
        <w:t>er</w:t>
      </w:r>
      <w:r w:rsidR="0052706E">
        <w:rPr>
          <w:rStyle w:val="Hyperlink"/>
          <w:color w:val="auto"/>
          <w:u w:val="none"/>
        </w:rPr>
        <w:t xml:space="preserve"> janvier 2016 mais que le Fonds n</w:t>
      </w:r>
      <w:r w:rsidR="00346F1B">
        <w:rPr>
          <w:rStyle w:val="Hyperlink"/>
          <w:color w:val="auto"/>
          <w:u w:val="none"/>
        </w:rPr>
        <w:t>’</w:t>
      </w:r>
      <w:r w:rsidR="0052706E">
        <w:rPr>
          <w:rStyle w:val="Hyperlink"/>
          <w:color w:val="auto"/>
          <w:u w:val="none"/>
        </w:rPr>
        <w:t>était pas renfloué. Le Secrétariat devait dépenser plus d</w:t>
      </w:r>
      <w:r w:rsidR="00346F1B">
        <w:rPr>
          <w:rStyle w:val="Hyperlink"/>
          <w:color w:val="auto"/>
          <w:u w:val="none"/>
        </w:rPr>
        <w:t>’</w:t>
      </w:r>
      <w:r w:rsidR="0052706E">
        <w:rPr>
          <w:rStyle w:val="Hyperlink"/>
          <w:color w:val="auto"/>
          <w:u w:val="none"/>
        </w:rPr>
        <w:t>argent qu</w:t>
      </w:r>
      <w:r w:rsidR="00346F1B">
        <w:rPr>
          <w:rStyle w:val="Hyperlink"/>
          <w:color w:val="auto"/>
          <w:u w:val="none"/>
        </w:rPr>
        <w:t>’</w:t>
      </w:r>
      <w:r w:rsidR="0052706E">
        <w:rPr>
          <w:rStyle w:val="Hyperlink"/>
          <w:color w:val="auto"/>
          <w:u w:val="none"/>
        </w:rPr>
        <w:t>il n</w:t>
      </w:r>
      <w:r w:rsidR="00346F1B">
        <w:rPr>
          <w:rStyle w:val="Hyperlink"/>
          <w:color w:val="auto"/>
          <w:u w:val="none"/>
        </w:rPr>
        <w:t>’</w:t>
      </w:r>
      <w:r w:rsidR="0052706E">
        <w:rPr>
          <w:rStyle w:val="Hyperlink"/>
          <w:color w:val="auto"/>
          <w:u w:val="none"/>
        </w:rPr>
        <w:t>en recevait pour maintenir le programme de renforcement des capacités, ce qui n</w:t>
      </w:r>
      <w:r w:rsidR="00346F1B">
        <w:rPr>
          <w:rStyle w:val="Hyperlink"/>
          <w:color w:val="auto"/>
          <w:u w:val="none"/>
        </w:rPr>
        <w:t>’</w:t>
      </w:r>
      <w:r w:rsidR="0052706E">
        <w:rPr>
          <w:rStyle w:val="Hyperlink"/>
          <w:color w:val="auto"/>
          <w:u w:val="none"/>
        </w:rPr>
        <w:t xml:space="preserve">était évidemment pas une situation qui pouvait perdurer et </w:t>
      </w:r>
      <w:r w:rsidR="00C93EC4">
        <w:rPr>
          <w:rStyle w:val="Hyperlink"/>
          <w:color w:val="auto"/>
          <w:u w:val="none"/>
        </w:rPr>
        <w:t>qu</w:t>
      </w:r>
      <w:r w:rsidR="00346F1B">
        <w:rPr>
          <w:rStyle w:val="Hyperlink"/>
          <w:color w:val="auto"/>
          <w:u w:val="none"/>
        </w:rPr>
        <w:t>’</w:t>
      </w:r>
      <w:r w:rsidR="00C93EC4">
        <w:rPr>
          <w:rStyle w:val="Hyperlink"/>
          <w:color w:val="auto"/>
          <w:u w:val="none"/>
        </w:rPr>
        <w:t>il convenait de tirer</w:t>
      </w:r>
      <w:r w:rsidR="0052706E">
        <w:rPr>
          <w:rStyle w:val="Hyperlink"/>
          <w:color w:val="auto"/>
          <w:u w:val="none"/>
        </w:rPr>
        <w:t xml:space="preserve"> la sonnette d</w:t>
      </w:r>
      <w:r w:rsidR="00346F1B">
        <w:rPr>
          <w:rStyle w:val="Hyperlink"/>
          <w:color w:val="auto"/>
          <w:u w:val="none"/>
        </w:rPr>
        <w:t>’</w:t>
      </w:r>
      <w:r w:rsidR="0052706E">
        <w:rPr>
          <w:rStyle w:val="Hyperlink"/>
          <w:color w:val="auto"/>
          <w:u w:val="none"/>
        </w:rPr>
        <w:t xml:space="preserve">alarme pour le </w:t>
      </w:r>
      <w:r w:rsidR="0052706E" w:rsidRPr="0052706E">
        <w:rPr>
          <w:rStyle w:val="Hyperlink"/>
          <w:color w:val="auto"/>
          <w:u w:val="none"/>
        </w:rPr>
        <w:t>programme</w:t>
      </w:r>
      <w:r w:rsidR="0093340B">
        <w:rPr>
          <w:rStyle w:val="Hyperlink"/>
          <w:color w:val="auto"/>
          <w:u w:val="none"/>
        </w:rPr>
        <w:t xml:space="preserve"> de renforcement des capacités.</w:t>
      </w:r>
    </w:p>
    <w:p w14:paraId="123252D7" w14:textId="7D58A520" w:rsidR="00C93EC4" w:rsidRPr="00C93EC4" w:rsidRDefault="00C93EC4" w:rsidP="00AF7860">
      <w:pPr>
        <w:pStyle w:val="Orateurengris"/>
        <w:spacing w:before="120"/>
        <w:ind w:left="709" w:hanging="709"/>
      </w:pPr>
      <w:r w:rsidRPr="00C93EC4">
        <w:t xml:space="preserve">Le </w:t>
      </w:r>
      <w:r w:rsidRPr="00C93EC4">
        <w:rPr>
          <w:b/>
        </w:rPr>
        <w:t>Président</w:t>
      </w:r>
      <w:r w:rsidRPr="00C93EC4">
        <w:t xml:space="preserve"> a</w:t>
      </w:r>
      <w:r>
        <w:t xml:space="preserve"> remercié le Secrétaire pour ses explications très claires et a adressé ses remerciements personnels aux bailleurs de fonds. Il a accueilli avec satisfaction le nouveau soutien mais a estimé que la situation, telle que présentée, était extrêmement préoccupante, ajoutant que cela méritait que le Comité et tous les États parties lui accordent toute leur attention. Il a ensuite donné la parole à la République de Corée afin qu</w:t>
      </w:r>
      <w:r w:rsidR="00346F1B">
        <w:t>’</w:t>
      </w:r>
      <w:r>
        <w:t>elle présente sa g</w:t>
      </w:r>
      <w:r w:rsidR="0093340B">
        <w:t>énéreuse offre de contribution.</w:t>
      </w:r>
    </w:p>
    <w:p w14:paraId="698B8F1B" w14:textId="50F73F11" w:rsidR="00C93EC4" w:rsidRDefault="00C93EC4" w:rsidP="00AF7860">
      <w:pPr>
        <w:pStyle w:val="Orateurengris"/>
        <w:spacing w:before="120"/>
        <w:ind w:left="709" w:hanging="709"/>
      </w:pPr>
      <w:r>
        <w:t xml:space="preserve">La délégation de la </w:t>
      </w:r>
      <w:r w:rsidRPr="00AF4B74">
        <w:rPr>
          <w:b/>
        </w:rPr>
        <w:t>République de Corée</w:t>
      </w:r>
      <w:r>
        <w:t xml:space="preserve"> a remercié le Secrétaire pour son excellente présentation et pour les éclaircissements apportés </w:t>
      </w:r>
      <w:r w:rsidR="0029361B">
        <w:t xml:space="preserve">à </w:t>
      </w:r>
      <w:r>
        <w:t>la situation financière du programme du PCI, en particulier l</w:t>
      </w:r>
      <w:r w:rsidR="00346F1B">
        <w:t>’</w:t>
      </w:r>
      <w:r>
        <w:t>état actuel des contributions volo</w:t>
      </w:r>
      <w:r w:rsidR="00450503">
        <w:t xml:space="preserve">ntaires. La délégation estimait </w:t>
      </w:r>
      <w:r>
        <w:t>que la procédure de rapports périodiques n</w:t>
      </w:r>
      <w:r w:rsidR="00346F1B">
        <w:t>’</w:t>
      </w:r>
      <w:r>
        <w:t xml:space="preserve">était pas uniquement une obligation des États parties mais également un outil </w:t>
      </w:r>
      <w:r w:rsidR="00AF4B74">
        <w:t>très efficace de partage des meilleures pratiques de sauvegarde. C</w:t>
      </w:r>
      <w:r w:rsidR="00346F1B">
        <w:t>’</w:t>
      </w:r>
      <w:r w:rsidR="00AF4B74">
        <w:t xml:space="preserve">était la raison pour laquelle la République de Corée, en tant que </w:t>
      </w:r>
      <w:r w:rsidR="00A46CAD">
        <w:t>membre</w:t>
      </w:r>
      <w:r w:rsidR="00AF4B74">
        <w:t xml:space="preserve"> du Comité, avait déployé des efforts </w:t>
      </w:r>
      <w:r w:rsidR="0029361B">
        <w:t xml:space="preserve">continus </w:t>
      </w:r>
      <w:r w:rsidR="00AF4B74">
        <w:t>et concertés pour soutenir l</w:t>
      </w:r>
      <w:r w:rsidR="00346F1B">
        <w:t>’</w:t>
      </w:r>
      <w:r w:rsidR="00AF4B74">
        <w:t>amélioration de la soumission des rapports au cours des trois dernières années. Dans ce contexte, elle était heureuse d</w:t>
      </w:r>
      <w:r w:rsidR="00346F1B">
        <w:t>’</w:t>
      </w:r>
      <w:r w:rsidR="00AF4B74">
        <w:t>annoncer qu</w:t>
      </w:r>
      <w:r w:rsidR="00346F1B">
        <w:t>’</w:t>
      </w:r>
      <w:r w:rsidR="00AF4B74">
        <w:t>elle offrait une contribution</w:t>
      </w:r>
      <w:r w:rsidR="00346F1B">
        <w:t xml:space="preserve"> volontaire d’un montant de 300 000</w:t>
      </w:r>
      <w:r w:rsidR="00AF4B74">
        <w:t xml:space="preserve"> dollars des États-Unis afin d</w:t>
      </w:r>
      <w:r w:rsidR="00346F1B">
        <w:t>’</w:t>
      </w:r>
      <w:r w:rsidR="00AF4B74">
        <w:t xml:space="preserve">établir un mécanisme facilitant la procédure de soumission de rapports. On pouvait espérer que ce geste de soutien contribuerait aux efforts concertés </w:t>
      </w:r>
      <w:r w:rsidR="0029361B">
        <w:t>déployés par les autres États et le</w:t>
      </w:r>
      <w:r w:rsidR="00AF4B74">
        <w:t xml:space="preserve"> Secrétariat pour s</w:t>
      </w:r>
      <w:r w:rsidR="00346F1B">
        <w:t>’</w:t>
      </w:r>
      <w:r w:rsidR="00AF4B74">
        <w:t>attaquer à ce problème important et très prioritaire. À cette fin, la République de Corée continuerait à coopérer étroitement avec le</w:t>
      </w:r>
      <w:r w:rsidR="0093340B">
        <w:t xml:space="preserve"> Secrétariat.</w:t>
      </w:r>
    </w:p>
    <w:p w14:paraId="187EF9D9" w14:textId="3BA23583" w:rsidR="00FA7F92" w:rsidRDefault="00FA7F92" w:rsidP="00AF7860">
      <w:pPr>
        <w:pStyle w:val="Orateurengris"/>
        <w:spacing w:before="120"/>
        <w:ind w:left="709" w:hanging="709"/>
      </w:pPr>
      <w:r>
        <w:t xml:space="preserve">Le </w:t>
      </w:r>
      <w:r w:rsidRPr="00FA7F92">
        <w:rPr>
          <w:b/>
        </w:rPr>
        <w:t>Président</w:t>
      </w:r>
      <w:r>
        <w:t xml:space="preserve"> a remercié la République de Corée, ajoutant que les nouvelles perspectives que laissaient entrevoir cette généreuse contribution seraient sans aucun doute accueillies avec enthousiasme. Il a ensuite donné la parole aux autres pa</w:t>
      </w:r>
      <w:r w:rsidR="0093340B">
        <w:t>ys bailleurs de fonds.</w:t>
      </w:r>
    </w:p>
    <w:p w14:paraId="6AD93E55" w14:textId="2BBBD324" w:rsidR="00FA7F92" w:rsidRDefault="00FA7F92" w:rsidP="00AF7860">
      <w:pPr>
        <w:pStyle w:val="Orateurengris"/>
        <w:spacing w:before="120"/>
        <w:ind w:left="709" w:hanging="709"/>
      </w:pPr>
      <w:r>
        <w:t xml:space="preserve">La délégation de la </w:t>
      </w:r>
      <w:r w:rsidRPr="00FA7F92">
        <w:rPr>
          <w:b/>
        </w:rPr>
        <w:t>Turquie</w:t>
      </w:r>
      <w:r>
        <w:t xml:space="preserve"> a remercié le Secrétariat pour son rapport clair et</w:t>
      </w:r>
      <w:r w:rsidR="008C00CB">
        <w:t xml:space="preserve"> succinct. Elle avait pris note, d</w:t>
      </w:r>
      <w:r w:rsidR="00346F1B">
        <w:t>’</w:t>
      </w:r>
      <w:r w:rsidR="008C00CB">
        <w:t xml:space="preserve">une part, </w:t>
      </w:r>
      <w:r>
        <w:t xml:space="preserve">des </w:t>
      </w:r>
      <w:r w:rsidR="008C00CB">
        <w:t xml:space="preserve">restrictions budgétaires </w:t>
      </w:r>
      <w:r>
        <w:t>du Programme ordinaire et du nombre limité de personnel régulier travaillant dans la Section en rai</w:t>
      </w:r>
      <w:r w:rsidR="008C00CB">
        <w:t xml:space="preserve">son de la situation financière </w:t>
      </w:r>
      <w:r>
        <w:t>de l</w:t>
      </w:r>
      <w:r w:rsidR="00346F1B">
        <w:t>’</w:t>
      </w:r>
      <w:r>
        <w:t>UNESCO</w:t>
      </w:r>
      <w:r w:rsidR="008C00CB">
        <w:t xml:space="preserve"> et, d</w:t>
      </w:r>
      <w:r w:rsidR="00346F1B">
        <w:t>’</w:t>
      </w:r>
      <w:r w:rsidR="008C00CB">
        <w:t>autre part, de la tendance à la baisse des contributions volontaires au programme global de renforcement des capacités et au sous-fonds du Fonds du PCI, des situations qui s</w:t>
      </w:r>
      <w:r w:rsidR="00346F1B">
        <w:t>’</w:t>
      </w:r>
      <w:r w:rsidR="008C00CB">
        <w:t xml:space="preserve">avéraient fort préoccupantes. La délégation a félicité la République de Corée pour </w:t>
      </w:r>
      <w:r w:rsidR="00215299">
        <w:t xml:space="preserve">sa </w:t>
      </w:r>
      <w:r w:rsidR="008C00CB">
        <w:t xml:space="preserve">contribution volontaire fort opportune </w:t>
      </w:r>
      <w:r w:rsidR="00215299">
        <w:t>destinée</w:t>
      </w:r>
      <w:r w:rsidR="008C00CB">
        <w:t xml:space="preserve"> à relever l</w:t>
      </w:r>
      <w:r w:rsidR="00346F1B">
        <w:t>’</w:t>
      </w:r>
      <w:r w:rsidR="008C00CB">
        <w:t xml:space="preserve">un des principaux défis auxquels la Convention </w:t>
      </w:r>
      <w:r w:rsidR="00215299">
        <w:t xml:space="preserve">était confrontée </w:t>
      </w:r>
      <w:r w:rsidR="008C00CB">
        <w:t xml:space="preserve">: le problème </w:t>
      </w:r>
      <w:r w:rsidR="00B1716C">
        <w:t xml:space="preserve">récurrent </w:t>
      </w:r>
      <w:r w:rsidR="008C00CB">
        <w:t>des rapports périodiques soumis en retard par les États, ce qui mettait un frein au</w:t>
      </w:r>
      <w:r w:rsidR="0093340B">
        <w:t xml:space="preserve"> suivi global de la Convention.</w:t>
      </w:r>
    </w:p>
    <w:p w14:paraId="34FD1610" w14:textId="67F95BB6" w:rsidR="00B1716C" w:rsidRDefault="00B1716C" w:rsidP="00AF7860">
      <w:pPr>
        <w:pStyle w:val="Orateurengris"/>
        <w:spacing w:before="120"/>
        <w:ind w:left="709" w:hanging="709"/>
      </w:pPr>
      <w:r>
        <w:t>La délégation de l</w:t>
      </w:r>
      <w:r w:rsidR="00346F1B">
        <w:t>’</w:t>
      </w:r>
      <w:r w:rsidRPr="00B1716C">
        <w:rPr>
          <w:b/>
        </w:rPr>
        <w:t>Espagne</w:t>
      </w:r>
      <w:r>
        <w:t xml:space="preserve"> a profité de l</w:t>
      </w:r>
      <w:r w:rsidR="00346F1B">
        <w:t>’</w:t>
      </w:r>
      <w:r>
        <w:t>opportunité qui lui était offerte pour remercier l</w:t>
      </w:r>
      <w:r w:rsidR="00346F1B">
        <w:t>’</w:t>
      </w:r>
      <w:r>
        <w:t xml:space="preserve">Éthiopie </w:t>
      </w:r>
      <w:r w:rsidR="00A02B4E">
        <w:t xml:space="preserve">de </w:t>
      </w:r>
      <w:r>
        <w:t xml:space="preserve">sa merveilleuse hospitalité et </w:t>
      </w:r>
      <w:r w:rsidR="00A02B4E">
        <w:t xml:space="preserve">pour </w:t>
      </w:r>
      <w:r>
        <w:t>l</w:t>
      </w:r>
      <w:r w:rsidR="00346F1B">
        <w:t>’</w:t>
      </w:r>
      <w:r>
        <w:t>organisation de cette session, ajoutant qu</w:t>
      </w:r>
      <w:r w:rsidR="00346F1B">
        <w:t>’</w:t>
      </w:r>
      <w:r>
        <w:t>il existait un grand nombre d</w:t>
      </w:r>
      <w:r w:rsidR="00346F1B">
        <w:t>’</w:t>
      </w:r>
      <w:r>
        <w:t>approches fort différentes de la Convention, ce qui était essentiel pour l</w:t>
      </w:r>
      <w:r w:rsidR="00346F1B">
        <w:t>’</w:t>
      </w:r>
      <w:r>
        <w:t>Espagne</w:t>
      </w:r>
      <w:r w:rsidR="00A02B4E">
        <w:t xml:space="preserve">. Une de ces approches consistait à </w:t>
      </w:r>
      <w:r>
        <w:t>impliquer des régions</w:t>
      </w:r>
      <w:r w:rsidR="00A02B4E">
        <w:t>,</w:t>
      </w:r>
      <w:r>
        <w:t xml:space="preserve"> comme </w:t>
      </w:r>
      <w:r w:rsidR="00A02B4E">
        <w:t>la Catalogne, qui étaient désireuses de jouer un rôle dans la Convent</w:t>
      </w:r>
      <w:r w:rsidR="00450503">
        <w:t>ion. La délégation estimait</w:t>
      </w:r>
      <w:r w:rsidR="00A02B4E">
        <w:t xml:space="preserve"> qu</w:t>
      </w:r>
      <w:r w:rsidR="00346F1B">
        <w:t>’</w:t>
      </w:r>
      <w:r w:rsidR="00A02B4E">
        <w:t>il était très important de rechercher des partenaires tant au niveau national que régional afin d</w:t>
      </w:r>
      <w:r w:rsidR="00346F1B">
        <w:t>’</w:t>
      </w:r>
      <w:r w:rsidR="00A02B4E">
        <w:t>être certain que les objectifs de la Convention pourr</w:t>
      </w:r>
      <w:r w:rsidR="0093340B">
        <w:t>aient être pleinement atteints.</w:t>
      </w:r>
    </w:p>
    <w:p w14:paraId="69D78261" w14:textId="4FAF231F" w:rsidR="00D32916" w:rsidRPr="00B13D55" w:rsidRDefault="00B13D55" w:rsidP="00AF7860">
      <w:pPr>
        <w:pStyle w:val="Orateurengris"/>
        <w:spacing w:before="120"/>
        <w:ind w:left="709" w:hanging="709"/>
      </w:pPr>
      <w:r w:rsidRPr="00B13D55">
        <w:t xml:space="preserve">La </w:t>
      </w:r>
      <w:r>
        <w:t>délégation de l</w:t>
      </w:r>
      <w:r w:rsidR="00346F1B">
        <w:t>’</w:t>
      </w:r>
      <w:r w:rsidRPr="00407AB3">
        <w:rPr>
          <w:b/>
        </w:rPr>
        <w:t>Inde</w:t>
      </w:r>
      <w:r>
        <w:t xml:space="preserve"> partageait les préoccupations exprimées par le Secrétariat à propos de la forte baisse des contributions extrabudgétaires au Fonds du PCI pour les programmes de renforcement des capacités, ainsi qu</w:t>
      </w:r>
      <w:r w:rsidR="00346F1B">
        <w:t>’</w:t>
      </w:r>
      <w:r>
        <w:t xml:space="preserve">au sous-fonds pour les ressources humaines du Secrétariat. Elle a remercié les États </w:t>
      </w:r>
      <w:r w:rsidR="00A46CAD">
        <w:t>membres</w:t>
      </w:r>
      <w:r>
        <w:t xml:space="preserve"> qui avaient versé des contributions volontaires supplémentaires afin de compléter les fonds et elle a salué, à cet égard, la contribution de la République de Corée destinée à permettre l</w:t>
      </w:r>
      <w:r w:rsidR="00346F1B">
        <w:t>’</w:t>
      </w:r>
      <w:r>
        <w:t>établissement de mécanismes d</w:t>
      </w:r>
      <w:r w:rsidR="00346F1B">
        <w:t>’</w:t>
      </w:r>
      <w:r>
        <w:t xml:space="preserve">encouragement à la soumission de rapports périodiques. Les rapports périodiques, dont certains étaient en retard depuis fort longtemps, étaient les seuls moyens </w:t>
      </w:r>
      <w:r w:rsidR="00E41262">
        <w:t>mis à disposition par la</w:t>
      </w:r>
      <w:r w:rsidR="00407AB3">
        <w:t xml:space="preserve"> Convention pour superviser sa mise en œuvre au niveau national. La délégation a donc </w:t>
      </w:r>
      <w:r w:rsidR="00E41262">
        <w:t xml:space="preserve">demandé que cette contribution </w:t>
      </w:r>
      <w:r w:rsidR="0093340B">
        <w:t>soit acceptée au plus vite.</w:t>
      </w:r>
    </w:p>
    <w:p w14:paraId="49DCD30A" w14:textId="15DE8A7D" w:rsidR="00E41262" w:rsidRDefault="00E41262" w:rsidP="00AF7860">
      <w:pPr>
        <w:pStyle w:val="Orateurengris"/>
        <w:spacing w:before="120"/>
        <w:ind w:left="709" w:hanging="709"/>
      </w:pPr>
      <w:r>
        <w:t xml:space="preserve">La délégation des </w:t>
      </w:r>
      <w:r w:rsidRPr="00E41262">
        <w:rPr>
          <w:b/>
        </w:rPr>
        <w:t>Philippines</w:t>
      </w:r>
      <w:r>
        <w:t xml:space="preserve"> s</w:t>
      </w:r>
      <w:r w:rsidR="00346F1B">
        <w:t>’</w:t>
      </w:r>
      <w:r>
        <w:t>est félicitée du soutien financier offert par la République de Corée afin d</w:t>
      </w:r>
      <w:r w:rsidR="00346F1B">
        <w:t>’</w:t>
      </w:r>
      <w:r>
        <w:t>améliorer le mécanisme de rapports périodiques de la Convention. Elle pensait qu</w:t>
      </w:r>
      <w:r w:rsidR="00346F1B">
        <w:t>’</w:t>
      </w:r>
      <w:r>
        <w:t>on pouvait tirer un très grand profit des rapports périodiques qui étaient de précieux outils d</w:t>
      </w:r>
      <w:r w:rsidR="00346F1B">
        <w:t>’</w:t>
      </w:r>
      <w:r>
        <w:t>informations pour évaluer l</w:t>
      </w:r>
      <w:r w:rsidR="00346F1B">
        <w:t>’</w:t>
      </w:r>
      <w:r>
        <w:t>impact de la Convention sur le terrain. Elle espérait également que des contributions volontaires complémentaires versées par des bailleurs de fonds pourraient être destinées</w:t>
      </w:r>
      <w:r w:rsidR="0093340B">
        <w:t xml:space="preserve"> au renforcement des capacités.</w:t>
      </w:r>
    </w:p>
    <w:p w14:paraId="078662C2" w14:textId="15C50D0D" w:rsidR="00086818" w:rsidRDefault="00E41262" w:rsidP="00AF7860">
      <w:pPr>
        <w:pStyle w:val="Orateurengris"/>
        <w:spacing w:before="120"/>
        <w:ind w:left="709" w:hanging="709"/>
      </w:pPr>
      <w:r>
        <w:t xml:space="preserve">La délégation des </w:t>
      </w:r>
      <w:r w:rsidRPr="00E41262">
        <w:rPr>
          <w:b/>
        </w:rPr>
        <w:t>Pays-Bas</w:t>
      </w:r>
      <w:r>
        <w:t xml:space="preserve"> a remercié le Gouvernement éthiopien pour son chaleureux accueil et a réaffirmé l</w:t>
      </w:r>
      <w:r w:rsidR="00346F1B">
        <w:t>’</w:t>
      </w:r>
      <w:r>
        <w:t xml:space="preserve">importance du programme global de renforcement des capacités </w:t>
      </w:r>
      <w:r w:rsidR="002E2F2F">
        <w:t>et des efforts déployés par l</w:t>
      </w:r>
      <w:r w:rsidR="00346F1B">
        <w:t>’</w:t>
      </w:r>
      <w:r w:rsidR="002E2F2F">
        <w:t>UNESCO à cet égard, tant dans le présent qu</w:t>
      </w:r>
      <w:r w:rsidR="00346F1B">
        <w:t>’</w:t>
      </w:r>
      <w:r w:rsidR="002E2F2F">
        <w:t>à l</w:t>
      </w:r>
      <w:r w:rsidR="00346F1B">
        <w:t>’</w:t>
      </w:r>
      <w:r w:rsidR="002E2F2F">
        <w:t>avenir. La délégation a évoqué les très bons résultats observés dans la région des Caraïbes grâce au programme de renforcement des capacités mis en œuvre par l</w:t>
      </w:r>
      <w:r w:rsidR="00346F1B">
        <w:t>’</w:t>
      </w:r>
      <w:r w:rsidR="002E2F2F">
        <w:t>UNESCO, en soulignant la créativité dont faisaient preuve les programmes de formation et les nouveaux matériels destinés à la réalisation d</w:t>
      </w:r>
      <w:r w:rsidR="00346F1B">
        <w:t>’</w:t>
      </w:r>
      <w:r w:rsidR="002E2F2F">
        <w:t>inventaires et l</w:t>
      </w:r>
      <w:r w:rsidR="00346F1B">
        <w:t>’</w:t>
      </w:r>
      <w:r w:rsidR="002E2F2F">
        <w:t>élaboration de plans de sauvegarde du PCI dans la région. En outre, la délégation a mis en évidence la créativité des facilitateurs de l</w:t>
      </w:r>
      <w:r w:rsidR="00346F1B">
        <w:t>’</w:t>
      </w:r>
      <w:r w:rsidR="002E2F2F">
        <w:t>UNESCO, soulignant que le processus de renforcement des capacités était une grande source d</w:t>
      </w:r>
      <w:r w:rsidR="00346F1B">
        <w:t>’</w:t>
      </w:r>
      <w:r w:rsidR="002E2F2F">
        <w:t>inspiration. Elle espérait que tous les États parties réfléchiraient à l</w:t>
      </w:r>
      <w:r w:rsidR="00346F1B">
        <w:t>’</w:t>
      </w:r>
      <w:r w:rsidR="002E2F2F">
        <w:t>importance de la poursuite du programme global de renforcement des capacités qui était tellement essentiel à la mise en œuvre de la Convention à tous les niveaux afin d</w:t>
      </w:r>
      <w:r w:rsidR="00346F1B">
        <w:t>’</w:t>
      </w:r>
      <w:r w:rsidR="002E2F2F">
        <w:t xml:space="preserve">obtenir des résultats durables. Le travail en commun dans le domaine du renforcement des capacités avait déjà </w:t>
      </w:r>
      <w:r w:rsidR="00086818">
        <w:t>débouché sur l</w:t>
      </w:r>
      <w:r w:rsidR="00346F1B">
        <w:t>’</w:t>
      </w:r>
      <w:r w:rsidR="00086818">
        <w:t>élaboration d</w:t>
      </w:r>
      <w:r w:rsidR="00346F1B">
        <w:t>’</w:t>
      </w:r>
      <w:r w:rsidR="00086818">
        <w:t>une plateforme de coopération durable sur le thème du PCI dans les îles néerlandaises des Caraïbes et au Suriname, à laquelle les commissions nationales pour l</w:t>
      </w:r>
      <w:r w:rsidR="00346F1B">
        <w:t>’</w:t>
      </w:r>
      <w:r w:rsidR="00086818">
        <w:t>UNESCO et les ONG travaillaient en étroite collaboration. Il était donc important que l</w:t>
      </w:r>
      <w:r w:rsidR="00346F1B">
        <w:t>’</w:t>
      </w:r>
      <w:r w:rsidR="00086818">
        <w:t xml:space="preserve">UNESCO fasse rapport des expériences accumulées et diffuse les meilleures pratiques du programme afin que chaque puisse tirer des enseignements de ces résultats. La délégation a conclu son intervention en remerciant le Secrétariat pour tout </w:t>
      </w:r>
      <w:r w:rsidR="0093340B">
        <w:t>le travail accompli.</w:t>
      </w:r>
    </w:p>
    <w:p w14:paraId="3F7CDB3B" w14:textId="152F4975" w:rsidR="00086818" w:rsidRPr="00086818" w:rsidRDefault="00B36F1A" w:rsidP="00AF7860">
      <w:pPr>
        <w:pStyle w:val="Orateurengris"/>
        <w:spacing w:before="120"/>
        <w:ind w:left="709" w:hanging="709"/>
        <w:rPr>
          <w:rFonts w:eastAsia="Cambria"/>
          <w:b/>
          <w:u w:val="single"/>
        </w:rPr>
      </w:pPr>
      <w:r>
        <w:rPr>
          <w:rFonts w:eastAsia="Cambria"/>
        </w:rPr>
        <w:t>Bien qu</w:t>
      </w:r>
      <w:r w:rsidR="00346F1B">
        <w:rPr>
          <w:rFonts w:eastAsia="Cambria"/>
        </w:rPr>
        <w:t>’</w:t>
      </w:r>
      <w:r>
        <w:rPr>
          <w:rFonts w:eastAsia="Cambria"/>
        </w:rPr>
        <w:t xml:space="preserve">il ait pris note des </w:t>
      </w:r>
      <w:r w:rsidR="00086818">
        <w:rPr>
          <w:rFonts w:eastAsia="Cambria"/>
        </w:rPr>
        <w:t xml:space="preserve">bonnes nouvelles, le </w:t>
      </w:r>
      <w:r w:rsidR="00086818" w:rsidRPr="00086818">
        <w:rPr>
          <w:rFonts w:eastAsia="Cambria"/>
          <w:b/>
        </w:rPr>
        <w:t>Président</w:t>
      </w:r>
      <w:r w:rsidR="00086818">
        <w:rPr>
          <w:rFonts w:eastAsia="Cambria"/>
        </w:rPr>
        <w:t xml:space="preserve"> a fait remarquer que la </w:t>
      </w:r>
      <w:r w:rsidR="00086818" w:rsidRPr="00086818">
        <w:rPr>
          <w:rFonts w:eastAsia="Cambria"/>
        </w:rPr>
        <w:t>présentation</w:t>
      </w:r>
      <w:r w:rsidR="00086818">
        <w:rPr>
          <w:rFonts w:eastAsia="Cambria"/>
        </w:rPr>
        <w:t xml:space="preserve"> du </w:t>
      </w:r>
      <w:r w:rsidR="00086818" w:rsidRPr="00086818">
        <w:rPr>
          <w:rFonts w:eastAsia="Cambria"/>
        </w:rPr>
        <w:t>Secrétaire</w:t>
      </w:r>
      <w:r w:rsidR="00086818">
        <w:rPr>
          <w:rFonts w:eastAsia="Cambria"/>
        </w:rPr>
        <w:t xml:space="preserve"> devait attirer l</w:t>
      </w:r>
      <w:r w:rsidR="00346F1B">
        <w:rPr>
          <w:rFonts w:eastAsia="Cambria"/>
        </w:rPr>
        <w:t>’</w:t>
      </w:r>
      <w:r w:rsidR="00086818">
        <w:rPr>
          <w:rFonts w:eastAsia="Cambria"/>
        </w:rPr>
        <w:t xml:space="preserve">attention du Comité sur la mobilisation tout à fait insuffisante de ressources. Il espérait que, tous ensemble, </w:t>
      </w:r>
      <w:r w:rsidR="00A34D35">
        <w:rPr>
          <w:rFonts w:eastAsia="Cambria"/>
        </w:rPr>
        <w:t>des solutions créatives pourraient</w:t>
      </w:r>
      <w:r w:rsidR="00086818">
        <w:rPr>
          <w:rFonts w:eastAsia="Cambria"/>
        </w:rPr>
        <w:t xml:space="preserve"> être trouvées afin de poursuivre les efforts déployés, tant par les pays que le Secrétariat, pour mettre en œuvre la </w:t>
      </w:r>
      <w:r w:rsidR="00086818" w:rsidRPr="00086818">
        <w:rPr>
          <w:rFonts w:eastAsia="Cambria"/>
        </w:rPr>
        <w:t>Convention</w:t>
      </w:r>
      <w:r w:rsidR="00086818">
        <w:rPr>
          <w:rFonts w:eastAsia="Cambria"/>
        </w:rPr>
        <w:t xml:space="preserve"> et exploiter tout son potentiel. Le Président a exprimé sa </w:t>
      </w:r>
      <w:r w:rsidR="00086818" w:rsidRPr="00086818">
        <w:rPr>
          <w:rFonts w:eastAsia="Cambria"/>
        </w:rPr>
        <w:t>reconnaissance</w:t>
      </w:r>
      <w:r w:rsidR="00086818">
        <w:rPr>
          <w:rFonts w:eastAsia="Cambria"/>
        </w:rPr>
        <w:t xml:space="preserve"> à ceux qui avaient soutenu la </w:t>
      </w:r>
      <w:r w:rsidR="00086818" w:rsidRPr="00086818">
        <w:rPr>
          <w:rFonts w:eastAsia="Cambria"/>
        </w:rPr>
        <w:t>Convention</w:t>
      </w:r>
      <w:r w:rsidR="00086818">
        <w:rPr>
          <w:rFonts w:eastAsia="Cambria"/>
        </w:rPr>
        <w:t xml:space="preserve"> et son Secrétariat depuis la dernière session, à savoir l</w:t>
      </w:r>
      <w:r w:rsidR="00346F1B">
        <w:rPr>
          <w:rFonts w:eastAsia="Cambria"/>
        </w:rPr>
        <w:t>’</w:t>
      </w:r>
      <w:r w:rsidR="00086818">
        <w:rPr>
          <w:rFonts w:eastAsia="Cambria"/>
        </w:rPr>
        <w:t xml:space="preserve">Azerbaïdjan, </w:t>
      </w:r>
      <w:r w:rsidR="00B17D2A">
        <w:rPr>
          <w:rFonts w:eastAsia="Cambria"/>
        </w:rPr>
        <w:t>la Belgique (Flandres), la Chine, le Japon, les Pays-Bas, la Norvège, l</w:t>
      </w:r>
      <w:r w:rsidR="00346F1B">
        <w:rPr>
          <w:rFonts w:eastAsia="Cambria"/>
        </w:rPr>
        <w:t>’</w:t>
      </w:r>
      <w:r w:rsidR="00B17D2A">
        <w:rPr>
          <w:rFonts w:eastAsia="Cambria"/>
        </w:rPr>
        <w:t>Espagne (G</w:t>
      </w:r>
      <w:r w:rsidR="00B17D2A" w:rsidRPr="00B17D2A">
        <w:rPr>
          <w:rFonts w:eastAsia="Cambria"/>
        </w:rPr>
        <w:t>ouvernement</w:t>
      </w:r>
      <w:r w:rsidR="00B17D2A">
        <w:rPr>
          <w:rFonts w:eastAsia="Cambria"/>
        </w:rPr>
        <w:t xml:space="preserve"> de la Catalogne) et les Émirats arabes unis (Autorité</w:t>
      </w:r>
      <w:r w:rsidR="0009601A">
        <w:rPr>
          <w:rFonts w:eastAsia="Cambria"/>
        </w:rPr>
        <w:t xml:space="preserve"> d</w:t>
      </w:r>
      <w:r w:rsidR="00346F1B">
        <w:rPr>
          <w:rFonts w:eastAsia="Cambria"/>
        </w:rPr>
        <w:t>’</w:t>
      </w:r>
      <w:r w:rsidR="0009601A">
        <w:rPr>
          <w:rFonts w:eastAsia="Cambria"/>
        </w:rPr>
        <w:t xml:space="preserve">Abou Dhabi pour le tourisme et </w:t>
      </w:r>
      <w:r w:rsidR="00151E27">
        <w:rPr>
          <w:rFonts w:eastAsia="Cambria"/>
        </w:rPr>
        <w:t xml:space="preserve">la </w:t>
      </w:r>
      <w:r w:rsidR="0009601A">
        <w:rPr>
          <w:rFonts w:eastAsia="Cambria"/>
        </w:rPr>
        <w:t xml:space="preserve">culture et le Centre pour le </w:t>
      </w:r>
      <w:r w:rsidR="0009601A" w:rsidRPr="0009601A">
        <w:rPr>
          <w:rFonts w:eastAsia="Cambria"/>
        </w:rPr>
        <w:t>patrimoine</w:t>
      </w:r>
      <w:r w:rsidR="0009601A">
        <w:rPr>
          <w:rFonts w:eastAsia="Cambria"/>
        </w:rPr>
        <w:t xml:space="preserve"> Hamdan Bin Mohammed), ainsi que le Centre norvégien de danse et de musique</w:t>
      </w:r>
      <w:r w:rsidR="00D46448">
        <w:rPr>
          <w:rFonts w:eastAsia="Cambria"/>
        </w:rPr>
        <w:t>s</w:t>
      </w:r>
      <w:r w:rsidR="0009601A">
        <w:rPr>
          <w:rFonts w:eastAsia="Cambria"/>
        </w:rPr>
        <w:t xml:space="preserve"> traditionnelles. En l</w:t>
      </w:r>
      <w:r w:rsidR="00346F1B">
        <w:rPr>
          <w:rFonts w:eastAsia="Cambria"/>
        </w:rPr>
        <w:t>’</w:t>
      </w:r>
      <w:r w:rsidR="0009601A">
        <w:rPr>
          <w:rFonts w:eastAsia="Cambria"/>
        </w:rPr>
        <w:t>absence d</w:t>
      </w:r>
      <w:r w:rsidR="00346F1B">
        <w:rPr>
          <w:rFonts w:eastAsia="Cambria"/>
        </w:rPr>
        <w:t>’</w:t>
      </w:r>
      <w:r w:rsidR="0009601A">
        <w:rPr>
          <w:rFonts w:eastAsia="Cambria"/>
        </w:rPr>
        <w:t>autres interventions, le Président a procédé à l</w:t>
      </w:r>
      <w:r w:rsidR="00346F1B">
        <w:rPr>
          <w:rFonts w:eastAsia="Cambria"/>
        </w:rPr>
        <w:t>’</w:t>
      </w:r>
      <w:r w:rsidR="0009601A">
        <w:rPr>
          <w:rFonts w:eastAsia="Cambria"/>
        </w:rPr>
        <w:t xml:space="preserve">adoption du projet de décision </w:t>
      </w:r>
      <w:r w:rsidR="0009601A" w:rsidRPr="0009601A">
        <w:rPr>
          <w:rFonts w:eastAsia="Cambria"/>
        </w:rPr>
        <w:t>paragraphe</w:t>
      </w:r>
      <w:r w:rsidR="0009601A">
        <w:rPr>
          <w:rFonts w:eastAsia="Cambria"/>
        </w:rPr>
        <w:t xml:space="preserve"> par </w:t>
      </w:r>
      <w:r w:rsidR="0009601A" w:rsidRPr="0009601A">
        <w:rPr>
          <w:rFonts w:eastAsia="Cambria"/>
        </w:rPr>
        <w:t>paragraphe</w:t>
      </w:r>
      <w:r w:rsidR="0009601A">
        <w:rPr>
          <w:rFonts w:eastAsia="Cambria"/>
        </w:rPr>
        <w:t>. Il n</w:t>
      </w:r>
      <w:r w:rsidR="00346F1B">
        <w:rPr>
          <w:rFonts w:eastAsia="Cambria"/>
        </w:rPr>
        <w:t>’</w:t>
      </w:r>
      <w:r w:rsidR="0009601A">
        <w:rPr>
          <w:rFonts w:eastAsia="Cambria"/>
        </w:rPr>
        <w:t xml:space="preserve">y avait ni commentaires, ni amendements aux </w:t>
      </w:r>
      <w:r w:rsidR="0009601A" w:rsidRPr="0009601A">
        <w:rPr>
          <w:rFonts w:eastAsia="Cambria"/>
        </w:rPr>
        <w:t>p</w:t>
      </w:r>
      <w:r w:rsidR="0009601A">
        <w:rPr>
          <w:rFonts w:eastAsia="Cambria"/>
        </w:rPr>
        <w:t xml:space="preserve">aragraphes 1 à 8, et un petit </w:t>
      </w:r>
      <w:r w:rsidR="0009601A" w:rsidRPr="0009601A">
        <w:rPr>
          <w:rFonts w:eastAsia="Cambria"/>
        </w:rPr>
        <w:t>amendement</w:t>
      </w:r>
      <w:r w:rsidR="0009601A">
        <w:rPr>
          <w:rFonts w:eastAsia="Cambria"/>
        </w:rPr>
        <w:t xml:space="preserve"> </w:t>
      </w:r>
      <w:r w:rsidR="00A34D35">
        <w:rPr>
          <w:rFonts w:eastAsia="Cambria"/>
        </w:rPr>
        <w:t>était</w:t>
      </w:r>
      <w:r w:rsidR="00151E27">
        <w:rPr>
          <w:rFonts w:eastAsia="Cambria"/>
        </w:rPr>
        <w:t xml:space="preserve"> </w:t>
      </w:r>
      <w:r w:rsidR="0009601A">
        <w:rPr>
          <w:rFonts w:eastAsia="Cambria"/>
        </w:rPr>
        <w:t xml:space="preserve">proposé par le Président au </w:t>
      </w:r>
      <w:r w:rsidR="0009601A" w:rsidRPr="0009601A">
        <w:rPr>
          <w:rFonts w:eastAsia="Cambria"/>
        </w:rPr>
        <w:t>paragraphe</w:t>
      </w:r>
      <w:r w:rsidR="0009601A">
        <w:rPr>
          <w:rFonts w:eastAsia="Cambria"/>
        </w:rPr>
        <w:t xml:space="preserve"> 9 afin de faire état du soutien à venir de la Chine </w:t>
      </w:r>
      <w:r>
        <w:rPr>
          <w:rFonts w:eastAsia="Cambria"/>
        </w:rPr>
        <w:t xml:space="preserve">[une insertion à la fin du </w:t>
      </w:r>
      <w:r w:rsidRPr="00B36F1A">
        <w:rPr>
          <w:rFonts w:eastAsia="Cambria"/>
        </w:rPr>
        <w:t>paragraphe</w:t>
      </w:r>
      <w:r>
        <w:rPr>
          <w:rFonts w:eastAsia="Cambria"/>
        </w:rPr>
        <w:t xml:space="preserve"> ainsi rédigée : « tout en accueillant favorablement l</w:t>
      </w:r>
      <w:r w:rsidR="00346F1B">
        <w:rPr>
          <w:rFonts w:eastAsia="Cambria"/>
        </w:rPr>
        <w:t>’</w:t>
      </w:r>
      <w:r>
        <w:rPr>
          <w:rFonts w:eastAsia="Cambria"/>
        </w:rPr>
        <w:t xml:space="preserve">intention exprimée par la </w:t>
      </w:r>
      <w:r w:rsidRPr="00B36F1A">
        <w:rPr>
          <w:rFonts w:eastAsia="Cambria"/>
        </w:rPr>
        <w:t>République</w:t>
      </w:r>
      <w:r>
        <w:rPr>
          <w:rFonts w:eastAsia="Cambria"/>
        </w:rPr>
        <w:t xml:space="preserve"> populaire de Chine d</w:t>
      </w:r>
      <w:r w:rsidR="00346F1B">
        <w:rPr>
          <w:rFonts w:eastAsia="Cambria"/>
        </w:rPr>
        <w:t>’</w:t>
      </w:r>
      <w:r>
        <w:rPr>
          <w:rFonts w:eastAsia="Cambria"/>
        </w:rPr>
        <w:t xml:space="preserve">en financer et accueillir le premier »]. Les </w:t>
      </w:r>
      <w:r w:rsidRPr="00B36F1A">
        <w:rPr>
          <w:rFonts w:eastAsia="Cambria"/>
        </w:rPr>
        <w:t>p</w:t>
      </w:r>
      <w:r>
        <w:rPr>
          <w:rFonts w:eastAsia="Cambria"/>
        </w:rPr>
        <w:t>aragraphes et l</w:t>
      </w:r>
      <w:r w:rsidR="00346F1B">
        <w:rPr>
          <w:rFonts w:eastAsia="Cambria"/>
        </w:rPr>
        <w:t>’</w:t>
      </w:r>
      <w:r w:rsidRPr="00B36F1A">
        <w:rPr>
          <w:rFonts w:eastAsia="Cambria"/>
        </w:rPr>
        <w:t>amendement</w:t>
      </w:r>
      <w:r>
        <w:rPr>
          <w:rFonts w:eastAsia="Cambria"/>
        </w:rPr>
        <w:t xml:space="preserve"> ont été </w:t>
      </w:r>
      <w:r w:rsidR="008052AC">
        <w:rPr>
          <w:rFonts w:eastAsia="Cambria"/>
        </w:rPr>
        <w:t>dûment</w:t>
      </w:r>
      <w:r>
        <w:rPr>
          <w:rFonts w:eastAsia="Cambria"/>
        </w:rPr>
        <w:t xml:space="preserve"> adoptés. Les </w:t>
      </w:r>
      <w:r w:rsidRPr="00B36F1A">
        <w:rPr>
          <w:rFonts w:eastAsia="Cambria"/>
        </w:rPr>
        <w:t>p</w:t>
      </w:r>
      <w:r>
        <w:rPr>
          <w:rFonts w:eastAsia="Cambria"/>
        </w:rPr>
        <w:t xml:space="preserve">aragraphes 10 à 12 ont </w:t>
      </w:r>
      <w:r w:rsidRPr="00B36F1A">
        <w:rPr>
          <w:rFonts w:eastAsia="Cambria"/>
        </w:rPr>
        <w:t>également</w:t>
      </w:r>
      <w:r>
        <w:rPr>
          <w:rFonts w:eastAsia="Cambria"/>
        </w:rPr>
        <w:t xml:space="preserve"> été adoptés. Passant à l</w:t>
      </w:r>
      <w:r w:rsidR="00346F1B">
        <w:rPr>
          <w:rFonts w:eastAsia="Cambria"/>
        </w:rPr>
        <w:t>’</w:t>
      </w:r>
      <w:r>
        <w:rPr>
          <w:rFonts w:eastAsia="Cambria"/>
        </w:rPr>
        <w:t xml:space="preserve">adoption de la décision dans son ensemble, le </w:t>
      </w:r>
      <w:r w:rsidRPr="00B36F1A">
        <w:rPr>
          <w:rFonts w:eastAsia="Cambria"/>
          <w:b/>
        </w:rPr>
        <w:t>Président</w:t>
      </w:r>
      <w:r w:rsidR="00151E27">
        <w:rPr>
          <w:rFonts w:eastAsia="Cambria"/>
          <w:b/>
        </w:rPr>
        <w:t xml:space="preserve"> a déclaré</w:t>
      </w:r>
      <w:r w:rsidRPr="00B36F1A">
        <w:rPr>
          <w:rFonts w:eastAsia="Cambria"/>
          <w:b/>
        </w:rPr>
        <w:t xml:space="preserve"> la décision 11.COM 6 adoptée</w:t>
      </w:r>
      <w:r>
        <w:rPr>
          <w:rFonts w:eastAsia="Cambria"/>
        </w:rPr>
        <w:t>.</w:t>
      </w:r>
    </w:p>
    <w:p w14:paraId="0A9670A6" w14:textId="6AF71100" w:rsidR="007A24BB" w:rsidRPr="009A5D47" w:rsidRDefault="00A97118" w:rsidP="002B4948">
      <w:pPr>
        <w:pStyle w:val="Orateurengris"/>
        <w:keepNext/>
        <w:numPr>
          <w:ilvl w:val="0"/>
          <w:numId w:val="0"/>
        </w:numPr>
        <w:spacing w:before="360" w:after="60"/>
        <w:ind w:left="567" w:hanging="567"/>
        <w:jc w:val="left"/>
        <w:outlineLvl w:val="0"/>
        <w:rPr>
          <w:rFonts w:eastAsia="Cambria"/>
          <w:u w:val="single"/>
        </w:rPr>
      </w:pPr>
      <w:bookmarkStart w:id="6" w:name="Item7"/>
      <w:r>
        <w:rPr>
          <w:rFonts w:eastAsia="Cambria"/>
          <w:b/>
          <w:u w:val="single"/>
        </w:rPr>
        <w:t>POINT 7 DE L</w:t>
      </w:r>
      <w:r w:rsidR="00346F1B">
        <w:rPr>
          <w:rFonts w:eastAsia="Cambria"/>
          <w:b/>
          <w:u w:val="single"/>
        </w:rPr>
        <w:t>’</w:t>
      </w:r>
      <w:r w:rsidRPr="009A5D47">
        <w:rPr>
          <w:rFonts w:eastAsia="Cambria"/>
          <w:b/>
          <w:u w:val="single"/>
        </w:rPr>
        <w:t>ORDRE DU JOUR</w:t>
      </w:r>
      <w:r>
        <w:rPr>
          <w:rFonts w:eastAsia="Cambria"/>
          <w:b/>
          <w:u w:val="single"/>
        </w:rPr>
        <w:t xml:space="preserve"> </w:t>
      </w:r>
      <w:r w:rsidR="00414E9B" w:rsidRPr="009A5D47">
        <w:rPr>
          <w:rFonts w:eastAsia="Cambria"/>
          <w:b/>
          <w:u w:val="single"/>
        </w:rPr>
        <w:t>:</w:t>
      </w:r>
    </w:p>
    <w:bookmarkEnd w:id="6"/>
    <w:p w14:paraId="0A471249" w14:textId="53EB785A" w:rsidR="007A24BB" w:rsidRPr="009A5D47" w:rsidRDefault="009A5D47" w:rsidP="002B4948">
      <w:pPr>
        <w:pStyle w:val="Orateurengris"/>
        <w:keepNext/>
        <w:numPr>
          <w:ilvl w:val="0"/>
          <w:numId w:val="0"/>
        </w:numPr>
        <w:spacing w:after="0"/>
        <w:jc w:val="left"/>
        <w:outlineLvl w:val="0"/>
        <w:rPr>
          <w:rFonts w:eastAsiaTheme="minorEastAsia"/>
          <w:b/>
          <w:color w:val="323133"/>
          <w:lang w:eastAsia="ja-JP"/>
        </w:rPr>
      </w:pPr>
      <w:r>
        <w:rPr>
          <w:rFonts w:eastAsiaTheme="minorEastAsia"/>
          <w:b/>
          <w:color w:val="323133"/>
          <w:lang w:eastAsia="ja-JP"/>
        </w:rPr>
        <w:t>SUIVI DES RECOMMANDATIONS DU RAPPORT DE L</w:t>
      </w:r>
      <w:r w:rsidR="00346F1B">
        <w:rPr>
          <w:rFonts w:eastAsiaTheme="minorEastAsia"/>
          <w:b/>
          <w:color w:val="323133"/>
          <w:lang w:eastAsia="ja-JP"/>
        </w:rPr>
        <w:t>’</w:t>
      </w:r>
      <w:r>
        <w:rPr>
          <w:rFonts w:eastAsiaTheme="minorEastAsia"/>
          <w:b/>
          <w:color w:val="323133"/>
          <w:lang w:eastAsia="ja-JP"/>
        </w:rPr>
        <w:t>AUDITEUR EXTERNE « RAPPORT D</w:t>
      </w:r>
      <w:r w:rsidR="00346F1B">
        <w:rPr>
          <w:rFonts w:eastAsiaTheme="minorEastAsia"/>
          <w:b/>
          <w:color w:val="323133"/>
          <w:lang w:eastAsia="ja-JP"/>
        </w:rPr>
        <w:t>’</w:t>
      </w:r>
      <w:r>
        <w:rPr>
          <w:rFonts w:eastAsiaTheme="minorEastAsia"/>
          <w:b/>
          <w:color w:val="323133"/>
          <w:lang w:eastAsia="ja-JP"/>
        </w:rPr>
        <w:t>AUDIT SUR LA GOUVERNANCE DE L</w:t>
      </w:r>
      <w:r w:rsidR="00346F1B">
        <w:rPr>
          <w:rFonts w:eastAsiaTheme="minorEastAsia"/>
          <w:b/>
          <w:color w:val="323133"/>
          <w:lang w:eastAsia="ja-JP"/>
        </w:rPr>
        <w:t>’</w:t>
      </w:r>
      <w:r>
        <w:rPr>
          <w:rFonts w:eastAsiaTheme="minorEastAsia"/>
          <w:b/>
          <w:color w:val="323133"/>
          <w:lang w:eastAsia="ja-JP"/>
        </w:rPr>
        <w:t>UNESCO ET DES FONDS, PROGRAMMES ET ENTITÉS RATTACHÉS » (DOCUMENT 38C/23)</w:t>
      </w:r>
    </w:p>
    <w:p w14:paraId="3D2B0513" w14:textId="10B7F688" w:rsidR="00414E9B" w:rsidRPr="009A5D47" w:rsidRDefault="007A24BB" w:rsidP="0093340B">
      <w:pPr>
        <w:pStyle w:val="Orateurengris"/>
        <w:keepNext/>
        <w:numPr>
          <w:ilvl w:val="0"/>
          <w:numId w:val="0"/>
        </w:numPr>
        <w:spacing w:before="120" w:after="0"/>
        <w:ind w:left="709" w:hanging="709"/>
      </w:pPr>
      <w:r w:rsidRPr="009A5D47">
        <w:rPr>
          <w:b/>
        </w:rPr>
        <w:tab/>
      </w:r>
      <w:r w:rsidR="00414E9B" w:rsidRPr="009A5D47">
        <w:rPr>
          <w:b/>
        </w:rPr>
        <w:t>Document</w:t>
      </w:r>
      <w:r w:rsidR="00414E9B" w:rsidRPr="009A5D47">
        <w:rPr>
          <w:b/>
        </w:rPr>
        <w:tab/>
      </w:r>
      <w:hyperlink r:id="rId33" w:history="1">
        <w:r w:rsidR="00236892" w:rsidRPr="009A5D47">
          <w:rPr>
            <w:rStyle w:val="Hyperlink"/>
            <w:i/>
          </w:rPr>
          <w:t>ITH/16/11.COM/7</w:t>
        </w:r>
      </w:hyperlink>
    </w:p>
    <w:p w14:paraId="6B3049E4" w14:textId="1C149950" w:rsidR="00414E9B" w:rsidRPr="009A5D47" w:rsidRDefault="007A24BB" w:rsidP="0093340B">
      <w:pPr>
        <w:pStyle w:val="Orateurengris"/>
        <w:keepNext/>
        <w:numPr>
          <w:ilvl w:val="0"/>
          <w:numId w:val="0"/>
        </w:numPr>
        <w:spacing w:after="240"/>
        <w:ind w:left="709" w:hanging="709"/>
      </w:pPr>
      <w:r w:rsidRPr="009A5D47">
        <w:rPr>
          <w:b/>
        </w:rPr>
        <w:tab/>
      </w:r>
      <w:r w:rsidR="009A5D47">
        <w:rPr>
          <w:b/>
        </w:rPr>
        <w:t>Dé</w:t>
      </w:r>
      <w:r w:rsidR="00414E9B" w:rsidRPr="009A5D47">
        <w:rPr>
          <w:b/>
        </w:rPr>
        <w:t>cision</w:t>
      </w:r>
      <w:r w:rsidR="00414E9B" w:rsidRPr="009A5D47">
        <w:tab/>
      </w:r>
      <w:r w:rsidR="00236892" w:rsidRPr="009A5D47">
        <w:t>11.COM 7</w:t>
      </w:r>
    </w:p>
    <w:p w14:paraId="16358A09" w14:textId="33C5E905" w:rsidR="007978C0" w:rsidRPr="007978C0" w:rsidRDefault="0008544D" w:rsidP="00AF7860">
      <w:pPr>
        <w:pStyle w:val="Orateurengris"/>
        <w:spacing w:before="120"/>
        <w:ind w:left="709" w:hanging="709"/>
      </w:pPr>
      <w:r>
        <w:t xml:space="preserve">Le </w:t>
      </w:r>
      <w:r w:rsidRPr="00D11595">
        <w:rPr>
          <w:b/>
        </w:rPr>
        <w:t>Président</w:t>
      </w:r>
      <w:r>
        <w:t xml:space="preserve"> e</w:t>
      </w:r>
      <w:r w:rsidR="00D11595">
        <w:t>st ensuite passé au point 7</w:t>
      </w:r>
      <w:r w:rsidR="007978C0">
        <w:t>,</w:t>
      </w:r>
      <w:r>
        <w:t xml:space="preserve"> </w:t>
      </w:r>
      <w:r w:rsidR="007978C0">
        <w:t>qui figurait</w:t>
      </w:r>
      <w:r w:rsidR="00D11595">
        <w:t xml:space="preserve"> à l</w:t>
      </w:r>
      <w:r w:rsidR="00346F1B">
        <w:t>’</w:t>
      </w:r>
      <w:r w:rsidR="00D11595" w:rsidRPr="00D11595">
        <w:t>ordre du jour</w:t>
      </w:r>
      <w:r w:rsidR="00D11595">
        <w:t xml:space="preserve"> suite à la </w:t>
      </w:r>
      <w:r w:rsidR="00D11595" w:rsidRPr="00D11595">
        <w:t>résolution</w:t>
      </w:r>
      <w:r w:rsidR="00D11595">
        <w:t xml:space="preserve"> </w:t>
      </w:r>
      <w:r w:rsidR="007978C0">
        <w:t>38 C/</w:t>
      </w:r>
      <w:r w:rsidR="00D11595">
        <w:t>101</w:t>
      </w:r>
      <w:r w:rsidR="007978C0">
        <w:t xml:space="preserve"> de la Conférence générale de l</w:t>
      </w:r>
      <w:r w:rsidR="00346F1B">
        <w:t>’</w:t>
      </w:r>
      <w:r w:rsidR="007978C0">
        <w:t>UNESCO qui invitait tous les pr</w:t>
      </w:r>
      <w:r w:rsidR="001433F2">
        <w:t>ogrammes intergouvernementaux, C</w:t>
      </w:r>
      <w:r w:rsidR="007978C0">
        <w:t>omités et organes des Conventions à inscrire en 2016, si cela s</w:t>
      </w:r>
      <w:r w:rsidR="00346F1B">
        <w:t>’</w:t>
      </w:r>
      <w:r w:rsidR="007978C0">
        <w:t>avérait</w:t>
      </w:r>
      <w:r w:rsidR="001A7F40">
        <w:t xml:space="preserve"> possible</w:t>
      </w:r>
      <w:r w:rsidR="007978C0">
        <w:t xml:space="preserve">, à leur </w:t>
      </w:r>
      <w:r w:rsidR="007978C0" w:rsidRPr="007978C0">
        <w:t>ordre du jour</w:t>
      </w:r>
      <w:r w:rsidR="007978C0">
        <w:t xml:space="preserve"> un point sur le suivi des recommandations du rapport de l</w:t>
      </w:r>
      <w:r w:rsidR="00346F1B">
        <w:t>’</w:t>
      </w:r>
      <w:r w:rsidR="00246292">
        <w:t>Auditeur externe (également appelé Commissaire aux comptes)</w:t>
      </w:r>
      <w:r w:rsidR="007978C0">
        <w:t>, l</w:t>
      </w:r>
      <w:r w:rsidR="00346F1B">
        <w:t>’</w:t>
      </w:r>
      <w:r w:rsidR="007978C0">
        <w:t>objectif étant d</w:t>
      </w:r>
      <w:r w:rsidR="00346F1B">
        <w:t>’</w:t>
      </w:r>
      <w:r w:rsidR="007978C0">
        <w:t>améliorer leur gouvernance. Le Président a informé le Comité qu</w:t>
      </w:r>
      <w:r w:rsidR="00346F1B">
        <w:t>’</w:t>
      </w:r>
      <w:r w:rsidR="007978C0">
        <w:t>il avait reçu à cette fin un courrier, en date du 6 avril 2016, de la part du Président de la Conférence générale de l</w:t>
      </w:r>
      <w:r w:rsidR="00346F1B">
        <w:t>’</w:t>
      </w:r>
      <w:r w:rsidR="007978C0">
        <w:t xml:space="preserve">UNESCO. Dans la même </w:t>
      </w:r>
      <w:r w:rsidR="007978C0" w:rsidRPr="007978C0">
        <w:t>résolution</w:t>
      </w:r>
      <w:r w:rsidR="001A7F40">
        <w:t>, la</w:t>
      </w:r>
      <w:r w:rsidR="007978C0">
        <w:t xml:space="preserve"> Conférence générale avait </w:t>
      </w:r>
      <w:r w:rsidR="007978C0" w:rsidRPr="007978C0">
        <w:t>également</w:t>
      </w:r>
      <w:r w:rsidR="007978C0">
        <w:t xml:space="preserve"> établi un </w:t>
      </w:r>
      <w:r w:rsidR="00881A0A">
        <w:t>G</w:t>
      </w:r>
      <w:r w:rsidR="007978C0" w:rsidRPr="007978C0">
        <w:t>roupe de travail</w:t>
      </w:r>
      <w:r w:rsidR="007978C0">
        <w:t xml:space="preserve"> </w:t>
      </w:r>
      <w:r w:rsidR="00881A0A">
        <w:t xml:space="preserve">à composition non limitée </w:t>
      </w:r>
      <w:r w:rsidR="007978C0">
        <w:t>afin de débattre plus avant des recommandations du rapport d</w:t>
      </w:r>
      <w:r w:rsidR="00346F1B">
        <w:t>’</w:t>
      </w:r>
      <w:r w:rsidR="007978C0">
        <w:t xml:space="preserve">audit. Il a expliqué que la lettre de suivi du Président de la Conférence générale, en date du 17 octobre 2016, </w:t>
      </w:r>
      <w:r w:rsidR="001A7F40">
        <w:t xml:space="preserve">avait confirmé </w:t>
      </w:r>
      <w:r w:rsidR="007978C0">
        <w:t>que le rapport du Comité sur ses débats au titre de</w:t>
      </w:r>
      <w:r w:rsidR="0016582D">
        <w:t xml:space="preserve"> ce</w:t>
      </w:r>
      <w:r w:rsidR="007978C0">
        <w:t xml:space="preserve"> point </w:t>
      </w:r>
      <w:r w:rsidR="0016582D">
        <w:t xml:space="preserve">alimenterait </w:t>
      </w:r>
      <w:r w:rsidR="007978C0">
        <w:t>le</w:t>
      </w:r>
      <w:r w:rsidR="0016582D">
        <w:t>s travaux</w:t>
      </w:r>
      <w:r w:rsidR="007978C0">
        <w:t xml:space="preserve"> du G</w:t>
      </w:r>
      <w:r w:rsidR="007978C0" w:rsidRPr="007978C0">
        <w:t>roupe de travail</w:t>
      </w:r>
      <w:r w:rsidR="007978C0">
        <w:t xml:space="preserve"> sur la gouvernance,</w:t>
      </w:r>
      <w:r w:rsidR="00881A0A">
        <w:t xml:space="preserve"> les</w:t>
      </w:r>
      <w:r w:rsidR="0016582D">
        <w:t xml:space="preserve"> </w:t>
      </w:r>
      <w:r w:rsidR="00881A0A">
        <w:t>procédures</w:t>
      </w:r>
      <w:r w:rsidR="0016582D">
        <w:t xml:space="preserve"> et les méthodes d</w:t>
      </w:r>
      <w:r w:rsidR="007978C0">
        <w:t>e</w:t>
      </w:r>
      <w:r w:rsidR="0016582D">
        <w:t xml:space="preserve"> </w:t>
      </w:r>
      <w:r w:rsidR="007978C0">
        <w:t>travail de l</w:t>
      </w:r>
      <w:r w:rsidR="00346F1B">
        <w:t>’</w:t>
      </w:r>
      <w:r w:rsidR="007978C0" w:rsidRPr="007978C0">
        <w:t>organisation</w:t>
      </w:r>
      <w:r w:rsidR="001A7F40">
        <w:t>, et</w:t>
      </w:r>
      <w:r w:rsidR="007978C0">
        <w:t xml:space="preserve"> tout </w:t>
      </w:r>
      <w:r w:rsidR="007978C0" w:rsidRPr="007978C0">
        <w:t>particulièrement</w:t>
      </w:r>
      <w:r w:rsidR="007978C0">
        <w:t xml:space="preserve"> de son Sous-Groupe 2 sur la gouvernance </w:t>
      </w:r>
      <w:r w:rsidR="0016582D">
        <w:t>des pr</w:t>
      </w:r>
      <w:r w:rsidR="001433F2">
        <w:t>ogrammes intergouvernementaux, C</w:t>
      </w:r>
      <w:r w:rsidR="0016582D">
        <w:t>omités et organes, qui se réunirait au début de l</w:t>
      </w:r>
      <w:r w:rsidR="00346F1B">
        <w:t>’</w:t>
      </w:r>
      <w:r w:rsidR="0016582D">
        <w:t xml:space="preserve">année 2017. Les résultats et propositions du présent débat seraient ainsi présentés au Président de ce </w:t>
      </w:r>
      <w:r w:rsidR="00881A0A">
        <w:t>G</w:t>
      </w:r>
      <w:r w:rsidR="0016582D" w:rsidRPr="0016582D">
        <w:t>roupe de travail</w:t>
      </w:r>
      <w:r w:rsidR="00881A0A">
        <w:t xml:space="preserve"> à composition non limitée</w:t>
      </w:r>
      <w:r w:rsidR="0016582D">
        <w:t xml:space="preserve">. Il a été demandé au Comité se soumettre son rapport avant le 5 décembre 2016. Le Président a donné la parole au </w:t>
      </w:r>
      <w:r w:rsidR="0016582D" w:rsidRPr="0016582D">
        <w:t>Secrétaire</w:t>
      </w:r>
      <w:r w:rsidR="0016582D">
        <w:t xml:space="preserve"> afin que celui-ci communique </w:t>
      </w:r>
      <w:r w:rsidR="001A7F40">
        <w:t xml:space="preserve">des </w:t>
      </w:r>
      <w:r w:rsidR="001A7F40" w:rsidRPr="001A7F40">
        <w:t>informations</w:t>
      </w:r>
      <w:r w:rsidR="0093340B">
        <w:t xml:space="preserve"> complémentaires sur ce point.</w:t>
      </w:r>
    </w:p>
    <w:p w14:paraId="4D0953F9" w14:textId="3E97E12B" w:rsidR="001A7F40" w:rsidRPr="003F1EDA" w:rsidRDefault="001A7F40" w:rsidP="00AF7860">
      <w:pPr>
        <w:pStyle w:val="Orateurengris"/>
        <w:spacing w:before="120"/>
        <w:ind w:left="709" w:hanging="709"/>
        <w:rPr>
          <w:rFonts w:eastAsia="Malgun Gothic"/>
        </w:rPr>
      </w:pPr>
      <w:r>
        <w:rPr>
          <w:rFonts w:eastAsia="Malgun Gothic"/>
        </w:rPr>
        <w:t xml:space="preserve">Le </w:t>
      </w:r>
      <w:r w:rsidRPr="003F1EDA">
        <w:rPr>
          <w:rFonts w:eastAsia="Malgun Gothic"/>
          <w:b/>
        </w:rPr>
        <w:t>Secrétaire</w:t>
      </w:r>
      <w:r>
        <w:rPr>
          <w:rFonts w:eastAsia="Malgun Gothic"/>
        </w:rPr>
        <w:t xml:space="preserve"> a confirmé que ce point était inclus à l</w:t>
      </w:r>
      <w:r w:rsidR="00346F1B">
        <w:rPr>
          <w:rFonts w:eastAsia="Malgun Gothic"/>
        </w:rPr>
        <w:t>’</w:t>
      </w:r>
      <w:r w:rsidRPr="001A7F40">
        <w:rPr>
          <w:rFonts w:eastAsia="Malgun Gothic"/>
        </w:rPr>
        <w:t>ordre du jour</w:t>
      </w:r>
      <w:r>
        <w:rPr>
          <w:rFonts w:eastAsia="Malgun Gothic"/>
        </w:rPr>
        <w:t xml:space="preserve"> du Comité à la demande de la Conférence générale de l</w:t>
      </w:r>
      <w:r w:rsidR="00346F1B">
        <w:rPr>
          <w:rFonts w:eastAsia="Malgun Gothic"/>
        </w:rPr>
        <w:t>’</w:t>
      </w:r>
      <w:r>
        <w:rPr>
          <w:rFonts w:eastAsia="Malgun Gothic"/>
        </w:rPr>
        <w:t xml:space="preserve">UNESCO, à savoir sa </w:t>
      </w:r>
      <w:r w:rsidRPr="001A7F40">
        <w:rPr>
          <w:rFonts w:eastAsia="Malgun Gothic"/>
        </w:rPr>
        <w:t>résolution</w:t>
      </w:r>
      <w:r>
        <w:rPr>
          <w:rFonts w:eastAsia="Malgun Gothic"/>
        </w:rPr>
        <w:t xml:space="preserve"> 38</w:t>
      </w:r>
      <w:r w:rsidR="00346F1B">
        <w:rPr>
          <w:rFonts w:eastAsia="Malgun Gothic"/>
        </w:rPr>
        <w:t> </w:t>
      </w:r>
      <w:r>
        <w:rPr>
          <w:rFonts w:eastAsia="Malgun Gothic"/>
        </w:rPr>
        <w:t>C/101. Il a été précisé que ce n</w:t>
      </w:r>
      <w:r w:rsidR="00346F1B">
        <w:rPr>
          <w:rFonts w:eastAsia="Malgun Gothic"/>
        </w:rPr>
        <w:t>’</w:t>
      </w:r>
      <w:r>
        <w:rPr>
          <w:rFonts w:eastAsia="Malgun Gothic"/>
        </w:rPr>
        <w:t>était pas la première fois qu</w:t>
      </w:r>
      <w:r w:rsidR="00346F1B">
        <w:rPr>
          <w:rFonts w:eastAsia="Malgun Gothic"/>
        </w:rPr>
        <w:t>’</w:t>
      </w:r>
      <w:r>
        <w:rPr>
          <w:rFonts w:eastAsia="Malgun Gothic"/>
        </w:rPr>
        <w:t>il était demandé au Comité d</w:t>
      </w:r>
      <w:r w:rsidR="00346F1B">
        <w:rPr>
          <w:rFonts w:eastAsia="Malgun Gothic"/>
        </w:rPr>
        <w:t>’</w:t>
      </w:r>
      <w:r>
        <w:rPr>
          <w:rFonts w:eastAsia="Malgun Gothic"/>
        </w:rPr>
        <w:t>examiner des questions relatives à la gouvernance. En fait, comme mentionné dans le document 7, un certain nombre de recommandations faites par l</w:t>
      </w:r>
      <w:r w:rsidR="00346F1B">
        <w:rPr>
          <w:rFonts w:eastAsia="Malgun Gothic"/>
        </w:rPr>
        <w:t>’</w:t>
      </w:r>
      <w:r>
        <w:rPr>
          <w:rFonts w:eastAsia="Malgun Gothic"/>
        </w:rPr>
        <w:t>Au</w:t>
      </w:r>
      <w:r w:rsidR="00346F1B">
        <w:rPr>
          <w:rFonts w:eastAsia="Malgun Gothic"/>
        </w:rPr>
        <w:t>diteur externe dans le document </w:t>
      </w:r>
      <w:r>
        <w:rPr>
          <w:rFonts w:eastAsia="Malgun Gothic"/>
        </w:rPr>
        <w:t>38</w:t>
      </w:r>
      <w:r w:rsidR="00346F1B">
        <w:rPr>
          <w:rFonts w:eastAsia="Malgun Gothic"/>
        </w:rPr>
        <w:t> </w:t>
      </w:r>
      <w:r>
        <w:rPr>
          <w:rFonts w:eastAsia="Malgun Gothic"/>
        </w:rPr>
        <w:t>C/23 avaient déjà été examinées par le Comité à ses huitième, neuvième et dixième sessions</w:t>
      </w:r>
      <w:r w:rsidR="003F1EDA">
        <w:rPr>
          <w:rFonts w:eastAsia="Malgun Gothic"/>
        </w:rPr>
        <w:t>,</w:t>
      </w:r>
      <w:r>
        <w:rPr>
          <w:rFonts w:eastAsia="Malgun Gothic"/>
        </w:rPr>
        <w:t xml:space="preserve"> et par l</w:t>
      </w:r>
      <w:r w:rsidR="00346F1B">
        <w:rPr>
          <w:rFonts w:eastAsia="Malgun Gothic"/>
        </w:rPr>
        <w:t>’</w:t>
      </w:r>
      <w:r>
        <w:rPr>
          <w:rFonts w:eastAsia="Malgun Gothic"/>
        </w:rPr>
        <w:t>Assemblée générale à sa cinquième session</w:t>
      </w:r>
      <w:r w:rsidR="00346F1B">
        <w:rPr>
          <w:rFonts w:eastAsia="Malgun Gothic"/>
        </w:rPr>
        <w:t>, à l’occasion de l’examen de </w:t>
      </w:r>
      <w:r>
        <w:rPr>
          <w:rFonts w:eastAsia="Malgun Gothic"/>
        </w:rPr>
        <w:t>: i) l</w:t>
      </w:r>
      <w:r w:rsidR="00346F1B">
        <w:rPr>
          <w:rFonts w:eastAsia="Malgun Gothic"/>
        </w:rPr>
        <w:t>’</w:t>
      </w:r>
      <w:r w:rsidRPr="001A7F40">
        <w:rPr>
          <w:rFonts w:eastAsia="Malgun Gothic"/>
        </w:rPr>
        <w:t>évaluation</w:t>
      </w:r>
      <w:r>
        <w:rPr>
          <w:rFonts w:eastAsia="Malgun Gothic"/>
        </w:rPr>
        <w:t xml:space="preserve"> </w:t>
      </w:r>
      <w:r w:rsidR="002C4452">
        <w:rPr>
          <w:rFonts w:eastAsia="Malgun Gothic"/>
        </w:rPr>
        <w:t>du travail normatif de l</w:t>
      </w:r>
      <w:r w:rsidR="00346F1B">
        <w:rPr>
          <w:rFonts w:eastAsia="Malgun Gothic"/>
        </w:rPr>
        <w:t>’</w:t>
      </w:r>
      <w:r w:rsidR="002C4452">
        <w:rPr>
          <w:rFonts w:eastAsia="Malgun Gothic"/>
        </w:rPr>
        <w:t>UNESCO dans le domaine de la culture</w:t>
      </w:r>
      <w:r w:rsidR="00B64721">
        <w:rPr>
          <w:rFonts w:eastAsia="Malgun Gothic"/>
        </w:rPr>
        <w:t>, P</w:t>
      </w:r>
      <w:r>
        <w:rPr>
          <w:rFonts w:eastAsia="Malgun Gothic"/>
        </w:rPr>
        <w:t xml:space="preserve">artie I : </w:t>
      </w:r>
      <w:r w:rsidRPr="001A7F40">
        <w:rPr>
          <w:rFonts w:eastAsia="Malgun Gothic"/>
        </w:rPr>
        <w:t>Convention</w:t>
      </w:r>
      <w:r>
        <w:rPr>
          <w:rFonts w:eastAsia="Malgun Gothic"/>
        </w:rPr>
        <w:t xml:space="preserve"> de 2003 pour la </w:t>
      </w:r>
      <w:r w:rsidRPr="001A7F40">
        <w:rPr>
          <w:rFonts w:eastAsia="Malgun Gothic"/>
        </w:rPr>
        <w:t>sauvegarde</w:t>
      </w:r>
      <w:r>
        <w:rPr>
          <w:rFonts w:eastAsia="Malgun Gothic"/>
        </w:rPr>
        <w:t xml:space="preserve"> du patrimoine culturel immatériel</w:t>
      </w:r>
      <w:r w:rsidR="00B64721">
        <w:rPr>
          <w:rFonts w:eastAsia="Malgun Gothic"/>
        </w:rPr>
        <w:t xml:space="preserve">, finalisée par le </w:t>
      </w:r>
      <w:r w:rsidR="00B64721" w:rsidRPr="00B64721">
        <w:rPr>
          <w:rFonts w:eastAsia="Malgun Gothic"/>
        </w:rPr>
        <w:t>Service d</w:t>
      </w:r>
      <w:r w:rsidR="00346F1B">
        <w:rPr>
          <w:rFonts w:eastAsia="Malgun Gothic"/>
        </w:rPr>
        <w:t>’</w:t>
      </w:r>
      <w:r w:rsidR="00B64721" w:rsidRPr="00B64721">
        <w:rPr>
          <w:rFonts w:eastAsia="Malgun Gothic"/>
        </w:rPr>
        <w:t>évaluation et d</w:t>
      </w:r>
      <w:r w:rsidR="00346F1B">
        <w:rPr>
          <w:rFonts w:eastAsia="Malgun Gothic"/>
        </w:rPr>
        <w:t>’</w:t>
      </w:r>
      <w:r w:rsidR="00B64721" w:rsidRPr="00B64721">
        <w:rPr>
          <w:rFonts w:eastAsia="Malgun Gothic"/>
        </w:rPr>
        <w:t>audit</w:t>
      </w:r>
      <w:r w:rsidR="00B64721">
        <w:rPr>
          <w:rFonts w:eastAsia="Malgun Gothic"/>
        </w:rPr>
        <w:t xml:space="preserve"> (IOS) en 2013 ; et ii) l</w:t>
      </w:r>
      <w:r w:rsidR="00346F1B">
        <w:rPr>
          <w:rFonts w:eastAsia="Malgun Gothic"/>
        </w:rPr>
        <w:t>’</w:t>
      </w:r>
      <w:r w:rsidR="00B64721">
        <w:rPr>
          <w:rFonts w:eastAsia="Malgun Gothic"/>
        </w:rPr>
        <w:t>audit d</w:t>
      </w:r>
      <w:r w:rsidR="001433F2">
        <w:rPr>
          <w:rFonts w:eastAsia="Malgun Gothic"/>
        </w:rPr>
        <w:t>es méthodes de travail des six C</w:t>
      </w:r>
      <w:r w:rsidR="00B64721">
        <w:rPr>
          <w:rFonts w:eastAsia="Malgun Gothic"/>
        </w:rPr>
        <w:t>onventions culturelles pour évaluer la pertinence et l</w:t>
      </w:r>
      <w:r w:rsidR="00346F1B">
        <w:rPr>
          <w:rFonts w:eastAsia="Malgun Gothic"/>
        </w:rPr>
        <w:t>’</w:t>
      </w:r>
      <w:r w:rsidR="00B64721" w:rsidRPr="00B64721">
        <w:rPr>
          <w:rFonts w:eastAsia="Malgun Gothic"/>
        </w:rPr>
        <w:t>efficacité</w:t>
      </w:r>
      <w:r w:rsidR="00B64721">
        <w:rPr>
          <w:rFonts w:eastAsia="Malgun Gothic"/>
        </w:rPr>
        <w:t xml:space="preserve"> du travail normatif </w:t>
      </w:r>
      <w:r w:rsidR="002C4452">
        <w:rPr>
          <w:rFonts w:eastAsia="Malgun Gothic"/>
        </w:rPr>
        <w:t>de l</w:t>
      </w:r>
      <w:r w:rsidR="00346F1B">
        <w:rPr>
          <w:rFonts w:eastAsia="Malgun Gothic"/>
        </w:rPr>
        <w:t>’</w:t>
      </w:r>
      <w:r w:rsidR="002C4452">
        <w:rPr>
          <w:rFonts w:eastAsia="Malgun Gothic"/>
        </w:rPr>
        <w:t>UNESCO dans le domaine de la culture</w:t>
      </w:r>
      <w:r w:rsidR="00B64721">
        <w:rPr>
          <w:rFonts w:eastAsia="Malgun Gothic"/>
        </w:rPr>
        <w:t xml:space="preserve">, </w:t>
      </w:r>
      <w:r w:rsidR="00B64721" w:rsidRPr="00B64721">
        <w:rPr>
          <w:rFonts w:eastAsia="Malgun Gothic"/>
        </w:rPr>
        <w:t>également</w:t>
      </w:r>
      <w:r w:rsidR="00B64721">
        <w:rPr>
          <w:rFonts w:eastAsia="Malgun Gothic"/>
        </w:rPr>
        <w:t xml:space="preserve"> finalisé par l</w:t>
      </w:r>
      <w:r w:rsidR="00346F1B">
        <w:rPr>
          <w:rFonts w:eastAsia="Malgun Gothic"/>
        </w:rPr>
        <w:t>’</w:t>
      </w:r>
      <w:r w:rsidR="00B64721">
        <w:rPr>
          <w:rFonts w:eastAsia="Malgun Gothic"/>
        </w:rPr>
        <w:t>IOS en 2013. L</w:t>
      </w:r>
      <w:r w:rsidR="00346F1B">
        <w:rPr>
          <w:rFonts w:eastAsia="Malgun Gothic"/>
        </w:rPr>
        <w:t>’</w:t>
      </w:r>
      <w:r w:rsidR="00B64721">
        <w:rPr>
          <w:rFonts w:eastAsia="Malgun Gothic"/>
        </w:rPr>
        <w:t>annexe du document</w:t>
      </w:r>
      <w:r w:rsidR="003F1EDA">
        <w:rPr>
          <w:rFonts w:eastAsia="Malgun Gothic"/>
        </w:rPr>
        <w:t xml:space="preserve"> 7 résumait ces recommandations, </w:t>
      </w:r>
      <w:r w:rsidR="00B64721">
        <w:rPr>
          <w:rFonts w:eastAsia="Malgun Gothic"/>
        </w:rPr>
        <w:t xml:space="preserve">qui </w:t>
      </w:r>
      <w:r w:rsidR="003F1EDA">
        <w:rPr>
          <w:rFonts w:eastAsia="Malgun Gothic"/>
        </w:rPr>
        <w:t xml:space="preserve">concernaient directement les organes de gouvernance de la </w:t>
      </w:r>
      <w:r w:rsidR="003F1EDA" w:rsidRPr="003F1EDA">
        <w:rPr>
          <w:rFonts w:eastAsia="Malgun Gothic"/>
        </w:rPr>
        <w:t>Convention</w:t>
      </w:r>
      <w:r w:rsidR="003F1EDA">
        <w:rPr>
          <w:rFonts w:eastAsia="Malgun Gothic"/>
        </w:rPr>
        <w:t xml:space="preserve"> de 2003, et les éventuelles décisions prises ou actions mises en œuvre</w:t>
      </w:r>
      <w:r w:rsidR="0093340B">
        <w:rPr>
          <w:rFonts w:eastAsia="Malgun Gothic"/>
        </w:rPr>
        <w:t>.</w:t>
      </w:r>
    </w:p>
    <w:p w14:paraId="74C15ACA" w14:textId="7F80543F" w:rsidR="003F1EDA" w:rsidRPr="003F1EDA" w:rsidRDefault="003F1EDA" w:rsidP="00AF7860">
      <w:pPr>
        <w:pStyle w:val="Orateurengris"/>
        <w:spacing w:before="120"/>
        <w:ind w:left="709" w:hanging="709"/>
      </w:pPr>
      <w:r>
        <w:t xml:space="preserve">Le </w:t>
      </w:r>
      <w:r w:rsidRPr="003F1EDA">
        <w:rPr>
          <w:b/>
        </w:rPr>
        <w:t>Président</w:t>
      </w:r>
      <w:r>
        <w:t xml:space="preserve"> a remercié le </w:t>
      </w:r>
      <w:r w:rsidRPr="003F1EDA">
        <w:t>Secrétaire</w:t>
      </w:r>
      <w:r>
        <w:t xml:space="preserve"> pour ces informations fort utiles et a ouvert</w:t>
      </w:r>
      <w:r w:rsidR="0093340B">
        <w:t xml:space="preserve"> le débat aux commentaires.</w:t>
      </w:r>
    </w:p>
    <w:p w14:paraId="350D262D" w14:textId="17D9E5AF" w:rsidR="003F1EDA" w:rsidRPr="003F1EDA" w:rsidRDefault="003F1EDA" w:rsidP="00AF7860">
      <w:pPr>
        <w:pStyle w:val="Orateurengris"/>
        <w:tabs>
          <w:tab w:val="left" w:pos="6096"/>
        </w:tabs>
        <w:spacing w:before="120"/>
        <w:ind w:left="709" w:hanging="709"/>
      </w:pPr>
      <w:r>
        <w:t xml:space="preserve">La </w:t>
      </w:r>
      <w:r w:rsidRPr="003F1EDA">
        <w:t>délégation</w:t>
      </w:r>
      <w:r>
        <w:t xml:space="preserve"> de l</w:t>
      </w:r>
      <w:r w:rsidR="00346F1B">
        <w:t>’</w:t>
      </w:r>
      <w:r w:rsidRPr="003F1EDA">
        <w:rPr>
          <w:b/>
        </w:rPr>
        <w:t>Autriche</w:t>
      </w:r>
      <w:r>
        <w:t xml:space="preserve"> a fait remarquer que le Comité et l</w:t>
      </w:r>
      <w:r w:rsidR="00346F1B">
        <w:t>’</w:t>
      </w:r>
      <w:r>
        <w:t>Assemblée générale avaient confirmé</w:t>
      </w:r>
      <w:r w:rsidR="003D430F">
        <w:t>, dans leurs</w:t>
      </w:r>
      <w:r w:rsidR="00A24431">
        <w:t xml:space="preserve"> décisions,</w:t>
      </w:r>
      <w:r>
        <w:t xml:space="preserve"> </w:t>
      </w:r>
      <w:r w:rsidR="00A24431">
        <w:t>la nécessité d</w:t>
      </w:r>
      <w:r w:rsidR="00346F1B">
        <w:t>’</w:t>
      </w:r>
      <w:r w:rsidR="00A24431">
        <w:t>avoir recou</w:t>
      </w:r>
      <w:r w:rsidR="0086678C">
        <w:t>rs</w:t>
      </w:r>
      <w:r w:rsidR="00A24431">
        <w:t xml:space="preserve"> </w:t>
      </w:r>
      <w:r>
        <w:t>à des synergies et un</w:t>
      </w:r>
      <w:r w:rsidR="001433F2">
        <w:t>e certaine cohérence entre les C</w:t>
      </w:r>
      <w:r>
        <w:t>onventions culturelles</w:t>
      </w:r>
      <w:r w:rsidR="0086678C">
        <w:t xml:space="preserve">. </w:t>
      </w:r>
      <w:r w:rsidR="003D430F">
        <w:t>P</w:t>
      </w:r>
      <w:r w:rsidR="0086678C" w:rsidRPr="0086678C">
        <w:t>ar exemple</w:t>
      </w:r>
      <w:r w:rsidR="0086678C">
        <w:t>, l</w:t>
      </w:r>
      <w:r w:rsidR="00346F1B">
        <w:t>’</w:t>
      </w:r>
      <w:r w:rsidR="0086678C" w:rsidRPr="0086678C">
        <w:t>ordre du jour</w:t>
      </w:r>
      <w:r w:rsidR="0086678C">
        <w:t xml:space="preserve"> avait été raccourci afin de déléguer plus de pouvoir au Bureau, et de nouvelles méthodes de travail avaient été adoptées. </w:t>
      </w:r>
      <w:r w:rsidR="00A24431">
        <w:t xml:space="preserve">La </w:t>
      </w:r>
      <w:r w:rsidR="00A24431" w:rsidRPr="00A24431">
        <w:t>délégation</w:t>
      </w:r>
      <w:r w:rsidR="00A24431">
        <w:t xml:space="preserve"> estimait que cela avait contribué à rendre le travail </w:t>
      </w:r>
      <w:r w:rsidR="00F462B1">
        <w:t xml:space="preserve">plus </w:t>
      </w:r>
      <w:r w:rsidR="003D430F">
        <w:t xml:space="preserve">exhaustif </w:t>
      </w:r>
      <w:r w:rsidR="00A24431">
        <w:t xml:space="preserve">et efficace, ce dont elle se félicitait. Elle a encouragé le Secrétariat à </w:t>
      </w:r>
      <w:r w:rsidR="0041104F">
        <w:t xml:space="preserve">toujours </w:t>
      </w:r>
      <w:r w:rsidR="00A24431">
        <w:t xml:space="preserve">proposer de façon proactive des mesures </w:t>
      </w:r>
      <w:r w:rsidR="0041104F">
        <w:t>de réduction d</w:t>
      </w:r>
      <w:r w:rsidR="00A24431">
        <w:t>es</w:t>
      </w:r>
      <w:r w:rsidR="0041104F">
        <w:t xml:space="preserve"> coûts de gouvernance, à veiller à ce que les délégués élus au Comité soient qualifiés et bien préparés pour les réunions, à suivre les propositions destinées à améliorer la cohérence des procédures des différents organes, et à partager les bonnes pratiques de gouvernance des différentes Conventions, </w:t>
      </w:r>
      <w:r w:rsidR="0041104F" w:rsidRPr="0041104F">
        <w:t>en particulier</w:t>
      </w:r>
      <w:r w:rsidR="0041104F">
        <w:t xml:space="preserve"> lors de la </w:t>
      </w:r>
      <w:r w:rsidR="00CC3C17">
        <w:t>priorisation</w:t>
      </w:r>
      <w:r w:rsidR="0041104F">
        <w:t xml:space="preserve"> des tâches à accomplir dans un contexte de contraintes budgétaires. Comme le Conseil exécutif et la Conférence générale en avaient débattu, la </w:t>
      </w:r>
      <w:r w:rsidR="0041104F" w:rsidRPr="0041104F">
        <w:t>délégation</w:t>
      </w:r>
      <w:r w:rsidR="0041104F">
        <w:t xml:space="preserve"> souscrivait pleinement à l</w:t>
      </w:r>
      <w:r w:rsidR="00346F1B">
        <w:t>’</w:t>
      </w:r>
      <w:r w:rsidR="0041104F">
        <w:t xml:space="preserve">analyse critique </w:t>
      </w:r>
      <w:r w:rsidR="00892BD4">
        <w:t xml:space="preserve">des organes directeurs </w:t>
      </w:r>
      <w:r w:rsidR="003108A0">
        <w:t>de l</w:t>
      </w:r>
      <w:r w:rsidR="00346F1B">
        <w:t>’</w:t>
      </w:r>
      <w:r w:rsidR="003108A0">
        <w:t xml:space="preserve">UNESCO, </w:t>
      </w:r>
      <w:r w:rsidR="003D430F">
        <w:t xml:space="preserve">réalisée </w:t>
      </w:r>
      <w:r w:rsidR="003108A0">
        <w:t>par</w:t>
      </w:r>
      <w:r w:rsidR="0041104F">
        <w:t xml:space="preserve"> l</w:t>
      </w:r>
      <w:r w:rsidR="00346F1B">
        <w:t>’</w:t>
      </w:r>
      <w:r w:rsidR="0041104F">
        <w:t>Auditeur externe</w:t>
      </w:r>
      <w:r w:rsidR="003108A0">
        <w:t>, bien que certaines recommandations ne lui aient pas semblé refléter les réalités politiques d</w:t>
      </w:r>
      <w:r w:rsidR="00346F1B">
        <w:t>’</w:t>
      </w:r>
      <w:r w:rsidR="003108A0">
        <w:t xml:space="preserve">une </w:t>
      </w:r>
      <w:r w:rsidR="003108A0" w:rsidRPr="003108A0">
        <w:t>organisation</w:t>
      </w:r>
      <w:r w:rsidR="003108A0">
        <w:t xml:space="preserve"> intergouvernementale. Il ne semblait pas non plus très réaliste de débattre plus avant du changement de périodicité des réunions des différentes Conventions ou d</w:t>
      </w:r>
      <w:r w:rsidR="00346F1B">
        <w:t>’</w:t>
      </w:r>
      <w:r w:rsidR="003108A0">
        <w:t xml:space="preserve">élire les mêmes États </w:t>
      </w:r>
      <w:r w:rsidR="00A46CAD">
        <w:t>membres</w:t>
      </w:r>
      <w:r w:rsidR="003108A0">
        <w:t xml:space="preserve"> dans tous les</w:t>
      </w:r>
      <w:r w:rsidR="00892BD4">
        <w:t xml:space="preserve"> organes directeurs </w:t>
      </w:r>
      <w:r w:rsidR="003108A0">
        <w:t>des Conventions de l</w:t>
      </w:r>
      <w:r w:rsidR="00346F1B">
        <w:t>’</w:t>
      </w:r>
      <w:r w:rsidR="003108A0">
        <w:t>UNESCO. P</w:t>
      </w:r>
      <w:r w:rsidR="003108A0" w:rsidRPr="003108A0">
        <w:t>ar exemple</w:t>
      </w:r>
      <w:r w:rsidR="003108A0">
        <w:t>, e</w:t>
      </w:r>
      <w:r w:rsidR="003108A0" w:rsidRPr="003108A0">
        <w:t>n ce qui concerne</w:t>
      </w:r>
      <w:r w:rsidR="003108A0">
        <w:t xml:space="preserve"> la </w:t>
      </w:r>
      <w:r w:rsidR="003108A0" w:rsidRPr="003108A0">
        <w:t>Convention</w:t>
      </w:r>
      <w:r w:rsidR="003108A0">
        <w:t xml:space="preserve"> de 2003, la </w:t>
      </w:r>
      <w:r w:rsidR="003108A0" w:rsidRPr="003108A0">
        <w:t xml:space="preserve">proposition </w:t>
      </w:r>
      <w:r w:rsidR="003108A0">
        <w:t>visant à rendre les réunions du Comité biennales et celles de l</w:t>
      </w:r>
      <w:r w:rsidR="00346F1B">
        <w:t>’</w:t>
      </w:r>
      <w:r w:rsidR="003108A0">
        <w:t>Assemblée générale quadriennales aurait pour conséquence de graves retards dans</w:t>
      </w:r>
      <w:r w:rsidR="00D518B9">
        <w:t xml:space="preserve"> l</w:t>
      </w:r>
      <w:r w:rsidR="00346F1B">
        <w:t>’</w:t>
      </w:r>
      <w:r w:rsidR="00D518B9">
        <w:t>étude des différents dossiers</w:t>
      </w:r>
      <w:r w:rsidR="003108A0">
        <w:t xml:space="preserve">. Ceci </w:t>
      </w:r>
      <w:r w:rsidR="00D518B9">
        <w:t xml:space="preserve">étant </w:t>
      </w:r>
      <w:r w:rsidR="003108A0">
        <w:t xml:space="preserve">dit, la </w:t>
      </w:r>
      <w:r w:rsidR="003108A0" w:rsidRPr="003108A0">
        <w:t>délégation</w:t>
      </w:r>
      <w:r w:rsidR="003108A0">
        <w:t xml:space="preserve"> apportait son soutien à toute</w:t>
      </w:r>
      <w:r w:rsidR="003D430F">
        <w:t>s les</w:t>
      </w:r>
      <w:r w:rsidR="003108A0">
        <w:t xml:space="preserve"> mesure</w:t>
      </w:r>
      <w:r w:rsidR="003D430F">
        <w:t>s qui permettraient de centrer</w:t>
      </w:r>
      <w:r w:rsidR="003108A0">
        <w:t xml:space="preserve"> </w:t>
      </w:r>
      <w:r w:rsidR="003D430F">
        <w:t xml:space="preserve">et de concentrer </w:t>
      </w:r>
      <w:r w:rsidR="003108A0">
        <w:t>les débats lor</w:t>
      </w:r>
      <w:r w:rsidR="003D430F">
        <w:t xml:space="preserve">s des réunions de gouvernance, </w:t>
      </w:r>
      <w:r w:rsidR="003108A0">
        <w:t>comme par exemple</w:t>
      </w:r>
      <w:r w:rsidR="003D430F">
        <w:t>,</w:t>
      </w:r>
      <w:r w:rsidR="003108A0">
        <w:t xml:space="preserve"> </w:t>
      </w:r>
      <w:r w:rsidR="003D430F">
        <w:t xml:space="preserve">éviter les déclarations </w:t>
      </w:r>
      <w:r w:rsidR="00D518B9">
        <w:t>à caractère politique</w:t>
      </w:r>
      <w:r w:rsidR="003D430F">
        <w:t xml:space="preserve">, déléguer les décisions mineures, et tout </w:t>
      </w:r>
      <w:r w:rsidR="003D430F" w:rsidRPr="003D430F">
        <w:t>particulièrement</w:t>
      </w:r>
      <w:r w:rsidR="003D430F">
        <w:t xml:space="preserve">, faciliter les négociations informelles et le consensus sur les décisions difficiles en amont des réunions. Un autre point à envisager pourrait être de faciliter la </w:t>
      </w:r>
      <w:r w:rsidR="003D430F" w:rsidRPr="003D430F">
        <w:t>préparation</w:t>
      </w:r>
      <w:r w:rsidR="003D430F">
        <w:t xml:space="preserve"> du travail de ce Comité. Le Secrétariat avait communiqué tous les documents à temps le 31 octobre, </w:t>
      </w:r>
      <w:r w:rsidR="003D430F" w:rsidRPr="003D430F">
        <w:t>conformément</w:t>
      </w:r>
      <w:r w:rsidR="003D430F">
        <w:t xml:space="preserve"> au Règlement intérieur, soit quatre semaines avant la réunion. On pouvait imaginer que certains de ces documents avaient été finalisés avant cette date, il serait donc probablement utile de les mettre à disposition en ligne dès qu</w:t>
      </w:r>
      <w:r w:rsidR="00346F1B">
        <w:t>’</w:t>
      </w:r>
      <w:r w:rsidR="003D430F">
        <w:t xml:space="preserve">ils étaient disponibles afin que les </w:t>
      </w:r>
      <w:r w:rsidR="00A46CAD">
        <w:t>membres du Comité</w:t>
      </w:r>
      <w:r w:rsidR="003D430F">
        <w:t xml:space="preserve"> puissent déjà commencer le</w:t>
      </w:r>
      <w:r w:rsidR="00D518B9">
        <w:t>ur</w:t>
      </w:r>
      <w:r w:rsidR="003D430F">
        <w:t xml:space="preserve"> travail de </w:t>
      </w:r>
      <w:r w:rsidR="003D430F" w:rsidRPr="003D430F">
        <w:t>préparation</w:t>
      </w:r>
      <w:r w:rsidR="00D518B9">
        <w:t xml:space="preserve"> de la session.</w:t>
      </w:r>
    </w:p>
    <w:p w14:paraId="26C2522A" w14:textId="2998C9CC" w:rsidR="00F05589" w:rsidRPr="003955E0" w:rsidRDefault="00D518B9" w:rsidP="00AF7860">
      <w:pPr>
        <w:pStyle w:val="Orateurengris"/>
        <w:spacing w:before="120"/>
        <w:ind w:left="709" w:hanging="709"/>
      </w:pPr>
      <w:r w:rsidRPr="00D518B9">
        <w:t xml:space="preserve">La délégation de </w:t>
      </w:r>
      <w:r w:rsidRPr="00D518B9">
        <w:rPr>
          <w:b/>
        </w:rPr>
        <w:t>Cuba</w:t>
      </w:r>
      <w:r w:rsidRPr="00D518B9">
        <w:t xml:space="preserve"> a remercié le </w:t>
      </w:r>
      <w:r>
        <w:t>Secrétariat pour ses explications à propos du processus fort complexe auquel était confronté l</w:t>
      </w:r>
      <w:r w:rsidR="00346F1B">
        <w:t>’</w:t>
      </w:r>
      <w:r>
        <w:t>UNESCO, un sujet débattu dans tous les organes de l</w:t>
      </w:r>
      <w:r w:rsidR="00346F1B">
        <w:t>’</w:t>
      </w:r>
      <w:r>
        <w:t xml:space="preserve">UNESCO. Elle a par ailleurs signalé que la </w:t>
      </w:r>
      <w:r w:rsidRPr="00D518B9">
        <w:t>recommandation</w:t>
      </w:r>
      <w:r>
        <w:t xml:space="preserve"> de présenter un rapport à la prochaine session de la Conférence générale était </w:t>
      </w:r>
      <w:r w:rsidR="00F05589">
        <w:t>indicative et non obligatoire. Ce n</w:t>
      </w:r>
      <w:r w:rsidR="00346F1B">
        <w:t>’</w:t>
      </w:r>
      <w:r w:rsidR="00F05589">
        <w:t>était pas une exigence car cette demande était exprimée sous la forme d</w:t>
      </w:r>
      <w:r w:rsidR="00346F1B">
        <w:t>’</w:t>
      </w:r>
      <w:r w:rsidR="00F05589">
        <w:t xml:space="preserve">une </w:t>
      </w:r>
      <w:r w:rsidR="00F05589" w:rsidRPr="00F05589">
        <w:t>recommandation</w:t>
      </w:r>
      <w:r w:rsidR="003955E0">
        <w:t xml:space="preserve">. Après avoir </w:t>
      </w:r>
      <w:r w:rsidR="00F05589">
        <w:t xml:space="preserve">remercié le Secrétariat pour les </w:t>
      </w:r>
      <w:r w:rsidR="00F05589" w:rsidRPr="00F05589">
        <w:t>informations</w:t>
      </w:r>
      <w:r w:rsidR="00F05589">
        <w:t xml:space="preserve"> communiquées, </w:t>
      </w:r>
      <w:r w:rsidR="003955E0">
        <w:t xml:space="preserve">la </w:t>
      </w:r>
      <w:r w:rsidR="003955E0" w:rsidRPr="003955E0">
        <w:t>délégation</w:t>
      </w:r>
      <w:r w:rsidR="003955E0">
        <w:t xml:space="preserve"> a souligné </w:t>
      </w:r>
      <w:r w:rsidR="00F05589">
        <w:t>que la Convention de 2003 avait entrepris plus de révisions de ses méthodes de travail que</w:t>
      </w:r>
      <w:r w:rsidR="00F462B1">
        <w:t xml:space="preserve"> les autres organes de l</w:t>
      </w:r>
      <w:r w:rsidR="00346F1B">
        <w:t>’</w:t>
      </w:r>
      <w:r w:rsidR="00F462B1">
        <w:t>UNESCO</w:t>
      </w:r>
      <w:r w:rsidR="00F05589">
        <w:t xml:space="preserve"> qui semblaient demeu</w:t>
      </w:r>
      <w:r w:rsidR="00001719">
        <w:t>rer inchangés depuis 40 ans.</w:t>
      </w:r>
      <w:r w:rsidR="003955E0">
        <w:t xml:space="preserve"> C</w:t>
      </w:r>
      <w:r w:rsidR="00001719" w:rsidRPr="003955E0">
        <w:t xml:space="preserve">ette réforme en cours de la gouvernance des Directives opérationnelles </w:t>
      </w:r>
      <w:r w:rsidR="00F462B1" w:rsidRPr="003955E0">
        <w:t>permettait au Comité de réfléchir et d</w:t>
      </w:r>
      <w:r w:rsidR="00346F1B">
        <w:t>’</w:t>
      </w:r>
      <w:r w:rsidR="00F462B1" w:rsidRPr="003955E0">
        <w:t xml:space="preserve">améliorer </w:t>
      </w:r>
      <w:r w:rsidR="003955E0">
        <w:t>constamment</w:t>
      </w:r>
      <w:r w:rsidR="00F462B1" w:rsidRPr="003955E0">
        <w:t xml:space="preserve"> la gouvernance et les méthodes de travail dans un objectif de plus grande efficience et efficacité. La délégation a donc réitéré ses remerciements au Secrétariat pour tout le travail accompli au cours des années précédent</w:t>
      </w:r>
      <w:r w:rsidR="0083426C">
        <w:t>e</w:t>
      </w:r>
      <w:r w:rsidR="00F462B1" w:rsidRPr="003955E0">
        <w:t>s, avant même que la Conférence générale n</w:t>
      </w:r>
      <w:r w:rsidR="00346F1B">
        <w:t>’</w:t>
      </w:r>
      <w:r w:rsidR="00F462B1" w:rsidRPr="003955E0">
        <w:t>ait adopté la résolution 38 C/101 qui, dans son paragr</w:t>
      </w:r>
      <w:r w:rsidR="00E33C89">
        <w:t>aphe 5, demandait aux différent</w:t>
      </w:r>
      <w:r w:rsidR="00F462B1" w:rsidRPr="003955E0">
        <w:t>s organes de la Convention d</w:t>
      </w:r>
      <w:r w:rsidR="00346F1B">
        <w:t>’</w:t>
      </w:r>
      <w:r w:rsidR="00F462B1" w:rsidRPr="003955E0">
        <w:t xml:space="preserve">inclure ce point à leur ordre du jour. La délégation </w:t>
      </w:r>
      <w:r w:rsidR="00450503">
        <w:t xml:space="preserve">estimait </w:t>
      </w:r>
      <w:r w:rsidR="00F462B1" w:rsidRPr="003955E0">
        <w:t>qu</w:t>
      </w:r>
      <w:r w:rsidR="00346F1B">
        <w:t>’</w:t>
      </w:r>
      <w:r w:rsidR="00F462B1" w:rsidRPr="003955E0">
        <w:t>il s</w:t>
      </w:r>
      <w:r w:rsidR="00346F1B">
        <w:t>’</w:t>
      </w:r>
      <w:r w:rsidR="00F462B1" w:rsidRPr="003955E0">
        <w:t>agissait là d</w:t>
      </w:r>
      <w:r w:rsidR="00346F1B">
        <w:t>’</w:t>
      </w:r>
      <w:r w:rsidR="00F462B1" w:rsidRPr="003955E0">
        <w:t xml:space="preserve">une question qui nécessitait une réflexion permanente. Le Comité était un </w:t>
      </w:r>
      <w:r w:rsidR="0083426C">
        <w:t xml:space="preserve">bon </w:t>
      </w:r>
      <w:r w:rsidR="00F462B1" w:rsidRPr="003955E0">
        <w:t>exemple de la façon dont on pouvait améliorer le fonctionnement et la pratique, et il ne pouvait se limiter à la mise en œuvre de recommandations qui n</w:t>
      </w:r>
      <w:r w:rsidR="00346F1B">
        <w:t>’</w:t>
      </w:r>
      <w:r w:rsidR="00F462B1" w:rsidRPr="003955E0">
        <w:t>avaient pas été approuvées par la Conférence générale de l</w:t>
      </w:r>
      <w:r w:rsidR="00346F1B">
        <w:t>’</w:t>
      </w:r>
      <w:r w:rsidR="00F462B1" w:rsidRPr="003955E0">
        <w:t>UNESCO. La délégation a fait remarquer que le Secrétariat avait clairement affirmé, à la différence des autres organes de l</w:t>
      </w:r>
      <w:r w:rsidR="00346F1B">
        <w:t>’</w:t>
      </w:r>
      <w:r w:rsidR="00F462B1" w:rsidRPr="003955E0">
        <w:t xml:space="preserve">UNESCO, que seules trois des quinze recommandations avaient été </w:t>
      </w:r>
      <w:r w:rsidR="00CC05A7">
        <w:t>adoptées et que l</w:t>
      </w:r>
      <w:r w:rsidR="00346F1B">
        <w:t>’</w:t>
      </w:r>
      <w:r w:rsidR="00CC05A7">
        <w:t xml:space="preserve">idée de rassembler toutes les </w:t>
      </w:r>
      <w:r w:rsidR="00CC05A7" w:rsidRPr="00CC05A7">
        <w:t>Convention</w:t>
      </w:r>
      <w:r w:rsidR="00CC05A7">
        <w:t>s au sein d</w:t>
      </w:r>
      <w:r w:rsidR="00346F1B">
        <w:t>’</w:t>
      </w:r>
      <w:r w:rsidR="00CC05A7">
        <w:t>une même réunion ne permettrait pas d</w:t>
      </w:r>
      <w:r w:rsidR="00346F1B">
        <w:t>’</w:t>
      </w:r>
      <w:r w:rsidR="00CC05A7">
        <w:t xml:space="preserve">atteindre ses objectifs. Une réflexion constante sur les méthodes de travail du Comité, ses mécanismes et ses organes </w:t>
      </w:r>
      <w:r w:rsidR="00CC05A7" w:rsidRPr="00CC05A7">
        <w:t>consultatif</w:t>
      </w:r>
      <w:r w:rsidR="00CC05A7">
        <w:t>s et subsidiaires était toutefois nécessaire. En outre, le débat sur l</w:t>
      </w:r>
      <w:r w:rsidR="00346F1B">
        <w:t>’</w:t>
      </w:r>
      <w:r w:rsidR="00CC05A7">
        <w:t xml:space="preserve">UNESCO et sa gouvernance ne se limitait pas à la simple </w:t>
      </w:r>
      <w:r w:rsidR="00CC05A7" w:rsidRPr="00CC05A7">
        <w:t>définition</w:t>
      </w:r>
      <w:r w:rsidR="00CC05A7">
        <w:t xml:space="preserve"> du nombre de réunions à tenir ou de rapports à publier. La situation </w:t>
      </w:r>
      <w:r w:rsidR="00CC05A7" w:rsidRPr="00CC05A7">
        <w:t xml:space="preserve">financière </w:t>
      </w:r>
      <w:r w:rsidR="00CC05A7">
        <w:t>de l</w:t>
      </w:r>
      <w:r w:rsidR="00346F1B">
        <w:t>’</w:t>
      </w:r>
      <w:r w:rsidR="00CC05A7">
        <w:t>UNESCO était certes très complexe et des efforts devaient être entrepris pour améliorer l</w:t>
      </w:r>
      <w:r w:rsidR="00346F1B">
        <w:t>’</w:t>
      </w:r>
      <w:r w:rsidR="00CC05A7">
        <w:t>efficience et l</w:t>
      </w:r>
      <w:r w:rsidR="00346F1B">
        <w:t>’</w:t>
      </w:r>
      <w:r w:rsidR="00CC05A7">
        <w:t>efficacité, l</w:t>
      </w:r>
      <w:r w:rsidR="00346F1B">
        <w:t>’</w:t>
      </w:r>
      <w:r w:rsidR="00CC05A7">
        <w:t>Assemblée générale devait en être informée afin que s</w:t>
      </w:r>
      <w:r w:rsidR="00346F1B">
        <w:t>’</w:t>
      </w:r>
      <w:r w:rsidR="00CC05A7">
        <w:t>organise un débat plus vaste sur les questions relatives au</w:t>
      </w:r>
      <w:r w:rsidR="00D46448">
        <w:t>x</w:t>
      </w:r>
      <w:r w:rsidR="00CC05A7">
        <w:t xml:space="preserve"> méthodes de travail. L</w:t>
      </w:r>
      <w:r w:rsidR="00346F1B">
        <w:t>’</w:t>
      </w:r>
      <w:r w:rsidR="00CC05A7">
        <w:t>Organe d</w:t>
      </w:r>
      <w:r w:rsidR="00346F1B">
        <w:t>’</w:t>
      </w:r>
      <w:r w:rsidR="00CC05A7">
        <w:t>évaluation et les mécanismes d</w:t>
      </w:r>
      <w:r w:rsidR="00346F1B">
        <w:t>’</w:t>
      </w:r>
      <w:r w:rsidR="00CC05A7">
        <w:t>examen des candidatures, ainsi que la hiérarchie entre l</w:t>
      </w:r>
      <w:r w:rsidR="00346F1B">
        <w:t>’</w:t>
      </w:r>
      <w:r w:rsidR="00CC05A7">
        <w:t xml:space="preserve">Assemblée générale et le Comité, étaient </w:t>
      </w:r>
      <w:r w:rsidR="009308B2">
        <w:t xml:space="preserve">une autre question. La </w:t>
      </w:r>
      <w:r w:rsidR="009308B2" w:rsidRPr="009308B2">
        <w:t>délégation</w:t>
      </w:r>
      <w:r w:rsidR="009308B2">
        <w:t xml:space="preserve"> a fait remarquer que la comparaison entre ce Comité et les autres organes de l</w:t>
      </w:r>
      <w:r w:rsidR="00346F1B">
        <w:t>’</w:t>
      </w:r>
      <w:r w:rsidR="009308B2">
        <w:t>UNESCO était très favorable</w:t>
      </w:r>
      <w:r w:rsidR="00E33C89">
        <w:t xml:space="preserve"> à celui-ci</w:t>
      </w:r>
      <w:r w:rsidR="009308B2">
        <w:t xml:space="preserve"> car il travaillait en plus grande synergie. Le Comité devait </w:t>
      </w:r>
      <w:r w:rsidR="009308B2" w:rsidRPr="009308B2">
        <w:t>néanmoins</w:t>
      </w:r>
      <w:r w:rsidR="009308B2">
        <w:t xml:space="preserve"> estimer si l</w:t>
      </w:r>
      <w:r w:rsidR="00346F1B">
        <w:t>’</w:t>
      </w:r>
      <w:r w:rsidR="009308B2">
        <w:t>Organe d</w:t>
      </w:r>
      <w:r w:rsidR="00346F1B">
        <w:t>’</w:t>
      </w:r>
      <w:r w:rsidR="009308B2">
        <w:t>évaluation, adopté en 2014, fonctionnait aussi bien qu</w:t>
      </w:r>
      <w:r w:rsidR="00346F1B">
        <w:t>’</w:t>
      </w:r>
      <w:r w:rsidR="009308B2">
        <w:t>on l</w:t>
      </w:r>
      <w:r w:rsidR="00346F1B">
        <w:t>’</w:t>
      </w:r>
      <w:r w:rsidR="009308B2">
        <w:t>avait espéré et s</w:t>
      </w:r>
      <w:r w:rsidR="00346F1B">
        <w:t>’</w:t>
      </w:r>
      <w:r w:rsidR="009308B2">
        <w:t>il préservait réellement son caractère intergouvernemental. La question devait être présentée devant l</w:t>
      </w:r>
      <w:r w:rsidR="00346F1B">
        <w:t>’</w:t>
      </w:r>
      <w:r w:rsidR="009308B2">
        <w:t xml:space="preserve">Assemblée générale afin </w:t>
      </w:r>
      <w:r w:rsidR="0083426C">
        <w:t xml:space="preserve">que </w:t>
      </w:r>
      <w:r w:rsidR="009308B2">
        <w:t>– dans le cadre d</w:t>
      </w:r>
      <w:r w:rsidR="00346F1B">
        <w:t>’</w:t>
      </w:r>
      <w:r w:rsidR="009308B2">
        <w:t xml:space="preserve">une procédure de consultation ouverte à tous les États parties – une réflexion approfondie soit menée sur la façon dont la </w:t>
      </w:r>
      <w:r w:rsidR="009308B2" w:rsidRPr="009308B2">
        <w:t>Convention</w:t>
      </w:r>
      <w:r w:rsidR="0083426C">
        <w:t xml:space="preserve"> dev</w:t>
      </w:r>
      <w:r w:rsidR="009308B2">
        <w:t>ait être gérée afin d</w:t>
      </w:r>
      <w:r w:rsidR="00346F1B">
        <w:t>’</w:t>
      </w:r>
      <w:r w:rsidR="009308B2">
        <w:t>être plus efficace, comme c</w:t>
      </w:r>
      <w:r w:rsidR="00346F1B">
        <w:t>’</w:t>
      </w:r>
      <w:r w:rsidR="009308B2">
        <w:t>étai</w:t>
      </w:r>
      <w:r w:rsidR="0093340B">
        <w:t>t le cas dans d</w:t>
      </w:r>
      <w:r w:rsidR="00346F1B">
        <w:t>’</w:t>
      </w:r>
      <w:r w:rsidR="0093340B">
        <w:t>autres organes.</w:t>
      </w:r>
    </w:p>
    <w:p w14:paraId="4CFC401A" w14:textId="7A870A08" w:rsidR="0083426C" w:rsidRPr="0083426C" w:rsidRDefault="0083426C" w:rsidP="00AF7860">
      <w:pPr>
        <w:pStyle w:val="Orateurengris"/>
        <w:spacing w:before="120"/>
        <w:ind w:left="709" w:hanging="709"/>
      </w:pPr>
      <w:r w:rsidRPr="0083426C">
        <w:t>La délégation</w:t>
      </w:r>
      <w:r>
        <w:t xml:space="preserve"> de la </w:t>
      </w:r>
      <w:r w:rsidRPr="00246292">
        <w:rPr>
          <w:b/>
        </w:rPr>
        <w:t>Turquie</w:t>
      </w:r>
      <w:r>
        <w:t xml:space="preserve"> a remercié le Secrétariat pour le document de travail et l</w:t>
      </w:r>
      <w:r w:rsidR="00346F1B">
        <w:t>’</w:t>
      </w:r>
      <w:r>
        <w:t xml:space="preserve">annexe qui rendait plus aisée la </w:t>
      </w:r>
      <w:r w:rsidRPr="0083426C">
        <w:t>compréhension</w:t>
      </w:r>
      <w:r>
        <w:t xml:space="preserve"> de la situation actuelle de la </w:t>
      </w:r>
      <w:r w:rsidRPr="0083426C">
        <w:t>Convention</w:t>
      </w:r>
      <w:r w:rsidR="00246292">
        <w:t xml:space="preserve"> au regard des </w:t>
      </w:r>
      <w:r w:rsidR="00246292" w:rsidRPr="00246292">
        <w:t>recommandation</w:t>
      </w:r>
      <w:r w:rsidR="00246292">
        <w:t>s de l</w:t>
      </w:r>
      <w:r w:rsidR="00346F1B">
        <w:t>’</w:t>
      </w:r>
      <w:r w:rsidR="00246292">
        <w:t xml:space="preserve">Auditeur externe. Tandis que des progrès considérables avaient été accomplis dans la mise en œuvre de certaines des recommandations, la </w:t>
      </w:r>
      <w:r w:rsidR="00246292" w:rsidRPr="00246292">
        <w:t>délégation</w:t>
      </w:r>
      <w:r w:rsidR="00D46448">
        <w:t xml:space="preserve"> comprenait que la</w:t>
      </w:r>
      <w:r w:rsidR="00246292">
        <w:t xml:space="preserve"> mise en œuvre de certaines autres recommandations, </w:t>
      </w:r>
      <w:r w:rsidR="00246292" w:rsidRPr="00246292">
        <w:t>en particulier</w:t>
      </w:r>
      <w:r w:rsidR="00246292">
        <w:t xml:space="preserve"> la </w:t>
      </w:r>
      <w:r w:rsidR="00246292" w:rsidRPr="00246292">
        <w:t>recommandation</w:t>
      </w:r>
      <w:r w:rsidR="00246292">
        <w:t xml:space="preserve"> 3, n</w:t>
      </w:r>
      <w:r w:rsidR="00346F1B">
        <w:t>’</w:t>
      </w:r>
      <w:r w:rsidR="00246292">
        <w:t>était pas possible pour des raisons pratiques car l</w:t>
      </w:r>
      <w:r w:rsidR="001433F2">
        <w:t>es fonctions et objectifs des C</w:t>
      </w:r>
      <w:r w:rsidR="00246292">
        <w:t>onventions culturelles de l</w:t>
      </w:r>
      <w:r w:rsidR="00346F1B">
        <w:t>’</w:t>
      </w:r>
      <w:r w:rsidR="00246292">
        <w:t>UNESCO étaient différents, avec des nombres d</w:t>
      </w:r>
      <w:r w:rsidR="00346F1B">
        <w:t>’</w:t>
      </w:r>
      <w:r w:rsidR="00246292">
        <w:t>États parties très divers, ce qui rendait impossible la f</w:t>
      </w:r>
      <w:r w:rsidR="00892BD4">
        <w:t>usion des organes directeurs</w:t>
      </w:r>
      <w:r w:rsidR="00246292">
        <w:t>. Par ailleurs, certaines des recommandations semblaient irréalisables en raison des précédentes décisions du Comité, ce qui il</w:t>
      </w:r>
      <w:r w:rsidR="005C09B5">
        <w:t xml:space="preserve">lustrait la différence de points </w:t>
      </w:r>
      <w:r w:rsidR="00246292">
        <w:t>de vue</w:t>
      </w:r>
      <w:r w:rsidR="00D42E88">
        <w:t xml:space="preserve"> sur certains aspects </w:t>
      </w:r>
      <w:r w:rsidR="00246292">
        <w:t>entre, d</w:t>
      </w:r>
      <w:r w:rsidR="00346F1B">
        <w:t>’</w:t>
      </w:r>
      <w:r w:rsidR="00246292">
        <w:t xml:space="preserve">une part, le Comité et ses </w:t>
      </w:r>
      <w:r w:rsidR="00A46CAD">
        <w:t>membres</w:t>
      </w:r>
      <w:r w:rsidR="00246292">
        <w:t xml:space="preserve"> et, d</w:t>
      </w:r>
      <w:r w:rsidR="00346F1B">
        <w:t>’</w:t>
      </w:r>
      <w:r w:rsidR="00246292">
        <w:t>autre part, les rapports de l</w:t>
      </w:r>
      <w:r w:rsidR="00346F1B">
        <w:t>’</w:t>
      </w:r>
      <w:r w:rsidR="00246292">
        <w:t xml:space="preserve">Auditeur externe. </w:t>
      </w:r>
      <w:r w:rsidR="00D42E88">
        <w:t xml:space="preserve">La </w:t>
      </w:r>
      <w:r w:rsidR="00D42E88" w:rsidRPr="00D42E88">
        <w:t>délégation</w:t>
      </w:r>
      <w:r w:rsidR="00E33C89">
        <w:t xml:space="preserve"> estimait </w:t>
      </w:r>
      <w:r w:rsidR="00D42E88">
        <w:t>que le Comité et le Bureau avaient réalisé de réels progrès en matière de temps ainsi que dans l</w:t>
      </w:r>
      <w:r w:rsidR="00346F1B">
        <w:t>’</w:t>
      </w:r>
      <w:r w:rsidR="00D42E88" w:rsidRPr="00D42E88">
        <w:t>établissement</w:t>
      </w:r>
      <w:r w:rsidR="00D42E88">
        <w:t xml:space="preserve"> d</w:t>
      </w:r>
      <w:r w:rsidR="00346F1B">
        <w:t>’</w:t>
      </w:r>
      <w:r w:rsidR="00D42E88">
        <w:t xml:space="preserve">une culture de travail efficace. Après avoir encouragé le Secrétariat à poursuivre son travail sur les questions en cours, la </w:t>
      </w:r>
      <w:r w:rsidR="00D42E88" w:rsidRPr="00D42E88">
        <w:t>délégation</w:t>
      </w:r>
      <w:r w:rsidR="00D42E88">
        <w:t xml:space="preserve"> a ajouté que l</w:t>
      </w:r>
      <w:r w:rsidR="00346F1B">
        <w:t>’</w:t>
      </w:r>
      <w:r w:rsidR="00D42E88">
        <w:t xml:space="preserve">un des défis urgents à relever pour améliorer la gouvernance de la </w:t>
      </w:r>
      <w:r w:rsidR="00D42E88" w:rsidRPr="00D42E88">
        <w:t xml:space="preserve">Convention </w:t>
      </w:r>
      <w:r w:rsidR="00D42E88">
        <w:t xml:space="preserve">était de renforcer le dialogue dans le traitement des dossiers de candidature, </w:t>
      </w:r>
      <w:r w:rsidR="00D42E88" w:rsidRPr="00D42E88">
        <w:t>en particulier</w:t>
      </w:r>
      <w:r w:rsidR="00D42E88">
        <w:t xml:space="preserve"> pendant la procédure d</w:t>
      </w:r>
      <w:r w:rsidR="00346F1B">
        <w:t>’</w:t>
      </w:r>
      <w:r w:rsidR="00D42E88" w:rsidRPr="00D42E88">
        <w:t>évaluation</w:t>
      </w:r>
      <w:r w:rsidR="0093340B">
        <w:t>.</w:t>
      </w:r>
    </w:p>
    <w:p w14:paraId="1D7A3205" w14:textId="49F9C30D" w:rsidR="00881A0A" w:rsidRPr="00881A0A" w:rsidRDefault="005C09B5" w:rsidP="00AF7860">
      <w:pPr>
        <w:pStyle w:val="Orateurengris"/>
        <w:spacing w:before="120"/>
        <w:ind w:left="709" w:hanging="709"/>
      </w:pPr>
      <w:r>
        <w:t xml:space="preserve">La </w:t>
      </w:r>
      <w:r w:rsidRPr="005C09B5">
        <w:t>délégation</w:t>
      </w:r>
      <w:r>
        <w:t xml:space="preserve"> des </w:t>
      </w:r>
      <w:r w:rsidRPr="005C09B5">
        <w:rPr>
          <w:b/>
        </w:rPr>
        <w:t>Philippines</w:t>
      </w:r>
      <w:r>
        <w:t xml:space="preserve"> a évoqué son rôle actif de Co-Président des sous-groupes du </w:t>
      </w:r>
      <w:r w:rsidR="00881A0A">
        <w:t>G</w:t>
      </w:r>
      <w:r w:rsidRPr="005C09B5">
        <w:t>roupe de travail</w:t>
      </w:r>
      <w:r>
        <w:t xml:space="preserve"> sur la gouvernance établi par la Conférence générale. Après avoir souligné que le Comité avait déjà beaucoup fait pour traiter les questions de gouvernance et améliorer ses méthodes de travail, elle a affirmé qu</w:t>
      </w:r>
      <w:r w:rsidR="00346F1B">
        <w:t>’</w:t>
      </w:r>
      <w:r>
        <w:t>il était important de transmettre autant d</w:t>
      </w:r>
      <w:r w:rsidR="00346F1B">
        <w:t>’</w:t>
      </w:r>
      <w:r w:rsidRPr="005C09B5">
        <w:t>informations</w:t>
      </w:r>
      <w:r>
        <w:t xml:space="preserve"> que possible au Président de la Conférence générale en réponse à sa demande. À ce sujet, la </w:t>
      </w:r>
      <w:r w:rsidRPr="005C09B5">
        <w:t>délégation</w:t>
      </w:r>
      <w:r w:rsidR="00450503">
        <w:t xml:space="preserve"> estimait</w:t>
      </w:r>
      <w:r>
        <w:t xml:space="preserve"> que l</w:t>
      </w:r>
      <w:r w:rsidR="00346F1B">
        <w:t>’</w:t>
      </w:r>
      <w:r>
        <w:t xml:space="preserve">annexe du rapport du Secrétariat au titre du point 5 et le document au titre du point 8 contenaient des </w:t>
      </w:r>
      <w:r w:rsidRPr="005C09B5">
        <w:t>informations</w:t>
      </w:r>
      <w:r>
        <w:t xml:space="preserve"> fort utiles qui pourraient être transmises au </w:t>
      </w:r>
      <w:r w:rsidR="00881A0A">
        <w:t>G</w:t>
      </w:r>
      <w:r w:rsidRPr="005C09B5">
        <w:t>roupe de travail</w:t>
      </w:r>
      <w:r>
        <w:t xml:space="preserve"> </w:t>
      </w:r>
      <w:r w:rsidR="00881A0A">
        <w:t xml:space="preserve">à composition non limitée </w:t>
      </w:r>
      <w:r w:rsidR="0093340B">
        <w:t>sur la gouvernance.</w:t>
      </w:r>
    </w:p>
    <w:p w14:paraId="55483810" w14:textId="0F66DB91" w:rsidR="005C09B5" w:rsidRDefault="005C09B5" w:rsidP="00AF7860">
      <w:pPr>
        <w:pStyle w:val="Orateurengris"/>
        <w:spacing w:before="120"/>
        <w:ind w:left="709" w:hanging="709"/>
      </w:pPr>
      <w:r>
        <w:t>En l</w:t>
      </w:r>
      <w:r w:rsidR="00346F1B">
        <w:t>’</w:t>
      </w:r>
      <w:r>
        <w:t>absence d</w:t>
      </w:r>
      <w:r w:rsidR="00346F1B">
        <w:t>’</w:t>
      </w:r>
      <w:r>
        <w:t>autres demandes d</w:t>
      </w:r>
      <w:r w:rsidR="00346F1B">
        <w:t>’</w:t>
      </w:r>
      <w:r>
        <w:t xml:space="preserve">intervention, le </w:t>
      </w:r>
      <w:r w:rsidRPr="007B6B90">
        <w:rPr>
          <w:b/>
        </w:rPr>
        <w:t>Président</w:t>
      </w:r>
      <w:r>
        <w:t xml:space="preserve"> e</w:t>
      </w:r>
      <w:r w:rsidR="0093340B">
        <w:t>st passé au projet de décision.</w:t>
      </w:r>
    </w:p>
    <w:p w14:paraId="35E24D1A" w14:textId="0549F171" w:rsidR="007B6B90" w:rsidRDefault="007B6B90" w:rsidP="00AF7860">
      <w:pPr>
        <w:pStyle w:val="Orateurengris"/>
        <w:spacing w:before="120"/>
        <w:ind w:left="709" w:hanging="709"/>
      </w:pPr>
      <w:r>
        <w:t xml:space="preserve">Le </w:t>
      </w:r>
      <w:r w:rsidRPr="007B6B90">
        <w:rPr>
          <w:b/>
        </w:rPr>
        <w:t>Secrétaire</w:t>
      </w:r>
      <w:r w:rsidR="00E33C89">
        <w:t xml:space="preserve"> souhaitait</w:t>
      </w:r>
      <w:r>
        <w:t xml:space="preserve"> apporter une petite précision suite au </w:t>
      </w:r>
      <w:r w:rsidRPr="007B6B90">
        <w:t>commentaire</w:t>
      </w:r>
      <w:r>
        <w:t xml:space="preserve"> formulé par l</w:t>
      </w:r>
      <w:r w:rsidR="00346F1B">
        <w:t>’</w:t>
      </w:r>
      <w:r>
        <w:t>Autriche. Le Secrétariat s</w:t>
      </w:r>
      <w:r w:rsidR="00346F1B">
        <w:t>’</w:t>
      </w:r>
      <w:r>
        <w:t xml:space="preserve">efforçait de mettre les documents à disposition </w:t>
      </w:r>
      <w:r w:rsidR="00056722">
        <w:t xml:space="preserve">des </w:t>
      </w:r>
      <w:r w:rsidR="00A46CAD">
        <w:t>membres</w:t>
      </w:r>
      <w:r w:rsidR="00056722">
        <w:t xml:space="preserve"> </w:t>
      </w:r>
      <w:r>
        <w:t>dès qu</w:t>
      </w:r>
      <w:r w:rsidR="00346F1B">
        <w:t>’</w:t>
      </w:r>
      <w:r>
        <w:t>ils étaient disponibles, mais la traduction des documents rendait la tâche difficile car tous les documents étaient retournés traduits</w:t>
      </w:r>
      <w:r w:rsidR="0093340B">
        <w:t xml:space="preserve"> au Secrétariat en un seul lot.</w:t>
      </w:r>
    </w:p>
    <w:p w14:paraId="08DED53C" w14:textId="62E3B8DD" w:rsidR="00056722" w:rsidRDefault="00056722" w:rsidP="00AF7860">
      <w:pPr>
        <w:pStyle w:val="Orateurengris"/>
        <w:spacing w:before="120"/>
        <w:ind w:left="709" w:hanging="709"/>
      </w:pPr>
      <w:r>
        <w:t xml:space="preserve">Revenant au projet de décision, le </w:t>
      </w:r>
      <w:r w:rsidRPr="00056722">
        <w:rPr>
          <w:b/>
        </w:rPr>
        <w:t>Président</w:t>
      </w:r>
      <w:r>
        <w:t xml:space="preserve"> a procédé à </w:t>
      </w:r>
      <w:r w:rsidR="00E33C89">
        <w:t>l</w:t>
      </w:r>
      <w:r w:rsidR="00346F1B">
        <w:t>’</w:t>
      </w:r>
      <w:r>
        <w:t xml:space="preserve">adoption </w:t>
      </w:r>
      <w:r w:rsidRPr="00056722">
        <w:t>paragraphe</w:t>
      </w:r>
      <w:r>
        <w:t xml:space="preserve"> par </w:t>
      </w:r>
      <w:r w:rsidRPr="00056722">
        <w:t>paragraphe</w:t>
      </w:r>
      <w:r>
        <w:t>. En l</w:t>
      </w:r>
      <w:r w:rsidR="00346F1B">
        <w:t>’</w:t>
      </w:r>
      <w:r>
        <w:t>absence d</w:t>
      </w:r>
      <w:r w:rsidR="00346F1B">
        <w:t>’</w:t>
      </w:r>
      <w:r>
        <w:t>objection</w:t>
      </w:r>
      <w:r w:rsidR="00072CED">
        <w:t>s</w:t>
      </w:r>
      <w:r>
        <w:t xml:space="preserve">, le </w:t>
      </w:r>
      <w:r w:rsidRPr="00056722">
        <w:t>paragraphe</w:t>
      </w:r>
      <w:r w:rsidR="0093340B">
        <w:t xml:space="preserve"> 1 a été adopté.</w:t>
      </w:r>
    </w:p>
    <w:p w14:paraId="0B9221B2" w14:textId="165BED38" w:rsidR="00056722" w:rsidRDefault="00056722" w:rsidP="00AF7860">
      <w:pPr>
        <w:pStyle w:val="Orateurengris"/>
        <w:spacing w:before="120"/>
        <w:ind w:left="709" w:hanging="709"/>
      </w:pPr>
      <w:r>
        <w:t xml:space="preserve">La </w:t>
      </w:r>
      <w:r w:rsidRPr="00056722">
        <w:t>délégation</w:t>
      </w:r>
      <w:r>
        <w:t xml:space="preserve"> de </w:t>
      </w:r>
      <w:r w:rsidRPr="00056722">
        <w:rPr>
          <w:b/>
        </w:rPr>
        <w:t>Cuba</w:t>
      </w:r>
      <w:r w:rsidR="00450503">
        <w:t xml:space="preserve"> estimait </w:t>
      </w:r>
      <w:r>
        <w:t xml:space="preserve">que le préambule de la </w:t>
      </w:r>
      <w:r w:rsidRPr="00056722">
        <w:t>décision</w:t>
      </w:r>
      <w:r>
        <w:t xml:space="preserve"> devrait rappeler la </w:t>
      </w:r>
      <w:r w:rsidRPr="00056722">
        <w:t>résolution</w:t>
      </w:r>
      <w:r>
        <w:t xml:space="preserve"> 38/C 101 de la Conférence générale, comme mentionné dans le </w:t>
      </w:r>
      <w:r w:rsidRPr="00056722">
        <w:t>paragraphe</w:t>
      </w:r>
      <w:r>
        <w:t xml:space="preserve"> 5 du document de travail, mais cette mention pouvait être faite au </w:t>
      </w:r>
      <w:r w:rsidRPr="00056722">
        <w:t>paragraphe</w:t>
      </w:r>
      <w:r w:rsidR="0093340B">
        <w:t xml:space="preserve"> 3 du projet de décision.</w:t>
      </w:r>
    </w:p>
    <w:p w14:paraId="1EE50BF0" w14:textId="5E4E52B6" w:rsidR="00056722" w:rsidRDefault="00056722" w:rsidP="00AF7860">
      <w:pPr>
        <w:pStyle w:val="Orateurengris"/>
        <w:spacing w:before="120"/>
        <w:ind w:left="709" w:hanging="709"/>
      </w:pPr>
      <w:r>
        <w:t xml:space="preserve">Le </w:t>
      </w:r>
      <w:r w:rsidRPr="00056722">
        <w:rPr>
          <w:b/>
        </w:rPr>
        <w:t>Président</w:t>
      </w:r>
      <w:r>
        <w:t xml:space="preserve"> a pris note de l</w:t>
      </w:r>
      <w:r w:rsidR="00346F1B">
        <w:t>’</w:t>
      </w:r>
      <w:r>
        <w:t>omission de cette référence.</w:t>
      </w:r>
    </w:p>
    <w:p w14:paraId="1F939BDE" w14:textId="7B473813" w:rsidR="00056722" w:rsidRDefault="00056722" w:rsidP="00AF7860">
      <w:pPr>
        <w:pStyle w:val="Orateurengris"/>
        <w:spacing w:before="120"/>
        <w:ind w:left="709" w:hanging="709"/>
      </w:pPr>
      <w:r>
        <w:t xml:space="preserve">La </w:t>
      </w:r>
      <w:r w:rsidRPr="00056722">
        <w:t>délégation</w:t>
      </w:r>
      <w:r>
        <w:t xml:space="preserve"> de </w:t>
      </w:r>
      <w:r w:rsidRPr="00056722">
        <w:rPr>
          <w:b/>
        </w:rPr>
        <w:t>Cuba</w:t>
      </w:r>
      <w:r>
        <w:t xml:space="preserve"> a confirmé qu</w:t>
      </w:r>
      <w:r w:rsidR="00346F1B">
        <w:t>’</w:t>
      </w:r>
      <w:r>
        <w:t xml:space="preserve">elle souhaitait voir la référence à la </w:t>
      </w:r>
      <w:r w:rsidRPr="00056722">
        <w:t>résolution</w:t>
      </w:r>
      <w:r>
        <w:t xml:space="preserve"> apparaître au </w:t>
      </w:r>
      <w:r w:rsidRPr="00056722">
        <w:t>paragraphe</w:t>
      </w:r>
      <w:r w:rsidR="0093340B">
        <w:t xml:space="preserve"> 3.</w:t>
      </w:r>
    </w:p>
    <w:p w14:paraId="4B5146F1" w14:textId="71966731" w:rsidR="00056722" w:rsidRDefault="00056722" w:rsidP="00AF7860">
      <w:pPr>
        <w:pStyle w:val="Orateurengris"/>
        <w:spacing w:before="120"/>
        <w:ind w:left="709" w:hanging="709"/>
      </w:pPr>
      <w:r>
        <w:t>En l</w:t>
      </w:r>
      <w:r w:rsidR="00346F1B">
        <w:t>’</w:t>
      </w:r>
      <w:r>
        <w:t xml:space="preserve">absence de commentaires sur le </w:t>
      </w:r>
      <w:r w:rsidRPr="00056722">
        <w:t>paragraphe</w:t>
      </w:r>
      <w:r>
        <w:t xml:space="preserve"> 2, le </w:t>
      </w:r>
      <w:r w:rsidRPr="00056722">
        <w:rPr>
          <w:b/>
        </w:rPr>
        <w:t>Président</w:t>
      </w:r>
      <w:r w:rsidR="0093340B">
        <w:t xml:space="preserve"> a déclaré son adoption.</w:t>
      </w:r>
    </w:p>
    <w:p w14:paraId="67A76638" w14:textId="062348EF" w:rsidR="00056722" w:rsidRDefault="00056722" w:rsidP="00AF7860">
      <w:pPr>
        <w:pStyle w:val="Orateurengris"/>
        <w:spacing w:before="120"/>
        <w:ind w:left="709" w:hanging="709"/>
      </w:pPr>
      <w:r>
        <w:t xml:space="preserve">La </w:t>
      </w:r>
      <w:r w:rsidRPr="00056722">
        <w:t>délégation</w:t>
      </w:r>
      <w:r>
        <w:t xml:space="preserve"> de </w:t>
      </w:r>
      <w:r w:rsidRPr="00056722">
        <w:rPr>
          <w:b/>
        </w:rPr>
        <w:t>Cuba</w:t>
      </w:r>
      <w:r w:rsidR="00B1694A">
        <w:t xml:space="preserve"> souhaitait</w:t>
      </w:r>
      <w:r>
        <w:t xml:space="preserve"> adopter dans un premier temps le </w:t>
      </w:r>
      <w:r w:rsidRPr="00056722">
        <w:t>paragraphe</w:t>
      </w:r>
      <w:r>
        <w:t xml:space="preserve"> 3, car son </w:t>
      </w:r>
      <w:r w:rsidRPr="00056722">
        <w:t>amendement</w:t>
      </w:r>
      <w:r>
        <w:t xml:space="preserve"> constituerait un </w:t>
      </w:r>
      <w:r w:rsidRPr="00056722">
        <w:t>paragraphe</w:t>
      </w:r>
      <w:r>
        <w:t xml:space="preserve"> séparé inséré après le </w:t>
      </w:r>
      <w:r w:rsidRPr="00056722">
        <w:t>paragraphe</w:t>
      </w:r>
      <w:r>
        <w:t xml:space="preserve"> 3.</w:t>
      </w:r>
    </w:p>
    <w:p w14:paraId="21E06B82" w14:textId="4BDC9C08" w:rsidR="00056722" w:rsidRDefault="00056722" w:rsidP="00AF7860">
      <w:pPr>
        <w:pStyle w:val="Orateurengris"/>
        <w:spacing w:before="120"/>
        <w:ind w:left="709" w:hanging="709"/>
      </w:pPr>
      <w:r>
        <w:t>En l</w:t>
      </w:r>
      <w:r w:rsidR="00346F1B">
        <w:t>’</w:t>
      </w:r>
      <w:r>
        <w:t>absence d</w:t>
      </w:r>
      <w:r w:rsidR="00346F1B">
        <w:t>’</w:t>
      </w:r>
      <w:r>
        <w:t xml:space="preserve">autres commentaires, le </w:t>
      </w:r>
      <w:r w:rsidRPr="00056722">
        <w:rPr>
          <w:b/>
        </w:rPr>
        <w:t>Président</w:t>
      </w:r>
      <w:r>
        <w:t xml:space="preserve"> a déclaré le </w:t>
      </w:r>
      <w:r w:rsidRPr="00056722">
        <w:t>paragraphe</w:t>
      </w:r>
      <w:r w:rsidR="0093340B">
        <w:t xml:space="preserve"> 3 adopté.</w:t>
      </w:r>
    </w:p>
    <w:p w14:paraId="60762E03" w14:textId="35958D07" w:rsidR="00056722" w:rsidRDefault="00056722" w:rsidP="00AF7860">
      <w:pPr>
        <w:pStyle w:val="Orateurengris"/>
        <w:spacing w:before="120"/>
        <w:ind w:left="709" w:hanging="709"/>
      </w:pPr>
      <w:r>
        <w:t xml:space="preserve">La </w:t>
      </w:r>
      <w:r w:rsidRPr="00056722">
        <w:t>délégation</w:t>
      </w:r>
      <w:r>
        <w:t xml:space="preserve"> de </w:t>
      </w:r>
      <w:r w:rsidRPr="002D3737">
        <w:rPr>
          <w:b/>
        </w:rPr>
        <w:t>Cuba</w:t>
      </w:r>
      <w:r>
        <w:t xml:space="preserve"> a </w:t>
      </w:r>
      <w:r w:rsidR="002D3737">
        <w:t xml:space="preserve">proposé le </w:t>
      </w:r>
      <w:r w:rsidR="002D3737" w:rsidRPr="002D3737">
        <w:t>paragraphe</w:t>
      </w:r>
      <w:r w:rsidR="002D3737">
        <w:t xml:space="preserve"> 4 suivant : « Rappelant en outre la </w:t>
      </w:r>
      <w:r w:rsidR="002D3737" w:rsidRPr="002D3737">
        <w:t>résolution</w:t>
      </w:r>
      <w:r w:rsidR="002D3737">
        <w:t xml:space="preserve"> 38C/101 »</w:t>
      </w:r>
      <w:r w:rsidR="0093340B">
        <w:t>.</w:t>
      </w:r>
    </w:p>
    <w:p w14:paraId="747889E1" w14:textId="52BF8888" w:rsidR="002D3737" w:rsidRPr="002D3737" w:rsidRDefault="002D3737" w:rsidP="00AF7860">
      <w:pPr>
        <w:pStyle w:val="Orateurengris"/>
        <w:spacing w:before="120"/>
        <w:ind w:left="709" w:hanging="709"/>
      </w:pPr>
      <w:r w:rsidRPr="002D3737">
        <w:t xml:space="preserve">Le </w:t>
      </w:r>
      <w:r w:rsidRPr="002D3737">
        <w:rPr>
          <w:b/>
        </w:rPr>
        <w:t>Président</w:t>
      </w:r>
      <w:r w:rsidRPr="002D3737">
        <w:t xml:space="preserve"> a</w:t>
      </w:r>
      <w:r>
        <w:t xml:space="preserve"> signalé que le </w:t>
      </w:r>
      <w:r w:rsidRPr="002D3737">
        <w:t>paragraphe</w:t>
      </w:r>
      <w:r>
        <w:t xml:space="preserve"> 3 commençait déjà par « rappelant en outre » et a proposé qu</w:t>
      </w:r>
      <w:r w:rsidR="00346F1B">
        <w:t>’</w:t>
      </w:r>
      <w:r>
        <w:t xml:space="preserve">il débute par « rappelant </w:t>
      </w:r>
      <w:r w:rsidRPr="002D3737">
        <w:t>également</w:t>
      </w:r>
      <w:r>
        <w:t> ». En l</w:t>
      </w:r>
      <w:r w:rsidR="00346F1B">
        <w:t>’</w:t>
      </w:r>
      <w:r>
        <w:t>absence d</w:t>
      </w:r>
      <w:r w:rsidR="00346F1B">
        <w:t>’</w:t>
      </w:r>
      <w:r>
        <w:t xml:space="preserve">objections, le Président a déclaré la </w:t>
      </w:r>
      <w:r w:rsidRPr="002D3737">
        <w:t>paragraphe</w:t>
      </w:r>
      <w:r>
        <w:t xml:space="preserve"> 4 adopté. Aucun commentaire ou objection n</w:t>
      </w:r>
      <w:r w:rsidR="00346F1B">
        <w:t>’</w:t>
      </w:r>
      <w:r>
        <w:t xml:space="preserve">ayant été formulé à propos des </w:t>
      </w:r>
      <w:r w:rsidRPr="002D3737">
        <w:t>p</w:t>
      </w:r>
      <w:r>
        <w:t xml:space="preserve">aragraphes 5 et 6, ils ont été </w:t>
      </w:r>
      <w:r w:rsidR="008052AC">
        <w:t>dûment</w:t>
      </w:r>
      <w:r>
        <w:t xml:space="preserve"> adoptés. Le Président a </w:t>
      </w:r>
      <w:r w:rsidR="00B1694A">
        <w:t xml:space="preserve">signalé </w:t>
      </w:r>
      <w:r>
        <w:t xml:space="preserve">une </w:t>
      </w:r>
      <w:r w:rsidRPr="002D3737">
        <w:t xml:space="preserve">proposition </w:t>
      </w:r>
      <w:r>
        <w:t xml:space="preserve">des Philippines pour le </w:t>
      </w:r>
      <w:r w:rsidRPr="002D3737">
        <w:t>paragraphe</w:t>
      </w:r>
      <w:r w:rsidR="0093340B">
        <w:t xml:space="preserve"> 7.</w:t>
      </w:r>
    </w:p>
    <w:p w14:paraId="3E93F3B4" w14:textId="3F71DA01" w:rsidR="002D3737" w:rsidRDefault="002D3737" w:rsidP="00AF7860">
      <w:pPr>
        <w:pStyle w:val="Orateurengris"/>
        <w:spacing w:before="120"/>
        <w:ind w:left="709" w:hanging="709"/>
      </w:pPr>
      <w:r>
        <w:t xml:space="preserve">La </w:t>
      </w:r>
      <w:r w:rsidRPr="002D3737">
        <w:t>délégation</w:t>
      </w:r>
      <w:r>
        <w:t xml:space="preserve"> des </w:t>
      </w:r>
      <w:r w:rsidRPr="002D3737">
        <w:rPr>
          <w:b/>
        </w:rPr>
        <w:t>Philippines</w:t>
      </w:r>
      <w:r w:rsidR="00B1694A">
        <w:t xml:space="preserve"> estimait</w:t>
      </w:r>
      <w:r>
        <w:t xml:space="preserve"> que son </w:t>
      </w:r>
      <w:r w:rsidRPr="002D3737">
        <w:t>amendement</w:t>
      </w:r>
      <w:r>
        <w:t xml:space="preserve"> [texte souligné] au </w:t>
      </w:r>
      <w:r w:rsidRPr="002D3737">
        <w:t>paragraphe</w:t>
      </w:r>
      <w:r>
        <w:t xml:space="preserve"> 7 sur la bonne gouvernance, comme évoqué dans le préambule, </w:t>
      </w:r>
      <w:r w:rsidR="00CE4D31">
        <w:t xml:space="preserve">était assez évident. Il serait ainsi rédigé : « Décide de transmettre, comme il a été demandé, </w:t>
      </w:r>
      <w:r w:rsidR="00CE4D31" w:rsidRPr="00CE4D31">
        <w:rPr>
          <w:u w:val="single"/>
        </w:rPr>
        <w:t>les deux annexes du document ITH/16/11.COM/5</w:t>
      </w:r>
      <w:r w:rsidR="00CE4D31">
        <w:t xml:space="preserve">, le document ITH/16/11.COM/7, </w:t>
      </w:r>
      <w:r w:rsidR="00CE4D31" w:rsidRPr="00CE4D31">
        <w:rPr>
          <w:u w:val="single"/>
        </w:rPr>
        <w:t>le document ITH/16/11.COM/8</w:t>
      </w:r>
      <w:r w:rsidR="00CE4D31">
        <w:t xml:space="preserve"> et la décision correspondante au Président du </w:t>
      </w:r>
      <w:r w:rsidR="00881A0A">
        <w:t>G</w:t>
      </w:r>
      <w:r w:rsidR="00CE4D31" w:rsidRPr="00CE4D31">
        <w:t>roupe de travail</w:t>
      </w:r>
      <w:r w:rsidR="00CE4D31">
        <w:t xml:space="preserve"> </w:t>
      </w:r>
      <w:r w:rsidR="00881A0A">
        <w:t xml:space="preserve">à composition non limitée </w:t>
      </w:r>
      <w:r w:rsidR="00CE4D31">
        <w:t xml:space="preserve">sur la gouvernance, les procédures </w:t>
      </w:r>
      <w:r w:rsidR="00881A0A">
        <w:t>et les méthodes de travail des O</w:t>
      </w:r>
      <w:r w:rsidR="00CE4D31">
        <w:t>rganes directeurs de l</w:t>
      </w:r>
      <w:r w:rsidR="00346F1B">
        <w:t>’</w:t>
      </w:r>
      <w:r w:rsidR="00CE4D31">
        <w:t>UNESCO ».</w:t>
      </w:r>
    </w:p>
    <w:p w14:paraId="038F2614" w14:textId="6791D734" w:rsidR="006C273B" w:rsidRPr="006C273B" w:rsidRDefault="00CE4D31" w:rsidP="00AF7860">
      <w:pPr>
        <w:pStyle w:val="Orateurengris"/>
        <w:spacing w:before="120"/>
        <w:ind w:left="709" w:hanging="709"/>
      </w:pPr>
      <w:r>
        <w:t xml:space="preserve">La </w:t>
      </w:r>
      <w:r w:rsidRPr="00CE4D31">
        <w:t>délégation</w:t>
      </w:r>
      <w:r>
        <w:t xml:space="preserve"> de </w:t>
      </w:r>
      <w:r w:rsidRPr="00CE4D31">
        <w:rPr>
          <w:b/>
        </w:rPr>
        <w:t>Cuba</w:t>
      </w:r>
      <w:r>
        <w:t xml:space="preserve"> a exprimé sa </w:t>
      </w:r>
      <w:r w:rsidRPr="00CE4D31">
        <w:t>préoccupation</w:t>
      </w:r>
      <w:r>
        <w:t xml:space="preserve"> quant à l</w:t>
      </w:r>
      <w:r w:rsidR="00346F1B">
        <w:t>’</w:t>
      </w:r>
      <w:r>
        <w:t>envoi d</w:t>
      </w:r>
      <w:r w:rsidR="00346F1B">
        <w:t>’</w:t>
      </w:r>
      <w:r>
        <w:t xml:space="preserve">un tel rapport au </w:t>
      </w:r>
      <w:r w:rsidR="00881A0A">
        <w:t>G</w:t>
      </w:r>
      <w:r w:rsidRPr="00CE4D31">
        <w:t>roupe de travail</w:t>
      </w:r>
      <w:r>
        <w:t xml:space="preserve"> sur la gouvernance. Après avoir remercié le Secrétariat</w:t>
      </w:r>
      <w:r w:rsidR="00DB49C8">
        <w:t xml:space="preserve"> pour la clarté de ses</w:t>
      </w:r>
      <w:r>
        <w:t xml:space="preserve"> </w:t>
      </w:r>
      <w:r w:rsidRPr="00CE4D31">
        <w:t>informations</w:t>
      </w:r>
      <w:r>
        <w:t xml:space="preserve"> et les progrès accomp</w:t>
      </w:r>
      <w:r w:rsidR="00DB49C8">
        <w:t>lis dans le traitement de cette</w:t>
      </w:r>
      <w:r>
        <w:t xml:space="preserve"> </w:t>
      </w:r>
      <w:r w:rsidRPr="00CE4D31">
        <w:t>recommandation</w:t>
      </w:r>
      <w:r>
        <w:t>, elle a souligné que ces recommandations n</w:t>
      </w:r>
      <w:r w:rsidR="00346F1B">
        <w:t>’</w:t>
      </w:r>
      <w:r>
        <w:t>avaient pas été approuvées par la Conférence générale et qu</w:t>
      </w:r>
      <w:r w:rsidR="00346F1B">
        <w:t>’</w:t>
      </w:r>
      <w:r>
        <w:t>elles n</w:t>
      </w:r>
      <w:r w:rsidR="00346F1B">
        <w:t>’</w:t>
      </w:r>
      <w:r>
        <w:t>étaient donc pas obligatoires même si le Comité souhaitait mettre en œuvre</w:t>
      </w:r>
      <w:r w:rsidR="009F2DD7">
        <w:t xml:space="preserve"> des mesures destinées à améliorer l</w:t>
      </w:r>
      <w:r w:rsidR="00346F1B">
        <w:t>’</w:t>
      </w:r>
      <w:r w:rsidR="009F2DD7">
        <w:t xml:space="preserve">efficacité de son travail. La </w:t>
      </w:r>
      <w:r w:rsidR="009F2DD7" w:rsidRPr="009F2DD7">
        <w:t>délégation</w:t>
      </w:r>
      <w:r w:rsidR="009F2DD7">
        <w:t xml:space="preserve"> avait le sentiment qu</w:t>
      </w:r>
      <w:r w:rsidR="00346F1B">
        <w:t>’</w:t>
      </w:r>
      <w:r w:rsidR="009F2DD7">
        <w:t>il n</w:t>
      </w:r>
      <w:r w:rsidR="00346F1B">
        <w:t>’</w:t>
      </w:r>
      <w:r w:rsidR="009F2DD7">
        <w:t>était pas cohérent d</w:t>
      </w:r>
      <w:r w:rsidR="00346F1B">
        <w:t>’</w:t>
      </w:r>
      <w:r w:rsidR="009F2DD7">
        <w:t>associer les recommandations de l</w:t>
      </w:r>
      <w:r w:rsidR="00346F1B">
        <w:t>’</w:t>
      </w:r>
      <w:r w:rsidR="009F2DD7">
        <w:t>Auditeur, qui n</w:t>
      </w:r>
      <w:r w:rsidR="00346F1B">
        <w:t>’</w:t>
      </w:r>
      <w:r w:rsidR="009F2DD7">
        <w:t xml:space="preserve">avaient pas été approuvées par la Conférence générale, aux autres mesures qui avaient été adoptées. La </w:t>
      </w:r>
      <w:r w:rsidR="009F2DD7" w:rsidRPr="009F2DD7">
        <w:t>délégation</w:t>
      </w:r>
      <w:r w:rsidR="009F2DD7">
        <w:t xml:space="preserve"> a suggéré d</w:t>
      </w:r>
      <w:r w:rsidR="00346F1B">
        <w:t>’</w:t>
      </w:r>
      <w:r w:rsidR="009F2DD7">
        <w:t>énumérer les mesures adoptées par la Conférence générale sans les associer aux recommandations de l</w:t>
      </w:r>
      <w:r w:rsidR="00346F1B">
        <w:t>’</w:t>
      </w:r>
      <w:r w:rsidR="009F2DD7">
        <w:t xml:space="preserve">Auditeur. Cela impliquerait de travailler sur un nouveau document, et </w:t>
      </w:r>
      <w:r w:rsidR="00D40343">
        <w:t xml:space="preserve">pas </w:t>
      </w:r>
      <w:r w:rsidR="009F2DD7">
        <w:t xml:space="preserve">seulement </w:t>
      </w:r>
      <w:r w:rsidR="00D40343">
        <w:t xml:space="preserve">sur les annexes. En outre, ce ne devrait pas être le seul rapport envoyé au </w:t>
      </w:r>
      <w:r w:rsidR="00881A0A">
        <w:t>G</w:t>
      </w:r>
      <w:r w:rsidR="00D40343" w:rsidRPr="00D40343">
        <w:t>roupe de travail</w:t>
      </w:r>
      <w:r w:rsidR="00D40343">
        <w:t xml:space="preserve"> sur la gouvernance. La </w:t>
      </w:r>
      <w:r w:rsidR="00D40343" w:rsidRPr="00D40343">
        <w:t>Convention</w:t>
      </w:r>
      <w:r w:rsidR="00D40343">
        <w:t xml:space="preserve"> et ses organes devaient réfléchir </w:t>
      </w:r>
      <w:r w:rsidR="00045D9F">
        <w:t xml:space="preserve">à </w:t>
      </w:r>
      <w:r w:rsidR="00D40343">
        <w:t>l</w:t>
      </w:r>
      <w:r w:rsidR="00346F1B">
        <w:t>’</w:t>
      </w:r>
      <w:r w:rsidR="00D40343">
        <w:t xml:space="preserve">esprit de la </w:t>
      </w:r>
      <w:r w:rsidR="00D40343" w:rsidRPr="00D40343">
        <w:t>résolution</w:t>
      </w:r>
      <w:r w:rsidR="00346F1B">
        <w:t> </w:t>
      </w:r>
      <w:r w:rsidR="00D40343">
        <w:t>101, une réflexion qui restait à mener. D</w:t>
      </w:r>
      <w:r w:rsidR="00346F1B">
        <w:t>’</w:t>
      </w:r>
      <w:r w:rsidR="00D40343">
        <w:t>autres organes avaient mené cette réflexion par des consultations électroniques et en inscrivant la question à un point de l</w:t>
      </w:r>
      <w:r w:rsidR="00346F1B">
        <w:t>’</w:t>
      </w:r>
      <w:r w:rsidR="00D40343" w:rsidRPr="00D40343">
        <w:t>ordre du jour</w:t>
      </w:r>
      <w:r w:rsidR="00D40343">
        <w:t xml:space="preserve"> avant l</w:t>
      </w:r>
      <w:r w:rsidR="00346F1B">
        <w:t>’</w:t>
      </w:r>
      <w:r w:rsidR="00D40343">
        <w:t xml:space="preserve">Assemblée générale. La </w:t>
      </w:r>
      <w:r w:rsidR="00D40343" w:rsidRPr="00D40343">
        <w:t>délégation</w:t>
      </w:r>
      <w:r w:rsidR="00D40343">
        <w:t xml:space="preserve"> </w:t>
      </w:r>
      <w:r w:rsidR="00B1694A">
        <w:t>estimait donc</w:t>
      </w:r>
      <w:r w:rsidR="00045D9F">
        <w:t xml:space="preserve"> qu</w:t>
      </w:r>
      <w:r w:rsidR="00346F1B">
        <w:t>’</w:t>
      </w:r>
      <w:r w:rsidR="00045D9F">
        <w:t>il était délicat</w:t>
      </w:r>
      <w:r w:rsidR="00D40343">
        <w:t xml:space="preserve"> de présenter au </w:t>
      </w:r>
      <w:r w:rsidR="00881A0A">
        <w:t>G</w:t>
      </w:r>
      <w:r w:rsidR="00D40343" w:rsidRPr="00D40343">
        <w:t>roupe de travail</w:t>
      </w:r>
      <w:r w:rsidR="00D40343">
        <w:t xml:space="preserve"> sur la gouvernance ce rapport comme </w:t>
      </w:r>
      <w:r w:rsidR="00045D9F">
        <w:t xml:space="preserve">étant </w:t>
      </w:r>
      <w:r w:rsidR="00D40343">
        <w:t xml:space="preserve">le résultat final du travail entrepris. La </w:t>
      </w:r>
      <w:r w:rsidR="00D40343" w:rsidRPr="00D40343">
        <w:t>délégation</w:t>
      </w:r>
      <w:r w:rsidR="00D40343">
        <w:t xml:space="preserve"> a concédé qu</w:t>
      </w:r>
      <w:r w:rsidR="00346F1B">
        <w:t>’</w:t>
      </w:r>
      <w:r w:rsidR="00D40343">
        <w:t>il s</w:t>
      </w:r>
      <w:r w:rsidR="00346F1B">
        <w:t>’</w:t>
      </w:r>
      <w:r w:rsidR="00D40343">
        <w:t>agissait d</w:t>
      </w:r>
      <w:r w:rsidR="00346F1B">
        <w:t>’</w:t>
      </w:r>
      <w:r w:rsidR="00D40343">
        <w:t>un bon poi</w:t>
      </w:r>
      <w:r w:rsidR="006C273B">
        <w:t>nt de départ mais que du travail restait à accomplir sur la base d</w:t>
      </w:r>
      <w:r w:rsidR="00346F1B">
        <w:t>’</w:t>
      </w:r>
      <w:r w:rsidR="006C273B">
        <w:t>une vaste consultation des États parties. Par ailleurs, une grande partie des mesures avaient été adoptées avant l</w:t>
      </w:r>
      <w:r w:rsidR="00346F1B">
        <w:t>’</w:t>
      </w:r>
      <w:r w:rsidR="006C273B">
        <w:t xml:space="preserve">adoption de la </w:t>
      </w:r>
      <w:r w:rsidR="006C273B" w:rsidRPr="006C273B">
        <w:t>résolution</w:t>
      </w:r>
      <w:r w:rsidR="006C273B">
        <w:t xml:space="preserve"> de la Conférence générale appelant à une réflexion plus approfondie sur les problème</w:t>
      </w:r>
      <w:r w:rsidR="00B1694A">
        <w:t>s auxquels étaient confrontés la</w:t>
      </w:r>
      <w:r w:rsidR="006C273B">
        <w:t xml:space="preserve"> </w:t>
      </w:r>
      <w:r w:rsidR="006C273B" w:rsidRPr="006C273B">
        <w:t>Convention</w:t>
      </w:r>
      <w:r w:rsidR="006C273B">
        <w:t xml:space="preserve"> de 2003 et son Comité. La </w:t>
      </w:r>
      <w:r w:rsidR="006C273B" w:rsidRPr="006C273B">
        <w:t xml:space="preserve">proposition </w:t>
      </w:r>
      <w:r w:rsidR="006C273B">
        <w:t xml:space="preserve">[des Philippines] </w:t>
      </w:r>
      <w:r w:rsidR="00045D9F">
        <w:t xml:space="preserve">posait </w:t>
      </w:r>
      <w:r w:rsidR="006C273B">
        <w:t>donc des problèmes. Le Comité avait invité, d</w:t>
      </w:r>
      <w:r w:rsidR="00346F1B">
        <w:t>’</w:t>
      </w:r>
      <w:r w:rsidR="006C273B">
        <w:t xml:space="preserve">une part, le Bureau à consulter les États parties sur les méthodes de travail de la </w:t>
      </w:r>
      <w:r w:rsidR="006C273B" w:rsidRPr="006C273B">
        <w:t>Convention</w:t>
      </w:r>
      <w:r w:rsidR="006C273B">
        <w:t xml:space="preserve"> et sur la </w:t>
      </w:r>
      <w:r w:rsidR="006C273B" w:rsidRPr="006C273B">
        <w:t>résolution</w:t>
      </w:r>
      <w:r w:rsidR="006C273B">
        <w:t xml:space="preserve"> de la Conférence générale sur la gouvernance, cette consultation devant s</w:t>
      </w:r>
      <w:r w:rsidR="00346F1B">
        <w:t>’</w:t>
      </w:r>
      <w:r w:rsidR="006C273B">
        <w:t>inscrire dans un calendrier précis, et, d</w:t>
      </w:r>
      <w:r w:rsidR="00346F1B">
        <w:t>’</w:t>
      </w:r>
      <w:r w:rsidR="006C273B">
        <w:t>autre part, à inclure ce point à l</w:t>
      </w:r>
      <w:r w:rsidR="00346F1B">
        <w:t>’</w:t>
      </w:r>
      <w:r w:rsidR="006C273B" w:rsidRPr="006C273B">
        <w:t>ordre du jour</w:t>
      </w:r>
      <w:r w:rsidR="006C273B">
        <w:t xml:space="preserve"> de l</w:t>
      </w:r>
      <w:r w:rsidR="00346F1B">
        <w:t>’</w:t>
      </w:r>
      <w:r w:rsidR="006C273B">
        <w:t>Assemblée générale suivant la prochaine session du Comité. En 2017, la Conférence générale travaillerait sur ce sujet, aussi un libellé plus précis était néce</w:t>
      </w:r>
      <w:r w:rsidR="00045D9F">
        <w:t>s</w:t>
      </w:r>
      <w:r w:rsidR="0093340B">
        <w:t>saire.</w:t>
      </w:r>
    </w:p>
    <w:p w14:paraId="2BC020A7" w14:textId="099CA5B1" w:rsidR="00045D9F" w:rsidRDefault="00045D9F" w:rsidP="00AF7860">
      <w:pPr>
        <w:pStyle w:val="Orateurengris"/>
        <w:spacing w:before="120"/>
        <w:ind w:left="709" w:hanging="709"/>
      </w:pPr>
      <w:r>
        <w:t xml:space="preserve">Après avoir écouté Cuba et afin de dissiper ses craintes, la </w:t>
      </w:r>
      <w:r w:rsidRPr="00045D9F">
        <w:t>délégation</w:t>
      </w:r>
      <w:r>
        <w:t xml:space="preserve"> de l</w:t>
      </w:r>
      <w:r w:rsidR="00346F1B">
        <w:t>’</w:t>
      </w:r>
      <w:r w:rsidRPr="00045D9F">
        <w:rPr>
          <w:b/>
        </w:rPr>
        <w:t>Algérie</w:t>
      </w:r>
      <w:r>
        <w:t xml:space="preserve"> a convenu que ni le Conseil exécutif, ni la Conférence générale n</w:t>
      </w:r>
      <w:r w:rsidR="00346F1B">
        <w:t>’</w:t>
      </w:r>
      <w:r>
        <w:t>avait encore adopté les recommandations de l</w:t>
      </w:r>
      <w:r w:rsidR="00346F1B">
        <w:t>’</w:t>
      </w:r>
      <w:r>
        <w:t xml:space="preserve">Auditeur externe et que seules trois recommandations avaient été pleinement adoptées par les États parties. </w:t>
      </w:r>
      <w:r w:rsidRPr="00045D9F">
        <w:t>Toutefois</w:t>
      </w:r>
      <w:r>
        <w:t>, l</w:t>
      </w:r>
      <w:r w:rsidR="00346F1B">
        <w:t>’</w:t>
      </w:r>
      <w:r>
        <w:t>Auditeur externe avait réalisé une analyse très réaliste de la situation que connaissaient de nombreux programmes et Conventions de l</w:t>
      </w:r>
      <w:r w:rsidR="00346F1B">
        <w:t>’</w:t>
      </w:r>
      <w:r>
        <w:t xml:space="preserve">UNESCO et il était souhaitable </w:t>
      </w:r>
      <w:r w:rsidR="00233778">
        <w:t>qu</w:t>
      </w:r>
      <w:r w:rsidR="00346F1B">
        <w:t>’</w:t>
      </w:r>
      <w:r w:rsidR="00233778">
        <w:t xml:space="preserve">il soit fait quelque écho de cette analyse, même si tous les </w:t>
      </w:r>
      <w:r w:rsidR="00A46CAD">
        <w:t>membres</w:t>
      </w:r>
      <w:r w:rsidR="00233778">
        <w:t xml:space="preserve"> ne souscrivaient pas aux solutions proposées. La </w:t>
      </w:r>
      <w:r w:rsidR="00233778" w:rsidRPr="00233778">
        <w:t>délégation</w:t>
      </w:r>
      <w:r w:rsidR="00233778">
        <w:t xml:space="preserve"> a donc proposé l</w:t>
      </w:r>
      <w:r w:rsidR="00346F1B">
        <w:t>’</w:t>
      </w:r>
      <w:r w:rsidR="00233778">
        <w:t xml:space="preserve">insertion du libellé suivant : « Décide de transmettre au </w:t>
      </w:r>
      <w:r w:rsidR="00881A0A">
        <w:t>G</w:t>
      </w:r>
      <w:r w:rsidR="00233778" w:rsidRPr="00233778">
        <w:t>roupe de travail</w:t>
      </w:r>
      <w:r w:rsidR="00233778">
        <w:t xml:space="preserve"> sur la gouvernance un rapport sur la situation des réformes en cours » et la suppression de « comme il a été demandé », « les deux annexes », et « et la décision correspondante ». Ainsi, le </w:t>
      </w:r>
      <w:r w:rsidR="00233778" w:rsidRPr="00233778">
        <w:t>paragraphe</w:t>
      </w:r>
      <w:r w:rsidR="00233778">
        <w:t xml:space="preserve"> n</w:t>
      </w:r>
      <w:r w:rsidR="00346F1B">
        <w:t>’</w:t>
      </w:r>
      <w:r w:rsidR="00233778">
        <w:t xml:space="preserve">entrerait pas trop dans les détails et des documents qui ne recueillaient pas nécessairement un consensus ne seraient pas transmis au </w:t>
      </w:r>
      <w:r w:rsidR="00881A0A">
        <w:t>G</w:t>
      </w:r>
      <w:r w:rsidR="00233778" w:rsidRPr="00233778">
        <w:t>roupe de travail</w:t>
      </w:r>
      <w:r w:rsidR="0093340B">
        <w:t>.</w:t>
      </w:r>
    </w:p>
    <w:p w14:paraId="55086C3A" w14:textId="498C1ED0" w:rsidR="00513EA7" w:rsidRPr="00513EA7" w:rsidRDefault="00233778" w:rsidP="00AF7860">
      <w:pPr>
        <w:pStyle w:val="Orateurengris"/>
        <w:spacing w:before="120"/>
        <w:ind w:left="709" w:hanging="709"/>
      </w:pPr>
      <w:r>
        <w:t xml:space="preserve">La </w:t>
      </w:r>
      <w:r w:rsidRPr="00233778">
        <w:t>délégation</w:t>
      </w:r>
      <w:r>
        <w:t xml:space="preserve"> du </w:t>
      </w:r>
      <w:r w:rsidRPr="00233778">
        <w:rPr>
          <w:b/>
        </w:rPr>
        <w:t>Sénégal</w:t>
      </w:r>
      <w:r>
        <w:t xml:space="preserve"> n</w:t>
      </w:r>
      <w:r w:rsidR="00346F1B">
        <w:t>’</w:t>
      </w:r>
      <w:r>
        <w:t>avait pas d</w:t>
      </w:r>
      <w:r w:rsidR="00346F1B">
        <w:t>’</w:t>
      </w:r>
      <w:r>
        <w:t xml:space="preserve">objection à la </w:t>
      </w:r>
      <w:r w:rsidRPr="00233778">
        <w:t xml:space="preserve">proposition </w:t>
      </w:r>
      <w:r>
        <w:t>de l</w:t>
      </w:r>
      <w:r w:rsidR="00346F1B">
        <w:t>’</w:t>
      </w:r>
      <w:r>
        <w:t xml:space="preserve">Algérie car il était, selon elle, important de transmettre un document au </w:t>
      </w:r>
      <w:r w:rsidR="00881A0A">
        <w:t>G</w:t>
      </w:r>
      <w:r w:rsidRPr="00233778">
        <w:t>roupe de travail</w:t>
      </w:r>
      <w:r>
        <w:t xml:space="preserve"> sur la gouvernance. Elle a convenu que le problème résidait dans le fait que cette question n</w:t>
      </w:r>
      <w:r w:rsidR="00346F1B">
        <w:t>’</w:t>
      </w:r>
      <w:r>
        <w:t xml:space="preserve">avait pas été abordée </w:t>
      </w:r>
      <w:r w:rsidR="008A75FF">
        <w:t>selon l</w:t>
      </w:r>
      <w:r w:rsidR="00346F1B">
        <w:t>’</w:t>
      </w:r>
      <w:r w:rsidR="008A75FF">
        <w:t xml:space="preserve">approche </w:t>
      </w:r>
      <w:r>
        <w:t>souhaité</w:t>
      </w:r>
      <w:r w:rsidR="008A75FF">
        <w:t>e</w:t>
      </w:r>
      <w:r>
        <w:t xml:space="preserve"> par la Conférence ou le </w:t>
      </w:r>
      <w:r w:rsidR="00881A0A">
        <w:t>G</w:t>
      </w:r>
      <w:r w:rsidRPr="00233778">
        <w:t>roupe de travail</w:t>
      </w:r>
      <w:r>
        <w:t xml:space="preserve"> lui-même. </w:t>
      </w:r>
      <w:r w:rsidR="008A75FF">
        <w:t>Comme l</w:t>
      </w:r>
      <w:r w:rsidR="00346F1B">
        <w:t>’</w:t>
      </w:r>
      <w:r w:rsidR="008A75FF">
        <w:t>avait expliqué Cuba, il aurait été souhaitable et préférable que l</w:t>
      </w:r>
      <w:r w:rsidR="00346F1B">
        <w:t>’</w:t>
      </w:r>
      <w:r w:rsidR="008A75FF">
        <w:t>Assemblée générale ait eu l</w:t>
      </w:r>
      <w:r w:rsidR="00346F1B">
        <w:t>’</w:t>
      </w:r>
      <w:r w:rsidR="008A75FF" w:rsidRPr="008A75FF">
        <w:t>opportunité</w:t>
      </w:r>
      <w:r w:rsidR="008A75FF">
        <w:t xml:space="preserve"> de débattre des recommandations formulées par l</w:t>
      </w:r>
      <w:r w:rsidR="00346F1B">
        <w:t>’</w:t>
      </w:r>
      <w:r w:rsidR="008A75FF">
        <w:t xml:space="preserve">Auditeur externe, notamment </w:t>
      </w:r>
      <w:r w:rsidR="008A75FF" w:rsidRPr="008A75FF">
        <w:t>parce que</w:t>
      </w:r>
      <w:r w:rsidR="008A75FF">
        <w:t xml:space="preserve"> certaines d</w:t>
      </w:r>
      <w:r w:rsidR="00513EA7">
        <w:t>e c</w:t>
      </w:r>
      <w:r w:rsidR="008A75FF">
        <w:t>es recommandations étaient pertinentes alors que d</w:t>
      </w:r>
      <w:r w:rsidR="00346F1B">
        <w:t>’</w:t>
      </w:r>
      <w:r w:rsidR="008A75FF">
        <w:t xml:space="preserve">autres étaient sujettes à caution. </w:t>
      </w:r>
      <w:r w:rsidR="008A75FF" w:rsidRPr="008A75FF">
        <w:t>Toutefois</w:t>
      </w:r>
      <w:r w:rsidR="008A75FF">
        <w:t xml:space="preserve">, puisque le </w:t>
      </w:r>
      <w:r w:rsidR="00881A0A">
        <w:t>G</w:t>
      </w:r>
      <w:r w:rsidR="008A75FF" w:rsidRPr="008A75FF">
        <w:t>roupe de travail</w:t>
      </w:r>
      <w:r w:rsidR="008A75FF">
        <w:t xml:space="preserve"> avait demandé au Comité de produire un </w:t>
      </w:r>
      <w:r w:rsidR="00513EA7">
        <w:t>document</w:t>
      </w:r>
      <w:r w:rsidR="008A75FF">
        <w:t xml:space="preserve"> avant la fin de l</w:t>
      </w:r>
      <w:r w:rsidR="00346F1B">
        <w:t>’</w:t>
      </w:r>
      <w:r w:rsidR="008A75FF">
        <w:t>année, le Comité n</w:t>
      </w:r>
      <w:r w:rsidR="00346F1B">
        <w:t>’</w:t>
      </w:r>
      <w:r w:rsidR="008A75FF">
        <w:t>avait d</w:t>
      </w:r>
      <w:r w:rsidR="00346F1B">
        <w:t>’</w:t>
      </w:r>
      <w:r w:rsidR="008A75FF">
        <w:t xml:space="preserve">autre choix que de se soumettre à cette requête. La </w:t>
      </w:r>
      <w:r w:rsidR="008A75FF" w:rsidRPr="008A75FF">
        <w:t>délégation</w:t>
      </w:r>
      <w:r w:rsidR="008A75FF">
        <w:t xml:space="preserve"> a regretté l</w:t>
      </w:r>
      <w:r w:rsidR="00346F1B">
        <w:t>’</w:t>
      </w:r>
      <w:r w:rsidR="008A75FF">
        <w:t>abs</w:t>
      </w:r>
      <w:r w:rsidR="00513EA7">
        <w:t>ence d</w:t>
      </w:r>
      <w:r w:rsidR="00346F1B">
        <w:t>’</w:t>
      </w:r>
      <w:r w:rsidR="00513EA7">
        <w:t>opportunités de réflexion</w:t>
      </w:r>
      <w:r w:rsidR="008A75FF">
        <w:t xml:space="preserve"> à toutes les recommandations de l</w:t>
      </w:r>
      <w:r w:rsidR="00346F1B">
        <w:t>’</w:t>
      </w:r>
      <w:r w:rsidR="008A75FF">
        <w:t xml:space="preserve">Auditeur externe. Cependant, le Secrétariat et le Comité avaient entretemps réalisé un certain travail et il importait que celui-ci soit transmis au </w:t>
      </w:r>
      <w:r w:rsidR="00881A0A">
        <w:t>G</w:t>
      </w:r>
      <w:r w:rsidR="008A75FF" w:rsidRPr="008A75FF">
        <w:t>roupe de travail</w:t>
      </w:r>
      <w:r w:rsidR="008A75FF">
        <w:t xml:space="preserve">. En même temps, le document lui-même profiterait de cette </w:t>
      </w:r>
      <w:r w:rsidR="008A75FF" w:rsidRPr="008A75FF">
        <w:t xml:space="preserve">transmission </w:t>
      </w:r>
      <w:r w:rsidR="008A75FF">
        <w:t xml:space="preserve">car il présentait certaines réflexions et observations du Secrétariat sur </w:t>
      </w:r>
      <w:r w:rsidR="003A7F42">
        <w:t>quelques-unes</w:t>
      </w:r>
      <w:r w:rsidR="008A75FF">
        <w:t xml:space="preserve"> des recommandations (</w:t>
      </w:r>
      <w:r w:rsidR="008A75FF" w:rsidRPr="008A75FF">
        <w:t>par exemple</w:t>
      </w:r>
      <w:r w:rsidR="008A75FF">
        <w:t xml:space="preserve">, le Secrétariat </w:t>
      </w:r>
      <w:r w:rsidR="00513EA7">
        <w:t xml:space="preserve">affirmait </w:t>
      </w:r>
      <w:r w:rsidR="008A75FF">
        <w:t xml:space="preserve">très clairement que la </w:t>
      </w:r>
      <w:r w:rsidR="008A75FF" w:rsidRPr="008A75FF">
        <w:t>recommandation</w:t>
      </w:r>
      <w:r w:rsidR="008A75FF">
        <w:t xml:space="preserve"> 5 était irréalisable</w:t>
      </w:r>
      <w:r w:rsidR="00513EA7">
        <w:t>, voire qu</w:t>
      </w:r>
      <w:r w:rsidR="00346F1B">
        <w:t>’</w:t>
      </w:r>
      <w:r w:rsidR="00513EA7">
        <w:t>elle n</w:t>
      </w:r>
      <w:r w:rsidR="00346F1B">
        <w:t>’</w:t>
      </w:r>
      <w:r w:rsidR="00513EA7">
        <w:t>était absolument pas pertinente). Dans tous les cas, le Comité d</w:t>
      </w:r>
      <w:r w:rsidR="00513EA7" w:rsidRPr="00513EA7">
        <w:t xml:space="preserve">éciderait seul </w:t>
      </w:r>
      <w:r w:rsidR="00513EA7">
        <w:t>de cette question au cours de l</w:t>
      </w:r>
      <w:r w:rsidR="00346F1B">
        <w:t>’</w:t>
      </w:r>
      <w:r w:rsidR="00513EA7">
        <w:t xml:space="preserve">année à venir, après la Conférence générale. Il y avait donc une opportunité pour le </w:t>
      </w:r>
      <w:r w:rsidR="00881A0A">
        <w:t>G</w:t>
      </w:r>
      <w:r w:rsidR="00513EA7" w:rsidRPr="00513EA7">
        <w:t>roupe de travail</w:t>
      </w:r>
      <w:r w:rsidR="00513EA7">
        <w:t xml:space="preserve"> de poursuivre la réflexion sur toutes ces questions, mais celui-ci devait disposer d</w:t>
      </w:r>
      <w:r w:rsidR="00346F1B">
        <w:t>’</w:t>
      </w:r>
      <w:r w:rsidR="00513EA7">
        <w:t>un document sur lequel fonder son travail. C</w:t>
      </w:r>
      <w:r w:rsidR="00346F1B">
        <w:t>’</w:t>
      </w:r>
      <w:r w:rsidR="00513EA7">
        <w:t xml:space="preserve">était la raison pour laquelle, la </w:t>
      </w:r>
      <w:r w:rsidR="00513EA7" w:rsidRPr="00513EA7">
        <w:t>délégation</w:t>
      </w:r>
      <w:r w:rsidR="00513EA7">
        <w:t xml:space="preserve"> soutenait l</w:t>
      </w:r>
      <w:r w:rsidR="00346F1B">
        <w:t>’</w:t>
      </w:r>
      <w:r w:rsidR="00513EA7" w:rsidRPr="00513EA7">
        <w:t>amendement</w:t>
      </w:r>
      <w:r w:rsidR="00513EA7">
        <w:t>, même si elle aurait préféré le libellé d</w:t>
      </w:r>
      <w:r w:rsidR="00346F1B">
        <w:t>’</w:t>
      </w:r>
      <w:r w:rsidR="00513EA7">
        <w:t>origine.</w:t>
      </w:r>
    </w:p>
    <w:p w14:paraId="1F980DDB" w14:textId="61BEB931" w:rsidR="00513EA7" w:rsidRPr="00CE544E" w:rsidRDefault="00CE544E" w:rsidP="00AF7860">
      <w:pPr>
        <w:pStyle w:val="Orateurengris"/>
        <w:spacing w:before="120"/>
        <w:ind w:left="709" w:hanging="709"/>
      </w:pPr>
      <w:r w:rsidRPr="00CE544E">
        <w:t xml:space="preserve">La délégation de </w:t>
      </w:r>
      <w:r w:rsidRPr="007C2B42">
        <w:rPr>
          <w:b/>
        </w:rPr>
        <w:t>Cuba</w:t>
      </w:r>
      <w:r w:rsidRPr="00CE544E">
        <w:t xml:space="preserve"> </w:t>
      </w:r>
      <w:r w:rsidR="00B1694A">
        <w:t xml:space="preserve">apportait </w:t>
      </w:r>
      <w:r w:rsidR="007C2B42">
        <w:t>son soutien à l</w:t>
      </w:r>
      <w:r w:rsidR="00346F1B">
        <w:t>’</w:t>
      </w:r>
      <w:r w:rsidR="007C2B42" w:rsidRPr="007C2B42">
        <w:t>amendement</w:t>
      </w:r>
      <w:r w:rsidR="007C2B42">
        <w:t xml:space="preserve"> soumis par l</w:t>
      </w:r>
      <w:r w:rsidR="00346F1B">
        <w:t>’</w:t>
      </w:r>
      <w:r w:rsidR="007C2B42">
        <w:t>Algérie ainsi qu</w:t>
      </w:r>
      <w:r w:rsidR="00346F1B">
        <w:t>’</w:t>
      </w:r>
      <w:r w:rsidR="007C2B42">
        <w:t>aux remarques formulées par le Sénégal, car elle estimait qu</w:t>
      </w:r>
      <w:r w:rsidR="00346F1B">
        <w:t>’</w:t>
      </w:r>
      <w:r w:rsidR="007C2B42">
        <w:t xml:space="preserve">afin de se conformer à la </w:t>
      </w:r>
      <w:r w:rsidR="007C2B42" w:rsidRPr="007C2B42">
        <w:t>recommandation</w:t>
      </w:r>
      <w:r w:rsidR="007C2B42">
        <w:t xml:space="preserve">, un document sur les mesures en vigueur devait bien être transmis. </w:t>
      </w:r>
      <w:r w:rsidR="007C2B42" w:rsidRPr="007C2B42">
        <w:t>Toutefois</w:t>
      </w:r>
      <w:r w:rsidR="007C2B42">
        <w:t xml:space="preserve">, le Comité pourrait aller plus avant et </w:t>
      </w:r>
      <w:r w:rsidR="007C2B42" w:rsidRPr="007C2B42">
        <w:t>peut-être</w:t>
      </w:r>
      <w:r w:rsidR="007C2B42">
        <w:t xml:space="preserve"> ajouter un </w:t>
      </w:r>
      <w:r w:rsidR="007C2B42" w:rsidRPr="007C2B42">
        <w:t>paragraphe</w:t>
      </w:r>
      <w:r w:rsidR="007C2B42">
        <w:t xml:space="preserve"> demandant au Secrétariat de lancer une procédure de consultation auprès des États parties sur les méthodes de travail et les procédures de gouvernance de la </w:t>
      </w:r>
      <w:r w:rsidR="007C2B42" w:rsidRPr="007C2B42">
        <w:t>Convention</w:t>
      </w:r>
      <w:r w:rsidR="007C2B42">
        <w:t xml:space="preserve">, et, dans le même </w:t>
      </w:r>
      <w:r w:rsidR="007C2B42" w:rsidRPr="007C2B42">
        <w:t>paragraphe</w:t>
      </w:r>
      <w:r w:rsidR="007C2B42">
        <w:t xml:space="preserve"> ou dans un autre, il pourrait </w:t>
      </w:r>
      <w:r w:rsidR="007C2B42" w:rsidRPr="007C2B42">
        <w:t>également</w:t>
      </w:r>
      <w:r w:rsidR="007C2B42">
        <w:t xml:space="preserve"> demander au Secrétariat d</w:t>
      </w:r>
      <w:r w:rsidR="00346F1B">
        <w:t>’</w:t>
      </w:r>
      <w:r w:rsidR="007C2B42">
        <w:t>inscrire ce point à l</w:t>
      </w:r>
      <w:r w:rsidR="00346F1B">
        <w:t>’</w:t>
      </w:r>
      <w:r w:rsidR="007C2B42">
        <w:t>agenda de la prochaine Assemblée générale. Ainsi, l</w:t>
      </w:r>
      <w:r w:rsidR="00346F1B">
        <w:t>’</w:t>
      </w:r>
      <w:r w:rsidR="007C2B42" w:rsidRPr="007C2B42">
        <w:t>amendement</w:t>
      </w:r>
      <w:r w:rsidR="007C2B42">
        <w:t xml:space="preserve"> proposé par l</w:t>
      </w:r>
      <w:r w:rsidR="00346F1B">
        <w:t>’</w:t>
      </w:r>
      <w:r w:rsidR="007C2B42">
        <w:t xml:space="preserve">Algérie aux termes duquel le </w:t>
      </w:r>
      <w:r w:rsidR="00881A0A">
        <w:t>G</w:t>
      </w:r>
      <w:r w:rsidR="007C2B42" w:rsidRPr="007C2B42">
        <w:t>roupe de travail</w:t>
      </w:r>
      <w:r w:rsidR="007C2B42">
        <w:t xml:space="preserve"> recevrait un rapport sur les progrès accomplis par la </w:t>
      </w:r>
      <w:r w:rsidR="007C2B42" w:rsidRPr="007C2B42">
        <w:t>Convention</w:t>
      </w:r>
      <w:r w:rsidR="007C2B42">
        <w:t>, serait satisfait. Après avoir jugé louables les actions mises en œuvre</w:t>
      </w:r>
      <w:r w:rsidR="00AB6619">
        <w:t xml:space="preserve">, la </w:t>
      </w:r>
      <w:r w:rsidR="00AB6619" w:rsidRPr="00AB6619">
        <w:t>délégation</w:t>
      </w:r>
      <w:r w:rsidR="00AB6619">
        <w:t xml:space="preserve"> a souligné qu</w:t>
      </w:r>
      <w:r w:rsidR="00346F1B">
        <w:t>’</w:t>
      </w:r>
      <w:r w:rsidR="00AB6619">
        <w:t xml:space="preserve">elles viendraient compléter une procédure de consultation sur les méthodes de travail semblable à celle entreprise par les organes subsidiaires et les organes des </w:t>
      </w:r>
      <w:r w:rsidR="00AB6619" w:rsidRPr="00AB6619">
        <w:t>Convention</w:t>
      </w:r>
      <w:r w:rsidR="00AB6619">
        <w:t>s de l</w:t>
      </w:r>
      <w:r w:rsidR="00346F1B">
        <w:t>’</w:t>
      </w:r>
      <w:r w:rsidR="00AB6619">
        <w:t>UNESCO. Ainsi, la question serait inscrite à l</w:t>
      </w:r>
      <w:r w:rsidR="00346F1B">
        <w:t>’</w:t>
      </w:r>
      <w:r w:rsidR="00AB6619" w:rsidRPr="00AB6619">
        <w:t>ordre du jour</w:t>
      </w:r>
      <w:r w:rsidR="00AB6619">
        <w:t xml:space="preserve"> de la prochaine Assemblée générale, avec le rapport rédigé suite à la procédure de consultation. Si les États parties ou le Secrétariat estimaient qu</w:t>
      </w:r>
      <w:r w:rsidR="00346F1B">
        <w:t>’</w:t>
      </w:r>
      <w:r w:rsidR="00AB6619">
        <w:t xml:space="preserve">une procédure de consultation de cette envergure était compliquée, la </w:t>
      </w:r>
      <w:r w:rsidR="00AB6619" w:rsidRPr="00AB6619">
        <w:t>délégation</w:t>
      </w:r>
      <w:r w:rsidR="00AB6619">
        <w:t xml:space="preserve"> suggérait que, </w:t>
      </w:r>
      <w:r w:rsidR="00AB6619" w:rsidRPr="00AB6619">
        <w:t>peut-être</w:t>
      </w:r>
      <w:r w:rsidR="00AB6619">
        <w:t xml:space="preserve">, seuls les </w:t>
      </w:r>
      <w:r w:rsidR="00A46CAD">
        <w:t>membres du Comité</w:t>
      </w:r>
      <w:r w:rsidR="00AB6619">
        <w:t xml:space="preserve"> y participent, le Bureau jouant un rôle essentiel dans la </w:t>
      </w:r>
      <w:r w:rsidR="00AB6619" w:rsidRPr="00AB6619">
        <w:t>préparation</w:t>
      </w:r>
      <w:r w:rsidR="00AB6619">
        <w:t xml:space="preserve"> du rapport. La </w:t>
      </w:r>
      <w:r w:rsidR="00AB6619" w:rsidRPr="00AB6619">
        <w:t>délégation</w:t>
      </w:r>
      <w:r w:rsidR="00AB6619">
        <w:t xml:space="preserve"> a suggéré </w:t>
      </w:r>
      <w:r w:rsidR="00B1694A">
        <w:t>au Secrétariat de donner son av</w:t>
      </w:r>
      <w:r w:rsidR="00AB6619">
        <w:t>is sur le meilleur mécanisme à mettre en place pour cette procédure de consulta</w:t>
      </w:r>
      <w:r w:rsidR="0093340B">
        <w:t>tion approfondie et définitive.</w:t>
      </w:r>
    </w:p>
    <w:p w14:paraId="35230F6E" w14:textId="1CD788FE" w:rsidR="00AB6619" w:rsidRDefault="00AB6619" w:rsidP="00AF7860">
      <w:pPr>
        <w:pStyle w:val="Orateurengris"/>
        <w:spacing w:before="120"/>
        <w:ind w:left="709" w:hanging="709"/>
      </w:pPr>
      <w:r>
        <w:t xml:space="preserve">Après avoir </w:t>
      </w:r>
      <w:r w:rsidR="00BD21BC">
        <w:t xml:space="preserve">noté </w:t>
      </w:r>
      <w:r>
        <w:t>qu</w:t>
      </w:r>
      <w:r w:rsidR="00346F1B">
        <w:t>’</w:t>
      </w:r>
      <w:r>
        <w:t>il s</w:t>
      </w:r>
      <w:r w:rsidR="00346F1B">
        <w:t>’</w:t>
      </w:r>
      <w:r>
        <w:t xml:space="preserve">agissait de questions parallèles, le </w:t>
      </w:r>
      <w:r w:rsidRPr="00AB6619">
        <w:rPr>
          <w:b/>
        </w:rPr>
        <w:t>Secrétaire</w:t>
      </w:r>
      <w:r>
        <w:t xml:space="preserve"> a fait remarquer que le Sénégal </w:t>
      </w:r>
      <w:r w:rsidR="00F04591">
        <w:t xml:space="preserve">avait </w:t>
      </w:r>
      <w:r w:rsidR="00BD21BC">
        <w:t xml:space="preserve">insisté sur </w:t>
      </w:r>
      <w:r w:rsidR="00F04591">
        <w:t xml:space="preserve">la demande spécifique du Président de la Conférence générale </w:t>
      </w:r>
      <w:r w:rsidR="00B1694A">
        <w:t xml:space="preserve">aux termes de </w:t>
      </w:r>
      <w:r w:rsidR="00F04591">
        <w:t xml:space="preserve">laquelle chacun des organes subsidiaires et de leurs organes devaient répondre, tandis que Cuba appelait à une consultation de plus grande envergure. Le </w:t>
      </w:r>
      <w:r w:rsidR="00F04591" w:rsidRPr="00F04591">
        <w:t>Secrétaire</w:t>
      </w:r>
      <w:r w:rsidR="00F04591">
        <w:t xml:space="preserve"> a ajouté qu</w:t>
      </w:r>
      <w:r w:rsidR="00346F1B">
        <w:t>’</w:t>
      </w:r>
      <w:r w:rsidR="00F04591">
        <w:t>une telle discussion lors de l</w:t>
      </w:r>
      <w:r w:rsidR="00346F1B">
        <w:t>’</w:t>
      </w:r>
      <w:r w:rsidR="00F04591">
        <w:t>Assemblée générale signifiait une consultation plus vaste des États parties. Le problème était évidemment le temps nécessaire à la mise en œuvre de cette procédure, qui ne pourrait s</w:t>
      </w:r>
      <w:r w:rsidR="00346F1B">
        <w:t>’</w:t>
      </w:r>
      <w:r w:rsidR="00F04591">
        <w:t xml:space="preserve">engager avant la Conférence générale. Une consultation supplémentaire poserait des questions de temps et de ressources. Après avoir reconnu que le Comité devait répondre à la demande du Président de la Conférence générale, le </w:t>
      </w:r>
      <w:r w:rsidR="00F04591" w:rsidRPr="00F04591">
        <w:t>Secrétaire</w:t>
      </w:r>
      <w:r w:rsidR="00F04591">
        <w:t xml:space="preserve"> a convenu que cela n</w:t>
      </w:r>
      <w:r w:rsidR="00346F1B">
        <w:t>’</w:t>
      </w:r>
      <w:r w:rsidR="00F04591">
        <w:t>empêchait pas le Comité d</w:t>
      </w:r>
      <w:r w:rsidR="00346F1B">
        <w:t>’</w:t>
      </w:r>
      <w:r w:rsidR="00F04591">
        <w:t>inscrire le point à l</w:t>
      </w:r>
      <w:r w:rsidR="00346F1B">
        <w:t>’</w:t>
      </w:r>
      <w:r w:rsidR="00F04591" w:rsidRPr="00F04591">
        <w:t>ordre du jour</w:t>
      </w:r>
      <w:r w:rsidR="00F04591">
        <w:t xml:space="preserve"> de l</w:t>
      </w:r>
      <w:r w:rsidR="00346F1B">
        <w:t>’</w:t>
      </w:r>
      <w:r w:rsidR="00F04591">
        <w:t>Assemblée générale, mais que pour des questions de chronologie, il ne serait pas possible de faire rapport de ces discus</w:t>
      </w:r>
      <w:r w:rsidR="0093340B">
        <w:t>sions à la Conférence générale.</w:t>
      </w:r>
    </w:p>
    <w:p w14:paraId="47345E55" w14:textId="2ABAAF79" w:rsidR="00561F0B" w:rsidRPr="00561F0B" w:rsidRDefault="00D76BA5" w:rsidP="00AF7860">
      <w:pPr>
        <w:pStyle w:val="Orateurengris"/>
        <w:spacing w:before="120"/>
        <w:ind w:left="709" w:hanging="709"/>
      </w:pPr>
      <w:r>
        <w:t xml:space="preserve">La </w:t>
      </w:r>
      <w:r w:rsidRPr="00D76BA5">
        <w:t>délégation</w:t>
      </w:r>
      <w:r>
        <w:t xml:space="preserve"> de </w:t>
      </w:r>
      <w:r w:rsidRPr="00D76BA5">
        <w:rPr>
          <w:b/>
        </w:rPr>
        <w:t>Cuba</w:t>
      </w:r>
      <w:r>
        <w:t xml:space="preserve"> comprenait et partageait les préoccupations du </w:t>
      </w:r>
      <w:r w:rsidRPr="00D76BA5">
        <w:t>Secrétaire</w:t>
      </w:r>
      <w:r>
        <w:t xml:space="preserve">. </w:t>
      </w:r>
      <w:r w:rsidR="008F6AE0">
        <w:t>Elle a ajouté que la question aurait dû être inscrite à l</w:t>
      </w:r>
      <w:r w:rsidR="00346F1B">
        <w:t>’</w:t>
      </w:r>
      <w:r w:rsidR="008F6AE0" w:rsidRPr="008F6AE0">
        <w:t>ordre du jour</w:t>
      </w:r>
      <w:r w:rsidR="008F6AE0">
        <w:t xml:space="preserve"> de l</w:t>
      </w:r>
      <w:r w:rsidR="00346F1B">
        <w:t>’</w:t>
      </w:r>
      <w:r w:rsidR="008F6AE0">
        <w:t>Assemblée générale qui s</w:t>
      </w:r>
      <w:r w:rsidR="00346F1B">
        <w:t>’</w:t>
      </w:r>
      <w:r w:rsidR="008F6AE0">
        <w:t>était tenue juin 2016 et qu</w:t>
      </w:r>
      <w:r w:rsidR="00346F1B">
        <w:t>’</w:t>
      </w:r>
      <w:r w:rsidR="008F6AE0">
        <w:t xml:space="preserve">il fallait donc </w:t>
      </w:r>
      <w:r w:rsidR="008F6AE0" w:rsidRPr="008F6AE0">
        <w:t>désormais</w:t>
      </w:r>
      <w:r w:rsidR="008F6AE0">
        <w:t xml:space="preserve"> faire avec un calendrier difficile. Afin de répondre à la demande de la Conférence générale, la </w:t>
      </w:r>
      <w:r w:rsidR="008F6AE0" w:rsidRPr="008F6AE0">
        <w:t>délégation</w:t>
      </w:r>
      <w:r w:rsidR="008F6AE0">
        <w:t xml:space="preserve"> a suggéré que les changements et modifications déjà mis en place dans la </w:t>
      </w:r>
      <w:r w:rsidR="008F6AE0" w:rsidRPr="008F6AE0">
        <w:t>Convention</w:t>
      </w:r>
      <w:r w:rsidR="008F6AE0">
        <w:t xml:space="preserve"> soient reliés aux recommandations de l</w:t>
      </w:r>
      <w:r w:rsidR="00346F1B">
        <w:t>’</w:t>
      </w:r>
      <w:r w:rsidR="008F6AE0">
        <w:t xml:space="preserve">Auditeur. Elle avait </w:t>
      </w:r>
      <w:r w:rsidR="008F6AE0" w:rsidRPr="008F6AE0">
        <w:t>toutefois</w:t>
      </w:r>
      <w:r w:rsidR="008F6AE0">
        <w:t xml:space="preserve"> le sentiment que ce ne serait ni le lieu ni le moment approprié car les recommandations n</w:t>
      </w:r>
      <w:r w:rsidR="00346F1B">
        <w:t>’</w:t>
      </w:r>
      <w:r w:rsidR="008F6AE0">
        <w:t xml:space="preserve">avaient pas encore été approuvées. </w:t>
      </w:r>
      <w:r w:rsidR="00985631">
        <w:t xml:space="preserve">Un nouveau document devrait être examiné à la prochaine session du Conseil exécutif en 2017, qui </w:t>
      </w:r>
      <w:r w:rsidR="00D15223">
        <w:t>bénéficierait alors du</w:t>
      </w:r>
      <w:r w:rsidR="00985631">
        <w:t xml:space="preserve"> retour de la Conférence générale. Pour ce travail, de nombreux organes n</w:t>
      </w:r>
      <w:r w:rsidR="00346F1B">
        <w:t>’</w:t>
      </w:r>
      <w:r w:rsidR="00985631">
        <w:t>étaient pas en mesure de se conformer à la date butoir recommandée de 2016. S</w:t>
      </w:r>
      <w:r w:rsidR="00346F1B">
        <w:t>’</w:t>
      </w:r>
      <w:r w:rsidR="00985631">
        <w:t xml:space="preserve">agissant de la procédure de consultation, la </w:t>
      </w:r>
      <w:r w:rsidR="00985631" w:rsidRPr="00985631">
        <w:t>délégation</w:t>
      </w:r>
      <w:r w:rsidR="00985631">
        <w:t xml:space="preserve"> a convenu que l</w:t>
      </w:r>
      <w:r w:rsidR="00346F1B">
        <w:t>’</w:t>
      </w:r>
      <w:r w:rsidR="00985631">
        <w:t xml:space="preserve">Assemblée générale </w:t>
      </w:r>
      <w:r w:rsidR="00561F0B">
        <w:t xml:space="preserve">constituait le plus grand forum possible </w:t>
      </w:r>
      <w:r w:rsidR="00985631">
        <w:t>et elle était donc prête à attendre jusqu</w:t>
      </w:r>
      <w:r w:rsidR="00346F1B">
        <w:t>’</w:t>
      </w:r>
      <w:r w:rsidR="00985631">
        <w:t xml:space="preserve">à la prochaine session en 2018, compte tenu </w:t>
      </w:r>
      <w:r w:rsidR="00985631" w:rsidRPr="00985631">
        <w:t>également</w:t>
      </w:r>
      <w:r w:rsidR="00985631">
        <w:t xml:space="preserve"> des ressources considérables qu</w:t>
      </w:r>
      <w:r w:rsidR="00346F1B">
        <w:t>’</w:t>
      </w:r>
      <w:r w:rsidR="00985631">
        <w:t xml:space="preserve">une telle procédure requérait. </w:t>
      </w:r>
      <w:r w:rsidR="00561F0B">
        <w:t xml:space="preserve">La </w:t>
      </w:r>
      <w:r w:rsidR="00561F0B" w:rsidRPr="00561F0B">
        <w:t>délégation</w:t>
      </w:r>
      <w:r w:rsidR="00561F0B">
        <w:t xml:space="preserve"> </w:t>
      </w:r>
      <w:r w:rsidR="00CA6D62">
        <w:t xml:space="preserve">estimait </w:t>
      </w:r>
      <w:r w:rsidR="00561F0B" w:rsidRPr="00561F0B">
        <w:t>néanmoins</w:t>
      </w:r>
      <w:r w:rsidR="00561F0B">
        <w:t xml:space="preserve"> qu</w:t>
      </w:r>
      <w:r w:rsidR="00346F1B">
        <w:t>’</w:t>
      </w:r>
      <w:r w:rsidR="00561F0B">
        <w:t xml:space="preserve">une pression </w:t>
      </w:r>
      <w:r w:rsidR="00D15223">
        <w:t xml:space="preserve">ne devait pas être exercée sur </w:t>
      </w:r>
      <w:r w:rsidR="00561F0B">
        <w:t>le Comité quant aux dates butoirs car les recommandations n</w:t>
      </w:r>
      <w:r w:rsidR="00346F1B">
        <w:t>’</w:t>
      </w:r>
      <w:r w:rsidR="00561F0B">
        <w:t xml:space="preserve">étaient jamais réellement adoptées. </w:t>
      </w:r>
      <w:r w:rsidR="00D15223">
        <w:t xml:space="preserve">Elle pouvait donc accepter la </w:t>
      </w:r>
      <w:r w:rsidR="00D15223" w:rsidRPr="00D15223">
        <w:t xml:space="preserve">proposition </w:t>
      </w:r>
      <w:r w:rsidR="00D15223">
        <w:t>de l</w:t>
      </w:r>
      <w:r w:rsidR="00346F1B">
        <w:t>’</w:t>
      </w:r>
      <w:r w:rsidR="00D15223">
        <w:t xml:space="preserve">Algérie et, afin de répondre à la demande de la Conférence générale, elle aimerait que soit rédigé un </w:t>
      </w:r>
      <w:r w:rsidR="00D15223" w:rsidRPr="00D15223">
        <w:t>p</w:t>
      </w:r>
      <w:r w:rsidR="00D15223">
        <w:t>aragraphe à part demandant au Secrétariat d</w:t>
      </w:r>
      <w:r w:rsidR="00346F1B">
        <w:t>’</w:t>
      </w:r>
      <w:r w:rsidR="00D15223">
        <w:t>inscrire cette question à l</w:t>
      </w:r>
      <w:r w:rsidR="00346F1B">
        <w:t>’</w:t>
      </w:r>
      <w:r w:rsidR="00D15223" w:rsidRPr="00D15223">
        <w:t>ordre du jour</w:t>
      </w:r>
      <w:r w:rsidR="00D15223">
        <w:t xml:space="preserve"> de la prochaine Assemblée générale. Ainsi, le Comité pourrait réaliser le travail préparatoire sur les méthodes de travail, les procédures et la gouvernance sur la base des conclusions du </w:t>
      </w:r>
      <w:r w:rsidR="00881A0A">
        <w:t>G</w:t>
      </w:r>
      <w:r w:rsidR="00D15223" w:rsidRPr="00D15223">
        <w:t>roupe de travail</w:t>
      </w:r>
      <w:r w:rsidR="0093340B">
        <w:t>.</w:t>
      </w:r>
    </w:p>
    <w:p w14:paraId="207AFD1D" w14:textId="7EF39F99" w:rsidR="00D15223" w:rsidRPr="00D15223" w:rsidRDefault="00D15223" w:rsidP="00AF7860">
      <w:pPr>
        <w:pStyle w:val="Orateurengris"/>
        <w:spacing w:before="120"/>
        <w:ind w:left="709" w:hanging="709"/>
      </w:pPr>
      <w:r w:rsidRPr="00D15223">
        <w:t xml:space="preserve">Le </w:t>
      </w:r>
      <w:r w:rsidRPr="00421B32">
        <w:rPr>
          <w:b/>
        </w:rPr>
        <w:t>Secrétaire</w:t>
      </w:r>
      <w:r>
        <w:t xml:space="preserve"> a </w:t>
      </w:r>
      <w:r w:rsidR="00421B32">
        <w:t xml:space="preserve">bien </w:t>
      </w:r>
      <w:r>
        <w:t>noté que le</w:t>
      </w:r>
      <w:r w:rsidR="00421B32">
        <w:t xml:space="preserve"> projet de </w:t>
      </w:r>
      <w:r w:rsidR="00421B32" w:rsidRPr="00421B32">
        <w:t>paragraphe</w:t>
      </w:r>
      <w:r w:rsidR="00421B32">
        <w:t xml:space="preserve"> 9 (inclure cette question en tant que point de l</w:t>
      </w:r>
      <w:r w:rsidR="00346F1B">
        <w:t>’</w:t>
      </w:r>
      <w:r w:rsidR="00421B32" w:rsidRPr="00421B32">
        <w:t>ordre du jour</w:t>
      </w:r>
      <w:r w:rsidR="00421B32">
        <w:t xml:space="preserve"> de la prochaine Assemblée générale) devenait désormais le </w:t>
      </w:r>
      <w:r w:rsidR="00421B32" w:rsidRPr="00421B32">
        <w:t>paragraphe</w:t>
      </w:r>
      <w:r w:rsidR="00421B32">
        <w:t xml:space="preserve"> 8, et que le </w:t>
      </w:r>
      <w:r w:rsidR="00421B32" w:rsidRPr="00421B32">
        <w:t>paragraphe</w:t>
      </w:r>
      <w:r w:rsidR="00421B32">
        <w:t xml:space="preserve"> 9 (demander une va</w:t>
      </w:r>
      <w:r w:rsidR="0093340B">
        <w:t>ste consultation) était annulé.</w:t>
      </w:r>
    </w:p>
    <w:p w14:paraId="0EF4F4C1" w14:textId="49384A3B" w:rsidR="00421B32" w:rsidRDefault="00421B32" w:rsidP="00AF7860">
      <w:pPr>
        <w:pStyle w:val="Orateurengris"/>
        <w:spacing w:before="120"/>
        <w:ind w:left="709" w:hanging="709"/>
      </w:pPr>
      <w:r>
        <w:t xml:space="preserve">La </w:t>
      </w:r>
      <w:r w:rsidRPr="00421B32">
        <w:t>délégation</w:t>
      </w:r>
      <w:r>
        <w:t xml:space="preserve"> de </w:t>
      </w:r>
      <w:r w:rsidRPr="00421B32">
        <w:rPr>
          <w:b/>
        </w:rPr>
        <w:t>Cuba</w:t>
      </w:r>
      <w:r w:rsidR="00CA6D62">
        <w:t xml:space="preserve"> </w:t>
      </w:r>
      <w:r>
        <w:t>souscri</w:t>
      </w:r>
      <w:r w:rsidR="00CA6D62">
        <w:t>vai</w:t>
      </w:r>
      <w:r>
        <w:t>t à cette proposition.</w:t>
      </w:r>
    </w:p>
    <w:p w14:paraId="29B13D1F" w14:textId="360E353A" w:rsidR="00421B32" w:rsidRPr="00421B32" w:rsidRDefault="00421B32" w:rsidP="00AF7860">
      <w:pPr>
        <w:pStyle w:val="Orateurengris"/>
        <w:spacing w:before="120"/>
        <w:ind w:left="709" w:hanging="709"/>
      </w:pPr>
      <w:r>
        <w:t xml:space="preserve">Avant de passer au </w:t>
      </w:r>
      <w:r w:rsidRPr="00421B32">
        <w:t>paragraphe</w:t>
      </w:r>
      <w:r>
        <w:t xml:space="preserve"> 8, la </w:t>
      </w:r>
      <w:r w:rsidRPr="00421B32">
        <w:t>délégation</w:t>
      </w:r>
      <w:r>
        <w:t xml:space="preserve"> de l</w:t>
      </w:r>
      <w:r w:rsidR="00346F1B">
        <w:t>’</w:t>
      </w:r>
      <w:r w:rsidRPr="00421B32">
        <w:rPr>
          <w:b/>
        </w:rPr>
        <w:t>Algérie</w:t>
      </w:r>
      <w:r w:rsidR="00CA6D62">
        <w:t xml:space="preserve"> souhaitait</w:t>
      </w:r>
      <w:r>
        <w:t xml:space="preserve"> disposer d</w:t>
      </w:r>
      <w:r w:rsidR="00346F1B">
        <w:t>’</w:t>
      </w:r>
      <w:r>
        <w:t xml:space="preserve">un libellé clair et précis du </w:t>
      </w:r>
      <w:r w:rsidRPr="00421B32">
        <w:t>paragraphe</w:t>
      </w:r>
      <w:r>
        <w:t xml:space="preserve"> 7, avec une clarification dans la phrase « un rapport sur la situation des réformes prévues ou en cours ».</w:t>
      </w:r>
    </w:p>
    <w:p w14:paraId="6B55296F" w14:textId="4AD1EBA1" w:rsidR="00421B32" w:rsidRPr="00421B32" w:rsidRDefault="00421B32" w:rsidP="00AF7860">
      <w:pPr>
        <w:pStyle w:val="Orateurengris"/>
        <w:spacing w:before="120"/>
        <w:ind w:left="709" w:hanging="709"/>
      </w:pPr>
      <w:r>
        <w:t xml:space="preserve">La </w:t>
      </w:r>
      <w:r w:rsidRPr="00421B32">
        <w:t>délégation</w:t>
      </w:r>
      <w:r>
        <w:t xml:space="preserve"> de la </w:t>
      </w:r>
      <w:r w:rsidRPr="00421B32">
        <w:rPr>
          <w:b/>
        </w:rPr>
        <w:t>Turquie</w:t>
      </w:r>
      <w:r>
        <w:t xml:space="preserve"> avait compris qu</w:t>
      </w:r>
      <w:r w:rsidR="00346F1B">
        <w:t>’</w:t>
      </w:r>
      <w:r>
        <w:t>il y aurait une autre session du Comité avant la prochaine session de l</w:t>
      </w:r>
      <w:r w:rsidR="00346F1B">
        <w:t>’</w:t>
      </w:r>
      <w:r>
        <w:t xml:space="preserve">Assemblée générale, et que le Comité devrait débattre du rapport avant de présenter la </w:t>
      </w:r>
      <w:r w:rsidRPr="00421B32">
        <w:t>recommandation</w:t>
      </w:r>
      <w:r>
        <w:t xml:space="preserve"> à la prochaine Assemblée générale de la </w:t>
      </w:r>
      <w:r w:rsidRPr="00421B32">
        <w:t>Convention</w:t>
      </w:r>
      <w:r w:rsidR="0093340B">
        <w:t>.</w:t>
      </w:r>
    </w:p>
    <w:p w14:paraId="198B2ED6" w14:textId="4358BEFF" w:rsidR="00421B32" w:rsidRDefault="00421B32" w:rsidP="00AF7860">
      <w:pPr>
        <w:pStyle w:val="Orateurengris"/>
        <w:spacing w:before="120"/>
        <w:ind w:left="709" w:hanging="709"/>
      </w:pPr>
      <w:r>
        <w:t xml:space="preserve">Le </w:t>
      </w:r>
      <w:r w:rsidRPr="00351D5E">
        <w:rPr>
          <w:b/>
        </w:rPr>
        <w:t>Secrétaire</w:t>
      </w:r>
      <w:r>
        <w:t xml:space="preserve"> a précisé que </w:t>
      </w:r>
      <w:r w:rsidR="00351D5E">
        <w:t>le rapport avait déjà été soumis au Comité, et qu</w:t>
      </w:r>
      <w:r w:rsidR="00346F1B">
        <w:t>’</w:t>
      </w:r>
      <w:r w:rsidR="00351D5E">
        <w:t xml:space="preserve">il devait </w:t>
      </w:r>
      <w:r w:rsidR="00351D5E" w:rsidRPr="00351D5E">
        <w:t>désormais</w:t>
      </w:r>
      <w:r w:rsidR="00351D5E">
        <w:t xml:space="preserve"> être soumis à l</w:t>
      </w:r>
      <w:r w:rsidR="00346F1B">
        <w:t>’</w:t>
      </w:r>
      <w:r w:rsidR="00351D5E">
        <w:t>Assemblée générale sans repasser p</w:t>
      </w:r>
      <w:r w:rsidR="0093340B">
        <w:t>ar une autre session du Comité.</w:t>
      </w:r>
    </w:p>
    <w:p w14:paraId="7232263D" w14:textId="38669356" w:rsidR="00351D5E" w:rsidRDefault="00351D5E" w:rsidP="00AF7860">
      <w:pPr>
        <w:pStyle w:val="Orateurengris"/>
        <w:spacing w:before="120"/>
        <w:ind w:left="709" w:hanging="709"/>
      </w:pPr>
      <w:r>
        <w:t xml:space="preserve">La </w:t>
      </w:r>
      <w:r w:rsidRPr="00351D5E">
        <w:t>délégation</w:t>
      </w:r>
      <w:r>
        <w:t xml:space="preserve"> de la </w:t>
      </w:r>
      <w:r w:rsidRPr="00351D5E">
        <w:rPr>
          <w:b/>
        </w:rPr>
        <w:t>Turquie</w:t>
      </w:r>
      <w:r>
        <w:t xml:space="preserve"> s</w:t>
      </w:r>
      <w:r w:rsidR="00346F1B">
        <w:t>’</w:t>
      </w:r>
      <w:r>
        <w:t>est dite satisfaite de cette explicati</w:t>
      </w:r>
      <w:r w:rsidR="0093340B">
        <w:t>on.</w:t>
      </w:r>
    </w:p>
    <w:p w14:paraId="540ADDCF" w14:textId="5ED7CDA9" w:rsidR="00C4177F" w:rsidRPr="00C4177F" w:rsidRDefault="00351D5E" w:rsidP="00AF7860">
      <w:pPr>
        <w:pStyle w:val="Orateurengris"/>
        <w:spacing w:before="120"/>
        <w:ind w:left="709" w:hanging="709"/>
      </w:pPr>
      <w:r>
        <w:t xml:space="preserve">La </w:t>
      </w:r>
      <w:r w:rsidRPr="00351D5E">
        <w:t>délégation</w:t>
      </w:r>
      <w:r>
        <w:t xml:space="preserve"> de </w:t>
      </w:r>
      <w:r w:rsidRPr="00351D5E">
        <w:rPr>
          <w:b/>
        </w:rPr>
        <w:t>Cuba</w:t>
      </w:r>
      <w:r>
        <w:t xml:space="preserve"> comprenait la </w:t>
      </w:r>
      <w:r w:rsidRPr="00351D5E">
        <w:t>préoccupation</w:t>
      </w:r>
      <w:r>
        <w:t xml:space="preserve"> de la Turquie car, normalement, le Comité engagerait une procédure de consultation à la suite de laquelle le Secrétariat préparerait un rapport, mais ce n</w:t>
      </w:r>
      <w:r w:rsidR="00346F1B">
        <w:t>’</w:t>
      </w:r>
      <w:r>
        <w:t xml:space="preserve">était pas encore le cas. </w:t>
      </w:r>
      <w:r w:rsidRPr="00351D5E">
        <w:t>Néanmoins</w:t>
      </w:r>
      <w:r>
        <w:t>, le Comité devait chercher une solution qui n</w:t>
      </w:r>
      <w:r w:rsidR="00346F1B">
        <w:t>’</w:t>
      </w:r>
      <w:r>
        <w:t>impliquait pas de présenter le présent rapport à l</w:t>
      </w:r>
      <w:r w:rsidR="00346F1B">
        <w:t>’</w:t>
      </w:r>
      <w:r>
        <w:t xml:space="preserve">Assemblée générale. La </w:t>
      </w:r>
      <w:r w:rsidRPr="00351D5E">
        <w:t>délégation</w:t>
      </w:r>
      <w:r>
        <w:t xml:space="preserve"> a suggéré qu</w:t>
      </w:r>
      <w:r w:rsidR="00346F1B">
        <w:t>’</w:t>
      </w:r>
      <w:r>
        <w:t xml:space="preserve">il soit demandé aux États parties de faire des contributions avant la session, dans le cadre du travail préparatoire pour la prochaine Assemblée générale, ou que le Secrétariat lance une consultation ou une demande pour recevoir des réactions et des </w:t>
      </w:r>
      <w:r w:rsidRPr="00351D5E">
        <w:t>informations</w:t>
      </w:r>
      <w:r>
        <w:t xml:space="preserve"> sur les mesures qui, selon les États parties, devraient êtr</w:t>
      </w:r>
      <w:r w:rsidR="00E07ED9">
        <w:t>e incluses dans ce débat</w:t>
      </w:r>
      <w:r>
        <w:t xml:space="preserve"> sur la gouvernance. La </w:t>
      </w:r>
      <w:r w:rsidRPr="00351D5E">
        <w:t>délégation</w:t>
      </w:r>
      <w:r w:rsidR="00C4177F">
        <w:t xml:space="preserve"> a rappelé le point de vue de la Turquie selon lequel</w:t>
      </w:r>
      <w:r>
        <w:t xml:space="preserve"> le Comité devrait </w:t>
      </w:r>
      <w:r w:rsidR="00C4177F">
        <w:t>revoir cette question à sa prochaine session car le présent rapport n</w:t>
      </w:r>
      <w:r w:rsidR="00346F1B">
        <w:t>’</w:t>
      </w:r>
      <w:r w:rsidR="00C4177F">
        <w:t>était pas ce qu</w:t>
      </w:r>
      <w:r w:rsidR="00346F1B">
        <w:t>’</w:t>
      </w:r>
      <w:r w:rsidR="00C4177F">
        <w:t xml:space="preserve">elle souhaitait voir présenter à la prochaine Assemblée générale. En tenant compte de la charge de travail du Secrétariat et de ses limites budgétaires, celui-ci pourrait </w:t>
      </w:r>
      <w:r w:rsidR="00C4177F" w:rsidRPr="00C4177F">
        <w:t>également</w:t>
      </w:r>
      <w:r w:rsidR="00C4177F">
        <w:t xml:space="preserve"> rédiger un rapport sur la base de la présente discuss</w:t>
      </w:r>
      <w:r w:rsidR="00E07ED9">
        <w:t>ion, avec d</w:t>
      </w:r>
      <w:r w:rsidR="00346F1B">
        <w:t>’</w:t>
      </w:r>
      <w:r w:rsidR="00E07ED9">
        <w:t xml:space="preserve">autres questions </w:t>
      </w:r>
      <w:r w:rsidR="00C4177F">
        <w:t>qui pourraient être présentées à l</w:t>
      </w:r>
      <w:r w:rsidR="0093340B">
        <w:t>a prochaine Assemblée générale.</w:t>
      </w:r>
    </w:p>
    <w:p w14:paraId="0792D40F" w14:textId="3E4F0390" w:rsidR="00E07ED9" w:rsidRDefault="00CA6D62" w:rsidP="00AF7860">
      <w:pPr>
        <w:pStyle w:val="Orateurengris"/>
        <w:spacing w:before="120"/>
        <w:ind w:left="709" w:hanging="709"/>
      </w:pPr>
      <w:r>
        <w:t>Compte tenu de</w:t>
      </w:r>
      <w:r w:rsidR="00E07ED9">
        <w:t xml:space="preserve"> la discussion, le </w:t>
      </w:r>
      <w:r w:rsidR="00E07ED9" w:rsidRPr="00E07ED9">
        <w:rPr>
          <w:b/>
        </w:rPr>
        <w:t>Secrétaire</w:t>
      </w:r>
      <w:r w:rsidR="00E07ED9">
        <w:t xml:space="preserve"> a proposé le libellé suivant : « Demande au Secrétariat d</w:t>
      </w:r>
      <w:r w:rsidR="00346F1B">
        <w:t>’</w:t>
      </w:r>
      <w:r w:rsidR="00E07ED9">
        <w:t>inclure ce point à l</w:t>
      </w:r>
      <w:r w:rsidR="00346F1B">
        <w:t>’</w:t>
      </w:r>
      <w:r w:rsidR="00E07ED9" w:rsidRPr="00E07ED9">
        <w:t>ordre du jour</w:t>
      </w:r>
      <w:r w:rsidR="00E07ED9">
        <w:t xml:space="preserve"> de la prochaine session du Comité afin de la présenter à la prochaine Assemblée générale ». Le </w:t>
      </w:r>
      <w:r w:rsidR="00E07ED9" w:rsidRPr="00E07ED9">
        <w:t>Secrétaire</w:t>
      </w:r>
      <w:r w:rsidR="00E07ED9">
        <w:t xml:space="preserve"> a expliqué que le rapport répondrait à l</w:t>
      </w:r>
      <w:r w:rsidR="00346F1B">
        <w:t>’</w:t>
      </w:r>
      <w:r w:rsidR="00E07ED9">
        <w:t>instruction du Président de la Conférence générale mais que la procédure de discussion pourrait se poursuivr</w:t>
      </w:r>
      <w:r w:rsidR="0093340B">
        <w:t>e jusqu</w:t>
      </w:r>
      <w:r w:rsidR="00346F1B">
        <w:t>’</w:t>
      </w:r>
      <w:r w:rsidR="0093340B">
        <w:t>à l</w:t>
      </w:r>
      <w:r w:rsidR="00346F1B">
        <w:t>’</w:t>
      </w:r>
      <w:r w:rsidR="0093340B">
        <w:t>Assemblée générale.</w:t>
      </w:r>
    </w:p>
    <w:p w14:paraId="46C80022" w14:textId="6D2408E4" w:rsidR="00E07ED9" w:rsidRDefault="00E07ED9" w:rsidP="00AF7860">
      <w:pPr>
        <w:pStyle w:val="Orateurengris"/>
        <w:spacing w:before="120"/>
        <w:ind w:left="709" w:hanging="709"/>
      </w:pPr>
      <w:r>
        <w:t xml:space="preserve">Le </w:t>
      </w:r>
      <w:r w:rsidRPr="00E07ED9">
        <w:rPr>
          <w:b/>
        </w:rPr>
        <w:t>Président</w:t>
      </w:r>
      <w:r>
        <w:t xml:space="preserve"> a poursuivi avec l</w:t>
      </w:r>
      <w:r w:rsidR="00346F1B">
        <w:t>’</w:t>
      </w:r>
      <w:r>
        <w:t xml:space="preserve">adoption du </w:t>
      </w:r>
      <w:r w:rsidRPr="00E07ED9">
        <w:t>paragraphe</w:t>
      </w:r>
      <w:r>
        <w:t xml:space="preserve"> 7, et en l</w:t>
      </w:r>
      <w:r w:rsidR="00346F1B">
        <w:t>’</w:t>
      </w:r>
      <w:r>
        <w:t>absence d</w:t>
      </w:r>
      <w:r w:rsidR="00346F1B">
        <w:t>’</w:t>
      </w:r>
      <w:r>
        <w:t xml:space="preserve">autres commentaires, celui-ci a été </w:t>
      </w:r>
      <w:r w:rsidR="008052AC">
        <w:t>dûment</w:t>
      </w:r>
      <w:r>
        <w:t xml:space="preserve"> adopté, de même que le </w:t>
      </w:r>
      <w:r w:rsidRPr="00E07ED9">
        <w:t>paragraphe</w:t>
      </w:r>
      <w:r>
        <w:t xml:space="preserve"> 8. Il est ensuite passé à l</w:t>
      </w:r>
      <w:r w:rsidR="00346F1B">
        <w:t>’</w:t>
      </w:r>
      <w:r>
        <w:t xml:space="preserve">adoption de la décision dans son </w:t>
      </w:r>
      <w:r w:rsidRPr="00E07ED9">
        <w:t>ensemble</w:t>
      </w:r>
      <w:r>
        <w:t xml:space="preserve"> et en l</w:t>
      </w:r>
      <w:r w:rsidR="00346F1B">
        <w:t>’</w:t>
      </w:r>
      <w:r>
        <w:t>absence d</w:t>
      </w:r>
      <w:r w:rsidR="00346F1B">
        <w:t>’</w:t>
      </w:r>
      <w:r>
        <w:t xml:space="preserve">autres commentaires ou objections, le </w:t>
      </w:r>
      <w:r w:rsidRPr="00BA6001">
        <w:rPr>
          <w:b/>
        </w:rPr>
        <w:t>Président a déclaré la décision 11.COM 7 adoptée</w:t>
      </w:r>
      <w:r w:rsidR="0093340B">
        <w:t>.</w:t>
      </w:r>
    </w:p>
    <w:p w14:paraId="43CEF8DB" w14:textId="120B93FB" w:rsidR="00BA6001" w:rsidRDefault="00BA6001" w:rsidP="00AF7860">
      <w:pPr>
        <w:pStyle w:val="Orateurengris"/>
        <w:spacing w:before="120"/>
        <w:ind w:left="709" w:hanging="709"/>
      </w:pPr>
      <w:r>
        <w:t xml:space="preserve">Le </w:t>
      </w:r>
      <w:r w:rsidRPr="00BA6001">
        <w:rPr>
          <w:b/>
        </w:rPr>
        <w:t>Secrétaire</w:t>
      </w:r>
      <w:r>
        <w:t xml:space="preserve"> a remercié les interprètes pour leur capacité d</w:t>
      </w:r>
      <w:r w:rsidR="00346F1B">
        <w:t>’</w:t>
      </w:r>
      <w:r>
        <w:t>adaptation, et a rappelé aux délégués l</w:t>
      </w:r>
      <w:r w:rsidR="00346F1B">
        <w:t>’</w:t>
      </w:r>
      <w:r>
        <w:t>ouverture d</w:t>
      </w:r>
      <w:r w:rsidR="00346F1B">
        <w:t>’</w:t>
      </w:r>
      <w:r>
        <w:t>un événement parallèle, « </w:t>
      </w:r>
      <w:r w:rsidRPr="00BA6001">
        <w:t>patrimoine</w:t>
      </w:r>
      <w:r>
        <w:t xml:space="preserve"> vivant à </w:t>
      </w:r>
      <w:r w:rsidRPr="00BA6001">
        <w:t>Addis Abeba</w:t>
      </w:r>
      <w:r>
        <w:t> », organisé c</w:t>
      </w:r>
      <w:r w:rsidRPr="00BA6001">
        <w:t>onjointement</w:t>
      </w:r>
      <w:r>
        <w:t xml:space="preserve"> avec </w:t>
      </w:r>
      <w:r w:rsidRPr="00C363EA">
        <w:t>l</w:t>
      </w:r>
      <w:r w:rsidR="00346F1B">
        <w:t>’</w:t>
      </w:r>
      <w:r w:rsidRPr="00C363EA">
        <w:t>Autorité éthiopienne pour la recherche et la conservation du patrimoine culturel</w:t>
      </w:r>
      <w:r w:rsidR="0093340B">
        <w:t>.</w:t>
      </w:r>
    </w:p>
    <w:p w14:paraId="2B3B28AF" w14:textId="1C0B3C02" w:rsidR="00D21658" w:rsidRPr="00BA6001" w:rsidRDefault="00BA6001" w:rsidP="002B4948">
      <w:pPr>
        <w:pStyle w:val="Orateurengris"/>
        <w:keepNext/>
        <w:numPr>
          <w:ilvl w:val="0"/>
          <w:numId w:val="0"/>
        </w:numPr>
        <w:spacing w:before="240" w:after="240"/>
        <w:ind w:left="567" w:hanging="567"/>
        <w:jc w:val="center"/>
        <w:outlineLvl w:val="0"/>
        <w:rPr>
          <w:i/>
        </w:rPr>
      </w:pPr>
      <w:r w:rsidRPr="00BA6001">
        <w:rPr>
          <w:i/>
        </w:rPr>
        <w:t>[Mardi 29 novembre 2016, séance du matin</w:t>
      </w:r>
      <w:r w:rsidR="0020793B" w:rsidRPr="00BA6001">
        <w:rPr>
          <w:i/>
        </w:rPr>
        <w:t>]</w:t>
      </w:r>
    </w:p>
    <w:p w14:paraId="5AF9294B" w14:textId="5AF87CE3" w:rsidR="005958CB" w:rsidRPr="00BA6001" w:rsidRDefault="00091781" w:rsidP="002B4948">
      <w:pPr>
        <w:pStyle w:val="Orateurengris"/>
        <w:keepNext/>
        <w:numPr>
          <w:ilvl w:val="0"/>
          <w:numId w:val="0"/>
        </w:numPr>
        <w:spacing w:before="360" w:after="60"/>
        <w:ind w:left="567" w:hanging="567"/>
        <w:jc w:val="left"/>
        <w:outlineLvl w:val="0"/>
        <w:rPr>
          <w:rFonts w:eastAsia="Cambria"/>
          <w:b/>
          <w:u w:val="single"/>
        </w:rPr>
      </w:pPr>
      <w:bookmarkStart w:id="7" w:name="Item8"/>
      <w:r>
        <w:rPr>
          <w:rFonts w:eastAsia="Cambria"/>
          <w:b/>
          <w:u w:val="single"/>
        </w:rPr>
        <w:t>POINT 8 DE L</w:t>
      </w:r>
      <w:r w:rsidR="00346F1B">
        <w:rPr>
          <w:rFonts w:eastAsia="Cambria"/>
          <w:b/>
          <w:u w:val="single"/>
        </w:rPr>
        <w:t>’</w:t>
      </w:r>
      <w:r w:rsidRPr="00091781">
        <w:rPr>
          <w:rFonts w:eastAsia="Cambria"/>
          <w:b/>
          <w:u w:val="single"/>
        </w:rPr>
        <w:t>ORDRE DU JOUR</w:t>
      </w:r>
      <w:r>
        <w:rPr>
          <w:rFonts w:eastAsia="Cambria"/>
          <w:b/>
          <w:u w:val="single"/>
        </w:rPr>
        <w:t> :</w:t>
      </w:r>
    </w:p>
    <w:bookmarkEnd w:id="7"/>
    <w:p w14:paraId="46FF4DE0" w14:textId="30432F04" w:rsidR="005958CB" w:rsidRPr="00BA6001" w:rsidRDefault="00091781" w:rsidP="002B4948">
      <w:pPr>
        <w:pStyle w:val="Orateurengris"/>
        <w:keepNext/>
        <w:numPr>
          <w:ilvl w:val="0"/>
          <w:numId w:val="0"/>
        </w:numPr>
        <w:jc w:val="left"/>
        <w:outlineLvl w:val="0"/>
        <w:rPr>
          <w:rFonts w:eastAsiaTheme="minorEastAsia"/>
          <w:b/>
        </w:rPr>
      </w:pPr>
      <w:r>
        <w:rPr>
          <w:rFonts w:eastAsiaTheme="minorEastAsia"/>
          <w:b/>
          <w:color w:val="323133"/>
          <w:lang w:eastAsia="ja-JP"/>
        </w:rPr>
        <w:t xml:space="preserve">CLARIFICATION DU PROCESSUS DE PRISE DE DÉCISIONS </w:t>
      </w:r>
      <w:r w:rsidRPr="00091781">
        <w:rPr>
          <w:rFonts w:eastAsiaTheme="minorEastAsia"/>
          <w:b/>
          <w:color w:val="323133"/>
          <w:lang w:eastAsia="ja-JP"/>
        </w:rPr>
        <w:t>CONCERNANT</w:t>
      </w:r>
      <w:r>
        <w:rPr>
          <w:rFonts w:eastAsiaTheme="minorEastAsia"/>
          <w:b/>
          <w:color w:val="323133"/>
          <w:lang w:eastAsia="ja-JP"/>
        </w:rPr>
        <w:t xml:space="preserve"> L</w:t>
      </w:r>
      <w:r w:rsidR="00346F1B">
        <w:rPr>
          <w:rFonts w:eastAsiaTheme="minorEastAsia"/>
          <w:b/>
          <w:color w:val="323133"/>
          <w:lang w:eastAsia="ja-JP"/>
        </w:rPr>
        <w:t>’</w:t>
      </w:r>
      <w:r w:rsidRPr="00091781">
        <w:rPr>
          <w:rFonts w:eastAsiaTheme="minorEastAsia"/>
          <w:b/>
          <w:color w:val="323133"/>
          <w:lang w:eastAsia="ja-JP"/>
        </w:rPr>
        <w:t>INSCRIPTION</w:t>
      </w:r>
      <w:r>
        <w:rPr>
          <w:rFonts w:eastAsiaTheme="minorEastAsia"/>
          <w:b/>
          <w:color w:val="323133"/>
          <w:lang w:eastAsia="ja-JP"/>
        </w:rPr>
        <w:t>, LA SÉLECTION OU L</w:t>
      </w:r>
      <w:r w:rsidR="00346F1B">
        <w:rPr>
          <w:rFonts w:eastAsiaTheme="minorEastAsia"/>
          <w:b/>
          <w:color w:val="323133"/>
          <w:lang w:eastAsia="ja-JP"/>
        </w:rPr>
        <w:t>’</w:t>
      </w:r>
      <w:r>
        <w:rPr>
          <w:rFonts w:eastAsiaTheme="minorEastAsia"/>
          <w:b/>
          <w:color w:val="323133"/>
          <w:lang w:eastAsia="ja-JP"/>
        </w:rPr>
        <w:t>APPROBATION DES CANDIDATURES, DES PROPOSITIONS ET DES DEMANDES</w:t>
      </w:r>
    </w:p>
    <w:p w14:paraId="55F21990" w14:textId="14C73156" w:rsidR="00CC2A7B" w:rsidRPr="00BA6001" w:rsidRDefault="005958CB" w:rsidP="00A97118">
      <w:pPr>
        <w:pStyle w:val="Orateurengris"/>
        <w:keepNext/>
        <w:numPr>
          <w:ilvl w:val="0"/>
          <w:numId w:val="0"/>
        </w:numPr>
        <w:spacing w:before="120" w:after="0"/>
        <w:ind w:left="709" w:hanging="709"/>
      </w:pPr>
      <w:r w:rsidRPr="00BA6001">
        <w:rPr>
          <w:b/>
        </w:rPr>
        <w:tab/>
      </w:r>
      <w:r w:rsidR="00CC2A7B" w:rsidRPr="00BA6001">
        <w:rPr>
          <w:b/>
        </w:rPr>
        <w:t>Document</w:t>
      </w:r>
      <w:r w:rsidR="00CC2A7B" w:rsidRPr="00BA6001">
        <w:rPr>
          <w:b/>
        </w:rPr>
        <w:tab/>
      </w:r>
      <w:hyperlink r:id="rId34" w:history="1">
        <w:r w:rsidR="00CC2A7B" w:rsidRPr="00BA6001">
          <w:rPr>
            <w:rStyle w:val="Hyperlink"/>
            <w:i/>
          </w:rPr>
          <w:t>ITH/16/11.COM/8</w:t>
        </w:r>
      </w:hyperlink>
    </w:p>
    <w:p w14:paraId="62503489" w14:textId="5FA04197" w:rsidR="00CC2A7B" w:rsidRPr="00BA6001" w:rsidRDefault="005958CB" w:rsidP="00A97118">
      <w:pPr>
        <w:pStyle w:val="Orateurengris"/>
        <w:keepNext/>
        <w:numPr>
          <w:ilvl w:val="0"/>
          <w:numId w:val="0"/>
        </w:numPr>
        <w:spacing w:after="240"/>
        <w:ind w:left="709" w:hanging="709"/>
      </w:pPr>
      <w:r w:rsidRPr="00BA6001">
        <w:rPr>
          <w:b/>
        </w:rPr>
        <w:tab/>
      </w:r>
      <w:r w:rsidR="00091781">
        <w:rPr>
          <w:b/>
        </w:rPr>
        <w:t>Dé</w:t>
      </w:r>
      <w:r w:rsidR="00CC2A7B" w:rsidRPr="00BA6001">
        <w:rPr>
          <w:b/>
        </w:rPr>
        <w:t>cision</w:t>
      </w:r>
      <w:r w:rsidR="00CC2A7B" w:rsidRPr="00BA6001">
        <w:tab/>
      </w:r>
      <w:r w:rsidR="00CC2A7B" w:rsidRPr="00BA6001">
        <w:rPr>
          <w:i/>
        </w:rPr>
        <w:t>11.COM 8</w:t>
      </w:r>
    </w:p>
    <w:p w14:paraId="228E803A" w14:textId="0532B1C9" w:rsidR="00091781" w:rsidRDefault="00091781" w:rsidP="00AF7860">
      <w:pPr>
        <w:pStyle w:val="Orateurengris"/>
        <w:tabs>
          <w:tab w:val="clear" w:pos="709"/>
          <w:tab w:val="clear" w:pos="1418"/>
          <w:tab w:val="clear" w:pos="2126"/>
          <w:tab w:val="clear" w:pos="2835"/>
          <w:tab w:val="clear" w:pos="3686"/>
        </w:tabs>
        <w:spacing w:before="120"/>
        <w:ind w:left="709" w:hanging="709"/>
      </w:pPr>
      <w:r>
        <w:t xml:space="preserve">Le </w:t>
      </w:r>
      <w:r w:rsidRPr="00875CB4">
        <w:rPr>
          <w:b/>
        </w:rPr>
        <w:t>Président</w:t>
      </w:r>
      <w:r w:rsidR="00875CB4">
        <w:t xml:space="preserve"> a signalé qu</w:t>
      </w:r>
      <w:r w:rsidR="00346F1B">
        <w:t>’</w:t>
      </w:r>
      <w:r w:rsidR="00875CB4">
        <w:t xml:space="preserve">il y avait </w:t>
      </w:r>
      <w:r>
        <w:t>un léger retard dans l</w:t>
      </w:r>
      <w:r w:rsidR="00346F1B">
        <w:t>’</w:t>
      </w:r>
      <w:r w:rsidRPr="00091781">
        <w:t>ordre du jour</w:t>
      </w:r>
      <w:r w:rsidR="00875CB4">
        <w:t xml:space="preserve"> qui a</w:t>
      </w:r>
      <w:r w:rsidR="001637E6">
        <w:t>vait</w:t>
      </w:r>
      <w:r w:rsidR="00875CB4">
        <w:t xml:space="preserve"> fait l</w:t>
      </w:r>
      <w:r w:rsidR="00346F1B">
        <w:t>’</w:t>
      </w:r>
      <w:r w:rsidR="00875CB4">
        <w:t>objet d</w:t>
      </w:r>
      <w:r w:rsidR="00346F1B">
        <w:t>’</w:t>
      </w:r>
      <w:r w:rsidR="00875CB4">
        <w:t>une discussion du Bureau ce matin. L</w:t>
      </w:r>
      <w:r w:rsidR="00346F1B">
        <w:t>’</w:t>
      </w:r>
      <w:r w:rsidR="00875CB4" w:rsidRPr="00875CB4">
        <w:t>ordre du jour</w:t>
      </w:r>
      <w:r w:rsidR="00875CB4">
        <w:t xml:space="preserve"> révisé prévoyait que les points 8, 9.a, 9.b et 9.c devaient être traités au cours de la séance du matin. Ils seraient suivis par les points 10 et 10.a dans la séance de l</w:t>
      </w:r>
      <w:r w:rsidR="00346F1B">
        <w:t>’</w:t>
      </w:r>
      <w:r w:rsidR="00875CB4">
        <w:t>après-midi. Il a précisé que le Bureau avait jusqu</w:t>
      </w:r>
      <w:r w:rsidR="00346F1B">
        <w:t>’</w:t>
      </w:r>
      <w:r w:rsidR="00875CB4">
        <w:t xml:space="preserve">alors reçu des demandes de débats pour douze candidatures et propositions. Le Président a appelé les </w:t>
      </w:r>
      <w:r w:rsidR="00A46CAD">
        <w:t>membres</w:t>
      </w:r>
      <w:r w:rsidR="00875CB4">
        <w:t xml:space="preserve"> à rester concis et </w:t>
      </w:r>
      <w:r w:rsidR="00A97118">
        <w:t>à s</w:t>
      </w:r>
      <w:r w:rsidR="00346F1B">
        <w:t>’</w:t>
      </w:r>
      <w:r w:rsidR="00A97118">
        <w:t>en tenir aux idées de fond.</w:t>
      </w:r>
    </w:p>
    <w:p w14:paraId="1327CD24" w14:textId="4229E94E" w:rsidR="00875CB4" w:rsidRDefault="00875CB4" w:rsidP="00AF7860">
      <w:pPr>
        <w:pStyle w:val="Orateurengris"/>
        <w:tabs>
          <w:tab w:val="clear" w:pos="709"/>
          <w:tab w:val="clear" w:pos="1418"/>
          <w:tab w:val="clear" w:pos="2126"/>
          <w:tab w:val="clear" w:pos="2835"/>
          <w:tab w:val="clear" w:pos="3686"/>
        </w:tabs>
        <w:spacing w:before="120"/>
        <w:ind w:left="709" w:hanging="709"/>
      </w:pPr>
      <w:r>
        <w:t xml:space="preserve">Le </w:t>
      </w:r>
      <w:r w:rsidRPr="00875CB4">
        <w:rPr>
          <w:b/>
        </w:rPr>
        <w:t>Secrétaire</w:t>
      </w:r>
      <w:r>
        <w:t xml:space="preserve"> a rappelé aux délégués désireux d</w:t>
      </w:r>
      <w:r w:rsidR="00346F1B">
        <w:t>’</w:t>
      </w:r>
      <w:r>
        <w:t>organiser des représentations et/ou de présenter des documents audiovisuels pendant les candidatures d</w:t>
      </w:r>
      <w:r w:rsidR="00346F1B">
        <w:t>’</w:t>
      </w:r>
      <w:r>
        <w:t xml:space="preserve">informer le Secrétariat. Il a </w:t>
      </w:r>
      <w:r w:rsidRPr="00875CB4">
        <w:t>également</w:t>
      </w:r>
      <w:r>
        <w:t xml:space="preserve"> </w:t>
      </w:r>
      <w:r w:rsidR="00A03802">
        <w:t xml:space="preserve">prévenu </w:t>
      </w:r>
      <w:r>
        <w:t>les délégués qu</w:t>
      </w:r>
      <w:r w:rsidR="00346F1B">
        <w:t>’</w:t>
      </w:r>
      <w:r>
        <w:t>une table ronde était prévue à l</w:t>
      </w:r>
      <w:r w:rsidR="00346F1B">
        <w:t>’</w:t>
      </w:r>
      <w:r>
        <w:t>heure du déjeuner sur le thème « Apprendre avec le patrimoine culturel immatériel dans le domaine de l</w:t>
      </w:r>
      <w:r w:rsidR="00346F1B">
        <w:t>’</w:t>
      </w:r>
      <w:r w:rsidRPr="00875CB4">
        <w:t>éducation</w:t>
      </w:r>
      <w:r>
        <w:t> », organisée par la Section du PCI</w:t>
      </w:r>
      <w:r w:rsidR="00A03802">
        <w:t xml:space="preserve"> et </w:t>
      </w:r>
      <w:r w:rsidRPr="00C363EA">
        <w:t>l</w:t>
      </w:r>
      <w:r w:rsidR="00346F1B">
        <w:t>’</w:t>
      </w:r>
      <w:r w:rsidRPr="00C363EA">
        <w:t>Institut international de l</w:t>
      </w:r>
      <w:r w:rsidR="00346F1B">
        <w:t>’</w:t>
      </w:r>
      <w:r w:rsidRPr="00C363EA">
        <w:t>UNESCO pour le renforcement des capacités en Afrique</w:t>
      </w:r>
      <w:r w:rsidR="00141D86">
        <w:t xml:space="preserve"> (IICBA)</w:t>
      </w:r>
      <w:r w:rsidR="00A03802">
        <w:t>. En outre, à partir de ce jour, les ONG organiseraient des réunions p</w:t>
      </w:r>
      <w:r w:rsidR="00141D86">
        <w:t xml:space="preserve">lénières quotidiennes entre </w:t>
      </w:r>
      <w:r w:rsidR="00A97118">
        <w:t>17 h 30 et 18 h 30.</w:t>
      </w:r>
    </w:p>
    <w:p w14:paraId="4C9A7F71" w14:textId="56EF2C9F" w:rsidR="00A03802" w:rsidRDefault="00A03802" w:rsidP="00AF7860">
      <w:pPr>
        <w:pStyle w:val="Orateurengris"/>
        <w:tabs>
          <w:tab w:val="clear" w:pos="709"/>
          <w:tab w:val="clear" w:pos="1418"/>
          <w:tab w:val="clear" w:pos="2126"/>
          <w:tab w:val="clear" w:pos="2835"/>
          <w:tab w:val="clear" w:pos="3686"/>
        </w:tabs>
        <w:spacing w:before="120"/>
        <w:ind w:left="709" w:hanging="709"/>
      </w:pPr>
      <w:r>
        <w:t xml:space="preserve">Le </w:t>
      </w:r>
      <w:r w:rsidRPr="00A03802">
        <w:rPr>
          <w:b/>
        </w:rPr>
        <w:t>Président</w:t>
      </w:r>
      <w:r>
        <w:t xml:space="preserve"> est passé à l</w:t>
      </w:r>
      <w:r w:rsidR="00346F1B">
        <w:t>’</w:t>
      </w:r>
      <w:r>
        <w:t>examen du point 8 de l</w:t>
      </w:r>
      <w:r w:rsidR="00346F1B">
        <w:t>’</w:t>
      </w:r>
      <w:r w:rsidRPr="00A03802">
        <w:t>ordre du jour</w:t>
      </w:r>
      <w:r>
        <w:t>.</w:t>
      </w:r>
    </w:p>
    <w:p w14:paraId="2C722461" w14:textId="4EFC39CD" w:rsidR="00141D86" w:rsidRPr="00141D86" w:rsidRDefault="00141D86" w:rsidP="00AF7860">
      <w:pPr>
        <w:pStyle w:val="Orateurengris"/>
        <w:tabs>
          <w:tab w:val="clear" w:pos="709"/>
          <w:tab w:val="clear" w:pos="1418"/>
          <w:tab w:val="clear" w:pos="2126"/>
          <w:tab w:val="clear" w:pos="2835"/>
          <w:tab w:val="clear" w:pos="3686"/>
        </w:tabs>
        <w:spacing w:before="120"/>
        <w:ind w:left="709" w:hanging="709"/>
      </w:pPr>
      <w:r>
        <w:t xml:space="preserve">La </w:t>
      </w:r>
      <w:r w:rsidRPr="00141D86">
        <w:t>délégation</w:t>
      </w:r>
      <w:r>
        <w:t xml:space="preserve"> de la </w:t>
      </w:r>
      <w:r w:rsidRPr="00141D86">
        <w:rPr>
          <w:b/>
        </w:rPr>
        <w:t>Palestine</w:t>
      </w:r>
      <w:r w:rsidR="001637E6">
        <w:t xml:space="preserve"> estimait</w:t>
      </w:r>
      <w:r>
        <w:t xml:space="preserve"> que l</w:t>
      </w:r>
      <w:r w:rsidR="00346F1B">
        <w:t>’</w:t>
      </w:r>
      <w:r>
        <w:t>Organe d</w:t>
      </w:r>
      <w:r w:rsidR="00346F1B">
        <w:t>’</w:t>
      </w:r>
      <w:r>
        <w:t xml:space="preserve">évaluation respectait son mandat en fondant son </w:t>
      </w:r>
      <w:r w:rsidRPr="00141D86">
        <w:t>évaluation</w:t>
      </w:r>
      <w:r>
        <w:t xml:space="preserve"> sur le dossier et son contenu ; il n</w:t>
      </w:r>
      <w:r w:rsidR="00346F1B">
        <w:t>’</w:t>
      </w:r>
      <w:r>
        <w:t>était d</w:t>
      </w:r>
      <w:r w:rsidR="00346F1B">
        <w:t>’</w:t>
      </w:r>
      <w:r>
        <w:t>ailleurs pas demandé à l</w:t>
      </w:r>
      <w:r w:rsidR="00346F1B">
        <w:t>’</w:t>
      </w:r>
      <w:r>
        <w:t>Organe d</w:t>
      </w:r>
      <w:r w:rsidR="00346F1B">
        <w:t>’</w:t>
      </w:r>
      <w:r>
        <w:t xml:space="preserve">aller </w:t>
      </w:r>
      <w:r w:rsidR="003A7F42">
        <w:t>au-delà</w:t>
      </w:r>
      <w:r>
        <w:t xml:space="preserve"> de ce que contenait le dossier de candidature. C</w:t>
      </w:r>
      <w:r w:rsidR="00346F1B">
        <w:t>’</w:t>
      </w:r>
      <w:r>
        <w:t xml:space="preserve">était </w:t>
      </w:r>
      <w:r w:rsidRPr="00141D86">
        <w:t>toutefois</w:t>
      </w:r>
      <w:r>
        <w:t xml:space="preserve"> le rôle du Comité de compléter l</w:t>
      </w:r>
      <w:r w:rsidR="00346F1B">
        <w:t>’</w:t>
      </w:r>
      <w:r w:rsidRPr="00141D86">
        <w:t>évaluation</w:t>
      </w:r>
      <w:r>
        <w:t xml:space="preserve"> en prenant en </w:t>
      </w:r>
      <w:r w:rsidRPr="00141D86">
        <w:t>considération</w:t>
      </w:r>
      <w:r>
        <w:t xml:space="preserve"> des </w:t>
      </w:r>
      <w:r w:rsidRPr="00141D86">
        <w:t>informations</w:t>
      </w:r>
      <w:r>
        <w:t xml:space="preserve"> complémentaires telles que le contexte politique, </w:t>
      </w:r>
      <w:r w:rsidRPr="00141D86">
        <w:t>économique</w:t>
      </w:r>
      <w:r>
        <w:t xml:space="preserve"> et social du pays, </w:t>
      </w:r>
      <w:r w:rsidRPr="00141D86">
        <w:t>informations</w:t>
      </w:r>
      <w:r>
        <w:t xml:space="preserve"> que </w:t>
      </w:r>
      <w:r w:rsidR="00A5078E">
        <w:t xml:space="preserve">ne </w:t>
      </w:r>
      <w:r>
        <w:t xml:space="preserve">se trouvaient pas nécessairement dans le dossier. </w:t>
      </w:r>
      <w:r w:rsidR="00735B09">
        <w:t>P</w:t>
      </w:r>
      <w:r w:rsidR="00735B09" w:rsidRPr="00735B09">
        <w:t>ar exemple</w:t>
      </w:r>
      <w:r w:rsidR="00735B09">
        <w:t>, dans les dossiers de candidature présentés par l</w:t>
      </w:r>
      <w:r w:rsidR="00346F1B">
        <w:t>’</w:t>
      </w:r>
      <w:r w:rsidR="00735B09">
        <w:t xml:space="preserve">Iraq et le Nigeria, on savait que ces pays étaient confrontés au terrorisme et/ou à un conflit armé. </w:t>
      </w:r>
      <w:r w:rsidR="00A5078E">
        <w:t>Par ailleurs</w:t>
      </w:r>
      <w:r w:rsidR="00735B09">
        <w:t>, il avait été demandé au Comité d</w:t>
      </w:r>
      <w:r w:rsidR="00A5078E">
        <w:t xml:space="preserve">e modifier son mode de fonctionnement </w:t>
      </w:r>
      <w:r w:rsidR="00A61848">
        <w:t>suite à d</w:t>
      </w:r>
      <w:r w:rsidR="00735B09">
        <w:t xml:space="preserve">es </w:t>
      </w:r>
      <w:r w:rsidR="00A61848">
        <w:t xml:space="preserve">préoccupations </w:t>
      </w:r>
      <w:r w:rsidR="00735B09">
        <w:t>soulevées par tous les États parties</w:t>
      </w:r>
      <w:r w:rsidR="00A61848">
        <w:t xml:space="preserve"> depuis la création du Comité</w:t>
      </w:r>
      <w:r w:rsidR="00735B09">
        <w:t xml:space="preserve">. </w:t>
      </w:r>
      <w:r w:rsidR="00C673DA">
        <w:t>La tendance à la synergie entre les différentes Conventions culturelles, que l</w:t>
      </w:r>
      <w:r w:rsidR="00346F1B">
        <w:t>’</w:t>
      </w:r>
      <w:r w:rsidR="00C673DA">
        <w:t>on pouvait observer à l</w:t>
      </w:r>
      <w:r w:rsidR="00346F1B">
        <w:t>’</w:t>
      </w:r>
      <w:r w:rsidR="00C673DA">
        <w:t>UNESCO, avait suscité des demandes auprès des différentes Assemblées afin que soient harmonisés les différents Règlements intérieurs. À</w:t>
      </w:r>
      <w:r w:rsidR="00A61848">
        <w:t xml:space="preserve"> cet égard, le </w:t>
      </w:r>
      <w:r w:rsidR="00C673DA">
        <w:t xml:space="preserve">consensus, tel </w:t>
      </w:r>
      <w:r w:rsidR="00A61848">
        <w:t xml:space="preserve">que pratiqué </w:t>
      </w:r>
      <w:r w:rsidR="001433F2">
        <w:t>dans tous les autres organes, Comités et as</w:t>
      </w:r>
      <w:r w:rsidR="00C673DA">
        <w:t>semblées, signifiait que le Président de l</w:t>
      </w:r>
      <w:r w:rsidR="00346F1B">
        <w:t>’</w:t>
      </w:r>
      <w:r w:rsidR="00A61848">
        <w:t xml:space="preserve">assemblée, après avoir </w:t>
      </w:r>
      <w:r w:rsidR="00A5078E">
        <w:t>demandé s</w:t>
      </w:r>
      <w:r w:rsidR="00346F1B">
        <w:t>’</w:t>
      </w:r>
      <w:r w:rsidR="00A5078E">
        <w:t>il y avait d</w:t>
      </w:r>
      <w:r w:rsidR="00A61848">
        <w:t xml:space="preserve">es objections </w:t>
      </w:r>
      <w:r w:rsidR="00C673DA">
        <w:t xml:space="preserve">à un </w:t>
      </w:r>
      <w:r w:rsidR="00A61848">
        <w:t>point en cours d</w:t>
      </w:r>
      <w:r w:rsidR="00346F1B">
        <w:t>’</w:t>
      </w:r>
      <w:r w:rsidR="00A61848">
        <w:t>examen, conclu</w:t>
      </w:r>
      <w:r w:rsidR="00C673DA">
        <w:t>ait que le consensus était obtenu en l</w:t>
      </w:r>
      <w:r w:rsidR="00346F1B">
        <w:t>’</w:t>
      </w:r>
      <w:r w:rsidR="00C673DA">
        <w:t>absence d</w:t>
      </w:r>
      <w:r w:rsidR="00346F1B">
        <w:t>’</w:t>
      </w:r>
      <w:r w:rsidR="00C673DA" w:rsidRPr="00C673DA">
        <w:t>objections</w:t>
      </w:r>
      <w:r w:rsidR="00C673DA">
        <w:t xml:space="preserve">. </w:t>
      </w:r>
      <w:r w:rsidR="00A61848">
        <w:t xml:space="preserve">Ce Comité était le seul à pratiquer différemment. Les raisons de modifier cette pratique étaient nombreuses tandis que les raisons justifiant son maintien étaient rares et difficiles à défendre. </w:t>
      </w:r>
      <w:r w:rsidR="009169BE">
        <w:t xml:space="preserve">La pratique existait depuis de nombreuses années ; la </w:t>
      </w:r>
      <w:r w:rsidR="009169BE" w:rsidRPr="009169BE">
        <w:t>délégation</w:t>
      </w:r>
      <w:r w:rsidR="009169BE">
        <w:t xml:space="preserve"> de l</w:t>
      </w:r>
      <w:r w:rsidR="00346F1B">
        <w:t>’</w:t>
      </w:r>
      <w:r w:rsidR="009169BE">
        <w:t>Espagne, préoccupée par cet é</w:t>
      </w:r>
      <w:r w:rsidR="00DA6B24">
        <w:t xml:space="preserve">tat de fait, </w:t>
      </w:r>
      <w:r w:rsidR="009169BE">
        <w:t>avait demandé lors de la dernière Assemblée générale que ce point soit inscrit à l</w:t>
      </w:r>
      <w:r w:rsidR="00346F1B">
        <w:t>’</w:t>
      </w:r>
      <w:r w:rsidR="009169BE" w:rsidRPr="009169BE">
        <w:t>ordre du jour</w:t>
      </w:r>
      <w:r w:rsidR="009169BE">
        <w:t>, le problème ne pouvant plus attendre et une solution de</w:t>
      </w:r>
      <w:r w:rsidR="00A5078E">
        <w:t>vant être trouvée pendant</w:t>
      </w:r>
      <w:r w:rsidR="009169BE">
        <w:t xml:space="preserve"> cette session. La </w:t>
      </w:r>
      <w:r w:rsidR="009169BE" w:rsidRPr="009169BE">
        <w:t>délégation</w:t>
      </w:r>
      <w:r w:rsidR="009169BE">
        <w:t xml:space="preserve"> avait le sentiment que toute proposition visant à minimiser ou repousser le problème serait inacceptable. À ce sujet, la </w:t>
      </w:r>
      <w:r w:rsidR="009169BE" w:rsidRPr="009169BE">
        <w:t>délégation</w:t>
      </w:r>
      <w:r w:rsidR="009169BE">
        <w:t xml:space="preserve">, après une </w:t>
      </w:r>
      <w:r w:rsidR="001637E6">
        <w:t xml:space="preserve">large </w:t>
      </w:r>
      <w:r w:rsidR="009169BE">
        <w:t>consultation des États parties</w:t>
      </w:r>
      <w:r w:rsidR="00A5078E">
        <w:t xml:space="preserve"> et d</w:t>
      </w:r>
      <w:r w:rsidR="009169BE">
        <w:t xml:space="preserve">es </w:t>
      </w:r>
      <w:r w:rsidR="00A46CAD">
        <w:t>membres</w:t>
      </w:r>
      <w:r w:rsidR="009169BE">
        <w:t xml:space="preserve"> du Comité, proposait des amendements qui visaient à harmoniser la pratique </w:t>
      </w:r>
      <w:r w:rsidR="00A5078E">
        <w:t xml:space="preserve">et la rendre </w:t>
      </w:r>
      <w:r w:rsidR="009169BE">
        <w:t>conforme aux autres Comités de l</w:t>
      </w:r>
      <w:r w:rsidR="00346F1B">
        <w:t>’</w:t>
      </w:r>
      <w:r w:rsidR="009169BE">
        <w:t xml:space="preserve">UNESCO. En conclusion de son intervention, la </w:t>
      </w:r>
      <w:r w:rsidR="009169BE" w:rsidRPr="009169BE">
        <w:t>délégation</w:t>
      </w:r>
      <w:r w:rsidR="009169BE">
        <w:t xml:space="preserve"> a demandé au Président s</w:t>
      </w:r>
      <w:r w:rsidR="00346F1B">
        <w:t>’</w:t>
      </w:r>
      <w:r w:rsidR="009169BE">
        <w:t>il serait po</w:t>
      </w:r>
      <w:r w:rsidR="00504BCB">
        <w:t>ssible de donner la parole aux o</w:t>
      </w:r>
      <w:r w:rsidR="009169BE">
        <w:t>bservateurs après le débat car ce problème concernait tous les États parties.</w:t>
      </w:r>
    </w:p>
    <w:p w14:paraId="7E603F39" w14:textId="5813519A" w:rsidR="00A5078E" w:rsidRPr="00A5078E" w:rsidRDefault="00A5078E" w:rsidP="00AF7860">
      <w:pPr>
        <w:pStyle w:val="Orateurengris"/>
        <w:tabs>
          <w:tab w:val="clear" w:pos="709"/>
          <w:tab w:val="clear" w:pos="1418"/>
          <w:tab w:val="clear" w:pos="2126"/>
          <w:tab w:val="clear" w:pos="2835"/>
          <w:tab w:val="clear" w:pos="3686"/>
        </w:tabs>
        <w:spacing w:before="120"/>
        <w:ind w:left="709" w:hanging="709"/>
      </w:pPr>
      <w:r>
        <w:t xml:space="preserve">Après avoir remercié la Palestine pour ses remarques, le </w:t>
      </w:r>
      <w:r w:rsidRPr="00A5078E">
        <w:rPr>
          <w:b/>
        </w:rPr>
        <w:t>Président</w:t>
      </w:r>
      <w:r>
        <w:t xml:space="preserve"> est passé à l</w:t>
      </w:r>
      <w:r w:rsidR="00346F1B">
        <w:t>’</w:t>
      </w:r>
      <w:r>
        <w:t>examen du point 8 de l</w:t>
      </w:r>
      <w:r w:rsidR="00346F1B">
        <w:t>’</w:t>
      </w:r>
      <w:r w:rsidRPr="00A5078E">
        <w:t>ordre du jour</w:t>
      </w:r>
      <w:r>
        <w:t xml:space="preserve"> qui avait été ajouté à la demande de l</w:t>
      </w:r>
      <w:r w:rsidR="00346F1B">
        <w:t>’</w:t>
      </w:r>
      <w:r>
        <w:t xml:space="preserve">Espagne, </w:t>
      </w:r>
      <w:r w:rsidRPr="00A5078E">
        <w:t>conformément</w:t>
      </w:r>
      <w:r>
        <w:t xml:space="preserve"> à l</w:t>
      </w:r>
      <w:r w:rsidR="00346F1B">
        <w:t>’</w:t>
      </w:r>
      <w:r>
        <w:t xml:space="preserve">article 9.2 (c) du Règlement intérieur du Comité. Le document de travail 8 donnait des </w:t>
      </w:r>
      <w:r w:rsidRPr="00A5078E">
        <w:t>informations</w:t>
      </w:r>
      <w:r>
        <w:t xml:space="preserve"> contextuelles sur le processus de prise de </w:t>
      </w:r>
      <w:r w:rsidRPr="00A5078E">
        <w:t>décision</w:t>
      </w:r>
      <w:r>
        <w:t>s c</w:t>
      </w:r>
      <w:r w:rsidRPr="00A5078E">
        <w:t>oncernant</w:t>
      </w:r>
      <w:r>
        <w:t xml:space="preserve"> l</w:t>
      </w:r>
      <w:r w:rsidR="00346F1B">
        <w:t>’</w:t>
      </w:r>
      <w:r w:rsidRPr="00A5078E">
        <w:t>inscription</w:t>
      </w:r>
      <w:r w:rsidR="00810743">
        <w:t xml:space="preserve"> d</w:t>
      </w:r>
      <w:r w:rsidR="00346F1B">
        <w:t>’</w:t>
      </w:r>
      <w:r w:rsidR="00810743">
        <w:t>éléments sur la</w:t>
      </w:r>
      <w:r>
        <w:t xml:space="preserve"> Liste de sauvegarde urgente</w:t>
      </w:r>
      <w:r w:rsidR="00810743">
        <w:t xml:space="preserve"> et la</w:t>
      </w:r>
      <w:r>
        <w:t xml:space="preserve"> Liste représentative, ainsi que les propositions d</w:t>
      </w:r>
      <w:r w:rsidR="00346F1B">
        <w:t>’</w:t>
      </w:r>
      <w:r>
        <w:t xml:space="preserve">inclusion au Registre des meilleures pratiques de </w:t>
      </w:r>
      <w:r w:rsidRPr="00A5078E">
        <w:t>sauvegarde</w:t>
      </w:r>
      <w:r>
        <w:t xml:space="preserve"> et l</w:t>
      </w:r>
      <w:r w:rsidR="00346F1B">
        <w:t>’</w:t>
      </w:r>
      <w:r>
        <w:t>approbation de demandes d</w:t>
      </w:r>
      <w:r w:rsidR="00346F1B">
        <w:t>’</w:t>
      </w:r>
      <w:r>
        <w:t>assistance internationale. La première partie du document expliquait comment les projets de décision étaient préparés et la deuxième partie clarifiait les procédures suivies lors des récentes sessions du Comité pour l</w:t>
      </w:r>
      <w:r w:rsidR="00346F1B">
        <w:t>’</w:t>
      </w:r>
      <w:r>
        <w:t xml:space="preserve">adoption des décisions relatives aux </w:t>
      </w:r>
      <w:r w:rsidRPr="00A5078E">
        <w:t>candidature</w:t>
      </w:r>
      <w:r>
        <w:t xml:space="preserve">s, propositions et demandes. Avant de donner la parole aux intervenants, le Président a donné quelques informations contextuelles. Il a rappelé que les candidatures aux deux Listes, </w:t>
      </w:r>
      <w:r w:rsidR="00810743">
        <w:t xml:space="preserve">les </w:t>
      </w:r>
      <w:r>
        <w:t xml:space="preserve">propositions pour le Registre des meilleures pratiques de </w:t>
      </w:r>
      <w:r w:rsidRPr="00A5078E">
        <w:t>sauvegarde</w:t>
      </w:r>
      <w:r>
        <w:t xml:space="preserve"> et </w:t>
      </w:r>
      <w:r w:rsidR="00810743">
        <w:t xml:space="preserve">les </w:t>
      </w:r>
      <w:r>
        <w:t>demandes d</w:t>
      </w:r>
      <w:r w:rsidR="00346F1B">
        <w:t>’</w:t>
      </w:r>
      <w:r>
        <w:t>assistance internationa</w:t>
      </w:r>
      <w:r w:rsidR="00346F1B">
        <w:t>le d’un montant supérieur à 100 000</w:t>
      </w:r>
      <w:r>
        <w:t xml:space="preserve"> </w:t>
      </w:r>
      <w:r w:rsidRPr="00A5078E">
        <w:t>dollars des États-Unis</w:t>
      </w:r>
      <w:r>
        <w:t xml:space="preserve"> étaient évaluées par l</w:t>
      </w:r>
      <w:r w:rsidR="00346F1B">
        <w:t>’</w:t>
      </w:r>
      <w:r>
        <w:t>Organe d</w:t>
      </w:r>
      <w:r w:rsidR="00346F1B">
        <w:t>’</w:t>
      </w:r>
      <w:r>
        <w:t>évaluation. Pour chaque dossier, ce dernier présentait au Comité ses recommandations</w:t>
      </w:r>
      <w:r w:rsidR="004F6588">
        <w:t>,</w:t>
      </w:r>
      <w:r>
        <w:t xml:space="preserve"> fondées sur son </w:t>
      </w:r>
      <w:r w:rsidRPr="00A5078E">
        <w:t>évaluation</w:t>
      </w:r>
      <w:r w:rsidR="004F6588">
        <w:t>,</w:t>
      </w:r>
      <w:r>
        <w:t xml:space="preserve"> sous la forme de projets de décision</w:t>
      </w:r>
      <w:r w:rsidR="004F6588">
        <w:t>. Avant</w:t>
      </w:r>
      <w:r w:rsidR="00A25775">
        <w:t xml:space="preserve"> l</w:t>
      </w:r>
      <w:r w:rsidR="00346F1B">
        <w:t>’</w:t>
      </w:r>
      <w:r w:rsidR="00A25775">
        <w:t>étude de</w:t>
      </w:r>
      <w:r w:rsidR="004F6588">
        <w:t xml:space="preserve"> ces projets de décision, chaque </w:t>
      </w:r>
      <w:r w:rsidR="00A46CAD">
        <w:t>membre</w:t>
      </w:r>
      <w:r w:rsidR="004F6588">
        <w:t xml:space="preserve"> de l</w:t>
      </w:r>
      <w:r w:rsidR="00346F1B">
        <w:t>’</w:t>
      </w:r>
      <w:r w:rsidR="004F6588">
        <w:t>Organe d</w:t>
      </w:r>
      <w:r w:rsidR="00346F1B">
        <w:t>’</w:t>
      </w:r>
      <w:r w:rsidR="004F6588">
        <w:t xml:space="preserve">évaluation évaluait individuellement chaque dossier, tous les </w:t>
      </w:r>
      <w:r w:rsidR="00A46CAD">
        <w:t>membres</w:t>
      </w:r>
      <w:r w:rsidR="004F6588">
        <w:t xml:space="preserve"> se réunissa</w:t>
      </w:r>
      <w:r w:rsidR="00810743">
        <w:t>ient ensuite afin de réaliser</w:t>
      </w:r>
      <w:r w:rsidR="004F6588">
        <w:t xml:space="preserve"> une </w:t>
      </w:r>
      <w:r w:rsidR="004F6588" w:rsidRPr="004F6588">
        <w:t>évaluation</w:t>
      </w:r>
      <w:r w:rsidR="004F6588">
        <w:t xml:space="preserve"> conjointe. Au cours de cette </w:t>
      </w:r>
      <w:r w:rsidR="004F6588" w:rsidRPr="004F6588">
        <w:t>évaluation</w:t>
      </w:r>
      <w:r w:rsidR="004F6588">
        <w:t xml:space="preserve"> conjointe, l</w:t>
      </w:r>
      <w:r w:rsidR="00346F1B">
        <w:t>’</w:t>
      </w:r>
      <w:r w:rsidR="004F6588">
        <w:t>Organe parvenait à un consensus sur chaque critère spécifique de chaque dossier. Autrement dit, l</w:t>
      </w:r>
      <w:r w:rsidR="00346F1B">
        <w:t>’</w:t>
      </w:r>
      <w:r w:rsidR="004F6588">
        <w:t>Organe fonctionnait comme une entité collective et parlait d</w:t>
      </w:r>
      <w:r w:rsidR="00346F1B">
        <w:t>’</w:t>
      </w:r>
      <w:r w:rsidR="004F6588">
        <w:t xml:space="preserve">une seule voix. Le Président a souligné que les </w:t>
      </w:r>
      <w:r w:rsidR="00A46CAD">
        <w:t>membres</w:t>
      </w:r>
      <w:r w:rsidR="004F6588">
        <w:t xml:space="preserve"> de l</w:t>
      </w:r>
      <w:r w:rsidR="00346F1B">
        <w:t>’</w:t>
      </w:r>
      <w:r w:rsidR="004F6588">
        <w:t>Organe d</w:t>
      </w:r>
      <w:r w:rsidR="00346F1B">
        <w:t>’</w:t>
      </w:r>
      <w:r w:rsidR="004F6588">
        <w:t>évaluation étai</w:t>
      </w:r>
      <w:r w:rsidR="00810743">
        <w:t>en</w:t>
      </w:r>
      <w:r w:rsidR="004F6588">
        <w:t xml:space="preserve">t proposés par les États parties et élus par les </w:t>
      </w:r>
      <w:r w:rsidR="00A46CAD">
        <w:t>membres</w:t>
      </w:r>
      <w:r w:rsidR="004F6588">
        <w:t xml:space="preserve"> du Comité. En outre, la </w:t>
      </w:r>
      <w:r w:rsidR="004056CF">
        <w:t xml:space="preserve">composition de </w:t>
      </w:r>
      <w:r w:rsidR="004F6588">
        <w:t>l</w:t>
      </w:r>
      <w:r w:rsidR="00346F1B">
        <w:t>’</w:t>
      </w:r>
      <w:r w:rsidR="004F6588">
        <w:t xml:space="preserve">Organe était </w:t>
      </w:r>
      <w:r w:rsidR="004F6588" w:rsidRPr="004F6588">
        <w:t>gé</w:t>
      </w:r>
      <w:r w:rsidR="004F6588">
        <w:t xml:space="preserve">ographiquement répartie de façon équitable, entre experts et ONG, ce qui prévenait tout parti-pris </w:t>
      </w:r>
      <w:r w:rsidR="004F6588" w:rsidRPr="004F6588">
        <w:t>géographique</w:t>
      </w:r>
      <w:r w:rsidR="004F6588">
        <w:t xml:space="preserve"> ou institution</w:t>
      </w:r>
      <w:r w:rsidR="00A97118">
        <w:t>nel dans leurs recommandations.</w:t>
      </w:r>
    </w:p>
    <w:p w14:paraId="556E263C" w14:textId="5B92D4A6" w:rsidR="003B46DF" w:rsidRPr="003B46DF" w:rsidRDefault="00810743" w:rsidP="00AF7860">
      <w:pPr>
        <w:pStyle w:val="Orateurengris"/>
        <w:tabs>
          <w:tab w:val="clear" w:pos="709"/>
          <w:tab w:val="clear" w:pos="1418"/>
          <w:tab w:val="clear" w:pos="2126"/>
          <w:tab w:val="clear" w:pos="2835"/>
          <w:tab w:val="clear" w:pos="3686"/>
        </w:tabs>
        <w:spacing w:before="120"/>
        <w:ind w:left="709" w:hanging="709"/>
      </w:pPr>
      <w:r>
        <w:t xml:space="preserve">Le </w:t>
      </w:r>
      <w:r w:rsidRPr="004B193B">
        <w:rPr>
          <w:b/>
        </w:rPr>
        <w:t>Président</w:t>
      </w:r>
      <w:r w:rsidR="00647F07">
        <w:t xml:space="preserve"> a rappelé </w:t>
      </w:r>
      <w:r>
        <w:t>qu</w:t>
      </w:r>
      <w:r w:rsidR="00346F1B">
        <w:t>’</w:t>
      </w:r>
      <w:r>
        <w:t>au cours de</w:t>
      </w:r>
      <w:r w:rsidR="00647F07">
        <w:t>s précédentes sessions, le Comité</w:t>
      </w:r>
      <w:r>
        <w:t xml:space="preserve"> avait suivi des procédures spécifiques quant à la prise de décisions concernant les candidatures, propositions et demandes. Afin de parvenir à un consensus - pour les décisions </w:t>
      </w:r>
      <w:r w:rsidR="003B46DF">
        <w:t xml:space="preserve">portant sur </w:t>
      </w:r>
      <w:r>
        <w:t>les candidatures, propositions ou demandes – les Présidents des précédentes sessions avaient sollicité l</w:t>
      </w:r>
      <w:r w:rsidR="00346F1B">
        <w:t>’</w:t>
      </w:r>
      <w:r>
        <w:t xml:space="preserve">expression active de marque de soutien </w:t>
      </w:r>
      <w:r w:rsidR="003B46DF">
        <w:t>afin de disposer d</w:t>
      </w:r>
      <w:r w:rsidR="00346F1B">
        <w:t>’</w:t>
      </w:r>
      <w:r w:rsidR="003B46DF">
        <w:t xml:space="preserve">une opinion positive sur les </w:t>
      </w:r>
      <w:r w:rsidR="003B46DF" w:rsidRPr="003B46DF">
        <w:t>amendement</w:t>
      </w:r>
      <w:r w:rsidR="003B46DF">
        <w:t xml:space="preserve">s. Ils considéraient donc que le silence valait approbation de la </w:t>
      </w:r>
      <w:r w:rsidR="003B46DF" w:rsidRPr="003B46DF">
        <w:t>recommandation</w:t>
      </w:r>
      <w:r w:rsidR="003B46DF">
        <w:t xml:space="preserve"> originale formulée par l</w:t>
      </w:r>
      <w:r w:rsidR="00346F1B">
        <w:t>’</w:t>
      </w:r>
      <w:r w:rsidR="003B46DF">
        <w:t>Organe d</w:t>
      </w:r>
      <w:r w:rsidR="00346F1B">
        <w:t>’</w:t>
      </w:r>
      <w:r w:rsidR="003B46DF">
        <w:t>évaluation plutôt qu</w:t>
      </w:r>
      <w:r w:rsidR="00346F1B">
        <w:t>’</w:t>
      </w:r>
      <w:r w:rsidR="003B46DF">
        <w:t>un soutien à l</w:t>
      </w:r>
      <w:r w:rsidR="00346F1B">
        <w:t>’</w:t>
      </w:r>
      <w:r w:rsidR="003B46DF" w:rsidRPr="003B46DF">
        <w:t>amendement</w:t>
      </w:r>
      <w:r w:rsidR="003B46DF">
        <w:t xml:space="preserve"> proposé au projet de décision</w:t>
      </w:r>
      <w:r w:rsidR="00CE7C8C">
        <w:t>. Le raisonnement qui sous-tendait cette approche était le suivant : le travail d</w:t>
      </w:r>
      <w:r w:rsidR="00346F1B">
        <w:t>’</w:t>
      </w:r>
      <w:r w:rsidR="00CE7C8C" w:rsidRPr="00CE7C8C">
        <w:t>évaluation</w:t>
      </w:r>
      <w:r w:rsidR="00CE7C8C">
        <w:t xml:space="preserve"> avait été confié par le Comité à l</w:t>
      </w:r>
      <w:r w:rsidR="00346F1B">
        <w:t>’</w:t>
      </w:r>
      <w:r w:rsidR="00CE7C8C">
        <w:t>Organe d</w:t>
      </w:r>
      <w:r w:rsidR="00346F1B">
        <w:t>’</w:t>
      </w:r>
      <w:r w:rsidR="00CE7C8C">
        <w:t>évaluation, l</w:t>
      </w:r>
      <w:r w:rsidR="00346F1B">
        <w:t>’</w:t>
      </w:r>
      <w:r w:rsidR="00CE7C8C">
        <w:t xml:space="preserve">Organe avait </w:t>
      </w:r>
      <w:r w:rsidR="00A25775">
        <w:t xml:space="preserve">consacré </w:t>
      </w:r>
      <w:r w:rsidR="00CE7C8C">
        <w:t xml:space="preserve">un temps considérable </w:t>
      </w:r>
      <w:r w:rsidR="00A25775">
        <w:t>à l</w:t>
      </w:r>
      <w:r w:rsidR="00346F1B">
        <w:t>’</w:t>
      </w:r>
      <w:r w:rsidR="00A25775" w:rsidRPr="00A25775">
        <w:t>évaluation</w:t>
      </w:r>
      <w:r w:rsidR="00A25775">
        <w:t xml:space="preserve">, il </w:t>
      </w:r>
      <w:r w:rsidR="00CE7C8C">
        <w:t>avait a</w:t>
      </w:r>
      <w:r w:rsidR="00A25775">
        <w:t>ccompli un travail approfondi</w:t>
      </w:r>
      <w:r w:rsidR="00CE7C8C">
        <w:t xml:space="preserve"> au cours de plusieurs mois, et les recommandations avaient été préparées de façon collégiale. Le Président a fait remarquer </w:t>
      </w:r>
      <w:r w:rsidR="004056CF">
        <w:t xml:space="preserve">que </w:t>
      </w:r>
      <w:r w:rsidR="00CE7C8C">
        <w:t>le Règlement intérieur n</w:t>
      </w:r>
      <w:r w:rsidR="00346F1B">
        <w:t>’</w:t>
      </w:r>
      <w:r w:rsidR="00CE7C8C">
        <w:t>abordait pas la question de l</w:t>
      </w:r>
      <w:r w:rsidR="00346F1B">
        <w:t>’</w:t>
      </w:r>
      <w:r w:rsidR="00CE7C8C">
        <w:t>adoption des décisions par consensus, qui étai</w:t>
      </w:r>
      <w:r w:rsidR="00A25775">
        <w:t>t une prérogative qui revenait au</w:t>
      </w:r>
      <w:r w:rsidR="00647F07">
        <w:t xml:space="preserve"> </w:t>
      </w:r>
      <w:r w:rsidR="00CE7C8C">
        <w:t xml:space="preserve">Président. Celui-ci a toutefois insisté pour rappeler que la bonne conduite des débats relevait </w:t>
      </w:r>
      <w:r w:rsidR="00CE7C8C" w:rsidRPr="00CE7C8C">
        <w:t>également</w:t>
      </w:r>
      <w:r w:rsidR="00CE7C8C">
        <w:t xml:space="preserve"> de la </w:t>
      </w:r>
      <w:r w:rsidR="00CE7C8C" w:rsidRPr="00CE7C8C">
        <w:t>responsabilité</w:t>
      </w:r>
      <w:r w:rsidR="00CE7C8C">
        <w:t xml:space="preserve"> de chaque </w:t>
      </w:r>
      <w:r w:rsidR="008A3BB3">
        <w:t>m</w:t>
      </w:r>
      <w:r w:rsidR="00A46CAD">
        <w:t>embre</w:t>
      </w:r>
      <w:r w:rsidR="00CE7C8C">
        <w:t xml:space="preserve"> du Comité, comme le stipulait le Règlement intérieur, en leur accordant la possibilité de </w:t>
      </w:r>
      <w:r w:rsidR="00833C35">
        <w:t>proposer</w:t>
      </w:r>
      <w:r w:rsidR="00050621">
        <w:t xml:space="preserve"> </w:t>
      </w:r>
      <w:r w:rsidR="00CE7C8C">
        <w:t>une motion d</w:t>
      </w:r>
      <w:r w:rsidR="00346F1B">
        <w:t>’</w:t>
      </w:r>
      <w:r w:rsidR="00CE7C8C">
        <w:t>ordre. Avant d</w:t>
      </w:r>
      <w:r w:rsidR="00346F1B">
        <w:t>’</w:t>
      </w:r>
      <w:r w:rsidR="00CE7C8C">
        <w:t>ouvrir le débat, le Président a donné la parole à l</w:t>
      </w:r>
      <w:r w:rsidR="00346F1B">
        <w:t>’</w:t>
      </w:r>
      <w:r w:rsidR="00CE7C8C">
        <w:t xml:space="preserve">Espagne afin que sa </w:t>
      </w:r>
      <w:r w:rsidR="00CE7C8C" w:rsidRPr="00CE7C8C">
        <w:t>délégation</w:t>
      </w:r>
      <w:r w:rsidR="00CE7C8C">
        <w:t xml:space="preserve"> explique brièvement les motifs de ce point de l</w:t>
      </w:r>
      <w:r w:rsidR="00346F1B">
        <w:t>’</w:t>
      </w:r>
      <w:r w:rsidR="00CE7C8C" w:rsidRPr="00CE7C8C">
        <w:t>ordre du jour</w:t>
      </w:r>
      <w:r w:rsidR="00A97118">
        <w:t>.</w:t>
      </w:r>
    </w:p>
    <w:p w14:paraId="5C651F0C" w14:textId="6953EE40" w:rsidR="00647F07" w:rsidRDefault="00647F07" w:rsidP="00AF7860">
      <w:pPr>
        <w:pStyle w:val="Orateurengris"/>
        <w:tabs>
          <w:tab w:val="clear" w:pos="709"/>
          <w:tab w:val="clear" w:pos="1418"/>
          <w:tab w:val="clear" w:pos="2126"/>
          <w:tab w:val="clear" w:pos="2835"/>
          <w:tab w:val="clear" w:pos="3686"/>
        </w:tabs>
        <w:spacing w:before="120"/>
        <w:ind w:left="709" w:hanging="709"/>
      </w:pPr>
      <w:r>
        <w:t xml:space="preserve">La </w:t>
      </w:r>
      <w:r w:rsidRPr="00647F07">
        <w:t>délégation</w:t>
      </w:r>
      <w:r>
        <w:t xml:space="preserve"> de l</w:t>
      </w:r>
      <w:r w:rsidR="00346F1B">
        <w:t>’</w:t>
      </w:r>
      <w:r w:rsidRPr="00647F07">
        <w:rPr>
          <w:b/>
        </w:rPr>
        <w:t>Espagne</w:t>
      </w:r>
      <w:r>
        <w:t xml:space="preserve"> a remercié le Président et le Secrétariat</w:t>
      </w:r>
      <w:r w:rsidR="002D6E3A">
        <w:t xml:space="preserve"> d</w:t>
      </w:r>
      <w:r w:rsidR="00346F1B">
        <w:t>’</w:t>
      </w:r>
      <w:r w:rsidR="002D6E3A">
        <w:t>avoir inscrit c</w:t>
      </w:r>
      <w:r>
        <w:t xml:space="preserve">e point </w:t>
      </w:r>
      <w:r w:rsidR="002D6E3A">
        <w:t xml:space="preserve">qui permettrait au </w:t>
      </w:r>
      <w:r>
        <w:t xml:space="preserve">Comité </w:t>
      </w:r>
      <w:r w:rsidR="002D6E3A">
        <w:t xml:space="preserve">de </w:t>
      </w:r>
      <w:r>
        <w:t xml:space="preserve">débattre de cette question essentielle, à savoir, le processus de prise de </w:t>
      </w:r>
      <w:r w:rsidRPr="00647F07">
        <w:t>décision</w:t>
      </w:r>
      <w:r w:rsidR="00576A61">
        <w:t>s</w:t>
      </w:r>
      <w:r>
        <w:t xml:space="preserve"> pour l</w:t>
      </w:r>
      <w:r w:rsidR="00346F1B">
        <w:t>’</w:t>
      </w:r>
      <w:r>
        <w:t>approbation des candidatures. Elle pensait qu</w:t>
      </w:r>
      <w:r w:rsidR="00346F1B">
        <w:t>’</w:t>
      </w:r>
      <w:r>
        <w:t xml:space="preserve">il était </w:t>
      </w:r>
      <w:r w:rsidR="002D6E3A">
        <w:t>dans</w:t>
      </w:r>
      <w:r>
        <w:t xml:space="preserve"> l</w:t>
      </w:r>
      <w:r w:rsidR="00346F1B">
        <w:t>’</w:t>
      </w:r>
      <w:r>
        <w:t>esprit même des Conventions de l</w:t>
      </w:r>
      <w:r w:rsidR="00346F1B">
        <w:t>’</w:t>
      </w:r>
      <w:r>
        <w:t xml:space="preserve">UNESCO </w:t>
      </w:r>
      <w:r w:rsidR="00302080">
        <w:t>de préférer le</w:t>
      </w:r>
      <w:r>
        <w:t xml:space="preserve"> consensus, ajoutant que le Président du Comité</w:t>
      </w:r>
      <w:r w:rsidR="002D6E3A">
        <w:t xml:space="preserve"> jouait</w:t>
      </w:r>
      <w:r>
        <w:t xml:space="preserve"> un rôle essentiel pour parvenir à ce consensus. </w:t>
      </w:r>
      <w:r w:rsidRPr="00647F07">
        <w:t>En conséquence</w:t>
      </w:r>
      <w:r>
        <w:t>, des paramètres clairs et précis devaient être définis quant au rôle du Président dans ce domaine. Comme l</w:t>
      </w:r>
      <w:r w:rsidR="00346F1B">
        <w:t>’</w:t>
      </w:r>
      <w:r w:rsidR="002D6E3A">
        <w:t>avait expliqué la Palestine, le sens à donner au</w:t>
      </w:r>
      <w:r>
        <w:t xml:space="preserve"> silence</w:t>
      </w:r>
      <w:r w:rsidR="002D6E3A">
        <w:t xml:space="preserve"> des </w:t>
      </w:r>
      <w:r w:rsidR="008A3BB3">
        <w:t>m</w:t>
      </w:r>
      <w:r w:rsidR="00A46CAD">
        <w:t>embres</w:t>
      </w:r>
      <w:r w:rsidR="002D6E3A">
        <w:t xml:space="preserve"> du Comité devait être précisé</w:t>
      </w:r>
      <w:r>
        <w:t xml:space="preserve">, </w:t>
      </w:r>
      <w:r w:rsidRPr="00647F07">
        <w:t>en particulier</w:t>
      </w:r>
      <w:r>
        <w:t xml:space="preserve"> s</w:t>
      </w:r>
      <w:r w:rsidR="00346F1B">
        <w:t>’</w:t>
      </w:r>
      <w:r>
        <w:t>agissant de l</w:t>
      </w:r>
      <w:r w:rsidR="00346F1B">
        <w:t>’</w:t>
      </w:r>
      <w:r>
        <w:t>examen des recommandations faites par l</w:t>
      </w:r>
      <w:r w:rsidR="00346F1B">
        <w:t>’</w:t>
      </w:r>
      <w:r>
        <w:t>Organe d</w:t>
      </w:r>
      <w:r w:rsidR="00346F1B">
        <w:t>’</w:t>
      </w:r>
      <w:r>
        <w:t xml:space="preserve">évaluation. La </w:t>
      </w:r>
      <w:r w:rsidRPr="00647F07">
        <w:t>délégation</w:t>
      </w:r>
      <w:r>
        <w:t xml:space="preserve"> pensait</w:t>
      </w:r>
      <w:r w:rsidR="00945BF4">
        <w:t xml:space="preserve"> que</w:t>
      </w:r>
      <w:r w:rsidR="002D6E3A">
        <w:t>,</w:t>
      </w:r>
      <w:r w:rsidR="00945BF4">
        <w:t xml:space="preserve"> par souci de transparence et de visibilité, aucune </w:t>
      </w:r>
      <w:r w:rsidR="00945BF4" w:rsidRPr="00945BF4">
        <w:t>discrimination</w:t>
      </w:r>
      <w:r w:rsidR="002D6E3A">
        <w:t xml:space="preserve"> ne dev</w:t>
      </w:r>
      <w:r w:rsidR="00945BF4">
        <w:t>ait être faite entre les candidatures et au</w:t>
      </w:r>
      <w:r w:rsidR="002D6E3A">
        <w:t>cune décision arbitraire ne dev</w:t>
      </w:r>
      <w:r w:rsidR="00945BF4">
        <w:t xml:space="preserve">ait être prise à leur sujet. Par ailleurs, les </w:t>
      </w:r>
      <w:r w:rsidR="008A3BB3">
        <w:t>m</w:t>
      </w:r>
      <w:r w:rsidR="00A46CAD">
        <w:t>embres du Comité</w:t>
      </w:r>
      <w:r w:rsidR="00945BF4">
        <w:t xml:space="preserve"> devaient savoir précisément ce qu</w:t>
      </w:r>
      <w:r w:rsidR="00346F1B">
        <w:t>’</w:t>
      </w:r>
      <w:r w:rsidR="00945BF4">
        <w:t>on attendait d</w:t>
      </w:r>
      <w:r w:rsidR="00346F1B">
        <w:t>’</w:t>
      </w:r>
      <w:r w:rsidR="00945BF4">
        <w:t>eux lors de l</w:t>
      </w:r>
      <w:r w:rsidR="00346F1B">
        <w:t>’</w:t>
      </w:r>
      <w:r w:rsidR="00945BF4" w:rsidRPr="00945BF4">
        <w:t>évaluation</w:t>
      </w:r>
      <w:r w:rsidR="00945BF4">
        <w:t xml:space="preserve"> des candidatures. Le débat devait donc se concentrer sur la </w:t>
      </w:r>
      <w:r w:rsidR="00945BF4" w:rsidRPr="00945BF4">
        <w:t xml:space="preserve">signification </w:t>
      </w:r>
      <w:r w:rsidR="002D6E3A">
        <w:t>du silence des</w:t>
      </w:r>
      <w:r w:rsidR="00945BF4">
        <w:t xml:space="preserve"> </w:t>
      </w:r>
      <w:r w:rsidR="008A3BB3">
        <w:t>m</w:t>
      </w:r>
      <w:r w:rsidR="00A46CAD">
        <w:t>embres du Comité</w:t>
      </w:r>
      <w:r w:rsidR="00945BF4">
        <w:t>, s</w:t>
      </w:r>
      <w:r w:rsidR="00346F1B">
        <w:t>’</w:t>
      </w:r>
      <w:r w:rsidR="00945BF4">
        <w:t>agissait-il d</w:t>
      </w:r>
      <w:r w:rsidR="00346F1B">
        <w:t>’</w:t>
      </w:r>
      <w:r w:rsidR="00945BF4">
        <w:t>une approbation ou d</w:t>
      </w:r>
      <w:r w:rsidR="00346F1B">
        <w:t>’</w:t>
      </w:r>
      <w:r w:rsidR="00945BF4">
        <w:t xml:space="preserve">une désapprobation du consensus. Ainsi, le Comité du PCI parviendrait à harmoniser et rendre ses pratiques cohérentes avec celles des autres Comités. Cela permettrait </w:t>
      </w:r>
      <w:r w:rsidR="00945BF4" w:rsidRPr="00945BF4">
        <w:t>également</w:t>
      </w:r>
      <w:r w:rsidR="00945BF4">
        <w:t xml:space="preserve"> de définir la pratique du présent Comité et des Comités à venir afin de favoriser la transparence et de pré</w:t>
      </w:r>
      <w:r w:rsidR="002D6E3A">
        <w:t xml:space="preserve">venir les décisions arbitraires, ce qui aiderait à la </w:t>
      </w:r>
      <w:r w:rsidR="002D6E3A" w:rsidRPr="002D6E3A">
        <w:t>préparation</w:t>
      </w:r>
      <w:r w:rsidR="002D6E3A">
        <w:t xml:space="preserve"> des dossiers tout en assurant l</w:t>
      </w:r>
      <w:r w:rsidR="00346F1B">
        <w:t>’</w:t>
      </w:r>
      <w:r w:rsidR="002D6E3A">
        <w:t>application cohérente des règles p</w:t>
      </w:r>
      <w:r w:rsidR="00A97118">
        <w:t>ar le Comité et le Secrétariat.</w:t>
      </w:r>
    </w:p>
    <w:p w14:paraId="1350D9BD" w14:textId="27E1C6BA" w:rsidR="002D6E3A" w:rsidRDefault="002D6E3A" w:rsidP="00AF7860">
      <w:pPr>
        <w:pStyle w:val="Orateurengris"/>
        <w:tabs>
          <w:tab w:val="clear" w:pos="709"/>
          <w:tab w:val="clear" w:pos="1418"/>
          <w:tab w:val="clear" w:pos="2126"/>
          <w:tab w:val="clear" w:pos="2835"/>
          <w:tab w:val="clear" w:pos="3686"/>
        </w:tabs>
        <w:spacing w:before="120"/>
        <w:ind w:left="709" w:hanging="709"/>
      </w:pPr>
      <w:r>
        <w:t xml:space="preserve">Le </w:t>
      </w:r>
      <w:r w:rsidRPr="002D6E3A">
        <w:rPr>
          <w:b/>
        </w:rPr>
        <w:t>Président</w:t>
      </w:r>
      <w:r>
        <w:t xml:space="preserve"> a remercié l</w:t>
      </w:r>
      <w:r w:rsidR="00346F1B">
        <w:t>’</w:t>
      </w:r>
      <w:r>
        <w:t>Espagne pour ses explications et a rappelé l</w:t>
      </w:r>
      <w:r w:rsidR="00346F1B">
        <w:t>’</w:t>
      </w:r>
      <w:r>
        <w:t xml:space="preserve">importance de conduire le débat de </w:t>
      </w:r>
      <w:r w:rsidR="004056CF">
        <w:t xml:space="preserve">manière </w:t>
      </w:r>
      <w:r w:rsidR="00302080">
        <w:t xml:space="preserve">transparente </w:t>
      </w:r>
      <w:r>
        <w:t>et cohérente. Il a assuré le Comité qu</w:t>
      </w:r>
      <w:r w:rsidR="00346F1B">
        <w:t>’</w:t>
      </w:r>
      <w:r>
        <w:t>il ferait de son mieux pour guider les discussions sur le point 10 de l</w:t>
      </w:r>
      <w:r w:rsidR="00346F1B">
        <w:t>’</w:t>
      </w:r>
      <w:r w:rsidRPr="002D6E3A">
        <w:t>ordre du jour</w:t>
      </w:r>
      <w:r>
        <w:t>, consacré à l</w:t>
      </w:r>
      <w:r w:rsidR="00346F1B">
        <w:t>’</w:t>
      </w:r>
      <w:r>
        <w:t>examen des candidatures, propositions et demandes. Le Président a en</w:t>
      </w:r>
      <w:r w:rsidR="00A97118">
        <w:t>suite laissé la place au débat.</w:t>
      </w:r>
    </w:p>
    <w:p w14:paraId="56D429CD" w14:textId="0482AA21" w:rsidR="00280292" w:rsidRPr="00280292" w:rsidRDefault="003E633B" w:rsidP="00AF7860">
      <w:pPr>
        <w:pStyle w:val="Orateurengris"/>
        <w:tabs>
          <w:tab w:val="clear" w:pos="709"/>
          <w:tab w:val="clear" w:pos="1418"/>
          <w:tab w:val="clear" w:pos="2126"/>
          <w:tab w:val="clear" w:pos="2835"/>
          <w:tab w:val="clear" w:pos="3686"/>
        </w:tabs>
        <w:spacing w:before="120"/>
        <w:ind w:left="709" w:hanging="709"/>
      </w:pPr>
      <w:r>
        <w:t xml:space="preserve">La </w:t>
      </w:r>
      <w:r w:rsidRPr="003E633B">
        <w:t>délégation</w:t>
      </w:r>
      <w:r>
        <w:t xml:space="preserve"> de </w:t>
      </w:r>
      <w:r w:rsidRPr="003E633B">
        <w:rPr>
          <w:b/>
        </w:rPr>
        <w:t>Chypre</w:t>
      </w:r>
      <w:r w:rsidR="004056CF">
        <w:t xml:space="preserve"> </w:t>
      </w:r>
      <w:r>
        <w:t>souhait</w:t>
      </w:r>
      <w:r w:rsidR="004056CF">
        <w:t>ait</w:t>
      </w:r>
      <w:r>
        <w:t xml:space="preserve"> aborder la question de la chronologie des étapes </w:t>
      </w:r>
      <w:r w:rsidR="00280292">
        <w:t>précédant l</w:t>
      </w:r>
      <w:r w:rsidR="00346F1B">
        <w:t>’</w:t>
      </w:r>
      <w:r w:rsidR="00280292">
        <w:t>examen des dossiers par le Comité</w:t>
      </w:r>
      <w:r>
        <w:t>. Lorsqu</w:t>
      </w:r>
      <w:r w:rsidR="00346F1B">
        <w:t>’</w:t>
      </w:r>
      <w:r>
        <w:t>un État soumet</w:t>
      </w:r>
      <w:r w:rsidR="00280292">
        <w:t>tait</w:t>
      </w:r>
      <w:r>
        <w:t xml:space="preserve"> un dossier pour </w:t>
      </w:r>
      <w:r w:rsidRPr="003E633B">
        <w:t>évaluation</w:t>
      </w:r>
      <w:r>
        <w:t>, le Secrétariat</w:t>
      </w:r>
      <w:r w:rsidR="00280292">
        <w:t xml:space="preserve"> vérifiait ce dossier et le renvoyait</w:t>
      </w:r>
      <w:r>
        <w:t xml:space="preserve"> à l</w:t>
      </w:r>
      <w:r w:rsidR="00346F1B">
        <w:t>’</w:t>
      </w:r>
      <w:r>
        <w:t>État soumissionnaire</w:t>
      </w:r>
      <w:r w:rsidR="00280292">
        <w:t xml:space="preserve"> s</w:t>
      </w:r>
      <w:r w:rsidR="00346F1B">
        <w:t>’</w:t>
      </w:r>
      <w:r w:rsidR="00280292">
        <w:t>il estimait</w:t>
      </w:r>
      <w:r>
        <w:t xml:space="preserve"> que des </w:t>
      </w:r>
      <w:r w:rsidRPr="003E633B">
        <w:t>informations</w:t>
      </w:r>
      <w:r w:rsidR="00280292">
        <w:t xml:space="preserve"> techniques faisaient</w:t>
      </w:r>
      <w:r>
        <w:t xml:space="preserve"> défaut. Ensuite, une fois les informations manquantes finalement reçues, le Secrétariat</w:t>
      </w:r>
      <w:r w:rsidR="00280292">
        <w:t xml:space="preserve"> transférait</w:t>
      </w:r>
      <w:r>
        <w:t xml:space="preserve"> le dossier à l</w:t>
      </w:r>
      <w:r w:rsidR="00346F1B">
        <w:t>’</w:t>
      </w:r>
      <w:r>
        <w:t>Organe d</w:t>
      </w:r>
      <w:r w:rsidR="00346F1B">
        <w:t>’</w:t>
      </w:r>
      <w:r>
        <w:t>évaluation</w:t>
      </w:r>
      <w:r w:rsidR="00280292">
        <w:t>, et une fois l</w:t>
      </w:r>
      <w:r w:rsidR="00346F1B">
        <w:t>’</w:t>
      </w:r>
      <w:r w:rsidR="00280292" w:rsidRPr="00280292">
        <w:t>évaluation</w:t>
      </w:r>
      <w:r>
        <w:t xml:space="preserve"> réalisée, l</w:t>
      </w:r>
      <w:r w:rsidR="00346F1B">
        <w:t>’</w:t>
      </w:r>
      <w:r>
        <w:t>Organe soumet</w:t>
      </w:r>
      <w:r w:rsidR="00280292">
        <w:t>tait</w:t>
      </w:r>
      <w:r>
        <w:t xml:space="preserve"> son rapport au Comité. La </w:t>
      </w:r>
      <w:r w:rsidRPr="003E633B">
        <w:t>délégation</w:t>
      </w:r>
      <w:r>
        <w:t xml:space="preserve"> a proposé que l</w:t>
      </w:r>
      <w:r w:rsidR="00346F1B">
        <w:t>’</w:t>
      </w:r>
      <w:r>
        <w:t>Organe d</w:t>
      </w:r>
      <w:r w:rsidR="00346F1B">
        <w:t>’</w:t>
      </w:r>
      <w:r>
        <w:t xml:space="preserve">évaluation puisse </w:t>
      </w:r>
      <w:r w:rsidR="00D815EC">
        <w:t xml:space="preserve">échanger avec </w:t>
      </w:r>
      <w:r>
        <w:t>l</w:t>
      </w:r>
      <w:r w:rsidR="00346F1B">
        <w:t>’</w:t>
      </w:r>
      <w:r>
        <w:t>État soumissionnaire afin que celui-ci complète les informations jugées incomplètes par l</w:t>
      </w:r>
      <w:r w:rsidR="00346F1B">
        <w:t>’</w:t>
      </w:r>
      <w:r>
        <w:t>Organe d</w:t>
      </w:r>
      <w:r w:rsidR="00346F1B">
        <w:t>’</w:t>
      </w:r>
      <w:r>
        <w:t xml:space="preserve">évaluation, c.-à-d. avant la transmission du rapport final au Comité. </w:t>
      </w:r>
      <w:r w:rsidR="00D815EC">
        <w:t>À défaut, o</w:t>
      </w:r>
      <w:r>
        <w:t>n pourrait également imaginer que le rapport de l</w:t>
      </w:r>
      <w:r w:rsidR="00346F1B">
        <w:t>’</w:t>
      </w:r>
      <w:r>
        <w:t>Organe d</w:t>
      </w:r>
      <w:r w:rsidR="00346F1B">
        <w:t>’</w:t>
      </w:r>
      <w:r>
        <w:t xml:space="preserve">évaluation </w:t>
      </w:r>
      <w:r w:rsidR="00280292">
        <w:t xml:space="preserve">soit </w:t>
      </w:r>
      <w:r>
        <w:t>transmis au Président du Comité qui resterait en contact avec l</w:t>
      </w:r>
      <w:r w:rsidR="00346F1B">
        <w:t>’</w:t>
      </w:r>
      <w:r>
        <w:t xml:space="preserve">État soumissionnaire. </w:t>
      </w:r>
      <w:r w:rsidR="00280292">
        <w:t xml:space="preserve">La </w:t>
      </w:r>
      <w:r w:rsidR="00280292" w:rsidRPr="00280292">
        <w:t>délégation</w:t>
      </w:r>
      <w:r w:rsidR="00280292">
        <w:t xml:space="preserve"> a </w:t>
      </w:r>
      <w:r w:rsidR="00280292" w:rsidRPr="00280292">
        <w:t>également</w:t>
      </w:r>
      <w:r w:rsidR="00280292">
        <w:t xml:space="preserve"> fait remarquer que les rapports de l</w:t>
      </w:r>
      <w:r w:rsidR="00346F1B">
        <w:t>’</w:t>
      </w:r>
      <w:r w:rsidR="00280292">
        <w:t>Organe d</w:t>
      </w:r>
      <w:r w:rsidR="00346F1B">
        <w:t>’</w:t>
      </w:r>
      <w:r w:rsidR="00280292">
        <w:t>évaluation n</w:t>
      </w:r>
      <w:r w:rsidR="00346F1B">
        <w:t>’</w:t>
      </w:r>
      <w:r w:rsidR="00280292">
        <w:t xml:space="preserve">étaient reçus par les </w:t>
      </w:r>
      <w:r w:rsidR="008A3BB3">
        <w:t>m</w:t>
      </w:r>
      <w:r w:rsidR="00A46CAD">
        <w:t>embres du Comité</w:t>
      </w:r>
      <w:r w:rsidR="00280292">
        <w:t xml:space="preserve"> qu</w:t>
      </w:r>
      <w:r w:rsidR="00346F1B">
        <w:t>’</w:t>
      </w:r>
      <w:r w:rsidR="00280292">
        <w:t xml:space="preserve">un mois avant la session, un délai qui, selon elle, était très court. Elle a ajouté que les documents devraient normalement être reçus six semaines avant la session du Comité, ce qui donnerait à ses </w:t>
      </w:r>
      <w:r w:rsidR="008A3BB3">
        <w:t>m</w:t>
      </w:r>
      <w:r w:rsidR="00A46CAD">
        <w:t>embres</w:t>
      </w:r>
      <w:r w:rsidR="00280292">
        <w:t xml:space="preserve"> plus de temps pour la </w:t>
      </w:r>
      <w:r w:rsidR="00280292" w:rsidRPr="00280292">
        <w:t>préparation</w:t>
      </w:r>
      <w:r w:rsidR="00A97118">
        <w:t>.</w:t>
      </w:r>
    </w:p>
    <w:p w14:paraId="5E4F9921" w14:textId="0683F911" w:rsidR="00280292" w:rsidRDefault="00280292" w:rsidP="00AF7860">
      <w:pPr>
        <w:pStyle w:val="Orateurengris"/>
        <w:tabs>
          <w:tab w:val="clear" w:pos="709"/>
          <w:tab w:val="clear" w:pos="1418"/>
          <w:tab w:val="clear" w:pos="2126"/>
          <w:tab w:val="clear" w:pos="2835"/>
          <w:tab w:val="clear" w:pos="3686"/>
        </w:tabs>
        <w:spacing w:before="120"/>
        <w:ind w:left="709" w:hanging="709"/>
      </w:pPr>
      <w:r>
        <w:t xml:space="preserve">La </w:t>
      </w:r>
      <w:r w:rsidRPr="00280292">
        <w:t>délégation</w:t>
      </w:r>
      <w:r>
        <w:t xml:space="preserve"> de </w:t>
      </w:r>
      <w:r w:rsidRPr="00280292">
        <w:rPr>
          <w:b/>
        </w:rPr>
        <w:t>Cuba</w:t>
      </w:r>
      <w:r w:rsidR="004056CF">
        <w:t xml:space="preserve"> trouvait</w:t>
      </w:r>
      <w:r>
        <w:t xml:space="preserve"> la question intéressante, notamment parce qu</w:t>
      </w:r>
      <w:r w:rsidR="00346F1B">
        <w:t>’</w:t>
      </w:r>
      <w:r>
        <w:t>elle était étroitement liée à plusieurs autres points de l</w:t>
      </w:r>
      <w:r w:rsidR="00346F1B">
        <w:t>’</w:t>
      </w:r>
      <w:r w:rsidRPr="00280292">
        <w:t>ordre du jour</w:t>
      </w:r>
      <w:r>
        <w:t xml:space="preserve">, </w:t>
      </w:r>
      <w:r w:rsidRPr="00280292">
        <w:t>par exemple</w:t>
      </w:r>
      <w:r>
        <w:t>, l</w:t>
      </w:r>
      <w:r w:rsidR="00346F1B">
        <w:t>’</w:t>
      </w:r>
      <w:r w:rsidRPr="00280292">
        <w:t>établissement</w:t>
      </w:r>
      <w:r>
        <w:t xml:space="preserve"> d</w:t>
      </w:r>
      <w:r w:rsidR="00346F1B">
        <w:t>’</w:t>
      </w:r>
      <w:r>
        <w:t>un nouvel Organe d</w:t>
      </w:r>
      <w:r w:rsidR="00346F1B">
        <w:t>’</w:t>
      </w:r>
      <w:r>
        <w:t>évaluation et la question de la gouvernance. Cela méritait donc une réflexion approfondie</w:t>
      </w:r>
      <w:r w:rsidR="000433AE">
        <w:t>. Elle comprenai</w:t>
      </w:r>
      <w:r>
        <w:t xml:space="preserve">t que les pratiques </w:t>
      </w:r>
      <w:r w:rsidR="000433AE">
        <w:t xml:space="preserve">étaient corroborées par les droits du Comité, mais il y avait </w:t>
      </w:r>
      <w:r w:rsidR="000433AE" w:rsidRPr="000433AE">
        <w:t>également</w:t>
      </w:r>
      <w:r w:rsidR="000433AE">
        <w:t xml:space="preserve"> des directives et des statuts qu</w:t>
      </w:r>
      <w:r w:rsidR="00346F1B">
        <w:t>’</w:t>
      </w:r>
      <w:r w:rsidR="000433AE">
        <w:t xml:space="preserve">il convenait de respecter. Il existait, </w:t>
      </w:r>
      <w:r w:rsidR="000433AE" w:rsidRPr="000433AE">
        <w:t>par exemple</w:t>
      </w:r>
      <w:r w:rsidR="000433AE">
        <w:t>, des règles en vigueur c</w:t>
      </w:r>
      <w:r w:rsidR="000433AE" w:rsidRPr="000433AE">
        <w:t>oncernant</w:t>
      </w:r>
      <w:r w:rsidR="000433AE">
        <w:t xml:space="preserve"> le vote. Le Comité ne devait pas tomber dans le piège qui consistait à accepter la décision unilatérale du Président. Comme évoqué par la Palestine, ce Comité était le seul à tolérer de telles pratiques, et la question du consensus au sein du Comité n</w:t>
      </w:r>
      <w:r w:rsidR="00346F1B">
        <w:t>’</w:t>
      </w:r>
      <w:r w:rsidR="000433AE">
        <w:t xml:space="preserve">avait pas été clarifiée. La </w:t>
      </w:r>
      <w:r w:rsidR="000433AE" w:rsidRPr="000433AE">
        <w:t>délégation</w:t>
      </w:r>
      <w:r w:rsidR="000433AE">
        <w:t xml:space="preserve"> était </w:t>
      </w:r>
      <w:r w:rsidR="000433AE" w:rsidRPr="000433AE">
        <w:t>particulièrement</w:t>
      </w:r>
      <w:r w:rsidR="000433AE">
        <w:t xml:space="preserve"> attentive à la perception de cette question par les d</w:t>
      </w:r>
      <w:r w:rsidR="0051788B">
        <w:t>élégations, pays et communautés,</w:t>
      </w:r>
      <w:r w:rsidR="000433AE">
        <w:t xml:space="preserve"> </w:t>
      </w:r>
      <w:r w:rsidR="0051788B">
        <w:t xml:space="preserve">qui </w:t>
      </w:r>
      <w:r w:rsidR="000433AE">
        <w:t>méritait un</w:t>
      </w:r>
      <w:r w:rsidR="0051788B">
        <w:t>e</w:t>
      </w:r>
      <w:r w:rsidR="000433AE">
        <w:t xml:space="preserve"> réponse </w:t>
      </w:r>
      <w:r w:rsidR="00450503">
        <w:t>claire et précise. Elle estimait</w:t>
      </w:r>
      <w:r w:rsidR="0051788B">
        <w:t xml:space="preserve"> que les pouvoirs dévolus au Président du Comité étaient excessifs, ce qui était, sans aucun doute, à l</w:t>
      </w:r>
      <w:r w:rsidR="00346F1B">
        <w:t>’</w:t>
      </w:r>
      <w:r w:rsidR="0051788B">
        <w:t>origine d</w:t>
      </w:r>
      <w:r w:rsidR="00346F1B">
        <w:t>’</w:t>
      </w:r>
      <w:r w:rsidR="0051788B">
        <w:t xml:space="preserve">un problème de gouvernance pour la structuration des débats du Comité. Cette question concernait </w:t>
      </w:r>
      <w:r w:rsidR="0051788B" w:rsidRPr="0051788B">
        <w:t>également</w:t>
      </w:r>
      <w:r w:rsidR="0051788B">
        <w:t xml:space="preserve"> les méthodes de travail et les mécanismes d</w:t>
      </w:r>
      <w:r w:rsidR="00346F1B">
        <w:t>’</w:t>
      </w:r>
      <w:r w:rsidR="0051788B" w:rsidRPr="0051788B">
        <w:t>évaluation</w:t>
      </w:r>
      <w:r w:rsidR="0051788B">
        <w:t xml:space="preserve"> au sein du Comité. En</w:t>
      </w:r>
      <w:r w:rsidR="00D815EC">
        <w:t xml:space="preserve"> effet, personne ne dev</w:t>
      </w:r>
      <w:r w:rsidR="0051788B">
        <w:t>ait avoir plus de pouvoir que l</w:t>
      </w:r>
      <w:r w:rsidR="00346F1B">
        <w:t>’</w:t>
      </w:r>
      <w:r w:rsidR="0051788B">
        <w:t>Organe d</w:t>
      </w:r>
      <w:r w:rsidR="00346F1B">
        <w:t>’</w:t>
      </w:r>
      <w:r w:rsidR="0051788B">
        <w:t>évaluation dans l</w:t>
      </w:r>
      <w:r w:rsidR="00346F1B">
        <w:t>’</w:t>
      </w:r>
      <w:r w:rsidR="0051788B">
        <w:t>examen des candidatures. Les rôles du Comité, du Président et de l</w:t>
      </w:r>
      <w:r w:rsidR="00346F1B">
        <w:t>’</w:t>
      </w:r>
      <w:r w:rsidR="0051788B">
        <w:t>Organe d</w:t>
      </w:r>
      <w:r w:rsidR="00346F1B">
        <w:t>’</w:t>
      </w:r>
      <w:r w:rsidR="0051788B">
        <w:t xml:space="preserve">évaluation devraient donc être </w:t>
      </w:r>
      <w:r w:rsidR="00043D89">
        <w:t>examinés en détail afin de garantir que l</w:t>
      </w:r>
      <w:r w:rsidR="00346F1B">
        <w:t>’</w:t>
      </w:r>
      <w:r w:rsidR="00043D89">
        <w:t xml:space="preserve">ensemble des différentes </w:t>
      </w:r>
      <w:r w:rsidR="00043D89" w:rsidRPr="00043D89">
        <w:t>parties prenantes</w:t>
      </w:r>
      <w:r w:rsidR="00043D89">
        <w:t xml:space="preserve"> agi</w:t>
      </w:r>
      <w:r w:rsidR="004056CF">
        <w:t>ssai</w:t>
      </w:r>
      <w:r w:rsidR="00043D89">
        <w:t>t bien dans l</w:t>
      </w:r>
      <w:r w:rsidR="00346F1B">
        <w:t>’</w:t>
      </w:r>
      <w:r w:rsidR="00043D89">
        <w:t xml:space="preserve">esprit de la </w:t>
      </w:r>
      <w:r w:rsidR="00043D89" w:rsidRPr="00043D89">
        <w:t>Convention</w:t>
      </w:r>
      <w:r w:rsidR="00043D89">
        <w:t>. Cette question était tout à fait opportune et la clarté nécessitait d</w:t>
      </w:r>
      <w:r w:rsidR="00346F1B">
        <w:t>’</w:t>
      </w:r>
      <w:r w:rsidR="00043D89">
        <w:t xml:space="preserve">être rétablie, </w:t>
      </w:r>
      <w:r w:rsidR="00043D89" w:rsidRPr="00043D89">
        <w:t>en particulier</w:t>
      </w:r>
      <w:r w:rsidR="00043D89">
        <w:t xml:space="preserve"> s</w:t>
      </w:r>
      <w:r w:rsidR="00346F1B">
        <w:t>’</w:t>
      </w:r>
      <w:r w:rsidR="00043D89">
        <w:t>agissant de l</w:t>
      </w:r>
      <w:r w:rsidR="00346F1B">
        <w:t>’</w:t>
      </w:r>
      <w:r w:rsidR="00043D89">
        <w:t>examen des pratiques du Co</w:t>
      </w:r>
      <w:r w:rsidR="00A97118">
        <w:t>mité lors des futures sessions.</w:t>
      </w:r>
    </w:p>
    <w:p w14:paraId="1B11CCEA" w14:textId="069CDAEC" w:rsidR="00043D89" w:rsidRPr="00043D89" w:rsidRDefault="00043D89" w:rsidP="00AF7860">
      <w:pPr>
        <w:pStyle w:val="Orateurengris"/>
        <w:tabs>
          <w:tab w:val="clear" w:pos="709"/>
          <w:tab w:val="clear" w:pos="1418"/>
          <w:tab w:val="clear" w:pos="2126"/>
          <w:tab w:val="clear" w:pos="2835"/>
          <w:tab w:val="clear" w:pos="3686"/>
        </w:tabs>
        <w:spacing w:before="120"/>
        <w:ind w:left="709" w:hanging="709"/>
      </w:pPr>
      <w:r w:rsidRPr="00043D89">
        <w:t xml:space="preserve">La délégation des </w:t>
      </w:r>
      <w:r w:rsidRPr="00043D89">
        <w:rPr>
          <w:b/>
        </w:rPr>
        <w:t>Philippines</w:t>
      </w:r>
      <w:r w:rsidRPr="00043D89">
        <w:t xml:space="preserve"> a apporté son soutien </w:t>
      </w:r>
      <w:r w:rsidR="00A97118">
        <w:t>à l</w:t>
      </w:r>
      <w:r w:rsidR="00346F1B">
        <w:t>’</w:t>
      </w:r>
      <w:r w:rsidR="00A97118">
        <w:t>amendement de la Palestine.</w:t>
      </w:r>
    </w:p>
    <w:p w14:paraId="272D68C3" w14:textId="3480D2B1" w:rsidR="00D452AB" w:rsidRPr="00D452AB" w:rsidRDefault="00043D89" w:rsidP="00AF7860">
      <w:pPr>
        <w:pStyle w:val="Orateurengris"/>
        <w:tabs>
          <w:tab w:val="clear" w:pos="709"/>
          <w:tab w:val="clear" w:pos="1418"/>
          <w:tab w:val="clear" w:pos="2126"/>
          <w:tab w:val="clear" w:pos="2835"/>
          <w:tab w:val="clear" w:pos="3686"/>
        </w:tabs>
        <w:spacing w:before="120"/>
        <w:ind w:left="709" w:hanging="709"/>
      </w:pPr>
      <w:r>
        <w:t xml:space="preserve">La </w:t>
      </w:r>
      <w:r w:rsidRPr="00043D89">
        <w:t>délégation</w:t>
      </w:r>
      <w:r>
        <w:t xml:space="preserve"> de l</w:t>
      </w:r>
      <w:r w:rsidR="00346F1B">
        <w:t>’</w:t>
      </w:r>
      <w:r w:rsidRPr="00043D89">
        <w:rPr>
          <w:b/>
        </w:rPr>
        <w:t>Autriche</w:t>
      </w:r>
      <w:r>
        <w:t xml:space="preserve"> comprenait que le processus de prise de décisions était très important pour les États parties et elle convenait </w:t>
      </w:r>
      <w:r w:rsidRPr="00043D89">
        <w:t>également</w:t>
      </w:r>
      <w:r>
        <w:t xml:space="preserve"> que les procédures de travail devraient être conformes à celles des autres </w:t>
      </w:r>
      <w:r w:rsidR="00892BD4">
        <w:t xml:space="preserve">organes directeurs </w:t>
      </w:r>
      <w:r>
        <w:t>de l</w:t>
      </w:r>
      <w:r w:rsidR="00346F1B">
        <w:t>’</w:t>
      </w:r>
      <w:r>
        <w:t>UNESCO. Elle a souligné que les Directives opérationnelles étaient très précises quant aux procédures d</w:t>
      </w:r>
      <w:r w:rsidR="00346F1B">
        <w:t>’</w:t>
      </w:r>
      <w:r w:rsidRPr="00043D89">
        <w:t>évaluation</w:t>
      </w:r>
      <w:r>
        <w:t xml:space="preserve"> des candidatures, </w:t>
      </w:r>
      <w:r w:rsidR="00D26442">
        <w:t>sélections au Registre</w:t>
      </w:r>
      <w:r w:rsidR="004056CF">
        <w:t xml:space="preserve"> et demandes et elle souhaitait</w:t>
      </w:r>
      <w:r>
        <w:t xml:space="preserve"> profiter de l</w:t>
      </w:r>
      <w:r w:rsidR="00346F1B">
        <w:t>’</w:t>
      </w:r>
      <w:r>
        <w:t>occasion pour réaffirmer sa plein</w:t>
      </w:r>
      <w:r w:rsidR="00D26442">
        <w:t>e</w:t>
      </w:r>
      <w:r>
        <w:t xml:space="preserve"> confiance </w:t>
      </w:r>
      <w:r w:rsidR="005D4945">
        <w:t>dans le trav</w:t>
      </w:r>
      <w:r w:rsidR="00D815EC">
        <w:t>a</w:t>
      </w:r>
      <w:r w:rsidR="005D4945">
        <w:t xml:space="preserve">il de très </w:t>
      </w:r>
      <w:r w:rsidR="00D26442">
        <w:t xml:space="preserve">grande </w:t>
      </w:r>
      <w:r w:rsidR="005D4945">
        <w:t xml:space="preserve">qualité </w:t>
      </w:r>
      <w:r w:rsidR="00D26442">
        <w:t>réalisé par</w:t>
      </w:r>
      <w:r w:rsidR="005D4945">
        <w:t xml:space="preserve"> l</w:t>
      </w:r>
      <w:r w:rsidR="00346F1B">
        <w:t>’</w:t>
      </w:r>
      <w:r w:rsidR="005D4945">
        <w:t>Organe d</w:t>
      </w:r>
      <w:r w:rsidR="00346F1B">
        <w:t>’</w:t>
      </w:r>
      <w:r w:rsidR="005D4945">
        <w:t>évaluation</w:t>
      </w:r>
      <w:r w:rsidR="00D815EC">
        <w:t xml:space="preserve">. La </w:t>
      </w:r>
      <w:r w:rsidR="00D815EC" w:rsidRPr="00D815EC">
        <w:t>délégation</w:t>
      </w:r>
      <w:r w:rsidR="00D815EC">
        <w:t xml:space="preserve"> a rappelé que c</w:t>
      </w:r>
      <w:r w:rsidR="00346F1B">
        <w:t>’</w:t>
      </w:r>
      <w:r w:rsidR="00D815EC">
        <w:t>était le Comité lui-même qui avait établi l</w:t>
      </w:r>
      <w:r w:rsidR="00346F1B">
        <w:t>’</w:t>
      </w:r>
      <w:r w:rsidR="00D815EC">
        <w:t>Organe d</w:t>
      </w:r>
      <w:r w:rsidR="00346F1B">
        <w:t>’</w:t>
      </w:r>
      <w:r w:rsidR="00D815EC">
        <w:t>évaluation et que le Comité devrait donc avoir une confiance absolue dans le travail de l</w:t>
      </w:r>
      <w:r w:rsidR="00346F1B">
        <w:t>’</w:t>
      </w:r>
      <w:r w:rsidR="00D815EC">
        <w:t xml:space="preserve">Organe. En outre, elle appréciait </w:t>
      </w:r>
      <w:r w:rsidR="00D26442">
        <w:t>le</w:t>
      </w:r>
      <w:r w:rsidR="00D815EC">
        <w:t xml:space="preserve"> temps consacré </w:t>
      </w:r>
      <w:r w:rsidR="00D26442">
        <w:t>par l</w:t>
      </w:r>
      <w:r w:rsidR="00346F1B">
        <w:t>’</w:t>
      </w:r>
      <w:r w:rsidR="00D26442">
        <w:t xml:space="preserve">Organe </w:t>
      </w:r>
      <w:r w:rsidR="00D815EC">
        <w:t xml:space="preserve">au travail très approfondi </w:t>
      </w:r>
      <w:r w:rsidR="00D452AB">
        <w:t>d</w:t>
      </w:r>
      <w:r w:rsidR="00346F1B">
        <w:t>’</w:t>
      </w:r>
      <w:r w:rsidR="00D815EC">
        <w:t xml:space="preserve">étude de tous les dossiers. </w:t>
      </w:r>
      <w:r w:rsidR="00D452AB">
        <w:t>S</w:t>
      </w:r>
      <w:r w:rsidR="00346F1B">
        <w:t>’</w:t>
      </w:r>
      <w:r w:rsidR="00D452AB">
        <w:t>agissant de l</w:t>
      </w:r>
      <w:r w:rsidR="00346F1B">
        <w:t>’</w:t>
      </w:r>
      <w:r w:rsidR="00D452AB">
        <w:t xml:space="preserve">adoption finale des projets de décision sur les candidatures, la pratique du Comité était tout à fait conforme à celle couramment observée </w:t>
      </w:r>
      <w:r w:rsidR="00892BD4">
        <w:t xml:space="preserve">dans les organes directeurs </w:t>
      </w:r>
      <w:r w:rsidR="00D452AB">
        <w:t>de l</w:t>
      </w:r>
      <w:r w:rsidR="00346F1B">
        <w:t>’</w:t>
      </w:r>
      <w:r w:rsidR="00D452AB">
        <w:t>UNESCO, à savoir, adopter les décisions par un consensus obtenu au terme d</w:t>
      </w:r>
      <w:r w:rsidR="00346F1B">
        <w:t>’</w:t>
      </w:r>
      <w:r w:rsidR="00D452AB">
        <w:t xml:space="preserve">un débat plutôt </w:t>
      </w:r>
      <w:r w:rsidR="00D26442">
        <w:t xml:space="preserve">que par une </w:t>
      </w:r>
      <w:r w:rsidR="00892BD4">
        <w:t xml:space="preserve">procédure formelle de </w:t>
      </w:r>
      <w:r w:rsidR="00D26442">
        <w:t>mise aux voix</w:t>
      </w:r>
      <w:r w:rsidR="00D452AB">
        <w:t xml:space="preserve"> car le consensus était le reflet de l</w:t>
      </w:r>
      <w:r w:rsidR="00346F1B">
        <w:t>’</w:t>
      </w:r>
      <w:r w:rsidR="00D452AB">
        <w:t xml:space="preserve">esprit de la </w:t>
      </w:r>
      <w:r w:rsidR="00D452AB" w:rsidRPr="00D452AB">
        <w:t>Convention</w:t>
      </w:r>
      <w:r w:rsidR="00D452AB">
        <w:t xml:space="preserve"> qui encourageait la </w:t>
      </w:r>
      <w:r w:rsidR="00D452AB" w:rsidRPr="00D452AB">
        <w:t>compréhension</w:t>
      </w:r>
      <w:r w:rsidR="00D452AB">
        <w:t xml:space="preserve"> mutuelle et la </w:t>
      </w:r>
      <w:r w:rsidR="00D452AB" w:rsidRPr="00D452AB">
        <w:t>coopération</w:t>
      </w:r>
      <w:r w:rsidR="00D452AB">
        <w:t xml:space="preserve"> internationale. Une modification des méthodes de travail du Président nécessiterait une réflexion très approfondie, et la </w:t>
      </w:r>
      <w:r w:rsidR="00D452AB" w:rsidRPr="00D452AB">
        <w:t>délégation</w:t>
      </w:r>
      <w:r w:rsidR="00D452AB">
        <w:t xml:space="preserve"> </w:t>
      </w:r>
      <w:r w:rsidR="00D26442">
        <w:t xml:space="preserve">convenait </w:t>
      </w:r>
      <w:r w:rsidR="00D452AB">
        <w:t>avec Cuba qu</w:t>
      </w:r>
      <w:r w:rsidR="00346F1B">
        <w:t>’</w:t>
      </w:r>
      <w:r w:rsidR="00D452AB">
        <w:t xml:space="preserve">un débat de fond était nécessaire. Le Comité ne devrait donc pas se précipiter pour entreprendre quelque </w:t>
      </w:r>
      <w:r w:rsidR="00D452AB" w:rsidRPr="00D452AB">
        <w:t>changement</w:t>
      </w:r>
      <w:r w:rsidR="00D452AB">
        <w:t xml:space="preserve"> que ce soit aux méthodes de travail, mais devrait inviter les autres États parties, comme l</w:t>
      </w:r>
      <w:r w:rsidR="00346F1B">
        <w:t>’</w:t>
      </w:r>
      <w:r w:rsidR="00D452AB">
        <w:t>a</w:t>
      </w:r>
      <w:r w:rsidR="00D26442">
        <w:t>vait</w:t>
      </w:r>
      <w:r w:rsidR="00D452AB">
        <w:t xml:space="preserve"> suggéré la Palestine, et les ONG à contribuer à la réflexion sur cette question d</w:t>
      </w:r>
      <w:r w:rsidR="00346F1B">
        <w:t>’</w:t>
      </w:r>
      <w:r w:rsidR="00D452AB">
        <w:t>importance. En règle générale, le Comité devrait toutefois s</w:t>
      </w:r>
      <w:r w:rsidR="00346F1B">
        <w:t>’</w:t>
      </w:r>
      <w:r w:rsidR="00D452AB">
        <w:t>efforcer de parvenir à un consensus, comme c</w:t>
      </w:r>
      <w:r w:rsidR="00346F1B">
        <w:t>’</w:t>
      </w:r>
      <w:r w:rsidR="00D452AB">
        <w:t xml:space="preserve">était la norme </w:t>
      </w:r>
      <w:r w:rsidR="00892BD4">
        <w:t xml:space="preserve">dans les organes directeurs </w:t>
      </w:r>
      <w:r w:rsidR="00D452AB">
        <w:t>de l</w:t>
      </w:r>
      <w:r w:rsidR="00346F1B">
        <w:t>’</w:t>
      </w:r>
      <w:r w:rsidR="00D452AB">
        <w:t>UNESCO. Par ailleurs, aucun des documents de l</w:t>
      </w:r>
      <w:r w:rsidR="00346F1B">
        <w:t>’</w:t>
      </w:r>
      <w:r w:rsidR="00D452AB">
        <w:t>UNESCO ne donnait une définition claire et précise du consensus car cela avait toujours été une forme d</w:t>
      </w:r>
      <w:r w:rsidR="00346F1B">
        <w:t>’</w:t>
      </w:r>
      <w:r w:rsidR="00D452AB">
        <w:t>inte</w:t>
      </w:r>
      <w:r w:rsidR="00A97118">
        <w:t>raction entre les participants.</w:t>
      </w:r>
    </w:p>
    <w:p w14:paraId="47744DF3" w14:textId="16232B47" w:rsidR="00802468" w:rsidRPr="00802468" w:rsidRDefault="00E0688E" w:rsidP="00AF7860">
      <w:pPr>
        <w:pStyle w:val="Orateurengris"/>
        <w:tabs>
          <w:tab w:val="clear" w:pos="709"/>
          <w:tab w:val="clear" w:pos="1418"/>
          <w:tab w:val="clear" w:pos="2126"/>
          <w:tab w:val="clear" w:pos="2835"/>
          <w:tab w:val="clear" w:pos="3686"/>
        </w:tabs>
        <w:spacing w:before="120"/>
        <w:ind w:left="709" w:hanging="709"/>
      </w:pPr>
      <w:r>
        <w:t xml:space="preserve">La </w:t>
      </w:r>
      <w:r w:rsidRPr="00E0688E">
        <w:t>délégation</w:t>
      </w:r>
      <w:r>
        <w:t xml:space="preserve"> du </w:t>
      </w:r>
      <w:r w:rsidRPr="00E0688E">
        <w:rPr>
          <w:b/>
        </w:rPr>
        <w:t>Sénégal</w:t>
      </w:r>
      <w:r>
        <w:t xml:space="preserve"> a débuté son </w:t>
      </w:r>
      <w:r w:rsidRPr="00E0688E">
        <w:t>intervention</w:t>
      </w:r>
      <w:r>
        <w:t xml:space="preserve"> en remerciant l</w:t>
      </w:r>
      <w:r w:rsidR="00346F1B">
        <w:t>’</w:t>
      </w:r>
      <w:r>
        <w:t>Espagne d</w:t>
      </w:r>
      <w:r w:rsidR="00346F1B">
        <w:t>’</w:t>
      </w:r>
      <w:r>
        <w:t>avoir proposé ce point car il s</w:t>
      </w:r>
      <w:r w:rsidR="00346F1B">
        <w:t>’</w:t>
      </w:r>
      <w:r>
        <w:t>agissait d</w:t>
      </w:r>
      <w:r w:rsidR="00346F1B">
        <w:t>’</w:t>
      </w:r>
      <w:r>
        <w:t>un sujet important pour l</w:t>
      </w:r>
      <w:r w:rsidR="00346F1B">
        <w:t>’</w:t>
      </w:r>
      <w:r>
        <w:t xml:space="preserve">avenir du Comité. À cet égard, en tant que nouveau </w:t>
      </w:r>
      <w:r w:rsidR="008A3BB3">
        <w:t>m</w:t>
      </w:r>
      <w:r w:rsidR="00A46CAD">
        <w:t>embre</w:t>
      </w:r>
      <w:r>
        <w:t xml:space="preserve">, la </w:t>
      </w:r>
      <w:r w:rsidRPr="00E0688E">
        <w:t>délégation</w:t>
      </w:r>
      <w:r>
        <w:t xml:space="preserve"> avait l</w:t>
      </w:r>
      <w:r w:rsidR="00346F1B">
        <w:t>’</w:t>
      </w:r>
      <w:r>
        <w:t xml:space="preserve">intention de </w:t>
      </w:r>
      <w:r w:rsidR="00B04824">
        <w:t>s</w:t>
      </w:r>
      <w:r w:rsidR="00346F1B">
        <w:t>’</w:t>
      </w:r>
      <w:r w:rsidR="00B04824">
        <w:t xml:space="preserve">inscrire dans </w:t>
      </w:r>
      <w:r>
        <w:t xml:space="preserve">la tradition et la pratique du Comité, réaffirmant ainsi son </w:t>
      </w:r>
      <w:r w:rsidR="00FB6EFC">
        <w:t>attachement au</w:t>
      </w:r>
      <w:r>
        <w:t xml:space="preserve"> principe du consensus. La </w:t>
      </w:r>
      <w:r w:rsidRPr="00E0688E">
        <w:t>délégation</w:t>
      </w:r>
      <w:r>
        <w:t xml:space="preserve"> a évoqué l</w:t>
      </w:r>
      <w:r w:rsidR="00346F1B">
        <w:t>’</w:t>
      </w:r>
      <w:r>
        <w:t xml:space="preserve">anomalie que représentait la pratique du Comité </w:t>
      </w:r>
      <w:r w:rsidR="00892BD4">
        <w:t>par rapport aux pratiques des au</w:t>
      </w:r>
      <w:r w:rsidR="001433F2">
        <w:t>tres C</w:t>
      </w:r>
      <w:r w:rsidR="00B04824">
        <w:t xml:space="preserve">onventions culturelles, </w:t>
      </w:r>
      <w:r w:rsidR="00892BD4">
        <w:t>programmes scientifiques et organes directeurs de l</w:t>
      </w:r>
      <w:r w:rsidR="00346F1B">
        <w:t>’</w:t>
      </w:r>
      <w:r w:rsidR="00892BD4">
        <w:t>UNESCO, anomal</w:t>
      </w:r>
      <w:r w:rsidR="00FB6EFC">
        <w:t>ie qui ne pouvait plus perdurer</w:t>
      </w:r>
      <w:r w:rsidR="00892BD4">
        <w:t xml:space="preserve">. Elle a rappelé la discussion </w:t>
      </w:r>
      <w:r w:rsidR="00FB6EFC">
        <w:t xml:space="preserve">du jour précédent </w:t>
      </w:r>
      <w:r w:rsidR="00892BD4">
        <w:t>sur les recommandations de l</w:t>
      </w:r>
      <w:r w:rsidR="00346F1B">
        <w:t>’</w:t>
      </w:r>
      <w:r w:rsidR="00892BD4">
        <w:t xml:space="preserve">Auditeur externe et notamment la </w:t>
      </w:r>
      <w:r w:rsidR="00892BD4" w:rsidRPr="00892BD4">
        <w:t>recommandation</w:t>
      </w:r>
      <w:r w:rsidR="00FB6EFC">
        <w:t xml:space="preserve"> invitant à </w:t>
      </w:r>
      <w:r w:rsidR="00B04824">
        <w:t xml:space="preserve">mettre en place </w:t>
      </w:r>
      <w:r w:rsidR="00FB6EFC">
        <w:t xml:space="preserve">des </w:t>
      </w:r>
      <w:r w:rsidR="00892BD4">
        <w:t>synergie</w:t>
      </w:r>
      <w:r w:rsidR="00FB6EFC">
        <w:t>s</w:t>
      </w:r>
      <w:r w:rsidR="00892BD4">
        <w:t xml:space="preserve"> et </w:t>
      </w:r>
      <w:r w:rsidR="00B04824">
        <w:t>à harmoniser les méthodes de travail et l</w:t>
      </w:r>
      <w:r w:rsidR="00D613CC">
        <w:t>es pratiques de toutes les Conventions culturelles e</w:t>
      </w:r>
      <w:r w:rsidR="00D613CC" w:rsidRPr="00D613CC">
        <w:t>n ce qui concerne</w:t>
      </w:r>
      <w:r w:rsidR="00D613CC">
        <w:t xml:space="preserve"> le processus de prise de décisions</w:t>
      </w:r>
      <w:r w:rsidR="003A6355">
        <w:t>. Lorsque l</w:t>
      </w:r>
      <w:r w:rsidR="00346F1B">
        <w:t>’</w:t>
      </w:r>
      <w:r w:rsidR="00D613CC">
        <w:t>on évoquait le consensus, il était important d</w:t>
      </w:r>
      <w:r w:rsidR="00346F1B">
        <w:t>’</w:t>
      </w:r>
      <w:r w:rsidR="00D613CC">
        <w:t>éviter, autant que faire se peut, l</w:t>
      </w:r>
      <w:r w:rsidR="00346F1B">
        <w:t>’</w:t>
      </w:r>
      <w:r w:rsidR="00D613CC">
        <w:t>idée d</w:t>
      </w:r>
      <w:r w:rsidR="00346F1B">
        <w:t>’</w:t>
      </w:r>
      <w:r w:rsidR="00D613CC">
        <w:t xml:space="preserve">un vote. La </w:t>
      </w:r>
      <w:r w:rsidR="00D613CC" w:rsidRPr="00D613CC">
        <w:t>délégation</w:t>
      </w:r>
      <w:r w:rsidR="00D613CC">
        <w:t xml:space="preserve"> avait </w:t>
      </w:r>
      <w:r w:rsidR="00D613CC" w:rsidRPr="00D613CC">
        <w:t>cependant</w:t>
      </w:r>
      <w:r w:rsidR="00D613CC">
        <w:t xml:space="preserve"> le sentiment que la pratique </w:t>
      </w:r>
      <w:r w:rsidR="00B04824">
        <w:t xml:space="preserve">alors </w:t>
      </w:r>
      <w:r w:rsidR="00D613CC">
        <w:t xml:space="preserve">en cours au Comité semait </w:t>
      </w:r>
      <w:r w:rsidR="004056CF">
        <w:t xml:space="preserve">quelque peu le trouble car </w:t>
      </w:r>
      <w:r w:rsidR="00D613CC">
        <w:t xml:space="preserve">elle consistait essentiellement en un vote </w:t>
      </w:r>
      <w:r w:rsidR="004056CF">
        <w:t xml:space="preserve">qui ne disait pas son nom et </w:t>
      </w:r>
      <w:r w:rsidR="00D613CC">
        <w:t xml:space="preserve">elle ne suivait pas les modalités définies </w:t>
      </w:r>
      <w:r w:rsidR="00B04824">
        <w:t xml:space="preserve">par </w:t>
      </w:r>
      <w:r w:rsidR="00D613CC">
        <w:t>le Règlement intérieur. L</w:t>
      </w:r>
      <w:r w:rsidR="00346F1B">
        <w:t>’</w:t>
      </w:r>
      <w:r w:rsidR="00D613CC">
        <w:t xml:space="preserve">autre aspect dérangeant </w:t>
      </w:r>
      <w:r w:rsidR="00B04824">
        <w:t>de cette</w:t>
      </w:r>
      <w:r w:rsidR="00D613CC">
        <w:t xml:space="preserve"> pratique était </w:t>
      </w:r>
      <w:r w:rsidR="00FB6EFC">
        <w:t xml:space="preserve">son effet indésirable sur les États soumissionnaires car les </w:t>
      </w:r>
      <w:r w:rsidR="008A3BB3">
        <w:t>m</w:t>
      </w:r>
      <w:r w:rsidR="00A46CAD">
        <w:t>embres du Comité</w:t>
      </w:r>
      <w:r w:rsidR="00FB6EFC">
        <w:t xml:space="preserve"> offraient volontiers leur soutien aux candidatures ce qui conduisait à une politisation des décisions. L</w:t>
      </w:r>
      <w:r w:rsidR="00346F1B">
        <w:t>’</w:t>
      </w:r>
      <w:r w:rsidR="00FB6EFC">
        <w:t xml:space="preserve">autre point soulevé par Cuba, que la </w:t>
      </w:r>
      <w:r w:rsidR="00FB6EFC" w:rsidRPr="00FB6EFC">
        <w:t>délégation</w:t>
      </w:r>
      <w:r w:rsidR="00FB6EFC">
        <w:t xml:space="preserve"> partageait pleinement, était la pratique </w:t>
      </w:r>
      <w:r w:rsidR="00B04824">
        <w:t xml:space="preserve">alors </w:t>
      </w:r>
      <w:r w:rsidR="00FB6EFC">
        <w:t xml:space="preserve">en cours qui accordait des pouvoirs excessifs au Président. En pratique, cela pouvait même conduire le Président à prendre la décision en lieu et place des </w:t>
      </w:r>
      <w:r w:rsidR="008A3BB3">
        <w:t>m</w:t>
      </w:r>
      <w:r w:rsidR="00A46CAD">
        <w:t>embres du Comité</w:t>
      </w:r>
      <w:r w:rsidR="00FB6EFC">
        <w:t>, puisque c</w:t>
      </w:r>
      <w:r w:rsidR="00346F1B">
        <w:t>’</w:t>
      </w:r>
      <w:r w:rsidR="00FB6EFC">
        <w:t xml:space="preserve">était le Président qui décidait si le consensus était </w:t>
      </w:r>
      <w:r w:rsidR="004446AF">
        <w:t xml:space="preserve">obtenu </w:t>
      </w:r>
      <w:r w:rsidR="00FB6EFC">
        <w:t xml:space="preserve">ou non. </w:t>
      </w:r>
      <w:r w:rsidR="00CF0809">
        <w:t xml:space="preserve">La </w:t>
      </w:r>
      <w:r w:rsidR="00CF0809" w:rsidRPr="007F2F70">
        <w:t>délégation</w:t>
      </w:r>
      <w:r w:rsidR="00CF0809">
        <w:t xml:space="preserve"> estimait que cette prérogative devait revenir aux </w:t>
      </w:r>
      <w:r w:rsidR="008A3BB3">
        <w:t>m</w:t>
      </w:r>
      <w:r w:rsidR="00A46CAD">
        <w:t>embres du Comité</w:t>
      </w:r>
      <w:r w:rsidR="00B04824">
        <w:t>. C</w:t>
      </w:r>
      <w:r w:rsidR="00346F1B">
        <w:t>’</w:t>
      </w:r>
      <w:r w:rsidR="00CF0809">
        <w:t>était la raison pour laquelle il importait de changer la pratique en cours au sein du Comité. Ce point avait également été soulevé par l</w:t>
      </w:r>
      <w:r w:rsidR="00346F1B">
        <w:t>’</w:t>
      </w:r>
      <w:r w:rsidR="00CF0809">
        <w:t xml:space="preserve">Espagne, plus </w:t>
      </w:r>
      <w:r w:rsidR="00CF0809" w:rsidRPr="00CF0809">
        <w:t>particulièrement</w:t>
      </w:r>
      <w:r w:rsidR="00CF0809">
        <w:t xml:space="preserve"> s</w:t>
      </w:r>
      <w:r w:rsidR="00346F1B">
        <w:t>’</w:t>
      </w:r>
      <w:r w:rsidR="00CF0809">
        <w:t>agissant du manque de transparence et de prévisibilité qui conduisait le Comité</w:t>
      </w:r>
      <w:r w:rsidR="00537F19">
        <w:t xml:space="preserve"> à s</w:t>
      </w:r>
      <w:r w:rsidR="00346F1B">
        <w:t>’</w:t>
      </w:r>
      <w:r w:rsidR="00537F19">
        <w:t>en remettre à</w:t>
      </w:r>
      <w:r w:rsidR="00CF0809">
        <w:t xml:space="preserve"> la sagesse et l</w:t>
      </w:r>
      <w:r w:rsidR="00346F1B">
        <w:t>’</w:t>
      </w:r>
      <w:r w:rsidR="00CF0809" w:rsidRPr="00CF0809">
        <w:t>interprétation</w:t>
      </w:r>
      <w:r w:rsidR="00CF0809">
        <w:t xml:space="preserve"> du Président pour déterminer si le consensus était obtenu ou non. </w:t>
      </w:r>
      <w:r w:rsidR="007F2F70" w:rsidRPr="00CF0809">
        <w:t>Une autre question qu</w:t>
      </w:r>
      <w:r w:rsidR="00346F1B">
        <w:t>’</w:t>
      </w:r>
      <w:r w:rsidR="007F2F70" w:rsidRPr="00CF0809">
        <w:t xml:space="preserve">il convenait de se poser était </w:t>
      </w:r>
      <w:r w:rsidR="007F2F70" w:rsidRPr="00CF0809">
        <w:rPr>
          <w:i/>
        </w:rPr>
        <w:t>comment</w:t>
      </w:r>
      <w:r w:rsidR="007F2F70" w:rsidRPr="00CF0809">
        <w:t xml:space="preserve"> le consensus était obtenu. </w:t>
      </w:r>
      <w:r w:rsidR="00CF0809">
        <w:t xml:space="preserve">La </w:t>
      </w:r>
      <w:r w:rsidR="00CF0809" w:rsidRPr="00CF0809">
        <w:t>délégation</w:t>
      </w:r>
      <w:r w:rsidR="00CF0809">
        <w:t xml:space="preserve"> estimait que le consensus devait être </w:t>
      </w:r>
      <w:r w:rsidR="00B04824">
        <w:t>le reflet du</w:t>
      </w:r>
      <w:r w:rsidR="00CF0809">
        <w:t xml:space="preserve"> sentiment prévalant parmi les </w:t>
      </w:r>
      <w:r w:rsidR="008A3BB3">
        <w:t>m</w:t>
      </w:r>
      <w:r w:rsidR="00A46CAD">
        <w:t>embres</w:t>
      </w:r>
      <w:r w:rsidR="00CF0809">
        <w:t xml:space="preserve">, ajoutant que la pratique en cours au sein du Comité était inhabituelle et </w:t>
      </w:r>
      <w:r w:rsidR="00802468">
        <w:t>différente de celle des autres Comités de l</w:t>
      </w:r>
      <w:r w:rsidR="00346F1B">
        <w:t>’</w:t>
      </w:r>
      <w:r w:rsidR="00802468">
        <w:t>UNESCO puisque dans les autres organisations du système des Nations Unies, le silence ne devait jamais être interprété comme un « non ». Toutefois, dans ce Comité, si un État ne s</w:t>
      </w:r>
      <w:r w:rsidR="00346F1B">
        <w:t>’</w:t>
      </w:r>
      <w:r w:rsidR="00802468">
        <w:t>exprimait pas sur un sujet, cela était considéré par le Président comme signifiant « non ». Cette compréhension erronée était la raison pour laquelle il était important de clarifier ces questions au cours de la présente session afin qu</w:t>
      </w:r>
      <w:r w:rsidR="00346F1B">
        <w:t>’</w:t>
      </w:r>
      <w:r w:rsidR="00802468">
        <w:t>un mécanisme simple puisse être établi</w:t>
      </w:r>
      <w:r w:rsidR="00B04824">
        <w:t>,</w:t>
      </w:r>
      <w:r w:rsidR="00802468">
        <w:t xml:space="preserve"> permettant une </w:t>
      </w:r>
      <w:r w:rsidR="00802468" w:rsidRPr="00802468">
        <w:t>interprétation</w:t>
      </w:r>
      <w:r w:rsidR="00802468">
        <w:t xml:space="preserve"> correcte du sentiment prévalant dans l</w:t>
      </w:r>
      <w:r w:rsidR="00346F1B">
        <w:t>’</w:t>
      </w:r>
      <w:r w:rsidR="00802468">
        <w:t xml:space="preserve">assemblée, et ce, </w:t>
      </w:r>
      <w:r w:rsidR="00802468" w:rsidRPr="00802468">
        <w:t>conformément</w:t>
      </w:r>
      <w:r w:rsidR="00802468">
        <w:t xml:space="preserve"> à la pratique observée dans les autres Comités et Conve</w:t>
      </w:r>
      <w:r w:rsidR="00A97118">
        <w:t>ntions culturelles de l</w:t>
      </w:r>
      <w:r w:rsidR="00346F1B">
        <w:t>’</w:t>
      </w:r>
      <w:r w:rsidR="00A97118">
        <w:t>UNESCO.</w:t>
      </w:r>
    </w:p>
    <w:p w14:paraId="2515032F" w14:textId="2F1E1B36" w:rsidR="00B04824" w:rsidRPr="00B04824" w:rsidRDefault="00B04824" w:rsidP="00AF7860">
      <w:pPr>
        <w:pStyle w:val="Orateurengris"/>
        <w:tabs>
          <w:tab w:val="clear" w:pos="709"/>
          <w:tab w:val="clear" w:pos="1418"/>
          <w:tab w:val="clear" w:pos="2126"/>
          <w:tab w:val="clear" w:pos="2835"/>
          <w:tab w:val="clear" w:pos="3686"/>
        </w:tabs>
        <w:spacing w:before="120"/>
        <w:ind w:left="709" w:hanging="709"/>
      </w:pPr>
      <w:r>
        <w:t xml:space="preserve">La </w:t>
      </w:r>
      <w:r w:rsidRPr="00B04824">
        <w:t>délégation</w:t>
      </w:r>
      <w:r>
        <w:t xml:space="preserve"> de l</w:t>
      </w:r>
      <w:r w:rsidR="00346F1B">
        <w:t>’</w:t>
      </w:r>
      <w:r w:rsidRPr="00B04824">
        <w:rPr>
          <w:b/>
        </w:rPr>
        <w:t>Algérie</w:t>
      </w:r>
      <w:r>
        <w:t xml:space="preserve"> s</w:t>
      </w:r>
      <w:r w:rsidR="00346F1B">
        <w:t>’</w:t>
      </w:r>
      <w:r>
        <w:t>est jointe aux précédente</w:t>
      </w:r>
      <w:r w:rsidR="00537F19">
        <w:t>s délégations pour souligner l</w:t>
      </w:r>
      <w:r w:rsidR="00346F1B">
        <w:t>’</w:t>
      </w:r>
      <w:r w:rsidR="00537F19">
        <w:t xml:space="preserve">extrême </w:t>
      </w:r>
      <w:r>
        <w:t>pertinence de la discussion. À cet égard, elle a félicité l</w:t>
      </w:r>
      <w:r w:rsidR="00346F1B">
        <w:t>’</w:t>
      </w:r>
      <w:r>
        <w:t xml:space="preserve">Espagne de sa </w:t>
      </w:r>
      <w:r w:rsidRPr="00B04824">
        <w:t xml:space="preserve">proposition </w:t>
      </w:r>
      <w:r>
        <w:t>et le Secrétariat de la formulation du projet de décision. P</w:t>
      </w:r>
      <w:r w:rsidRPr="00B04824">
        <w:t>ar ailleurs</w:t>
      </w:r>
      <w:r>
        <w:t>, on estimait généralement utile que le Président, au cours de l</w:t>
      </w:r>
      <w:r w:rsidR="00346F1B">
        <w:t>’</w:t>
      </w:r>
      <w:r>
        <w:t>ouverture de la session, présente de manière explicite la méthode qu</w:t>
      </w:r>
      <w:r w:rsidR="00346F1B">
        <w:t>’</w:t>
      </w:r>
      <w:r>
        <w:t>il comptait utiliser pour l</w:t>
      </w:r>
      <w:r w:rsidR="00346F1B">
        <w:t>’</w:t>
      </w:r>
      <w:r>
        <w:t>adoption des décisions tout en rappelant les points du Règlement intérieur relatifs</w:t>
      </w:r>
      <w:r w:rsidR="00537F19">
        <w:t xml:space="preserve"> à cette prise de</w:t>
      </w:r>
      <w:r>
        <w:t xml:space="preserve"> décisions. La </w:t>
      </w:r>
      <w:r w:rsidRPr="00B04824">
        <w:t>délégation</w:t>
      </w:r>
      <w:r>
        <w:t xml:space="preserve"> a </w:t>
      </w:r>
      <w:r w:rsidRPr="00B04824">
        <w:t>également</w:t>
      </w:r>
      <w:r>
        <w:t xml:space="preserve"> demandé que le Président précise et clarifie l</w:t>
      </w:r>
      <w:r w:rsidR="00346F1B">
        <w:t>’</w:t>
      </w:r>
      <w:r w:rsidRPr="00B04824">
        <w:t>interprétation</w:t>
      </w:r>
      <w:r>
        <w:t xml:space="preserve"> du silence </w:t>
      </w:r>
      <w:r w:rsidR="00537F19">
        <w:t>ainsi que la façon par laquelle il envisageait de rechercher et de parvenir au cons</w:t>
      </w:r>
      <w:r w:rsidR="00A97118">
        <w:t>ensus.</w:t>
      </w:r>
    </w:p>
    <w:p w14:paraId="7FE4BBCB" w14:textId="250B80EA" w:rsidR="00537F19" w:rsidRPr="00537F19" w:rsidRDefault="00537F19" w:rsidP="00AF7860">
      <w:pPr>
        <w:pStyle w:val="Orateurengris"/>
        <w:tabs>
          <w:tab w:val="clear" w:pos="709"/>
          <w:tab w:val="clear" w:pos="1418"/>
          <w:tab w:val="clear" w:pos="2126"/>
          <w:tab w:val="clear" w:pos="2835"/>
          <w:tab w:val="clear" w:pos="3686"/>
        </w:tabs>
        <w:spacing w:before="120"/>
        <w:ind w:left="709" w:hanging="709"/>
      </w:pPr>
      <w:r>
        <w:t xml:space="preserve">La </w:t>
      </w:r>
      <w:r w:rsidRPr="00537F19">
        <w:t>délégation</w:t>
      </w:r>
      <w:r>
        <w:t xml:space="preserve"> de la </w:t>
      </w:r>
      <w:r w:rsidRPr="00537F19">
        <w:rPr>
          <w:b/>
        </w:rPr>
        <w:t>Zambie</w:t>
      </w:r>
      <w:r>
        <w:t xml:space="preserve"> a remercié l</w:t>
      </w:r>
      <w:r w:rsidR="00346F1B">
        <w:t>’</w:t>
      </w:r>
      <w:r w:rsidRPr="00537F19">
        <w:t>Éthiopie</w:t>
      </w:r>
      <w:r>
        <w:t xml:space="preserve"> d</w:t>
      </w:r>
      <w:r w:rsidR="00346F1B">
        <w:t>’</w:t>
      </w:r>
      <w:r>
        <w:t>accueillir cette session et l</w:t>
      </w:r>
      <w:r w:rsidR="00346F1B">
        <w:t>’</w:t>
      </w:r>
      <w:r>
        <w:t>Assemblée générale d</w:t>
      </w:r>
      <w:r w:rsidR="00346F1B">
        <w:t>’</w:t>
      </w:r>
      <w:r>
        <w:t>avoir élu la Zambie pour siéger au Comité</w:t>
      </w:r>
      <w:r w:rsidR="00DC6CBA">
        <w:t xml:space="preserve">. </w:t>
      </w:r>
      <w:r w:rsidR="00D05867">
        <w:t>À la lumière de l</w:t>
      </w:r>
      <w:r w:rsidR="00346F1B">
        <w:t>’</w:t>
      </w:r>
      <w:r w:rsidR="00C11EFD">
        <w:t xml:space="preserve">importance du PCI, </w:t>
      </w:r>
      <w:r w:rsidR="00D05867">
        <w:t xml:space="preserve">de la </w:t>
      </w:r>
      <w:r w:rsidR="00D05867" w:rsidRPr="00D05867">
        <w:t>diversité</w:t>
      </w:r>
      <w:r w:rsidR="00D05867">
        <w:t xml:space="preserve"> culturelle et du développement durable soulignée par de nombreuses Conventions de l</w:t>
      </w:r>
      <w:r w:rsidR="00346F1B">
        <w:t>’</w:t>
      </w:r>
      <w:r w:rsidR="00D05867">
        <w:t xml:space="preserve">UNESCO, la </w:t>
      </w:r>
      <w:r w:rsidR="00D05867" w:rsidRPr="00D05867">
        <w:t>délégation</w:t>
      </w:r>
      <w:r w:rsidR="00D05867">
        <w:t xml:space="preserve"> a évoqué la mise en œuvre réussie du patrimoine culturel immatériel et de sa sauvegarde comme un processus continu auquel tous les a</w:t>
      </w:r>
      <w:r w:rsidR="000759F8">
        <w:t xml:space="preserve">cteurs devaient prendre part. En tant que </w:t>
      </w:r>
      <w:r w:rsidR="008A3BB3">
        <w:t>m</w:t>
      </w:r>
      <w:r w:rsidR="00A46CAD">
        <w:t>embre</w:t>
      </w:r>
      <w:r w:rsidR="009A28AC">
        <w:t xml:space="preserve"> du Comité, la Zambie s</w:t>
      </w:r>
      <w:r w:rsidR="00346F1B">
        <w:t>’</w:t>
      </w:r>
      <w:r w:rsidR="009A28AC">
        <w:t>engageait</w:t>
      </w:r>
      <w:r w:rsidR="000759F8">
        <w:t xml:space="preserve"> à jouer son rôle afin que cet objectif soit atteint. La </w:t>
      </w:r>
      <w:r w:rsidR="000759F8" w:rsidRPr="000759F8">
        <w:t>délégation</w:t>
      </w:r>
      <w:r w:rsidR="009A28AC">
        <w:t xml:space="preserve"> souhaitait </w:t>
      </w:r>
      <w:r w:rsidR="000759F8" w:rsidRPr="000759F8">
        <w:t>également</w:t>
      </w:r>
      <w:r w:rsidR="000759F8">
        <w:t xml:space="preserve"> que la </w:t>
      </w:r>
      <w:r w:rsidR="000759F8" w:rsidRPr="000759F8">
        <w:t>collaboration</w:t>
      </w:r>
      <w:r w:rsidR="000759F8">
        <w:t xml:space="preserve"> s</w:t>
      </w:r>
      <w:r w:rsidR="00346F1B">
        <w:t>’</w:t>
      </w:r>
      <w:r w:rsidR="000759F8">
        <w:t xml:space="preserve">améliore en matière de </w:t>
      </w:r>
      <w:r w:rsidR="000759F8" w:rsidRPr="000759F8">
        <w:t>sauvegarde</w:t>
      </w:r>
      <w:r w:rsidR="004D07FA">
        <w:t xml:space="preserve"> entre les pays </w:t>
      </w:r>
      <w:r w:rsidR="000759F8">
        <w:t>partage</w:t>
      </w:r>
      <w:r w:rsidR="004D07FA">
        <w:t>a</w:t>
      </w:r>
      <w:r w:rsidR="000759F8">
        <w:t>nt des éléments en commun. Elle s</w:t>
      </w:r>
      <w:r w:rsidR="00346F1B">
        <w:t>’</w:t>
      </w:r>
      <w:r w:rsidR="000759F8">
        <w:t>est dite convaincue que l</w:t>
      </w:r>
      <w:r w:rsidR="00346F1B">
        <w:t>’</w:t>
      </w:r>
      <w:r w:rsidR="000759F8">
        <w:t>une des meilleures façons d</w:t>
      </w:r>
      <w:r w:rsidR="00346F1B">
        <w:t>’</w:t>
      </w:r>
      <w:r w:rsidR="000759F8">
        <w:t xml:space="preserve">obtenir de bons résultats dans le domaine de la </w:t>
      </w:r>
      <w:r w:rsidR="000759F8" w:rsidRPr="000759F8">
        <w:t>sauvegarde</w:t>
      </w:r>
      <w:r w:rsidR="000759F8">
        <w:t xml:space="preserve"> du PCI était d</w:t>
      </w:r>
      <w:r w:rsidR="00346F1B">
        <w:t>’</w:t>
      </w:r>
      <w:r w:rsidR="000759F8">
        <w:t>encourager l</w:t>
      </w:r>
      <w:r w:rsidR="00346F1B">
        <w:t>’</w:t>
      </w:r>
      <w:r w:rsidR="000759F8" w:rsidRPr="000759F8">
        <w:t>établissement</w:t>
      </w:r>
      <w:r w:rsidR="000759F8">
        <w:t xml:space="preserve"> de plateformes régionales ou thématiques telles </w:t>
      </w:r>
      <w:r w:rsidR="004D07FA">
        <w:t>que la Plateforme d</w:t>
      </w:r>
      <w:r w:rsidR="00346F1B">
        <w:t>’</w:t>
      </w:r>
      <w:r w:rsidR="004D07FA">
        <w:t>Afrique australe pour le</w:t>
      </w:r>
      <w:r w:rsidR="000759F8">
        <w:t xml:space="preserve"> patrimoine culturel immatériel, dont la Zambie était </w:t>
      </w:r>
      <w:r w:rsidR="00A46CAD">
        <w:t>membre</w:t>
      </w:r>
      <w:r w:rsidR="000759F8">
        <w:t xml:space="preserve">. La </w:t>
      </w:r>
      <w:r w:rsidR="000759F8" w:rsidRPr="000759F8">
        <w:t>délégation</w:t>
      </w:r>
      <w:r w:rsidR="00DE0FC6">
        <w:t xml:space="preserve"> se réjouissait </w:t>
      </w:r>
      <w:r w:rsidR="000759F8">
        <w:t>d</w:t>
      </w:r>
      <w:r w:rsidR="00346F1B">
        <w:t>’</w:t>
      </w:r>
      <w:r w:rsidR="000759F8">
        <w:t xml:space="preserve">obtenir </w:t>
      </w:r>
      <w:r w:rsidR="004D07FA">
        <w:t xml:space="preserve">encore plus de </w:t>
      </w:r>
      <w:r w:rsidR="009F67BD">
        <w:t xml:space="preserve">succès dans la mise en œuvre de la </w:t>
      </w:r>
      <w:r w:rsidR="009F67BD" w:rsidRPr="009F67BD">
        <w:t>Convention</w:t>
      </w:r>
      <w:r w:rsidR="004D07FA">
        <w:t xml:space="preserve"> le temps de </w:t>
      </w:r>
      <w:r w:rsidR="009F67BD">
        <w:t xml:space="preserve">son mandat en tant que </w:t>
      </w:r>
      <w:r w:rsidR="008A3BB3">
        <w:t>m</w:t>
      </w:r>
      <w:r w:rsidR="00A46CAD">
        <w:t>embre</w:t>
      </w:r>
      <w:r w:rsidR="009F67BD">
        <w:t xml:space="preserve"> du Comité</w:t>
      </w:r>
      <w:r w:rsidR="00E460D7">
        <w:t xml:space="preserve">. Elle </w:t>
      </w:r>
      <w:r w:rsidR="004D07FA">
        <w:t xml:space="preserve">soutenait </w:t>
      </w:r>
      <w:r w:rsidR="00E460D7">
        <w:t>les amendements proposés par la Palestine et présentés par l</w:t>
      </w:r>
      <w:r w:rsidR="00346F1B">
        <w:t>’</w:t>
      </w:r>
      <w:r w:rsidR="00E460D7">
        <w:t>Espagne parce qu</w:t>
      </w:r>
      <w:r w:rsidR="00346F1B">
        <w:t>’</w:t>
      </w:r>
      <w:r w:rsidR="00E460D7">
        <w:t>elle estimait que le processus de prise de décisions devait être envisagé comme un moyen d</w:t>
      </w:r>
      <w:r w:rsidR="00346F1B">
        <w:t>’</w:t>
      </w:r>
      <w:r w:rsidR="00E460D7">
        <w:t>obtenir plus que ce qui était déjà acquis et ne devait pas conduire à l</w:t>
      </w:r>
      <w:r w:rsidR="00346F1B">
        <w:t>’</w:t>
      </w:r>
      <w:r w:rsidR="00E460D7">
        <w:t xml:space="preserve">échec, </w:t>
      </w:r>
      <w:r w:rsidR="004D07FA">
        <w:t>c.-à-d. l</w:t>
      </w:r>
      <w:r w:rsidR="00346F1B">
        <w:t>’</w:t>
      </w:r>
      <w:r w:rsidR="004D07FA">
        <w:t>Organe d</w:t>
      </w:r>
      <w:r w:rsidR="00346F1B">
        <w:t>’</w:t>
      </w:r>
      <w:r w:rsidR="004D07FA">
        <w:t>évaluation travaillait comme un organe d</w:t>
      </w:r>
      <w:r w:rsidR="00346F1B">
        <w:t>’</w:t>
      </w:r>
      <w:r w:rsidR="004D07FA">
        <w:t>examen alors qu</w:t>
      </w:r>
      <w:r w:rsidR="00346F1B">
        <w:t>’</w:t>
      </w:r>
      <w:r w:rsidR="004D07FA">
        <w:t xml:space="preserve">il devrait en fait travailler en </w:t>
      </w:r>
      <w:r w:rsidR="004D07FA" w:rsidRPr="004D07FA">
        <w:t>collaboration</w:t>
      </w:r>
      <w:r w:rsidR="004D07FA">
        <w:t xml:space="preserve"> avec les État soumissionnaires. Cela permettrait à plus d</w:t>
      </w:r>
      <w:r w:rsidR="00346F1B">
        <w:t>’</w:t>
      </w:r>
      <w:r w:rsidR="004D07FA">
        <w:t>États de voir leurs candidatures inscrites et non rejetées. C</w:t>
      </w:r>
      <w:r w:rsidR="00346F1B">
        <w:t>’</w:t>
      </w:r>
      <w:r w:rsidR="004D07FA">
        <w:t xml:space="preserve">était la raison pour laquelle, la </w:t>
      </w:r>
      <w:r w:rsidR="004D07FA" w:rsidRPr="004D07FA">
        <w:t>délégation</w:t>
      </w:r>
      <w:r w:rsidR="004D07FA">
        <w:t xml:space="preserve"> soutenait l</w:t>
      </w:r>
      <w:r w:rsidR="00346F1B">
        <w:t>’</w:t>
      </w:r>
      <w:r w:rsidR="004D07FA" w:rsidRPr="004D07FA">
        <w:t>amendement</w:t>
      </w:r>
      <w:r w:rsidR="00A97118">
        <w:t xml:space="preserve"> de la Palestine.</w:t>
      </w:r>
    </w:p>
    <w:p w14:paraId="4778AA50" w14:textId="25FCA962" w:rsidR="00952AE8" w:rsidRPr="003D60D2" w:rsidRDefault="004D07FA" w:rsidP="00AF7860">
      <w:pPr>
        <w:pStyle w:val="Orateurengris"/>
        <w:tabs>
          <w:tab w:val="clear" w:pos="709"/>
          <w:tab w:val="clear" w:pos="1418"/>
          <w:tab w:val="clear" w:pos="2126"/>
          <w:tab w:val="clear" w:pos="2835"/>
          <w:tab w:val="clear" w:pos="3686"/>
        </w:tabs>
        <w:spacing w:before="120"/>
        <w:ind w:left="709" w:hanging="709"/>
      </w:pPr>
      <w:r w:rsidRPr="003D60D2">
        <w:t xml:space="preserve">La délégation de la </w:t>
      </w:r>
      <w:r w:rsidRPr="003D60D2">
        <w:rPr>
          <w:b/>
        </w:rPr>
        <w:t>Turquie</w:t>
      </w:r>
      <w:r w:rsidRPr="003D60D2">
        <w:t xml:space="preserve"> a remercié l</w:t>
      </w:r>
      <w:r w:rsidR="00346F1B">
        <w:t>’</w:t>
      </w:r>
      <w:r w:rsidRPr="003D60D2">
        <w:t>Espagne d</w:t>
      </w:r>
      <w:r w:rsidR="00346F1B">
        <w:t>’</w:t>
      </w:r>
      <w:r w:rsidRPr="003D60D2">
        <w:t>avoir attiré l</w:t>
      </w:r>
      <w:r w:rsidR="00346F1B">
        <w:t>’</w:t>
      </w:r>
      <w:r w:rsidRPr="003D60D2">
        <w:t>attention du Co</w:t>
      </w:r>
      <w:r w:rsidR="003D60D2" w:rsidRPr="003D60D2">
        <w:t>mité sur cette question. Elle estimait</w:t>
      </w:r>
      <w:r w:rsidRPr="003D60D2">
        <w:t xml:space="preserve"> que la pratique en cours valorisait le travail technique et l</w:t>
      </w:r>
      <w:r w:rsidR="00346F1B">
        <w:t>’</w:t>
      </w:r>
      <w:r w:rsidRPr="003D60D2">
        <w:t>expertise de l</w:t>
      </w:r>
      <w:r w:rsidR="00346F1B">
        <w:t>’</w:t>
      </w:r>
      <w:r w:rsidRPr="003D60D2">
        <w:t>Organe d</w:t>
      </w:r>
      <w:r w:rsidR="00346F1B">
        <w:t>’</w:t>
      </w:r>
      <w:r w:rsidRPr="003D60D2">
        <w:t>évaluation, un</w:t>
      </w:r>
      <w:r w:rsidR="0082513B" w:rsidRPr="003D60D2">
        <w:t xml:space="preserve"> organe composé de ses propres </w:t>
      </w:r>
      <w:r w:rsidRPr="003D60D2">
        <w:t xml:space="preserve">experts nationaux, </w:t>
      </w:r>
      <w:r w:rsidR="002F354B" w:rsidRPr="003D60D2">
        <w:t xml:space="preserve">ainsi que </w:t>
      </w:r>
      <w:r w:rsidRPr="003D60D2">
        <w:t>le temps consacré à l</w:t>
      </w:r>
      <w:r w:rsidR="00346F1B">
        <w:t>’</w:t>
      </w:r>
      <w:r w:rsidRPr="003D60D2">
        <w:t xml:space="preserve">élaboration de ses recommandations </w:t>
      </w:r>
      <w:r w:rsidR="002F354B" w:rsidRPr="003D60D2">
        <w:t>sur les dossiers de candidature. La délégation n</w:t>
      </w:r>
      <w:r w:rsidR="00346F1B">
        <w:t>’</w:t>
      </w:r>
      <w:r w:rsidR="002F354B" w:rsidRPr="003D60D2">
        <w:t>avait pas le sentiment que cela était contraire à la souveraineté du Comité puisque celui-ci avait toujours la possibilité d</w:t>
      </w:r>
      <w:r w:rsidR="00346F1B">
        <w:t>’</w:t>
      </w:r>
      <w:r w:rsidR="002F354B" w:rsidRPr="003D60D2">
        <w:t>amender les projets de décision, sous réserve que la proposition d</w:t>
      </w:r>
      <w:r w:rsidR="00346F1B">
        <w:t>’</w:t>
      </w:r>
      <w:r w:rsidR="002F354B" w:rsidRPr="003D60D2">
        <w:t>amendement bénéficie d</w:t>
      </w:r>
      <w:r w:rsidR="00346F1B">
        <w:t>’</w:t>
      </w:r>
      <w:r w:rsidR="002F354B" w:rsidRPr="003D60D2">
        <w:t xml:space="preserve">un large soutien de la part des </w:t>
      </w:r>
      <w:r w:rsidR="008A3BB3" w:rsidRPr="003D60D2">
        <w:t>m</w:t>
      </w:r>
      <w:r w:rsidR="00A46CAD" w:rsidRPr="003D60D2">
        <w:t>embres du Comité</w:t>
      </w:r>
      <w:r w:rsidR="002F354B" w:rsidRPr="003D60D2">
        <w:t xml:space="preserve">. Ainsi, les décisions au sein du Comité étaient encore prises </w:t>
      </w:r>
      <w:r w:rsidR="00952AE8" w:rsidRPr="003D60D2">
        <w:t xml:space="preserve">par </w:t>
      </w:r>
      <w:r w:rsidR="002F354B" w:rsidRPr="003D60D2">
        <w:t>consensus et la pratique devrait donc être maintenue. Il revenait au Président de décider de la procédure de prise de décisions et la délégation</w:t>
      </w:r>
      <w:r w:rsidR="003D60D2" w:rsidRPr="003D60D2">
        <w:t xml:space="preserve"> pensait</w:t>
      </w:r>
      <w:r w:rsidR="002F354B" w:rsidRPr="003D60D2">
        <w:t xml:space="preserve"> que le Comité ne devrait pas limiter cette prérogative par des instructions écrites, qui n</w:t>
      </w:r>
      <w:r w:rsidR="00346F1B">
        <w:t>’</w:t>
      </w:r>
      <w:r w:rsidR="002F354B" w:rsidRPr="003D60D2">
        <w:t>existaient d</w:t>
      </w:r>
      <w:r w:rsidR="00346F1B">
        <w:t>’</w:t>
      </w:r>
      <w:r w:rsidR="002F354B" w:rsidRPr="003D60D2">
        <w:t>ailleurs pas dans les autres Convention culturelles. Elle comprenait la déception des États parties suscitée par le grand nombre de dossiers renvoyés par l</w:t>
      </w:r>
      <w:r w:rsidR="00346F1B">
        <w:t>’</w:t>
      </w:r>
      <w:r w:rsidR="002F354B" w:rsidRPr="003D60D2">
        <w:t>Organe d</w:t>
      </w:r>
      <w:r w:rsidR="00346F1B">
        <w:t>’</w:t>
      </w:r>
      <w:r w:rsidR="002F354B" w:rsidRPr="003D60D2">
        <w:t xml:space="preserve">évaluation ainsi que par le nombre de dossiers </w:t>
      </w:r>
      <w:r w:rsidR="00952AE8" w:rsidRPr="003D60D2">
        <w:t>renvoyés pour des raisons mineures. Elle a convenu que c</w:t>
      </w:r>
      <w:r w:rsidR="00346F1B">
        <w:t>’</w:t>
      </w:r>
      <w:r w:rsidR="00952AE8" w:rsidRPr="003D60D2">
        <w:t>était effectivem</w:t>
      </w:r>
      <w:r w:rsidR="00450503">
        <w:t xml:space="preserve">ent décevant mais elle estimait </w:t>
      </w:r>
      <w:r w:rsidR="00952AE8" w:rsidRPr="003D60D2">
        <w:t>que les renvois pour raisons mineures, bien que décourageants pour les États parties, pourraient être évités en mettant en place un mécanisme de dialogue au sein de la procédure d</w:t>
      </w:r>
      <w:r w:rsidR="00346F1B">
        <w:t>’</w:t>
      </w:r>
      <w:r w:rsidR="00952AE8" w:rsidRPr="003D60D2">
        <w:t>évaluation. En conclusion, la délégation</w:t>
      </w:r>
      <w:r w:rsidR="003D60D2">
        <w:t xml:space="preserve"> se prononçait</w:t>
      </w:r>
      <w:r w:rsidR="00952AE8" w:rsidRPr="003D60D2">
        <w:t xml:space="preserve"> en faveur d</w:t>
      </w:r>
      <w:r w:rsidR="00346F1B">
        <w:t>’</w:t>
      </w:r>
      <w:r w:rsidR="00952AE8" w:rsidRPr="003D60D2">
        <w:t xml:space="preserve">un maintien </w:t>
      </w:r>
      <w:r w:rsidR="003D60D2">
        <w:t>de la pratique en cours et mettait</w:t>
      </w:r>
      <w:r w:rsidR="00952AE8" w:rsidRPr="003D60D2">
        <w:t xml:space="preserve"> en garde le Comit</w:t>
      </w:r>
      <w:r w:rsidR="00A97118">
        <w:t>é contre toute décision hâtive.</w:t>
      </w:r>
    </w:p>
    <w:p w14:paraId="2358A502" w14:textId="109A01D6" w:rsidR="000D3FF8" w:rsidRPr="000D3FF8" w:rsidRDefault="000D3FF8" w:rsidP="00AF7860">
      <w:pPr>
        <w:pStyle w:val="Orateurengris"/>
        <w:tabs>
          <w:tab w:val="clear" w:pos="709"/>
          <w:tab w:val="clear" w:pos="1418"/>
          <w:tab w:val="clear" w:pos="2126"/>
          <w:tab w:val="clear" w:pos="2835"/>
          <w:tab w:val="clear" w:pos="3686"/>
        </w:tabs>
        <w:spacing w:before="120"/>
        <w:ind w:left="709" w:hanging="709"/>
      </w:pPr>
      <w:r>
        <w:t xml:space="preserve">Le </w:t>
      </w:r>
      <w:r w:rsidRPr="000D3FF8">
        <w:rPr>
          <w:b/>
        </w:rPr>
        <w:t>Président</w:t>
      </w:r>
      <w:r>
        <w:t xml:space="preserve"> a rappelé au Comité les points du Règlement intérieur relatifs à l</w:t>
      </w:r>
      <w:r w:rsidR="00346F1B">
        <w:t>’</w:t>
      </w:r>
      <w:r>
        <w:t xml:space="preserve">adoption des décisions par consensus, qui était la prérogative du Président. Il a </w:t>
      </w:r>
      <w:r w:rsidRPr="000D3FF8">
        <w:t>par conséquent</w:t>
      </w:r>
      <w:r>
        <w:t xml:space="preserve"> demandé aux </w:t>
      </w:r>
      <w:r w:rsidR="008A3BB3">
        <w:t>m</w:t>
      </w:r>
      <w:r w:rsidR="00A46CAD">
        <w:t>embres</w:t>
      </w:r>
      <w:r>
        <w:t xml:space="preserve"> de rester brefs et de s</w:t>
      </w:r>
      <w:r w:rsidR="00346F1B">
        <w:t>’</w:t>
      </w:r>
      <w:r>
        <w:t>en tenir à la position qu</w:t>
      </w:r>
      <w:r w:rsidR="00346F1B">
        <w:t>’</w:t>
      </w:r>
      <w:r>
        <w:t>ils souhaitaient</w:t>
      </w:r>
      <w:r w:rsidR="003D60D2">
        <w:t xml:space="preserve"> défendre</w:t>
      </w:r>
      <w:r w:rsidR="00A97118">
        <w:t>.</w:t>
      </w:r>
    </w:p>
    <w:p w14:paraId="6B7BB59F" w14:textId="2197364D" w:rsidR="000D3FF8" w:rsidRPr="000D3FF8" w:rsidRDefault="000D3FF8" w:rsidP="00AF7860">
      <w:pPr>
        <w:pStyle w:val="Orateurengris"/>
        <w:tabs>
          <w:tab w:val="clear" w:pos="709"/>
          <w:tab w:val="clear" w:pos="1418"/>
          <w:tab w:val="clear" w:pos="2126"/>
          <w:tab w:val="clear" w:pos="2835"/>
          <w:tab w:val="clear" w:pos="3686"/>
        </w:tabs>
        <w:spacing w:before="120"/>
        <w:ind w:left="709" w:hanging="709"/>
        <w:rPr>
          <w:iCs/>
        </w:rPr>
      </w:pPr>
      <w:r>
        <w:rPr>
          <w:iCs/>
        </w:rPr>
        <w:t xml:space="preserve">La </w:t>
      </w:r>
      <w:r w:rsidRPr="000D3FF8">
        <w:rPr>
          <w:iCs/>
        </w:rPr>
        <w:t>délégation</w:t>
      </w:r>
      <w:r>
        <w:rPr>
          <w:iCs/>
        </w:rPr>
        <w:t xml:space="preserve"> du </w:t>
      </w:r>
      <w:r w:rsidRPr="000D3FF8">
        <w:rPr>
          <w:b/>
          <w:iCs/>
        </w:rPr>
        <w:t>Congo</w:t>
      </w:r>
      <w:r>
        <w:rPr>
          <w:iCs/>
        </w:rPr>
        <w:t xml:space="preserve"> a félicité le Président et l</w:t>
      </w:r>
      <w:r w:rsidR="00346F1B">
        <w:rPr>
          <w:iCs/>
        </w:rPr>
        <w:t>’</w:t>
      </w:r>
      <w:r w:rsidRPr="000D3FF8">
        <w:rPr>
          <w:iCs/>
        </w:rPr>
        <w:t>Éthiopie</w:t>
      </w:r>
      <w:r>
        <w:rPr>
          <w:iCs/>
        </w:rPr>
        <w:t xml:space="preserve"> pour l</w:t>
      </w:r>
      <w:r w:rsidR="00346F1B">
        <w:rPr>
          <w:iCs/>
        </w:rPr>
        <w:t>’</w:t>
      </w:r>
      <w:r w:rsidRPr="000D3FF8">
        <w:rPr>
          <w:iCs/>
        </w:rPr>
        <w:t>organisation</w:t>
      </w:r>
      <w:r>
        <w:rPr>
          <w:iCs/>
        </w:rPr>
        <w:t xml:space="preserve"> de la session, ainsi que le Secrétariat pour son travail. La </w:t>
      </w:r>
      <w:r w:rsidRPr="000D3FF8">
        <w:rPr>
          <w:iCs/>
        </w:rPr>
        <w:t>délégation</w:t>
      </w:r>
      <w:r w:rsidR="003D60D2">
        <w:rPr>
          <w:iCs/>
        </w:rPr>
        <w:t xml:space="preserve"> </w:t>
      </w:r>
      <w:r w:rsidR="0074183B">
        <w:rPr>
          <w:iCs/>
        </w:rPr>
        <w:t xml:space="preserve">appuyait les </w:t>
      </w:r>
      <w:r>
        <w:rPr>
          <w:iCs/>
        </w:rPr>
        <w:t>remarques formulées par l</w:t>
      </w:r>
      <w:r w:rsidR="00346F1B">
        <w:rPr>
          <w:iCs/>
        </w:rPr>
        <w:t>’</w:t>
      </w:r>
      <w:r>
        <w:rPr>
          <w:iCs/>
        </w:rPr>
        <w:t>Espagne et la Palestine, elles-mêmes soutenues par l</w:t>
      </w:r>
      <w:r w:rsidR="00346F1B">
        <w:rPr>
          <w:iCs/>
        </w:rPr>
        <w:t>’</w:t>
      </w:r>
      <w:r>
        <w:rPr>
          <w:iCs/>
        </w:rPr>
        <w:t xml:space="preserve">Algérie, ajoutant que cela donnerait plus de clarté et de transparence pour </w:t>
      </w:r>
      <w:r w:rsidR="00A97118">
        <w:rPr>
          <w:iCs/>
        </w:rPr>
        <w:t>la suite des travaux du Comité.</w:t>
      </w:r>
    </w:p>
    <w:p w14:paraId="6FA941BB" w14:textId="0E58C6E8" w:rsidR="002C33A9" w:rsidRPr="002C33A9" w:rsidRDefault="000D3FF8" w:rsidP="00AF7860">
      <w:pPr>
        <w:pStyle w:val="Orateurengris"/>
        <w:tabs>
          <w:tab w:val="clear" w:pos="709"/>
          <w:tab w:val="clear" w:pos="1418"/>
          <w:tab w:val="clear" w:pos="2126"/>
          <w:tab w:val="clear" w:pos="2835"/>
          <w:tab w:val="clear" w:pos="3686"/>
        </w:tabs>
        <w:spacing w:before="120"/>
        <w:ind w:left="709" w:hanging="709"/>
        <w:rPr>
          <w:bCs/>
        </w:rPr>
      </w:pPr>
      <w:r w:rsidRPr="000D3FF8">
        <w:rPr>
          <w:bCs/>
        </w:rPr>
        <w:t>La délégation de l</w:t>
      </w:r>
      <w:r w:rsidR="00346F1B">
        <w:rPr>
          <w:bCs/>
        </w:rPr>
        <w:t>’</w:t>
      </w:r>
      <w:r w:rsidRPr="000D3FF8">
        <w:rPr>
          <w:b/>
          <w:bCs/>
        </w:rPr>
        <w:t>Inde</w:t>
      </w:r>
      <w:r w:rsidRPr="000D3FF8">
        <w:rPr>
          <w:bCs/>
        </w:rPr>
        <w:t xml:space="preserve"> a </w:t>
      </w:r>
      <w:r>
        <w:rPr>
          <w:bCs/>
        </w:rPr>
        <w:t>félicité le Président pour l</w:t>
      </w:r>
      <w:r w:rsidR="00346F1B">
        <w:rPr>
          <w:bCs/>
        </w:rPr>
        <w:t>’</w:t>
      </w:r>
      <w:r>
        <w:rPr>
          <w:bCs/>
        </w:rPr>
        <w:t>opportunité offerte au Comité de débattre du processus de prise de décision</w:t>
      </w:r>
      <w:r w:rsidR="00576A61">
        <w:rPr>
          <w:bCs/>
        </w:rPr>
        <w:t>s</w:t>
      </w:r>
      <w:r>
        <w:rPr>
          <w:bCs/>
        </w:rPr>
        <w:t xml:space="preserve"> en son sein, processus qui était unique et différent de celui observé dans les autres Comités. La </w:t>
      </w:r>
      <w:r w:rsidRPr="000D3FF8">
        <w:rPr>
          <w:bCs/>
        </w:rPr>
        <w:t>délégation</w:t>
      </w:r>
      <w:r>
        <w:rPr>
          <w:bCs/>
        </w:rPr>
        <w:t xml:space="preserve"> a souligné le soutien marqué en faveur de la </w:t>
      </w:r>
      <w:r w:rsidRPr="000D3FF8">
        <w:rPr>
          <w:bCs/>
        </w:rPr>
        <w:t xml:space="preserve">proposition </w:t>
      </w:r>
      <w:r>
        <w:rPr>
          <w:bCs/>
        </w:rPr>
        <w:t>mise en avant par la Palestine et l</w:t>
      </w:r>
      <w:r w:rsidR="00346F1B">
        <w:rPr>
          <w:bCs/>
        </w:rPr>
        <w:t>’</w:t>
      </w:r>
      <w:r>
        <w:rPr>
          <w:bCs/>
        </w:rPr>
        <w:t xml:space="preserve">Espagne, </w:t>
      </w:r>
      <w:r w:rsidR="002C33A9">
        <w:rPr>
          <w:bCs/>
        </w:rPr>
        <w:t>selon laquelle les processus de prise de décision</w:t>
      </w:r>
      <w:r w:rsidR="0074183B">
        <w:rPr>
          <w:bCs/>
        </w:rPr>
        <w:t>s</w:t>
      </w:r>
      <w:r w:rsidR="002C33A9">
        <w:rPr>
          <w:bCs/>
        </w:rPr>
        <w:t xml:space="preserve"> dev</w:t>
      </w:r>
      <w:r w:rsidR="00CD0C84">
        <w:rPr>
          <w:bCs/>
        </w:rPr>
        <w:t>r</w:t>
      </w:r>
      <w:r w:rsidR="002C33A9">
        <w:rPr>
          <w:bCs/>
        </w:rPr>
        <w:t>aient être conformes à ceux adoptés dans les autres Comités, à savoir, on dev</w:t>
      </w:r>
      <w:r w:rsidR="00CD0C84">
        <w:rPr>
          <w:bCs/>
        </w:rPr>
        <w:t>r</w:t>
      </w:r>
      <w:r w:rsidR="002C33A9">
        <w:rPr>
          <w:bCs/>
        </w:rPr>
        <w:t>ait par</w:t>
      </w:r>
      <w:r w:rsidR="002C33A9" w:rsidRPr="002C33A9">
        <w:rPr>
          <w:bCs/>
        </w:rPr>
        <w:t xml:space="preserve">venir au consensus en évaluant le soutien et les objections au projet de décision soumis à examen. La délégation </w:t>
      </w:r>
      <w:r w:rsidR="0074183B">
        <w:rPr>
          <w:bCs/>
        </w:rPr>
        <w:t xml:space="preserve">soutenait </w:t>
      </w:r>
      <w:r w:rsidR="002C33A9" w:rsidRPr="002C33A9">
        <w:rPr>
          <w:bCs/>
        </w:rPr>
        <w:t>cette méth</w:t>
      </w:r>
      <w:r w:rsidR="002C33A9">
        <w:rPr>
          <w:bCs/>
        </w:rPr>
        <w:t xml:space="preserve">ode et la transition vers un nouveau système, semblable à celui suivi par les autres Conventions, et ce, afin de garantir une plus grande </w:t>
      </w:r>
      <w:r w:rsidR="002C33A9" w:rsidRPr="002C33A9">
        <w:rPr>
          <w:bCs/>
        </w:rPr>
        <w:t>efficacité</w:t>
      </w:r>
      <w:r w:rsidR="002C33A9">
        <w:rPr>
          <w:bCs/>
        </w:rPr>
        <w:t xml:space="preserve"> et une meilleure action de la </w:t>
      </w:r>
      <w:r w:rsidR="002C33A9" w:rsidRPr="002C33A9">
        <w:rPr>
          <w:bCs/>
        </w:rPr>
        <w:t>Convention</w:t>
      </w:r>
      <w:r w:rsidR="00A97118">
        <w:rPr>
          <w:bCs/>
        </w:rPr>
        <w:t>.</w:t>
      </w:r>
    </w:p>
    <w:p w14:paraId="023E2915" w14:textId="6EF06954" w:rsidR="00CD0C84" w:rsidRPr="00CD0C84" w:rsidRDefault="00CD0C84" w:rsidP="00AF7860">
      <w:pPr>
        <w:pStyle w:val="Orateurengris"/>
        <w:tabs>
          <w:tab w:val="clear" w:pos="709"/>
          <w:tab w:val="clear" w:pos="1418"/>
          <w:tab w:val="clear" w:pos="2126"/>
          <w:tab w:val="clear" w:pos="2835"/>
          <w:tab w:val="clear" w:pos="3686"/>
        </w:tabs>
        <w:spacing w:before="120"/>
        <w:ind w:left="709" w:hanging="709"/>
        <w:rPr>
          <w:bCs/>
        </w:rPr>
      </w:pPr>
      <w:r w:rsidRPr="00CD0C84">
        <w:rPr>
          <w:bCs/>
        </w:rPr>
        <w:t>La délégation</w:t>
      </w:r>
      <w:r>
        <w:rPr>
          <w:bCs/>
        </w:rPr>
        <w:t xml:space="preserve"> du </w:t>
      </w:r>
      <w:r w:rsidRPr="00CD0C84">
        <w:rPr>
          <w:b/>
          <w:bCs/>
        </w:rPr>
        <w:t>Liban</w:t>
      </w:r>
      <w:r>
        <w:rPr>
          <w:bCs/>
        </w:rPr>
        <w:t xml:space="preserve"> s</w:t>
      </w:r>
      <w:r w:rsidR="00346F1B">
        <w:rPr>
          <w:bCs/>
        </w:rPr>
        <w:t>’</w:t>
      </w:r>
      <w:r>
        <w:rPr>
          <w:bCs/>
        </w:rPr>
        <w:t xml:space="preserve">est </w:t>
      </w:r>
      <w:r w:rsidRPr="00CD0C84">
        <w:rPr>
          <w:bCs/>
        </w:rPr>
        <w:t>également</w:t>
      </w:r>
      <w:r>
        <w:rPr>
          <w:bCs/>
        </w:rPr>
        <w:t xml:space="preserve"> déclarée favorable à un changement du processus de prise de décisions</w:t>
      </w:r>
      <w:r w:rsidR="002A72E2">
        <w:rPr>
          <w:bCs/>
        </w:rPr>
        <w:t xml:space="preserve">. </w:t>
      </w:r>
      <w:r w:rsidR="00BF1448">
        <w:rPr>
          <w:bCs/>
        </w:rPr>
        <w:t xml:space="preserve">Tout en </w:t>
      </w:r>
      <w:r w:rsidR="002A72E2">
        <w:rPr>
          <w:bCs/>
        </w:rPr>
        <w:t xml:space="preserve">respectant les prérogatives du Président, la </w:t>
      </w:r>
      <w:r w:rsidR="002A72E2" w:rsidRPr="002A72E2">
        <w:rPr>
          <w:bCs/>
        </w:rPr>
        <w:t>délégation</w:t>
      </w:r>
      <w:r w:rsidR="0074183B">
        <w:rPr>
          <w:bCs/>
        </w:rPr>
        <w:t xml:space="preserve"> estimait </w:t>
      </w:r>
      <w:r w:rsidR="002A72E2">
        <w:rPr>
          <w:bCs/>
        </w:rPr>
        <w:t>qu</w:t>
      </w:r>
      <w:r w:rsidR="00346F1B">
        <w:rPr>
          <w:bCs/>
        </w:rPr>
        <w:t>’</w:t>
      </w:r>
      <w:r w:rsidR="002A72E2">
        <w:rPr>
          <w:bCs/>
        </w:rPr>
        <w:t>une synergie et une cohérence devaient exister entre les différentes Conventions de l</w:t>
      </w:r>
      <w:r w:rsidR="00346F1B">
        <w:rPr>
          <w:bCs/>
        </w:rPr>
        <w:t>’</w:t>
      </w:r>
      <w:r w:rsidR="002A72E2">
        <w:rPr>
          <w:bCs/>
        </w:rPr>
        <w:t xml:space="preserve">UNESCO, et que ce Comité était le seul à faire une </w:t>
      </w:r>
      <w:r w:rsidR="002A72E2" w:rsidRPr="002A72E2">
        <w:rPr>
          <w:bCs/>
        </w:rPr>
        <w:t>interprétation</w:t>
      </w:r>
      <w:r w:rsidR="0074183B">
        <w:rPr>
          <w:bCs/>
        </w:rPr>
        <w:t xml:space="preserve"> erronée du silence. Elle soutenait</w:t>
      </w:r>
      <w:r w:rsidR="002A72E2">
        <w:rPr>
          <w:bCs/>
        </w:rPr>
        <w:t xml:space="preserve"> donc les interventions de la Palestine et de du Sénégal, ainsi que celles de Chypre et de l</w:t>
      </w:r>
      <w:r w:rsidR="00346F1B">
        <w:rPr>
          <w:bCs/>
        </w:rPr>
        <w:t>’</w:t>
      </w:r>
      <w:r w:rsidR="002A72E2">
        <w:rPr>
          <w:bCs/>
        </w:rPr>
        <w:t>Espagne sur la méthode de travail de l</w:t>
      </w:r>
      <w:r w:rsidR="00346F1B">
        <w:rPr>
          <w:bCs/>
        </w:rPr>
        <w:t>’</w:t>
      </w:r>
      <w:r w:rsidR="002A72E2">
        <w:rPr>
          <w:bCs/>
        </w:rPr>
        <w:t>Organe d</w:t>
      </w:r>
      <w:r w:rsidR="00346F1B">
        <w:rPr>
          <w:bCs/>
        </w:rPr>
        <w:t>’</w:t>
      </w:r>
      <w:r w:rsidR="002A72E2">
        <w:rPr>
          <w:bCs/>
        </w:rPr>
        <w:t>évaluatio</w:t>
      </w:r>
      <w:r w:rsidR="00A97118">
        <w:rPr>
          <w:bCs/>
        </w:rPr>
        <w:t>n.</w:t>
      </w:r>
    </w:p>
    <w:p w14:paraId="6985B2ED" w14:textId="7F6EDA13" w:rsidR="002A72E2" w:rsidRPr="002A72E2" w:rsidRDefault="002A72E2" w:rsidP="00AF7860">
      <w:pPr>
        <w:pStyle w:val="Orateurengris"/>
        <w:tabs>
          <w:tab w:val="clear" w:pos="709"/>
          <w:tab w:val="clear" w:pos="1418"/>
          <w:tab w:val="clear" w:pos="2126"/>
          <w:tab w:val="clear" w:pos="2835"/>
          <w:tab w:val="clear" w:pos="3686"/>
        </w:tabs>
        <w:spacing w:before="120"/>
        <w:ind w:left="709" w:hanging="709"/>
        <w:rPr>
          <w:b/>
          <w:bCs/>
        </w:rPr>
      </w:pPr>
      <w:r w:rsidRPr="002A72E2">
        <w:rPr>
          <w:bCs/>
        </w:rPr>
        <w:t>La délégation de la</w:t>
      </w:r>
      <w:r>
        <w:rPr>
          <w:b/>
          <w:bCs/>
        </w:rPr>
        <w:t xml:space="preserve"> Hongrie </w:t>
      </w:r>
      <w:r>
        <w:rPr>
          <w:bCs/>
        </w:rPr>
        <w:t>s</w:t>
      </w:r>
      <w:r w:rsidR="00346F1B">
        <w:rPr>
          <w:bCs/>
        </w:rPr>
        <w:t>’</w:t>
      </w:r>
      <w:r>
        <w:rPr>
          <w:bCs/>
        </w:rPr>
        <w:t>est jointe aux autres délégations qui avaient remercié l</w:t>
      </w:r>
      <w:r w:rsidR="00346F1B">
        <w:rPr>
          <w:bCs/>
        </w:rPr>
        <w:t>’</w:t>
      </w:r>
      <w:r>
        <w:rPr>
          <w:bCs/>
        </w:rPr>
        <w:t>Espagne d</w:t>
      </w:r>
      <w:r w:rsidR="00346F1B">
        <w:rPr>
          <w:bCs/>
        </w:rPr>
        <w:t>’</w:t>
      </w:r>
      <w:r>
        <w:rPr>
          <w:bCs/>
        </w:rPr>
        <w:t>avoir inclus ce point important à l</w:t>
      </w:r>
      <w:r w:rsidR="00346F1B">
        <w:rPr>
          <w:bCs/>
        </w:rPr>
        <w:t>’</w:t>
      </w:r>
      <w:r w:rsidRPr="002A72E2">
        <w:rPr>
          <w:bCs/>
        </w:rPr>
        <w:t>ordre du jour</w:t>
      </w:r>
      <w:r>
        <w:rPr>
          <w:bCs/>
        </w:rPr>
        <w:t xml:space="preserve">. Elle estimait que le dialogue était important et pensait, </w:t>
      </w:r>
      <w:r w:rsidRPr="002A72E2">
        <w:rPr>
          <w:bCs/>
        </w:rPr>
        <w:t>par conséquent</w:t>
      </w:r>
      <w:r>
        <w:rPr>
          <w:bCs/>
        </w:rPr>
        <w:t>, qu</w:t>
      </w:r>
      <w:r w:rsidR="00346F1B">
        <w:rPr>
          <w:bCs/>
        </w:rPr>
        <w:t>’</w:t>
      </w:r>
      <w:r>
        <w:rPr>
          <w:bCs/>
        </w:rPr>
        <w:t>un dialogue amélioré entre l</w:t>
      </w:r>
      <w:r w:rsidR="00346F1B">
        <w:rPr>
          <w:bCs/>
        </w:rPr>
        <w:t>’</w:t>
      </w:r>
      <w:r>
        <w:rPr>
          <w:bCs/>
        </w:rPr>
        <w:t>Organe d</w:t>
      </w:r>
      <w:r w:rsidR="00346F1B">
        <w:rPr>
          <w:bCs/>
        </w:rPr>
        <w:t>’</w:t>
      </w:r>
      <w:r>
        <w:rPr>
          <w:bCs/>
        </w:rPr>
        <w:t>évaluation et l</w:t>
      </w:r>
      <w:r w:rsidR="00346F1B">
        <w:rPr>
          <w:bCs/>
        </w:rPr>
        <w:t>’</w:t>
      </w:r>
      <w:r>
        <w:rPr>
          <w:bCs/>
        </w:rPr>
        <w:t xml:space="preserve">État soumissionnaire ne pourrait être que bénéfique. La </w:t>
      </w:r>
      <w:r w:rsidRPr="002A72E2">
        <w:rPr>
          <w:bCs/>
        </w:rPr>
        <w:t>délégation</w:t>
      </w:r>
      <w:r>
        <w:rPr>
          <w:bCs/>
        </w:rPr>
        <w:t xml:space="preserve"> a souligné la volonté affirmée de débattre de la question du consensus et a convenu qu</w:t>
      </w:r>
      <w:r w:rsidR="00346F1B">
        <w:rPr>
          <w:bCs/>
        </w:rPr>
        <w:t>’</w:t>
      </w:r>
      <w:r>
        <w:rPr>
          <w:bCs/>
        </w:rPr>
        <w:t>il était nécessaire d</w:t>
      </w:r>
      <w:r w:rsidR="00346F1B">
        <w:rPr>
          <w:bCs/>
        </w:rPr>
        <w:t>’</w:t>
      </w:r>
      <w:r>
        <w:rPr>
          <w:bCs/>
        </w:rPr>
        <w:t>examiner les modalités permettant d</w:t>
      </w:r>
      <w:r w:rsidR="00346F1B">
        <w:rPr>
          <w:bCs/>
        </w:rPr>
        <w:t>’</w:t>
      </w:r>
      <w:r>
        <w:rPr>
          <w:bCs/>
        </w:rPr>
        <w:t>harmoniser les procédur</w:t>
      </w:r>
      <w:r w:rsidR="00A97118">
        <w:rPr>
          <w:bCs/>
        </w:rPr>
        <w:t>es avec les autres Conventions.</w:t>
      </w:r>
    </w:p>
    <w:p w14:paraId="7DBEECB3" w14:textId="57F1E05F" w:rsidR="002A72E2" w:rsidRPr="002A72E2" w:rsidRDefault="002A72E2" w:rsidP="00AF7860">
      <w:pPr>
        <w:pStyle w:val="Orateurengris"/>
        <w:tabs>
          <w:tab w:val="clear" w:pos="709"/>
          <w:tab w:val="clear" w:pos="1418"/>
          <w:tab w:val="clear" w:pos="2126"/>
          <w:tab w:val="clear" w:pos="2835"/>
          <w:tab w:val="clear" w:pos="3686"/>
        </w:tabs>
        <w:spacing w:before="120"/>
        <w:ind w:left="709" w:hanging="709"/>
      </w:pPr>
      <w:r>
        <w:t xml:space="preserve">La </w:t>
      </w:r>
      <w:r w:rsidRPr="002A72E2">
        <w:t>délégation</w:t>
      </w:r>
      <w:r>
        <w:t xml:space="preserve"> de la </w:t>
      </w:r>
      <w:r w:rsidRPr="00061F4A">
        <w:rPr>
          <w:b/>
        </w:rPr>
        <w:t>Colombie</w:t>
      </w:r>
      <w:r>
        <w:t xml:space="preserve"> a remercié l</w:t>
      </w:r>
      <w:r w:rsidR="00346F1B">
        <w:t>’</w:t>
      </w:r>
      <w:r>
        <w:t>Espagne d</w:t>
      </w:r>
      <w:r w:rsidR="00346F1B">
        <w:t>’</w:t>
      </w:r>
      <w:r>
        <w:t xml:space="preserve">avoir </w:t>
      </w:r>
      <w:r w:rsidR="00061F4A">
        <w:t xml:space="preserve">lancé </w:t>
      </w:r>
      <w:r>
        <w:t xml:space="preserve">ce débat </w:t>
      </w:r>
      <w:r w:rsidR="00061F4A">
        <w:t>et de déployer des efforts afin de trouver une solution à cette question. S</w:t>
      </w:r>
      <w:r w:rsidR="00346F1B">
        <w:t>’</w:t>
      </w:r>
      <w:r w:rsidR="00061F4A">
        <w:t>agissant de l</w:t>
      </w:r>
      <w:r w:rsidR="00346F1B">
        <w:t>’</w:t>
      </w:r>
      <w:r w:rsidR="00061F4A">
        <w:t>Organe d</w:t>
      </w:r>
      <w:r w:rsidR="00346F1B">
        <w:t>’</w:t>
      </w:r>
      <w:r w:rsidR="00061F4A">
        <w:t xml:space="preserve">évaluation, après avoir pris en </w:t>
      </w:r>
      <w:r w:rsidR="00061F4A" w:rsidRPr="00061F4A">
        <w:t>considération</w:t>
      </w:r>
      <w:r w:rsidR="00061F4A">
        <w:t xml:space="preserve"> les remarques formulées par Chypre, la </w:t>
      </w:r>
      <w:r w:rsidR="00061F4A" w:rsidRPr="00061F4A">
        <w:t>délégation</w:t>
      </w:r>
      <w:r w:rsidR="0074183B">
        <w:t xml:space="preserve"> estimait</w:t>
      </w:r>
      <w:r w:rsidR="00061F4A">
        <w:t xml:space="preserve"> que l</w:t>
      </w:r>
      <w:r w:rsidR="00346F1B">
        <w:t>’</w:t>
      </w:r>
      <w:r w:rsidR="00061F4A">
        <w:t>État soumissionnaire devrait avoir plus de contacts avec l</w:t>
      </w:r>
      <w:r w:rsidR="00346F1B">
        <w:t>’</w:t>
      </w:r>
      <w:r w:rsidR="00061F4A">
        <w:t>Organe d</w:t>
      </w:r>
      <w:r w:rsidR="00346F1B">
        <w:t>’</w:t>
      </w:r>
      <w:r w:rsidR="00061F4A">
        <w:t xml:space="preserve">évaluation. Elle croyait </w:t>
      </w:r>
      <w:r w:rsidR="00061F4A" w:rsidRPr="00061F4A">
        <w:t>également</w:t>
      </w:r>
      <w:r w:rsidR="00061F4A">
        <w:t xml:space="preserve"> au consensus et à l</w:t>
      </w:r>
      <w:r w:rsidR="00346F1B">
        <w:t>’</w:t>
      </w:r>
      <w:r w:rsidR="00061F4A">
        <w:t xml:space="preserve">idée selon laquelle au moins un quart des </w:t>
      </w:r>
      <w:r w:rsidR="008A3BB3">
        <w:t>m</w:t>
      </w:r>
      <w:r w:rsidR="00A46CAD">
        <w:t>embres du Comité</w:t>
      </w:r>
      <w:r w:rsidR="00061F4A">
        <w:t xml:space="preserve"> devraie</w:t>
      </w:r>
      <w:r w:rsidR="00A97118">
        <w:t>nt pouvoir lancer un débat.</w:t>
      </w:r>
    </w:p>
    <w:p w14:paraId="04855C7D" w14:textId="227C22CE" w:rsidR="00061F4A" w:rsidRPr="00061F4A" w:rsidRDefault="00061F4A" w:rsidP="00AF7860">
      <w:pPr>
        <w:pStyle w:val="Orateurengris"/>
        <w:tabs>
          <w:tab w:val="clear" w:pos="709"/>
          <w:tab w:val="clear" w:pos="1418"/>
          <w:tab w:val="clear" w:pos="2126"/>
          <w:tab w:val="clear" w:pos="2835"/>
          <w:tab w:val="clear" w:pos="3686"/>
        </w:tabs>
        <w:spacing w:before="120"/>
        <w:ind w:left="709" w:hanging="709"/>
      </w:pPr>
      <w:r>
        <w:t xml:space="preserve">La </w:t>
      </w:r>
      <w:r w:rsidRPr="00061F4A">
        <w:t>délégation</w:t>
      </w:r>
      <w:r>
        <w:t xml:space="preserve"> du </w:t>
      </w:r>
      <w:r w:rsidRPr="00061F4A">
        <w:rPr>
          <w:b/>
        </w:rPr>
        <w:t>Guatemala</w:t>
      </w:r>
      <w:r>
        <w:t xml:space="preserve"> a remercié l</w:t>
      </w:r>
      <w:r w:rsidR="00346F1B">
        <w:t>’</w:t>
      </w:r>
      <w:r>
        <w:t>Espagne pour les services d</w:t>
      </w:r>
      <w:r w:rsidR="00346F1B">
        <w:t>’</w:t>
      </w:r>
      <w:r w:rsidRPr="00061F4A">
        <w:t>interprétation</w:t>
      </w:r>
      <w:r>
        <w:t xml:space="preserve"> en espagnol. </w:t>
      </w:r>
      <w:r w:rsidR="00BF1448">
        <w:t>S</w:t>
      </w:r>
      <w:r w:rsidR="00346F1B">
        <w:t>’</w:t>
      </w:r>
      <w:r w:rsidR="00BF1448">
        <w:t>agissant des consultations, s</w:t>
      </w:r>
      <w:r>
        <w:t>u</w:t>
      </w:r>
      <w:r w:rsidR="00BF1448">
        <w:t xml:space="preserve">ite aux remarques de la Zambie, elle pensait que </w:t>
      </w:r>
      <w:r>
        <w:t>les États devraient disposer d</w:t>
      </w:r>
      <w:r w:rsidR="00346F1B">
        <w:t>’</w:t>
      </w:r>
      <w:r>
        <w:t>un mécanisme plus flexible et dynamique avec un dialogue renforcé avec l</w:t>
      </w:r>
      <w:r w:rsidR="00346F1B">
        <w:t>’</w:t>
      </w:r>
      <w:r>
        <w:t>Organe d</w:t>
      </w:r>
      <w:r w:rsidR="00346F1B">
        <w:t>’</w:t>
      </w:r>
      <w:r>
        <w:t xml:space="preserve">évaluation afin que des </w:t>
      </w:r>
      <w:r w:rsidRPr="00061F4A">
        <w:t>informations</w:t>
      </w:r>
      <w:r>
        <w:t xml:space="preserve"> complémentaires puissent être communiquées. En outre, cela faciliterait le travail du Comité et préviendrait des déception</w:t>
      </w:r>
      <w:r w:rsidR="00A55D1A">
        <w:t>s</w:t>
      </w:r>
      <w:r>
        <w:t xml:space="preserve"> de la part des États devant attendre un nouveau cycle pour so</w:t>
      </w:r>
      <w:r w:rsidR="00A97118">
        <w:t>umettre à nouveau des dossiers.</w:t>
      </w:r>
    </w:p>
    <w:p w14:paraId="09DFCF91" w14:textId="1DF79751" w:rsidR="0068587D" w:rsidRPr="0068587D" w:rsidRDefault="00A55D1A" w:rsidP="00AF7860">
      <w:pPr>
        <w:pStyle w:val="Orateurengris"/>
        <w:tabs>
          <w:tab w:val="clear" w:pos="709"/>
          <w:tab w:val="clear" w:pos="1418"/>
          <w:tab w:val="clear" w:pos="2126"/>
          <w:tab w:val="clear" w:pos="2835"/>
          <w:tab w:val="clear" w:pos="3686"/>
        </w:tabs>
        <w:spacing w:before="120"/>
        <w:ind w:left="709" w:hanging="709"/>
      </w:pPr>
      <w:r>
        <w:t xml:space="preserve">La </w:t>
      </w:r>
      <w:r w:rsidRPr="00A55D1A">
        <w:t>délégation</w:t>
      </w:r>
      <w:r>
        <w:t xml:space="preserve"> de </w:t>
      </w:r>
      <w:r w:rsidRPr="00A55D1A">
        <w:rPr>
          <w:b/>
        </w:rPr>
        <w:t>Sainte-Lucie</w:t>
      </w:r>
      <w:r>
        <w:t xml:space="preserve"> s</w:t>
      </w:r>
      <w:r w:rsidR="00346F1B">
        <w:t>’</w:t>
      </w:r>
      <w:r>
        <w:t>est jointe aux autres délégations pour remercier l</w:t>
      </w:r>
      <w:r w:rsidR="00346F1B">
        <w:t>’</w:t>
      </w:r>
      <w:r>
        <w:t>Espagne</w:t>
      </w:r>
      <w:r w:rsidR="001652A8">
        <w:t xml:space="preserve"> d</w:t>
      </w:r>
      <w:r w:rsidR="00346F1B">
        <w:t>’</w:t>
      </w:r>
      <w:r w:rsidR="001652A8">
        <w:t>avoir mis en avant</w:t>
      </w:r>
      <w:r>
        <w:t xml:space="preserve"> cette très importante question de gouvernance. Parce qu</w:t>
      </w:r>
      <w:r w:rsidR="00346F1B">
        <w:t>’</w:t>
      </w:r>
      <w:r>
        <w:t>il s</w:t>
      </w:r>
      <w:r w:rsidR="00346F1B">
        <w:t>’</w:t>
      </w:r>
      <w:r>
        <w:t>agissait là d</w:t>
      </w:r>
      <w:r w:rsidR="00346F1B">
        <w:t>’</w:t>
      </w:r>
      <w:r>
        <w:t xml:space="preserve">une question essentielle, la </w:t>
      </w:r>
      <w:r w:rsidRPr="00A55D1A">
        <w:t>délégation</w:t>
      </w:r>
      <w:r w:rsidR="0074183B">
        <w:t xml:space="preserve"> soutenait</w:t>
      </w:r>
      <w:r>
        <w:t xml:space="preserve"> les remarques formulées par l</w:t>
      </w:r>
      <w:r w:rsidR="00346F1B">
        <w:t>’</w:t>
      </w:r>
      <w:r>
        <w:t>Autriche, Cuba et d</w:t>
      </w:r>
      <w:r w:rsidR="00346F1B">
        <w:t>’</w:t>
      </w:r>
      <w:r>
        <w:t>autres délégations selon lesquelles il convenait d</w:t>
      </w:r>
      <w:r w:rsidR="00346F1B">
        <w:t>’</w:t>
      </w:r>
      <w:r>
        <w:t>agir avec précaution avant de mettre en place toute modification ; elle soutenait toutefois l</w:t>
      </w:r>
      <w:r w:rsidR="00346F1B">
        <w:t>’</w:t>
      </w:r>
      <w:r>
        <w:t>esprit de l</w:t>
      </w:r>
      <w:r w:rsidR="00346F1B">
        <w:t>’</w:t>
      </w:r>
      <w:r w:rsidRPr="00A55D1A">
        <w:t>amendement</w:t>
      </w:r>
      <w:r>
        <w:t xml:space="preserve"> proposé. En ce qui concerne la question du silence, la </w:t>
      </w:r>
      <w:r w:rsidRPr="00A55D1A">
        <w:t>délégation</w:t>
      </w:r>
      <w:r>
        <w:t xml:space="preserve"> a pris note que tous les intervenants convenaient que le silence était parlant et qu</w:t>
      </w:r>
      <w:r w:rsidR="00346F1B">
        <w:t>’</w:t>
      </w:r>
      <w:r>
        <w:t>il parlait d</w:t>
      </w:r>
      <w:r w:rsidR="00346F1B">
        <w:t>’</w:t>
      </w:r>
      <w:r>
        <w:t>une voix forte. Elle a ajouté qu</w:t>
      </w:r>
      <w:r w:rsidR="00346F1B">
        <w:t>’</w:t>
      </w:r>
      <w:r>
        <w:t xml:space="preserve">en général, il était nécessaire de comprendre la </w:t>
      </w:r>
      <w:r w:rsidRPr="00A55D1A">
        <w:t xml:space="preserve">signification </w:t>
      </w:r>
      <w:r>
        <w:t xml:space="preserve">de ce silence. </w:t>
      </w:r>
      <w:r w:rsidR="00BF1448">
        <w:t>O</w:t>
      </w:r>
      <w:r w:rsidR="0068587D">
        <w:t xml:space="preserve">n pouvait </w:t>
      </w:r>
      <w:r w:rsidR="00BF1448" w:rsidRPr="00BF1448">
        <w:t>toutefois</w:t>
      </w:r>
      <w:r w:rsidR="00BF1448">
        <w:t xml:space="preserve"> s</w:t>
      </w:r>
      <w:r w:rsidR="00346F1B">
        <w:t>’</w:t>
      </w:r>
      <w:r w:rsidR="00BF1448">
        <w:t xml:space="preserve">interroger sur la nécessité de toujours </w:t>
      </w:r>
      <w:r w:rsidR="0068587D">
        <w:t>interpréter le silence. P</w:t>
      </w:r>
      <w:r w:rsidR="0068587D" w:rsidRPr="0068587D">
        <w:t>ar exemple</w:t>
      </w:r>
      <w:r w:rsidR="0068587D">
        <w:t xml:space="preserve">, dans certaines occasions, les </w:t>
      </w:r>
      <w:r w:rsidR="008A3BB3">
        <w:t>m</w:t>
      </w:r>
      <w:r w:rsidR="00A46CAD">
        <w:t>embres du Comité</w:t>
      </w:r>
      <w:r w:rsidR="0068587D">
        <w:t xml:space="preserve"> </w:t>
      </w:r>
      <w:r w:rsidR="00BF1448">
        <w:t>pouvaient très bien saisir ce qui se passait</w:t>
      </w:r>
      <w:r w:rsidR="0068587D">
        <w:t xml:space="preserve"> et être d</w:t>
      </w:r>
      <w:r w:rsidR="00346F1B">
        <w:t>’</w:t>
      </w:r>
      <w:r w:rsidR="0068587D">
        <w:t xml:space="preserve">accord. La </w:t>
      </w:r>
      <w:r w:rsidR="0068587D" w:rsidRPr="0068587D">
        <w:t>délégation</w:t>
      </w:r>
      <w:r w:rsidR="0068587D">
        <w:t xml:space="preserve"> a convenu que, tout en soutenant cet esprit, le Comité devrait mettre en place un mécanisme qui encourage les choses à évoluer de façon efficace et qui évite les frustrations. Par ailleurs, dans certaines</w:t>
      </w:r>
      <w:r w:rsidR="0074183B">
        <w:t xml:space="preserve"> situations, le Comité voudrai</w:t>
      </w:r>
      <w:r w:rsidR="0068587D">
        <w:t>t très certainement comprendre le silence, et, à la demande d</w:t>
      </w:r>
      <w:r w:rsidR="00346F1B">
        <w:t>’</w:t>
      </w:r>
      <w:r w:rsidR="0068587D">
        <w:t>un ou deux États, le Comité pourrait alors se permettre de choisir une procédure</w:t>
      </w:r>
      <w:r w:rsidR="00BF1448">
        <w:t xml:space="preserve"> différente</w:t>
      </w:r>
      <w:r w:rsidR="0068587D">
        <w:t xml:space="preserve">. Il était </w:t>
      </w:r>
      <w:r w:rsidR="0068587D" w:rsidRPr="0068587D">
        <w:t>néanmoins</w:t>
      </w:r>
      <w:r w:rsidR="0068587D">
        <w:t xml:space="preserve"> important de procéder avec précaution, </w:t>
      </w:r>
      <w:r w:rsidR="0068587D" w:rsidRPr="0068587D">
        <w:t>en particulier</w:t>
      </w:r>
      <w:r w:rsidR="0068587D">
        <w:t xml:space="preserve"> </w:t>
      </w:r>
      <w:r w:rsidR="0068587D" w:rsidRPr="0068587D">
        <w:t>parce que</w:t>
      </w:r>
      <w:r w:rsidR="0068587D">
        <w:t xml:space="preserve"> le silence n</w:t>
      </w:r>
      <w:r w:rsidR="00346F1B">
        <w:t>’</w:t>
      </w:r>
      <w:r w:rsidR="001652A8">
        <w:t>était pas toujours un problème</w:t>
      </w:r>
      <w:r w:rsidR="0068587D">
        <w:t xml:space="preserve"> et </w:t>
      </w:r>
      <w:r w:rsidR="001652A8">
        <w:t xml:space="preserve">que, </w:t>
      </w:r>
      <w:r w:rsidR="0068587D">
        <w:t>lorsque c</w:t>
      </w:r>
      <w:r w:rsidR="00346F1B">
        <w:t>’</w:t>
      </w:r>
      <w:r w:rsidR="0068587D">
        <w:t>était le cas, une procédure différente pe</w:t>
      </w:r>
      <w:r w:rsidR="00A97118">
        <w:t>rmettrait un dialogue renforcé.</w:t>
      </w:r>
    </w:p>
    <w:p w14:paraId="66EB2E52" w14:textId="6E2058DF" w:rsidR="001652A8" w:rsidRPr="001652A8" w:rsidRDefault="00BF1448" w:rsidP="00AF7860">
      <w:pPr>
        <w:pStyle w:val="Orateurengris"/>
        <w:tabs>
          <w:tab w:val="clear" w:pos="709"/>
          <w:tab w:val="clear" w:pos="1418"/>
          <w:tab w:val="clear" w:pos="2126"/>
          <w:tab w:val="clear" w:pos="2835"/>
          <w:tab w:val="clear" w:pos="3686"/>
        </w:tabs>
        <w:spacing w:before="120"/>
        <w:ind w:left="709" w:hanging="709"/>
      </w:pPr>
      <w:r w:rsidRPr="00BF1448">
        <w:t>Après</w:t>
      </w:r>
      <w:r w:rsidR="001652A8">
        <w:t xml:space="preserve"> avoir remercié Sainte-Lucie, le </w:t>
      </w:r>
      <w:r w:rsidR="001652A8" w:rsidRPr="001652A8">
        <w:rPr>
          <w:b/>
        </w:rPr>
        <w:t>Président</w:t>
      </w:r>
      <w:r w:rsidR="001652A8">
        <w:t xml:space="preserve"> a rappelé au Comité que la discussion sur les processus spécifiques de prise de décisions, concernant les candidatures, les propositions et les demandes, portait sur l</w:t>
      </w:r>
      <w:r w:rsidR="00346F1B">
        <w:t>’</w:t>
      </w:r>
      <w:r w:rsidR="001652A8" w:rsidRPr="001652A8">
        <w:t>interprétation</w:t>
      </w:r>
      <w:r w:rsidR="001652A8">
        <w:t xml:space="preserve"> du silence lorsqu</w:t>
      </w:r>
      <w:r w:rsidR="00346F1B">
        <w:t>’</w:t>
      </w:r>
      <w:r w:rsidR="001652A8">
        <w:t>il y avait des opinions divergentes et lorsque le Comité souh</w:t>
      </w:r>
      <w:r w:rsidR="00A97118">
        <w:t>aitait parvenir à un consensus.</w:t>
      </w:r>
    </w:p>
    <w:p w14:paraId="2421FAEF" w14:textId="5B377482" w:rsidR="00DC368E" w:rsidRDefault="00DC368E" w:rsidP="00AF7860">
      <w:pPr>
        <w:pStyle w:val="Orateurengris"/>
        <w:tabs>
          <w:tab w:val="clear" w:pos="709"/>
          <w:tab w:val="clear" w:pos="1418"/>
          <w:tab w:val="clear" w:pos="2126"/>
          <w:tab w:val="clear" w:pos="2835"/>
          <w:tab w:val="clear" w:pos="3686"/>
        </w:tabs>
        <w:spacing w:before="120"/>
        <w:ind w:left="709" w:hanging="709"/>
      </w:pPr>
      <w:r>
        <w:t xml:space="preserve">La </w:t>
      </w:r>
      <w:r w:rsidRPr="00DC368E">
        <w:t>délégation</w:t>
      </w:r>
      <w:r>
        <w:t xml:space="preserve"> de </w:t>
      </w:r>
      <w:r w:rsidRPr="00DC368E">
        <w:rPr>
          <w:b/>
        </w:rPr>
        <w:t>Sainte-Lucie</w:t>
      </w:r>
      <w:r w:rsidR="0074183B">
        <w:t xml:space="preserve"> a, </w:t>
      </w:r>
      <w:r w:rsidRPr="00DC368E">
        <w:t>par conséquent</w:t>
      </w:r>
      <w:r w:rsidR="0074183B">
        <w:t>,</w:t>
      </w:r>
      <w:r>
        <w:t xml:space="preserve"> accordé son soutien à la </w:t>
      </w:r>
      <w:r w:rsidRPr="00DC368E">
        <w:t xml:space="preserve">proposition </w:t>
      </w:r>
      <w:r w:rsidR="00A97118">
        <w:t>soumise par l</w:t>
      </w:r>
      <w:r w:rsidR="00346F1B">
        <w:t>’</w:t>
      </w:r>
      <w:r w:rsidR="00A97118">
        <w:t>Espagne.</w:t>
      </w:r>
    </w:p>
    <w:p w14:paraId="6B518701" w14:textId="4EC1A97A" w:rsidR="00DC368E" w:rsidRDefault="00DC368E" w:rsidP="00AF7860">
      <w:pPr>
        <w:pStyle w:val="Orateurengris"/>
        <w:tabs>
          <w:tab w:val="clear" w:pos="709"/>
          <w:tab w:val="clear" w:pos="1418"/>
          <w:tab w:val="clear" w:pos="2126"/>
          <w:tab w:val="clear" w:pos="2835"/>
          <w:tab w:val="clear" w:pos="3686"/>
        </w:tabs>
        <w:spacing w:before="120"/>
        <w:ind w:left="709" w:hanging="709"/>
      </w:pPr>
      <w:r>
        <w:t xml:space="preserve">La </w:t>
      </w:r>
      <w:r w:rsidRPr="00DC368E">
        <w:t>délégation</w:t>
      </w:r>
      <w:r>
        <w:t xml:space="preserve"> de la </w:t>
      </w:r>
      <w:r w:rsidRPr="00DC368E">
        <w:rPr>
          <w:b/>
        </w:rPr>
        <w:t>Côte d</w:t>
      </w:r>
      <w:r w:rsidR="00346F1B">
        <w:rPr>
          <w:b/>
        </w:rPr>
        <w:t>’</w:t>
      </w:r>
      <w:r w:rsidRPr="00DC368E">
        <w:rPr>
          <w:b/>
        </w:rPr>
        <w:t>Ivoire</w:t>
      </w:r>
      <w:r>
        <w:t xml:space="preserve"> a remercié le Président pour son calme et son impartialité au cours de ce débat très difficile. Elle a apporté son soutien à l</w:t>
      </w:r>
      <w:r w:rsidR="00346F1B">
        <w:t>’</w:t>
      </w:r>
      <w:r>
        <w:t xml:space="preserve">Espagne </w:t>
      </w:r>
      <w:r w:rsidR="00EE5AE9">
        <w:t>pour l</w:t>
      </w:r>
      <w:r w:rsidR="00346F1B">
        <w:t>’</w:t>
      </w:r>
      <w:r w:rsidR="00EE5AE9">
        <w:t>inclusion de ce point à l</w:t>
      </w:r>
      <w:r w:rsidR="00346F1B">
        <w:t>’</w:t>
      </w:r>
      <w:r w:rsidR="00EE5AE9" w:rsidRPr="00EE5AE9">
        <w:t>ordre du jour</w:t>
      </w:r>
      <w:r w:rsidR="00EE5AE9">
        <w:t xml:space="preserve"> de la session. Ce principe se reflétait dans les recommandations de l</w:t>
      </w:r>
      <w:r w:rsidR="00346F1B">
        <w:t>’</w:t>
      </w:r>
      <w:r w:rsidR="00EE5AE9">
        <w:t xml:space="preserve">Auditeur externe qui appelaient à une harmonisation et une synergie entre les différentes Conventions culturelles. La </w:t>
      </w:r>
      <w:r w:rsidR="00EE5AE9" w:rsidRPr="00EE5AE9">
        <w:t>délégation</w:t>
      </w:r>
      <w:r w:rsidR="00EE5AE9">
        <w:t xml:space="preserve"> a joint sa voix à celles de Cuba, du Sénégal, de l</w:t>
      </w:r>
      <w:r w:rsidR="00346F1B">
        <w:t>’</w:t>
      </w:r>
      <w:r w:rsidR="00EE5AE9">
        <w:t>Autriche et de l</w:t>
      </w:r>
      <w:r w:rsidR="00346F1B">
        <w:t>’</w:t>
      </w:r>
      <w:r w:rsidR="00EE5AE9">
        <w:t xml:space="preserve">Algérie pour soutenir la </w:t>
      </w:r>
      <w:r w:rsidR="00EE5AE9" w:rsidRPr="00EE5AE9">
        <w:t xml:space="preserve">proposition </w:t>
      </w:r>
      <w:r w:rsidR="00A97118">
        <w:t>de la Palestine.</w:t>
      </w:r>
    </w:p>
    <w:p w14:paraId="6BB785BC" w14:textId="3D423D46" w:rsidR="00C64BF5" w:rsidRPr="00C64BF5" w:rsidRDefault="00EE5AE9" w:rsidP="00AF7860">
      <w:pPr>
        <w:pStyle w:val="Orateurengris"/>
        <w:tabs>
          <w:tab w:val="clear" w:pos="709"/>
          <w:tab w:val="clear" w:pos="1418"/>
          <w:tab w:val="clear" w:pos="2126"/>
          <w:tab w:val="clear" w:pos="2835"/>
          <w:tab w:val="clear" w:pos="3686"/>
        </w:tabs>
        <w:spacing w:before="120"/>
        <w:ind w:left="709" w:hanging="709"/>
      </w:pPr>
      <w:r>
        <w:t xml:space="preserve">La </w:t>
      </w:r>
      <w:r w:rsidRPr="00EE5AE9">
        <w:t>délégation</w:t>
      </w:r>
      <w:r>
        <w:t xml:space="preserve"> de l</w:t>
      </w:r>
      <w:r w:rsidR="00346F1B">
        <w:t>’</w:t>
      </w:r>
      <w:r w:rsidRPr="00EE5AE9">
        <w:rPr>
          <w:b/>
        </w:rPr>
        <w:t>Arménie</w:t>
      </w:r>
      <w:r>
        <w:t xml:space="preserve"> a fait remarquer que certaines personnes avaient pu se demander si le silence, ou des mots tus</w:t>
      </w:r>
      <w:r w:rsidR="00C64BF5">
        <w:t>, pouvait être mal interprété voire</w:t>
      </w:r>
      <w:r>
        <w:t xml:space="preserve"> utilisé contre elles, ou si rester silencieux était assurément utile durant les travaux du Comité. Quoi qu</w:t>
      </w:r>
      <w:r w:rsidR="00346F1B">
        <w:t>’</w:t>
      </w:r>
      <w:r>
        <w:t xml:space="preserve">il en soit, il était </w:t>
      </w:r>
      <w:r w:rsidRPr="00EE5AE9">
        <w:t>extrêmement</w:t>
      </w:r>
      <w:r>
        <w:t xml:space="preserve"> important de trouver une sol</w:t>
      </w:r>
      <w:r w:rsidR="009B5416">
        <w:t>ution avant de s</w:t>
      </w:r>
      <w:r w:rsidR="00346F1B">
        <w:t>’</w:t>
      </w:r>
      <w:r w:rsidR="009B5416">
        <w:t xml:space="preserve">en remettre à la mise aux voix </w:t>
      </w:r>
      <w:r>
        <w:t>car un vote suggérait que tout n</w:t>
      </w:r>
      <w:r w:rsidR="00346F1B">
        <w:t>’</w:t>
      </w:r>
      <w:r>
        <w:t>était pas parfait et qu</w:t>
      </w:r>
      <w:r w:rsidR="00346F1B">
        <w:t>’</w:t>
      </w:r>
      <w:r>
        <w:t>il était impossible d</w:t>
      </w:r>
      <w:r w:rsidR="00E4215C">
        <w:t>e définir une base commune</w:t>
      </w:r>
      <w:r w:rsidR="00C64BF5">
        <w:t xml:space="preserve"> de décision</w:t>
      </w:r>
      <w:r w:rsidR="00E4215C">
        <w:t xml:space="preserve">. Par ailleurs, cela pouvait même amoindrir la valeur de la décision prise. La </w:t>
      </w:r>
      <w:r w:rsidR="00E4215C" w:rsidRPr="00E4215C">
        <w:t>délégation</w:t>
      </w:r>
      <w:r w:rsidR="0074183B">
        <w:t xml:space="preserve"> estimait </w:t>
      </w:r>
      <w:r w:rsidR="00E4215C" w:rsidRPr="00E4215C">
        <w:t>par conséquent</w:t>
      </w:r>
      <w:r w:rsidR="00E4215C">
        <w:t xml:space="preserve"> que tous les efforts dev</w:t>
      </w:r>
      <w:r w:rsidR="0074183B">
        <w:t>r</w:t>
      </w:r>
      <w:r w:rsidR="00E4215C">
        <w:t xml:space="preserve">aient être entrepris pour parvenir à une décision concertée afin de ne pas en arriver à un vote. Dans cet esprit, le travail du Président et du </w:t>
      </w:r>
      <w:r w:rsidR="00E4215C" w:rsidRPr="00E4215C">
        <w:t>Secrétaire</w:t>
      </w:r>
      <w:r w:rsidR="00E4215C">
        <w:t xml:space="preserve"> étaient essentiels afin de pouvoir négocier sur certaines questions sensibles afin d</w:t>
      </w:r>
      <w:r w:rsidR="00346F1B">
        <w:t>’</w:t>
      </w:r>
      <w:r w:rsidR="00E4215C">
        <w:t>atteindre le momen</w:t>
      </w:r>
      <w:r w:rsidR="00C64BF5">
        <w:t xml:space="preserve">t final où tous les obstacles </w:t>
      </w:r>
      <w:r w:rsidR="009B5416">
        <w:t xml:space="preserve">avaient </w:t>
      </w:r>
      <w:r w:rsidR="00E4215C">
        <w:t xml:space="preserve">été surmontés et des décisions positives </w:t>
      </w:r>
      <w:r w:rsidR="009B5416">
        <w:t xml:space="preserve">pouvaient </w:t>
      </w:r>
      <w:r w:rsidR="00E4215C">
        <w:t xml:space="preserve">être prises. La </w:t>
      </w:r>
      <w:r w:rsidR="00E4215C" w:rsidRPr="00E4215C">
        <w:t>délégation</w:t>
      </w:r>
      <w:r w:rsidR="0074183B">
        <w:t xml:space="preserve"> était </w:t>
      </w:r>
      <w:r w:rsidR="00E4215C" w:rsidRPr="00E4215C">
        <w:t>également</w:t>
      </w:r>
      <w:r w:rsidR="00E4215C">
        <w:t xml:space="preserve"> </w:t>
      </w:r>
      <w:r w:rsidR="0074183B">
        <w:t xml:space="preserve">favorable à </w:t>
      </w:r>
      <w:r w:rsidR="00E4215C">
        <w:t xml:space="preserve">une </w:t>
      </w:r>
      <w:r w:rsidR="00E4215C" w:rsidRPr="00E4215C">
        <w:t>coopération</w:t>
      </w:r>
      <w:r w:rsidR="00E4215C">
        <w:t xml:space="preserve"> très étroite avec l</w:t>
      </w:r>
      <w:r w:rsidR="00346F1B">
        <w:t>’</w:t>
      </w:r>
      <w:r w:rsidR="00E4215C">
        <w:t>Organe d</w:t>
      </w:r>
      <w:r w:rsidR="00346F1B">
        <w:t>’</w:t>
      </w:r>
      <w:r w:rsidR="00E4215C">
        <w:t xml:space="preserve">évaluation car le principe </w:t>
      </w:r>
      <w:r w:rsidR="00D53CBD">
        <w:t>n</w:t>
      </w:r>
      <w:r w:rsidR="00346F1B">
        <w:t>’</w:t>
      </w:r>
      <w:r w:rsidR="00D53CBD">
        <w:t>était pas de décider de rejets</w:t>
      </w:r>
      <w:r w:rsidR="00E4215C">
        <w:t xml:space="preserve"> inutiles </w:t>
      </w:r>
      <w:r w:rsidR="00D53CBD">
        <w:t xml:space="preserve">qui ne parvenaient </w:t>
      </w:r>
      <w:r w:rsidR="00E4215C">
        <w:t>qu</w:t>
      </w:r>
      <w:r w:rsidR="00346F1B">
        <w:t>’</w:t>
      </w:r>
      <w:r w:rsidR="00E4215C">
        <w:t>à compliquer le trava</w:t>
      </w:r>
      <w:r w:rsidR="00D53CBD">
        <w:t>il du Comité. En outre, un rejet</w:t>
      </w:r>
      <w:r w:rsidR="00E4215C">
        <w:t xml:space="preserve"> pour des raisons mi</w:t>
      </w:r>
      <w:r w:rsidR="00C64BF5">
        <w:t>neures signifiait qu</w:t>
      </w:r>
      <w:r w:rsidR="00346F1B">
        <w:t>’</w:t>
      </w:r>
      <w:r w:rsidR="00C64BF5">
        <w:t xml:space="preserve">il faudrait </w:t>
      </w:r>
      <w:r w:rsidR="00E4215C">
        <w:t>repre</w:t>
      </w:r>
      <w:r w:rsidR="00C64BF5">
        <w:t>ndre toute la procédure, à savoir beaucoup de temps et d</w:t>
      </w:r>
      <w:r w:rsidR="00346F1B">
        <w:t>’</w:t>
      </w:r>
      <w:r w:rsidR="00C64BF5">
        <w:t>efforts de la part des États soumissionnaires, du Secrétariat et de l</w:t>
      </w:r>
      <w:r w:rsidR="00346F1B">
        <w:t>’</w:t>
      </w:r>
      <w:r w:rsidR="00C64BF5">
        <w:t>Organe d</w:t>
      </w:r>
      <w:r w:rsidR="00346F1B">
        <w:t>’</w:t>
      </w:r>
      <w:r w:rsidR="00C64BF5">
        <w:t xml:space="preserve">évaluation lui-même. </w:t>
      </w:r>
      <w:r w:rsidR="00C64BF5" w:rsidRPr="00C64BF5">
        <w:t>En conséquence</w:t>
      </w:r>
      <w:r w:rsidR="00C64BF5">
        <w:t>, si des réponses à des questions pouvaient être données pendant la procédure d</w:t>
      </w:r>
      <w:r w:rsidR="00346F1B">
        <w:t>’</w:t>
      </w:r>
      <w:r w:rsidR="00C64BF5" w:rsidRPr="00C64BF5">
        <w:t>évaluation</w:t>
      </w:r>
      <w:r w:rsidR="00C64BF5">
        <w:t>, c</w:t>
      </w:r>
      <w:r w:rsidR="00346F1B">
        <w:t>’</w:t>
      </w:r>
      <w:r w:rsidR="00C64BF5">
        <w:t xml:space="preserve">était grandement préférable. La </w:t>
      </w:r>
      <w:r w:rsidR="00C64BF5" w:rsidRPr="00C64BF5">
        <w:t>délégation</w:t>
      </w:r>
      <w:r w:rsidR="00C64BF5">
        <w:t xml:space="preserve"> a conclu son </w:t>
      </w:r>
      <w:r w:rsidR="00C64BF5" w:rsidRPr="00C64BF5">
        <w:t>intervention</w:t>
      </w:r>
      <w:r w:rsidR="00C64BF5">
        <w:t xml:space="preserve"> en remerciant l</w:t>
      </w:r>
      <w:r w:rsidR="00346F1B">
        <w:t>’</w:t>
      </w:r>
      <w:r w:rsidR="00C64BF5">
        <w:t>Espagne d</w:t>
      </w:r>
      <w:r w:rsidR="00346F1B">
        <w:t>’</w:t>
      </w:r>
      <w:r w:rsidR="00C64BF5">
        <w:t>avoir soulevé cette question et en soutenant l</w:t>
      </w:r>
      <w:r w:rsidR="00346F1B">
        <w:t>’</w:t>
      </w:r>
      <w:r w:rsidR="00C64BF5" w:rsidRPr="00C64BF5">
        <w:t>amendement</w:t>
      </w:r>
      <w:r w:rsidR="00A97118">
        <w:t xml:space="preserve"> de la Palestine.</w:t>
      </w:r>
    </w:p>
    <w:p w14:paraId="5B61D80F" w14:textId="0EA35C25" w:rsidR="00C64BF5" w:rsidRPr="00C64BF5" w:rsidRDefault="00C64BF5" w:rsidP="00AF7860">
      <w:pPr>
        <w:pStyle w:val="Orateurengris"/>
        <w:tabs>
          <w:tab w:val="clear" w:pos="709"/>
          <w:tab w:val="clear" w:pos="1418"/>
          <w:tab w:val="clear" w:pos="2126"/>
          <w:tab w:val="clear" w:pos="2835"/>
          <w:tab w:val="clear" w:pos="3686"/>
        </w:tabs>
        <w:spacing w:before="120"/>
        <w:ind w:left="709" w:hanging="709"/>
      </w:pPr>
      <w:r>
        <w:t xml:space="preserve">La </w:t>
      </w:r>
      <w:r w:rsidRPr="00C64BF5">
        <w:t>délégation</w:t>
      </w:r>
      <w:r>
        <w:t xml:space="preserve"> de l</w:t>
      </w:r>
      <w:r w:rsidR="00346F1B">
        <w:t>’</w:t>
      </w:r>
      <w:r w:rsidRPr="00C64BF5">
        <w:rPr>
          <w:b/>
        </w:rPr>
        <w:t>Éthiopie</w:t>
      </w:r>
      <w:r>
        <w:t xml:space="preserve"> a remercié, d</w:t>
      </w:r>
      <w:r w:rsidR="00346F1B">
        <w:t>’</w:t>
      </w:r>
      <w:r>
        <w:t>une part, l</w:t>
      </w:r>
      <w:r w:rsidR="00346F1B">
        <w:t>’</w:t>
      </w:r>
      <w:r>
        <w:t>Espagne d</w:t>
      </w:r>
      <w:r w:rsidR="00346F1B">
        <w:t>’</w:t>
      </w:r>
      <w:r>
        <w:t xml:space="preserve">avoir mis ce point en avant et la Palestine </w:t>
      </w:r>
      <w:r w:rsidRPr="009B5416">
        <w:t>d</w:t>
      </w:r>
      <w:r w:rsidR="00346F1B">
        <w:t>’</w:t>
      </w:r>
      <w:r w:rsidRPr="009B5416">
        <w:t xml:space="preserve">avoir </w:t>
      </w:r>
      <w:r w:rsidR="009B5416" w:rsidRPr="009B5416">
        <w:t xml:space="preserve">brisé </w:t>
      </w:r>
      <w:r w:rsidRPr="009B5416">
        <w:t>le silence</w:t>
      </w:r>
      <w:r>
        <w:t xml:space="preserve"> et, d</w:t>
      </w:r>
      <w:r w:rsidR="00346F1B">
        <w:t>’</w:t>
      </w:r>
      <w:r>
        <w:t>autre part, l</w:t>
      </w:r>
      <w:r w:rsidR="00346F1B">
        <w:t>’</w:t>
      </w:r>
      <w:r>
        <w:t xml:space="preserve">Inde pour son </w:t>
      </w:r>
      <w:r w:rsidRPr="00C64BF5">
        <w:t>engagement</w:t>
      </w:r>
      <w:r>
        <w:t xml:space="preserve"> constructif. La </w:t>
      </w:r>
      <w:r w:rsidRPr="00C64BF5">
        <w:t>délégation</w:t>
      </w:r>
      <w:r>
        <w:t xml:space="preserve"> croyait en l</w:t>
      </w:r>
      <w:r w:rsidR="00346F1B">
        <w:t>’</w:t>
      </w:r>
      <w:r>
        <w:t xml:space="preserve">esprit de la </w:t>
      </w:r>
      <w:r w:rsidRPr="00C64BF5">
        <w:t>Convention</w:t>
      </w:r>
      <w:r>
        <w:t xml:space="preserve"> et la prise de </w:t>
      </w:r>
      <w:r w:rsidRPr="00C64BF5">
        <w:t>décision</w:t>
      </w:r>
      <w:r>
        <w:t>s par consensus. S</w:t>
      </w:r>
      <w:r w:rsidR="00346F1B">
        <w:t>’</w:t>
      </w:r>
      <w:r>
        <w:t>agissant de l</w:t>
      </w:r>
      <w:r w:rsidR="00346F1B">
        <w:t>’</w:t>
      </w:r>
      <w:r w:rsidRPr="00C64BF5">
        <w:t>interprétation</w:t>
      </w:r>
      <w:r>
        <w:t xml:space="preserve"> du silence, comme c</w:t>
      </w:r>
      <w:r w:rsidR="00346F1B">
        <w:t>’</w:t>
      </w:r>
      <w:r>
        <w:t>était le cas dans d</w:t>
      </w:r>
      <w:r w:rsidR="00346F1B">
        <w:t>’</w:t>
      </w:r>
      <w:r>
        <w:t>autres forums multilatéraux, il n</w:t>
      </w:r>
      <w:r w:rsidR="00346F1B">
        <w:t>’</w:t>
      </w:r>
      <w:r>
        <w:t xml:space="preserve">impliquait jamais une objection tandis que le consensus reflétait la disposition du Comité au regard de la question examinée. </w:t>
      </w:r>
      <w:r w:rsidRPr="00C64BF5">
        <w:t>Conformément</w:t>
      </w:r>
      <w:r>
        <w:t xml:space="preserve"> au Règlement intérieur, le privilège de s</w:t>
      </w:r>
      <w:r w:rsidR="00346F1B">
        <w:t>’</w:t>
      </w:r>
      <w:r>
        <w:t xml:space="preserve">assurer que le Comité était bien parvenu à un consensus </w:t>
      </w:r>
      <w:r w:rsidR="009B5416">
        <w:t xml:space="preserve">était, </w:t>
      </w:r>
      <w:r>
        <w:t>sans doute aucun</w:t>
      </w:r>
      <w:r w:rsidR="009B5416">
        <w:t>,</w:t>
      </w:r>
      <w:r>
        <w:t xml:space="preserve"> </w:t>
      </w:r>
      <w:r w:rsidRPr="00C64BF5">
        <w:t>conféré au Président</w:t>
      </w:r>
      <w:r w:rsidR="00A97118">
        <w:t>.</w:t>
      </w:r>
    </w:p>
    <w:p w14:paraId="12930F8A" w14:textId="64D95A2C" w:rsidR="00215893" w:rsidRPr="00215893" w:rsidRDefault="009B5416" w:rsidP="00AF7860">
      <w:pPr>
        <w:pStyle w:val="Orateurengris"/>
        <w:tabs>
          <w:tab w:val="clear" w:pos="709"/>
          <w:tab w:val="clear" w:pos="1418"/>
          <w:tab w:val="clear" w:pos="2126"/>
          <w:tab w:val="clear" w:pos="2835"/>
          <w:tab w:val="clear" w:pos="3686"/>
        </w:tabs>
        <w:spacing w:before="120"/>
        <w:ind w:left="709" w:hanging="709"/>
      </w:pPr>
      <w:r>
        <w:t xml:space="preserve">La </w:t>
      </w:r>
      <w:r w:rsidRPr="009B5416">
        <w:t>délégation</w:t>
      </w:r>
      <w:r>
        <w:t xml:space="preserve"> de </w:t>
      </w:r>
      <w:r w:rsidRPr="009B5416">
        <w:t>l</w:t>
      </w:r>
      <w:r w:rsidR="00346F1B">
        <w:t>’</w:t>
      </w:r>
      <w:r w:rsidRPr="009B5416">
        <w:rPr>
          <w:b/>
        </w:rPr>
        <w:t>Afghanistan</w:t>
      </w:r>
      <w:r>
        <w:t xml:space="preserve"> a exprimé sa confiance dans la capacité du Comité à résoudre ce problème technique avec sérénité et une sagesse collective. Elle a remercié l</w:t>
      </w:r>
      <w:r w:rsidR="00346F1B">
        <w:t>’</w:t>
      </w:r>
      <w:r>
        <w:t>Espagne, la Palestine, l</w:t>
      </w:r>
      <w:r w:rsidR="00346F1B">
        <w:t>’</w:t>
      </w:r>
      <w:r>
        <w:t>Inde et d</w:t>
      </w:r>
      <w:r w:rsidR="00346F1B">
        <w:t>’</w:t>
      </w:r>
      <w:r>
        <w:t xml:space="preserve">autres délégations pour leurs contributions positives. Elle était consciente des </w:t>
      </w:r>
      <w:r w:rsidR="00215893">
        <w:t>lacunes de la</w:t>
      </w:r>
      <w:r>
        <w:t xml:space="preserve"> réglementa</w:t>
      </w:r>
      <w:r w:rsidR="00215893">
        <w:t>tion en vigueur et de l</w:t>
      </w:r>
      <w:r w:rsidR="00346F1B">
        <w:t>’</w:t>
      </w:r>
      <w:r w:rsidR="00215893">
        <w:t xml:space="preserve">absence délibérée, </w:t>
      </w:r>
      <w:r>
        <w:t>de la part des États fondateurs</w:t>
      </w:r>
      <w:r w:rsidR="00215893">
        <w:t>,</w:t>
      </w:r>
      <w:r>
        <w:t xml:space="preserve"> </w:t>
      </w:r>
      <w:r w:rsidR="0054028C">
        <w:t>de volonté</w:t>
      </w:r>
      <w:r w:rsidR="00215893">
        <w:t xml:space="preserve"> </w:t>
      </w:r>
      <w:r w:rsidR="0054028C">
        <w:t>d</w:t>
      </w:r>
      <w:r w:rsidR="00346F1B">
        <w:t>’</w:t>
      </w:r>
      <w:r w:rsidR="00215893">
        <w:t>accorder une méthode de travail différente pour les travaux du Comité. Son opinion était que le Comité devrait reconnaître le rôle et la place de l</w:t>
      </w:r>
      <w:r w:rsidR="00346F1B">
        <w:t>’</w:t>
      </w:r>
      <w:r w:rsidR="00215893">
        <w:t>expertise technique et, surtout, la prééminence des États afin de garantir l</w:t>
      </w:r>
      <w:r w:rsidR="00346F1B">
        <w:t>’</w:t>
      </w:r>
      <w:r w:rsidR="00215893">
        <w:t xml:space="preserve">esprit de collégialité, de soutien et de solidarité au service des objectifs de la </w:t>
      </w:r>
      <w:r w:rsidR="00215893" w:rsidRPr="00215893">
        <w:t>Convention</w:t>
      </w:r>
      <w:r w:rsidR="00215893">
        <w:t xml:space="preserve">. En tout </w:t>
      </w:r>
      <w:r w:rsidR="0054028C">
        <w:t>é</w:t>
      </w:r>
      <w:r w:rsidR="00215893">
        <w:t>tat de cause, le Comité dev</w:t>
      </w:r>
      <w:r w:rsidR="00D53CBD">
        <w:t>r</w:t>
      </w:r>
      <w:r w:rsidR="00215893">
        <w:t>ait rester consensuel ou, au pire, au plus proche du consensus, comme on pouvait l</w:t>
      </w:r>
      <w:r w:rsidR="00346F1B">
        <w:t>’</w:t>
      </w:r>
      <w:r w:rsidR="00215893">
        <w:t>observer dans les autres forums de l</w:t>
      </w:r>
      <w:r w:rsidR="00346F1B">
        <w:t>’</w:t>
      </w:r>
      <w:r w:rsidR="00215893">
        <w:t>UNESCO. Cela faciliterait le travail du Président et du Secrétariat, tout en rendant les débats sereins et efficaces</w:t>
      </w:r>
      <w:r w:rsidR="0054028C">
        <w:t xml:space="preserve"> et </w:t>
      </w:r>
      <w:r w:rsidR="00A97118">
        <w:t>les décisions plus acceptables.</w:t>
      </w:r>
    </w:p>
    <w:p w14:paraId="06C39F24" w14:textId="23BC1B70" w:rsidR="00FC166B" w:rsidRPr="00FC166B" w:rsidRDefault="00FC166B" w:rsidP="00AF7860">
      <w:pPr>
        <w:pStyle w:val="Orateurengris"/>
        <w:tabs>
          <w:tab w:val="clear" w:pos="709"/>
          <w:tab w:val="clear" w:pos="1418"/>
          <w:tab w:val="clear" w:pos="2126"/>
          <w:tab w:val="clear" w:pos="2835"/>
          <w:tab w:val="clear" w:pos="3686"/>
        </w:tabs>
        <w:spacing w:before="120"/>
        <w:ind w:left="709" w:hanging="709"/>
      </w:pPr>
      <w:r>
        <w:t xml:space="preserve">La </w:t>
      </w:r>
      <w:r w:rsidRPr="00FC166B">
        <w:t>délégation</w:t>
      </w:r>
      <w:r>
        <w:t xml:space="preserve"> de la </w:t>
      </w:r>
      <w:r w:rsidRPr="00FC166B">
        <w:rPr>
          <w:b/>
        </w:rPr>
        <w:t>Bulgarie</w:t>
      </w:r>
      <w:r>
        <w:t xml:space="preserve"> appréciait la </w:t>
      </w:r>
      <w:r w:rsidRPr="00FC166B">
        <w:t xml:space="preserve">proposition </w:t>
      </w:r>
      <w:r w:rsidR="00D53CBD">
        <w:t>de l</w:t>
      </w:r>
      <w:r w:rsidR="00346F1B">
        <w:t>’</w:t>
      </w:r>
      <w:r w:rsidR="00D53CBD">
        <w:t>Espagne et soutenait</w:t>
      </w:r>
      <w:r>
        <w:t xml:space="preserve"> l</w:t>
      </w:r>
      <w:r w:rsidR="00346F1B">
        <w:t>’</w:t>
      </w:r>
      <w:r>
        <w:t>idée que l</w:t>
      </w:r>
      <w:r w:rsidR="00346F1B">
        <w:t>’</w:t>
      </w:r>
      <w:r>
        <w:t xml:space="preserve">on applique à la prise de décisions pour cette </w:t>
      </w:r>
      <w:r w:rsidRPr="00FC166B">
        <w:t>Convention</w:t>
      </w:r>
      <w:r>
        <w:t xml:space="preserve"> les mêmes modalités que dans les autres Comités</w:t>
      </w:r>
      <w:r w:rsidR="00D53CBD">
        <w:t xml:space="preserve"> et organes de l</w:t>
      </w:r>
      <w:r w:rsidR="00346F1B">
        <w:t>’</w:t>
      </w:r>
      <w:r w:rsidR="00D53CBD">
        <w:t xml:space="preserve">UNESCO. Elle soutenait </w:t>
      </w:r>
      <w:r w:rsidRPr="00FC166B">
        <w:t>également</w:t>
      </w:r>
      <w:r>
        <w:t xml:space="preserve"> le </w:t>
      </w:r>
      <w:r w:rsidRPr="00FC166B">
        <w:t>changement</w:t>
      </w:r>
      <w:r>
        <w:t xml:space="preserve"> de la pratique, ajoutant que le silence ne saurait être interprété comme une objection au cours du processus de prise de décisions sur les candidatures. La </w:t>
      </w:r>
      <w:r w:rsidRPr="00FC166B">
        <w:t>délégation</w:t>
      </w:r>
      <w:r>
        <w:t xml:space="preserve"> a donc chaleureusement salué la </w:t>
      </w:r>
      <w:r w:rsidRPr="00FC166B">
        <w:t xml:space="preserve">proposition </w:t>
      </w:r>
      <w:r>
        <w:t xml:space="preserve">de la Palestine, ainsi que la proposition de la Zambie, du </w:t>
      </w:r>
      <w:r w:rsidRPr="00FC166B">
        <w:t>Guatemala</w:t>
      </w:r>
      <w:r>
        <w:t xml:space="preserve"> et d</w:t>
      </w:r>
      <w:r w:rsidR="00346F1B">
        <w:t>’</w:t>
      </w:r>
      <w:r>
        <w:t>autres délégations d</w:t>
      </w:r>
      <w:r w:rsidR="00346F1B">
        <w:t>’</w:t>
      </w:r>
      <w:r>
        <w:t>améliorer le mécanisme de dialogue entre l</w:t>
      </w:r>
      <w:r w:rsidR="00346F1B">
        <w:t>’</w:t>
      </w:r>
      <w:r>
        <w:t>Organe d</w:t>
      </w:r>
      <w:r w:rsidR="00346F1B">
        <w:t>’</w:t>
      </w:r>
      <w:r>
        <w:t>évaluation</w:t>
      </w:r>
      <w:r w:rsidR="00A97118">
        <w:t xml:space="preserve"> et les États soumissionnaires.</w:t>
      </w:r>
    </w:p>
    <w:p w14:paraId="2521F7D2" w14:textId="04DC2D82" w:rsidR="00FC166B" w:rsidRPr="00FC166B" w:rsidRDefault="00FC166B" w:rsidP="00AF7860">
      <w:pPr>
        <w:pStyle w:val="Orateurengris"/>
        <w:tabs>
          <w:tab w:val="clear" w:pos="709"/>
          <w:tab w:val="clear" w:pos="1418"/>
          <w:tab w:val="clear" w:pos="2126"/>
          <w:tab w:val="clear" w:pos="2835"/>
          <w:tab w:val="clear" w:pos="3686"/>
        </w:tabs>
        <w:spacing w:before="120"/>
        <w:ind w:left="709" w:hanging="709"/>
      </w:pPr>
      <w:r>
        <w:t xml:space="preserve">La </w:t>
      </w:r>
      <w:r w:rsidRPr="00FC166B">
        <w:t>délégation</w:t>
      </w:r>
      <w:r>
        <w:t xml:space="preserve"> de la </w:t>
      </w:r>
      <w:r w:rsidRPr="006A692B">
        <w:rPr>
          <w:b/>
        </w:rPr>
        <w:t>République de Corée</w:t>
      </w:r>
      <w:r w:rsidR="006A692B">
        <w:t xml:space="preserve"> appréciait</w:t>
      </w:r>
      <w:r>
        <w:t xml:space="preserve"> les points soule</w:t>
      </w:r>
      <w:r w:rsidR="006A692B">
        <w:t>vés par toutes les délégations. Elle a reconnu qu</w:t>
      </w:r>
      <w:r w:rsidR="00346F1B">
        <w:t>’</w:t>
      </w:r>
      <w:r w:rsidR="006A692B">
        <w:t>il y avait différentes méthodes et que chacune d</w:t>
      </w:r>
      <w:r w:rsidR="00346F1B">
        <w:t>’</w:t>
      </w:r>
      <w:r w:rsidR="006A692B">
        <w:t>entre elles avait ses points forts. En outre, elle a mis l</w:t>
      </w:r>
      <w:r w:rsidR="00346F1B">
        <w:t>’</w:t>
      </w:r>
      <w:r w:rsidR="006A692B">
        <w:t>accent sur la prérogative du Président de déterminer lor</w:t>
      </w:r>
      <w:r w:rsidR="00A97118">
        <w:t>sque le consensus avait obtenu.</w:t>
      </w:r>
    </w:p>
    <w:p w14:paraId="6CB3724C" w14:textId="4CD6F036" w:rsidR="006A692B" w:rsidRDefault="003A6355" w:rsidP="00AF7860">
      <w:pPr>
        <w:pStyle w:val="Orateurengris"/>
        <w:tabs>
          <w:tab w:val="clear" w:pos="709"/>
          <w:tab w:val="clear" w:pos="1418"/>
          <w:tab w:val="clear" w:pos="2126"/>
          <w:tab w:val="clear" w:pos="2835"/>
          <w:tab w:val="clear" w:pos="3686"/>
        </w:tabs>
        <w:spacing w:before="120"/>
        <w:ind w:left="709" w:hanging="709"/>
      </w:pPr>
      <w:r>
        <w:t>Le</w:t>
      </w:r>
      <w:r w:rsidR="006A692B">
        <w:t xml:space="preserve"> </w:t>
      </w:r>
      <w:r w:rsidR="006A692B" w:rsidRPr="006A692B">
        <w:rPr>
          <w:b/>
        </w:rPr>
        <w:t>Président</w:t>
      </w:r>
      <w:r w:rsidR="006A692B">
        <w:t xml:space="preserve"> a précisé que vingt </w:t>
      </w:r>
      <w:r w:rsidR="008A3BB3">
        <w:t>m</w:t>
      </w:r>
      <w:r w:rsidR="00A46CAD">
        <w:t>embres du Comité</w:t>
      </w:r>
      <w:r w:rsidR="006A692B">
        <w:t xml:space="preserve"> avaient pris la parole. Avant de passer aux demand</w:t>
      </w:r>
      <w:r w:rsidR="00504BCB">
        <w:t>es des o</w:t>
      </w:r>
      <w:r w:rsidR="006A692B">
        <w:t>bservateurs, il a donné la parole à la Palestin</w:t>
      </w:r>
      <w:r w:rsidR="00A97118">
        <w:t>e.</w:t>
      </w:r>
    </w:p>
    <w:p w14:paraId="59192AE4" w14:textId="49C8A80C" w:rsidR="006A692B" w:rsidRDefault="006A692B" w:rsidP="00AF7860">
      <w:pPr>
        <w:pStyle w:val="Orateurengris"/>
        <w:tabs>
          <w:tab w:val="clear" w:pos="709"/>
          <w:tab w:val="clear" w:pos="1418"/>
          <w:tab w:val="clear" w:pos="2126"/>
          <w:tab w:val="clear" w:pos="2835"/>
          <w:tab w:val="clear" w:pos="3686"/>
        </w:tabs>
        <w:spacing w:before="120"/>
        <w:ind w:left="709" w:hanging="709"/>
      </w:pPr>
      <w:r>
        <w:t xml:space="preserve">La </w:t>
      </w:r>
      <w:r w:rsidRPr="006A692B">
        <w:t>délégation</w:t>
      </w:r>
      <w:r>
        <w:t xml:space="preserve"> de la </w:t>
      </w:r>
      <w:r w:rsidRPr="006A692B">
        <w:rPr>
          <w:b/>
        </w:rPr>
        <w:t>Palestine</w:t>
      </w:r>
      <w:r w:rsidR="00D53CBD">
        <w:t xml:space="preserve"> souhaitait</w:t>
      </w:r>
      <w:r>
        <w:t xml:space="preserve"> remercier tous ceux qui avaient apporté leur soutien à la demande de l</w:t>
      </w:r>
      <w:r w:rsidR="00346F1B">
        <w:t>’</w:t>
      </w:r>
      <w:r>
        <w:t>Espagne, ainsi qu</w:t>
      </w:r>
      <w:r w:rsidR="00346F1B">
        <w:t>’</w:t>
      </w:r>
      <w:r>
        <w:t xml:space="preserve">aux amendements de la Palestine. La </w:t>
      </w:r>
      <w:r w:rsidRPr="006A692B">
        <w:t>délégation</w:t>
      </w:r>
      <w:r>
        <w:t xml:space="preserve"> a précisé qu</w:t>
      </w:r>
      <w:r w:rsidR="00346F1B">
        <w:t>’</w:t>
      </w:r>
      <w:r>
        <w:t xml:space="preserve">il y avait deux sujets de discussion en cours : le premier concernait la pratique </w:t>
      </w:r>
      <w:r w:rsidR="002522C5">
        <w:t>de</w:t>
      </w:r>
      <w:r>
        <w:t xml:space="preserve"> prise de </w:t>
      </w:r>
      <w:r w:rsidRPr="006A692B">
        <w:t>décision</w:t>
      </w:r>
      <w:r w:rsidR="00576A61">
        <w:t>s</w:t>
      </w:r>
      <w:r w:rsidR="002522C5">
        <w:t> ; et le second,</w:t>
      </w:r>
      <w:r>
        <w:t xml:space="preserve"> la </w:t>
      </w:r>
      <w:r w:rsidRPr="006A692B">
        <w:t>coopération</w:t>
      </w:r>
      <w:r>
        <w:t xml:space="preserve"> et le dialogue avec l</w:t>
      </w:r>
      <w:r w:rsidR="00346F1B">
        <w:t>’</w:t>
      </w:r>
      <w:r>
        <w:t>Organe d</w:t>
      </w:r>
      <w:r w:rsidR="00346F1B">
        <w:t>’</w:t>
      </w:r>
      <w:r>
        <w:t xml:space="preserve">évaluation. La </w:t>
      </w:r>
      <w:r w:rsidRPr="006A692B">
        <w:t>délégation</w:t>
      </w:r>
      <w:r>
        <w:t xml:space="preserve"> a pris note que les </w:t>
      </w:r>
      <w:r w:rsidR="008A3BB3">
        <w:t>m</w:t>
      </w:r>
      <w:r w:rsidR="00A46CAD">
        <w:t>embres</w:t>
      </w:r>
      <w:r>
        <w:t xml:space="preserve"> s</w:t>
      </w:r>
      <w:r w:rsidR="00346F1B">
        <w:t>’</w:t>
      </w:r>
      <w:r>
        <w:t xml:space="preserve">accordaient à dire </w:t>
      </w:r>
      <w:r w:rsidR="002522C5">
        <w:t xml:space="preserve">que </w:t>
      </w:r>
      <w:r>
        <w:t xml:space="preserve">le cycle </w:t>
      </w:r>
      <w:r w:rsidR="002522C5">
        <w:t xml:space="preserve">de 18 mois </w:t>
      </w:r>
      <w:r>
        <w:t>alors en vigueur dev</w:t>
      </w:r>
      <w:r w:rsidR="00576A61">
        <w:t>r</w:t>
      </w:r>
      <w:r>
        <w:t>ait être revu afin d</w:t>
      </w:r>
      <w:r w:rsidR="00346F1B">
        <w:t>’</w:t>
      </w:r>
      <w:r>
        <w:t>accorder plus de temps aux phases de consultation et d</w:t>
      </w:r>
      <w:r w:rsidR="00346F1B">
        <w:t>’</w:t>
      </w:r>
      <w:r w:rsidRPr="006A692B">
        <w:t>évaluation</w:t>
      </w:r>
      <w:r>
        <w:t>, comme l</w:t>
      </w:r>
      <w:r w:rsidR="00346F1B">
        <w:t>’</w:t>
      </w:r>
      <w:r>
        <w:t>avai</w:t>
      </w:r>
      <w:r w:rsidR="002522C5">
        <w:t>en</w:t>
      </w:r>
      <w:r>
        <w:t>t exprimé Chypre et, auparavant, l</w:t>
      </w:r>
      <w:r w:rsidR="00346F1B">
        <w:t>’</w:t>
      </w:r>
      <w:r>
        <w:t>Inde. Toutefois, on ne pouvait s</w:t>
      </w:r>
      <w:r w:rsidR="00346F1B">
        <w:t>’</w:t>
      </w:r>
      <w:r>
        <w:t xml:space="preserve">atteler à ce sujet </w:t>
      </w:r>
      <w:r w:rsidR="002522C5">
        <w:t xml:space="preserve">à ce moment précis de la session mais plus </w:t>
      </w:r>
      <w:r w:rsidR="002522C5" w:rsidRPr="002522C5">
        <w:t>vraisemblablement</w:t>
      </w:r>
      <w:r w:rsidR="002522C5">
        <w:t xml:space="preserve"> lors du débat sur le point 10, ou </w:t>
      </w:r>
      <w:r w:rsidR="002522C5" w:rsidRPr="002522C5">
        <w:t>éventuellement</w:t>
      </w:r>
      <w:r w:rsidR="002522C5">
        <w:t xml:space="preserve"> le point 18. L</w:t>
      </w:r>
      <w:r w:rsidR="00346F1B">
        <w:t>’</w:t>
      </w:r>
      <w:r w:rsidR="002522C5">
        <w:t>attention du débat en cours dev</w:t>
      </w:r>
      <w:r w:rsidR="00576A61">
        <w:t>r</w:t>
      </w:r>
      <w:r w:rsidR="002522C5">
        <w:t xml:space="preserve">ait donc se porter sur les pratiques de prise de </w:t>
      </w:r>
      <w:r w:rsidR="002522C5" w:rsidRPr="002522C5">
        <w:t>décision</w:t>
      </w:r>
      <w:r w:rsidR="00D53CBD">
        <w:t>s</w:t>
      </w:r>
      <w:r w:rsidR="002522C5">
        <w:t xml:space="preserve">, </w:t>
      </w:r>
      <w:r w:rsidR="002522C5" w:rsidRPr="002522C5">
        <w:t>en particulier</w:t>
      </w:r>
      <w:r w:rsidR="002522C5">
        <w:t xml:space="preserve"> en ce qui concer</w:t>
      </w:r>
      <w:r w:rsidR="00A97118">
        <w:t>ne les dossiers de candidature.</w:t>
      </w:r>
    </w:p>
    <w:p w14:paraId="0B4BFF5F" w14:textId="1D38E81B" w:rsidR="002522C5" w:rsidRPr="002522C5" w:rsidRDefault="002522C5" w:rsidP="00AF7860">
      <w:pPr>
        <w:pStyle w:val="Orateurengris"/>
        <w:tabs>
          <w:tab w:val="clear" w:pos="709"/>
          <w:tab w:val="clear" w:pos="1418"/>
          <w:tab w:val="clear" w:pos="2126"/>
          <w:tab w:val="clear" w:pos="2835"/>
          <w:tab w:val="clear" w:pos="3686"/>
        </w:tabs>
        <w:spacing w:before="120"/>
        <w:ind w:left="709" w:hanging="709"/>
      </w:pPr>
      <w:r w:rsidRPr="002522C5">
        <w:t xml:space="preserve">Après avoir remercié la Palestine pour cette clarification, le </w:t>
      </w:r>
      <w:r w:rsidRPr="002522C5">
        <w:rPr>
          <w:b/>
        </w:rPr>
        <w:t>Président</w:t>
      </w:r>
      <w:r w:rsidR="002567C8">
        <w:t xml:space="preserve"> a donné la parole aux o</w:t>
      </w:r>
      <w:r w:rsidR="00A97118">
        <w:t>bservateurs.</w:t>
      </w:r>
    </w:p>
    <w:p w14:paraId="5228E25B" w14:textId="12E3C4BB" w:rsidR="002522C5" w:rsidRDefault="002522C5" w:rsidP="00AF7860">
      <w:pPr>
        <w:pStyle w:val="Orateurengris"/>
        <w:tabs>
          <w:tab w:val="clear" w:pos="709"/>
          <w:tab w:val="clear" w:pos="1418"/>
          <w:tab w:val="clear" w:pos="2126"/>
          <w:tab w:val="clear" w:pos="2835"/>
          <w:tab w:val="clear" w:pos="3686"/>
        </w:tabs>
        <w:spacing w:before="120"/>
        <w:ind w:left="709" w:hanging="709"/>
      </w:pPr>
      <w:r>
        <w:t xml:space="preserve">La </w:t>
      </w:r>
      <w:r w:rsidRPr="002522C5">
        <w:t>délégation</w:t>
      </w:r>
      <w:r>
        <w:t xml:space="preserve"> du </w:t>
      </w:r>
      <w:r w:rsidRPr="002522C5">
        <w:rPr>
          <w:b/>
        </w:rPr>
        <w:t>Mexique</w:t>
      </w:r>
      <w:r>
        <w:t xml:space="preserve"> a remercié </w:t>
      </w:r>
      <w:r w:rsidR="002A39DC">
        <w:t>d</w:t>
      </w:r>
      <w:r w:rsidR="00346F1B">
        <w:t>’</w:t>
      </w:r>
      <w:r w:rsidR="002A39DC">
        <w:t xml:space="preserve">une part </w:t>
      </w:r>
      <w:r>
        <w:t>l</w:t>
      </w:r>
      <w:r w:rsidR="00346F1B">
        <w:t>’</w:t>
      </w:r>
      <w:r w:rsidRPr="002522C5">
        <w:t>Éthiopie</w:t>
      </w:r>
      <w:r>
        <w:t xml:space="preserve"> pour son accueil chaleureux </w:t>
      </w:r>
      <w:r w:rsidR="001F14D1">
        <w:t>et la magnifique présentation de son</w:t>
      </w:r>
      <w:r>
        <w:t xml:space="preserve"> patrimoine culturel immatériel, et </w:t>
      </w:r>
      <w:r w:rsidR="002A39DC">
        <w:t>d</w:t>
      </w:r>
      <w:r w:rsidR="00346F1B">
        <w:t>’</w:t>
      </w:r>
      <w:r w:rsidR="002A39DC">
        <w:t xml:space="preserve">autre part, </w:t>
      </w:r>
      <w:r>
        <w:t>l</w:t>
      </w:r>
      <w:r w:rsidR="00346F1B">
        <w:t>’</w:t>
      </w:r>
      <w:r>
        <w:t>Espagne pour la mise à disposition de l</w:t>
      </w:r>
      <w:r w:rsidR="00346F1B">
        <w:t>’</w:t>
      </w:r>
      <w:r w:rsidRPr="002522C5">
        <w:t>interprétation</w:t>
      </w:r>
      <w:r>
        <w:t xml:space="preserve"> de la session en espagnol. La </w:t>
      </w:r>
      <w:r w:rsidRPr="002522C5">
        <w:t>délégation</w:t>
      </w:r>
      <w:r w:rsidR="00576A61">
        <w:t xml:space="preserve"> souhaitait</w:t>
      </w:r>
      <w:r>
        <w:t xml:space="preserve"> tirer parti de son expérience avec les autres Conventions. Du 22 au 25 octobre 2013, le Mexique</w:t>
      </w:r>
      <w:r w:rsidR="002A39DC">
        <w:t xml:space="preserve"> avait organisé une</w:t>
      </w:r>
      <w:r>
        <w:t xml:space="preserve"> réunion </w:t>
      </w:r>
      <w:r w:rsidR="001F14D1">
        <w:t xml:space="preserve">intitulée </w:t>
      </w:r>
      <w:r>
        <w:t>« </w:t>
      </w:r>
      <w:r w:rsidR="001F14D1">
        <w:t xml:space="preserve">Les </w:t>
      </w:r>
      <w:r>
        <w:t>Conventions de l</w:t>
      </w:r>
      <w:r w:rsidR="00346F1B">
        <w:t>’</w:t>
      </w:r>
      <w:r>
        <w:t>UNESCO </w:t>
      </w:r>
      <w:r w:rsidR="002A39DC">
        <w:t>» qui avait mis en exergue</w:t>
      </w:r>
      <w:r>
        <w:t xml:space="preserve"> </w:t>
      </w:r>
      <w:r w:rsidR="001F14D1">
        <w:t>le mandat donné par la Directrice générale de l</w:t>
      </w:r>
      <w:r w:rsidR="00346F1B">
        <w:t>’</w:t>
      </w:r>
      <w:r w:rsidR="001F14D1">
        <w:t>UNESCO d</w:t>
      </w:r>
      <w:r w:rsidR="00346F1B">
        <w:t>’</w:t>
      </w:r>
      <w:r w:rsidR="001F14D1">
        <w:t xml:space="preserve">avoir une vision cohérente de toutes les Conventions dans une </w:t>
      </w:r>
      <w:r w:rsidR="001F14D1" w:rsidRPr="001F14D1">
        <w:t>perspective</w:t>
      </w:r>
      <w:r w:rsidR="001F14D1">
        <w:t xml:space="preserve"> latino-américaine. </w:t>
      </w:r>
      <w:r w:rsidR="002A39DC">
        <w:t xml:space="preserve">Il avait </w:t>
      </w:r>
      <w:r w:rsidR="001F14D1">
        <w:t xml:space="preserve">été dit </w:t>
      </w:r>
      <w:r w:rsidR="002A39DC">
        <w:t>précédemment qu</w:t>
      </w:r>
      <w:r w:rsidR="00346F1B">
        <w:t>’</w:t>
      </w:r>
      <w:r w:rsidR="002A39DC">
        <w:t xml:space="preserve">il convenait de se pencher </w:t>
      </w:r>
      <w:r w:rsidR="001F14D1">
        <w:t xml:space="preserve">constamment </w:t>
      </w:r>
      <w:r w:rsidR="002A39DC">
        <w:t>sur la contribution</w:t>
      </w:r>
      <w:r w:rsidR="001F14D1">
        <w:t xml:space="preserve"> </w:t>
      </w:r>
      <w:r w:rsidR="002A39DC">
        <w:t xml:space="preserve">des </w:t>
      </w:r>
      <w:r w:rsidR="001F14D1">
        <w:t>autres Conventions, et à l</w:t>
      </w:r>
      <w:r w:rsidR="00346F1B">
        <w:t>’</w:t>
      </w:r>
      <w:r w:rsidR="001F14D1">
        <w:t xml:space="preserve">écoute </w:t>
      </w:r>
      <w:r w:rsidR="002A39DC">
        <w:t xml:space="preserve">des </w:t>
      </w:r>
      <w:r w:rsidR="008A3BB3">
        <w:t>m</w:t>
      </w:r>
      <w:r w:rsidR="00A46CAD">
        <w:t>embres du Comité</w:t>
      </w:r>
      <w:r w:rsidR="002A39DC">
        <w:t>, cela semblait essentiel en ce qui concerne le processus de prise de décisions. En outre, la Palestine avait, avec beaucoup d</w:t>
      </w:r>
      <w:r w:rsidR="00346F1B">
        <w:t>’</w:t>
      </w:r>
      <w:r w:rsidR="002A39DC">
        <w:t>éloquence, dit à quel point ces sujets étaient essentiels [interruption].</w:t>
      </w:r>
    </w:p>
    <w:p w14:paraId="6CE79748" w14:textId="3BE9B233" w:rsidR="002A39DC" w:rsidRDefault="002A39DC" w:rsidP="00AF7860">
      <w:pPr>
        <w:pStyle w:val="Orateurengris"/>
        <w:tabs>
          <w:tab w:val="clear" w:pos="709"/>
          <w:tab w:val="clear" w:pos="1418"/>
          <w:tab w:val="clear" w:pos="2126"/>
          <w:tab w:val="clear" w:pos="2835"/>
          <w:tab w:val="clear" w:pos="3686"/>
        </w:tabs>
        <w:spacing w:before="120"/>
        <w:ind w:left="709" w:hanging="709"/>
      </w:pPr>
      <w:r>
        <w:t xml:space="preserve">Pour des raisons de temps, la </w:t>
      </w:r>
      <w:r w:rsidRPr="002A39DC">
        <w:t>délégation</w:t>
      </w:r>
      <w:r>
        <w:t xml:space="preserve"> de la </w:t>
      </w:r>
      <w:r w:rsidRPr="002A39DC">
        <w:rPr>
          <w:b/>
        </w:rPr>
        <w:t>Côte d</w:t>
      </w:r>
      <w:r w:rsidR="00346F1B">
        <w:rPr>
          <w:b/>
        </w:rPr>
        <w:t>’</w:t>
      </w:r>
      <w:r w:rsidRPr="002A39DC">
        <w:rPr>
          <w:b/>
        </w:rPr>
        <w:t>Ivoire</w:t>
      </w:r>
      <w:r>
        <w:t xml:space="preserve"> a demandé au Président de</w:t>
      </w:r>
      <w:r w:rsidR="002567C8">
        <w:t xml:space="preserve"> limiter les interventions des o</w:t>
      </w:r>
      <w:r w:rsidR="00A97118">
        <w:t>bservateurs à une minute.</w:t>
      </w:r>
    </w:p>
    <w:p w14:paraId="65F9B4CA" w14:textId="59F154CE" w:rsidR="002A39DC" w:rsidRDefault="003A6355" w:rsidP="00AF7860">
      <w:pPr>
        <w:pStyle w:val="Orateurengris"/>
        <w:tabs>
          <w:tab w:val="clear" w:pos="709"/>
          <w:tab w:val="clear" w:pos="1418"/>
          <w:tab w:val="clear" w:pos="2126"/>
          <w:tab w:val="clear" w:pos="2835"/>
          <w:tab w:val="clear" w:pos="3686"/>
        </w:tabs>
        <w:spacing w:before="120"/>
        <w:ind w:left="709" w:hanging="709"/>
      </w:pPr>
      <w:r>
        <w:t>Le</w:t>
      </w:r>
      <w:r w:rsidR="002A39DC">
        <w:t xml:space="preserve"> </w:t>
      </w:r>
      <w:r w:rsidR="002A39DC" w:rsidRPr="002A39DC">
        <w:rPr>
          <w:b/>
        </w:rPr>
        <w:t>Président</w:t>
      </w:r>
      <w:r w:rsidR="002A39DC">
        <w:t xml:space="preserve"> a jugé ce commentaire pertinent et a deman</w:t>
      </w:r>
      <w:r w:rsidR="00A97118">
        <w:t>dé au Mexique de s</w:t>
      </w:r>
      <w:r w:rsidR="00346F1B">
        <w:t>’</w:t>
      </w:r>
      <w:r w:rsidR="00A97118">
        <w:t>y conformer.</w:t>
      </w:r>
    </w:p>
    <w:p w14:paraId="51F54FFC" w14:textId="10399CDD" w:rsidR="002A39DC" w:rsidRPr="002A39DC" w:rsidRDefault="002B15C3" w:rsidP="00AF7860">
      <w:pPr>
        <w:pStyle w:val="Orateurengris"/>
        <w:tabs>
          <w:tab w:val="clear" w:pos="709"/>
          <w:tab w:val="clear" w:pos="1418"/>
          <w:tab w:val="clear" w:pos="2126"/>
          <w:tab w:val="clear" w:pos="2835"/>
          <w:tab w:val="clear" w:pos="3686"/>
        </w:tabs>
        <w:spacing w:before="120"/>
        <w:ind w:left="709" w:hanging="709"/>
      </w:pPr>
      <w:r>
        <w:t xml:space="preserve">Afin de résumer </w:t>
      </w:r>
      <w:r w:rsidR="002A39DC">
        <w:t xml:space="preserve">son </w:t>
      </w:r>
      <w:r w:rsidR="002A39DC" w:rsidRPr="002A39DC">
        <w:t>intervention</w:t>
      </w:r>
      <w:r w:rsidR="002A39DC">
        <w:t xml:space="preserve">, la </w:t>
      </w:r>
      <w:r w:rsidR="002A39DC" w:rsidRPr="002A39DC">
        <w:t>délégation</w:t>
      </w:r>
      <w:r w:rsidR="002A39DC">
        <w:t xml:space="preserve"> du </w:t>
      </w:r>
      <w:r w:rsidR="002A39DC" w:rsidRPr="002A39DC">
        <w:rPr>
          <w:b/>
        </w:rPr>
        <w:t>Mexique</w:t>
      </w:r>
      <w:r w:rsidR="002A39DC">
        <w:t xml:space="preserve"> a fait réfé</w:t>
      </w:r>
      <w:r>
        <w:t xml:space="preserve">rence à un proverbe en espagnol, </w:t>
      </w:r>
      <w:r w:rsidR="002A39DC">
        <w:t xml:space="preserve">« qui ne dit mot consent », qui devrait être </w:t>
      </w:r>
      <w:r>
        <w:t>interprété comme un principe juridique de base. S</w:t>
      </w:r>
      <w:r w:rsidR="00346F1B">
        <w:t>’</w:t>
      </w:r>
      <w:r>
        <w:t xml:space="preserve">agissant des remarques formulées par la Palestine sur le dialogue pendant les évaluations, la </w:t>
      </w:r>
      <w:r w:rsidRPr="002B15C3">
        <w:t>délégation</w:t>
      </w:r>
      <w:r>
        <w:t xml:space="preserve"> a convenu que le sujet pourrait être repris au point 10 de l</w:t>
      </w:r>
      <w:r w:rsidR="00346F1B">
        <w:t>’</w:t>
      </w:r>
      <w:r w:rsidRPr="002B15C3">
        <w:t>ordre du jour</w:t>
      </w:r>
      <w:r w:rsidR="00A97118">
        <w:t>.</w:t>
      </w:r>
    </w:p>
    <w:p w14:paraId="5E1C2692" w14:textId="738C98DE" w:rsidR="002B15C3" w:rsidRDefault="002B15C3" w:rsidP="00AF7860">
      <w:pPr>
        <w:pStyle w:val="Orateurengris"/>
        <w:tabs>
          <w:tab w:val="clear" w:pos="709"/>
          <w:tab w:val="clear" w:pos="1418"/>
          <w:tab w:val="clear" w:pos="2126"/>
          <w:tab w:val="clear" w:pos="2835"/>
          <w:tab w:val="clear" w:pos="3686"/>
        </w:tabs>
        <w:spacing w:before="120"/>
        <w:ind w:left="709" w:hanging="709"/>
      </w:pPr>
      <w:r>
        <w:t xml:space="preserve">Le </w:t>
      </w:r>
      <w:r w:rsidRPr="002B15C3">
        <w:rPr>
          <w:b/>
        </w:rPr>
        <w:t>Président</w:t>
      </w:r>
      <w:r>
        <w:t xml:space="preserve"> a pris note d</w:t>
      </w:r>
      <w:r w:rsidR="00346F1B">
        <w:t>’</w:t>
      </w:r>
      <w:r>
        <w:t xml:space="preserve">une demande de la part de Maurice, un </w:t>
      </w:r>
      <w:r w:rsidR="008A3BB3">
        <w:t>m</w:t>
      </w:r>
      <w:r w:rsidR="00A46CAD">
        <w:t>embre</w:t>
      </w:r>
      <w:r>
        <w:t xml:space="preserve"> du Comité.</w:t>
      </w:r>
    </w:p>
    <w:p w14:paraId="5454A92A" w14:textId="411B65A1" w:rsidR="002B15C3" w:rsidRDefault="002B15C3" w:rsidP="00AF7860">
      <w:pPr>
        <w:pStyle w:val="Orateurengris"/>
        <w:tabs>
          <w:tab w:val="clear" w:pos="709"/>
          <w:tab w:val="clear" w:pos="1418"/>
          <w:tab w:val="clear" w:pos="2126"/>
          <w:tab w:val="clear" w:pos="2835"/>
          <w:tab w:val="clear" w:pos="3686"/>
        </w:tabs>
        <w:spacing w:before="120"/>
        <w:ind w:left="709" w:hanging="709"/>
      </w:pPr>
      <w:r>
        <w:t xml:space="preserve">La </w:t>
      </w:r>
      <w:r w:rsidRPr="002B15C3">
        <w:t>délégation</w:t>
      </w:r>
      <w:r>
        <w:t xml:space="preserve"> de </w:t>
      </w:r>
      <w:r w:rsidRPr="002B15C3">
        <w:rPr>
          <w:b/>
        </w:rPr>
        <w:t>Maurice</w:t>
      </w:r>
      <w:r>
        <w:t xml:space="preserve"> a remercié l</w:t>
      </w:r>
      <w:r w:rsidR="00346F1B">
        <w:t>’</w:t>
      </w:r>
      <w:r>
        <w:t>Espagne d</w:t>
      </w:r>
      <w:r w:rsidR="00346F1B">
        <w:t>’</w:t>
      </w:r>
      <w:r>
        <w:t>avoir introduit le point, ajoutant que l</w:t>
      </w:r>
      <w:r w:rsidR="00346F1B">
        <w:t>’</w:t>
      </w:r>
      <w:r>
        <w:t>Organe d</w:t>
      </w:r>
      <w:r w:rsidR="00346F1B">
        <w:t>’</w:t>
      </w:r>
      <w:r>
        <w:t>évaluation avait lui-même décrit le travail d</w:t>
      </w:r>
      <w:r w:rsidR="00346F1B">
        <w:t>’</w:t>
      </w:r>
      <w:r>
        <w:t>examen comme très complexe et sensible. C</w:t>
      </w:r>
      <w:r w:rsidR="00346F1B">
        <w:t>’</w:t>
      </w:r>
      <w:r>
        <w:t>était la raison pour laquelle le Comité devait être très prudent lorsqu</w:t>
      </w:r>
      <w:r w:rsidR="00346F1B">
        <w:t>’</w:t>
      </w:r>
      <w:r>
        <w:t xml:space="preserve">il </w:t>
      </w:r>
      <w:r w:rsidR="00576A61">
        <w:t>changeait</w:t>
      </w:r>
      <w:r>
        <w:t xml:space="preserve"> les règles. Sous réserve que le Comité se conforme aux autres Conventions de l</w:t>
      </w:r>
      <w:r w:rsidR="00346F1B">
        <w:t>’</w:t>
      </w:r>
      <w:r>
        <w:t xml:space="preserve">UNESCO, la </w:t>
      </w:r>
      <w:r w:rsidRPr="002B15C3">
        <w:t>délégation</w:t>
      </w:r>
      <w:r>
        <w:t xml:space="preserve"> pourr</w:t>
      </w:r>
      <w:r w:rsidR="00A97118">
        <w:t>ait souscrire à la proposition.</w:t>
      </w:r>
    </w:p>
    <w:p w14:paraId="51BE061B" w14:textId="3B771B8F" w:rsidR="002B15C3" w:rsidRDefault="002B15C3" w:rsidP="00AF7860">
      <w:pPr>
        <w:pStyle w:val="Orateurengris"/>
        <w:tabs>
          <w:tab w:val="clear" w:pos="709"/>
          <w:tab w:val="clear" w:pos="1418"/>
          <w:tab w:val="clear" w:pos="2126"/>
          <w:tab w:val="clear" w:pos="2835"/>
          <w:tab w:val="clear" w:pos="3686"/>
        </w:tabs>
        <w:spacing w:before="120"/>
        <w:ind w:left="709" w:hanging="709"/>
      </w:pPr>
      <w:r>
        <w:t xml:space="preserve">Après avoir remercié Maurice, le </w:t>
      </w:r>
      <w:r w:rsidRPr="002B15C3">
        <w:rPr>
          <w:b/>
        </w:rPr>
        <w:t>Président</w:t>
      </w:r>
      <w:r w:rsidR="002567C8">
        <w:t xml:space="preserve"> a repris la liste des o</w:t>
      </w:r>
      <w:r>
        <w:t xml:space="preserve">bservateurs en leur rappelant de limiter leur </w:t>
      </w:r>
      <w:r w:rsidRPr="002B15C3">
        <w:t>intervention</w:t>
      </w:r>
      <w:r w:rsidR="00A97118">
        <w:t xml:space="preserve"> à une minute.</w:t>
      </w:r>
    </w:p>
    <w:p w14:paraId="194CD753" w14:textId="474914E5" w:rsidR="002B15C3" w:rsidRDefault="002B15C3" w:rsidP="00AF7860">
      <w:pPr>
        <w:pStyle w:val="Orateurengris"/>
        <w:tabs>
          <w:tab w:val="clear" w:pos="709"/>
          <w:tab w:val="clear" w:pos="1418"/>
          <w:tab w:val="clear" w:pos="2126"/>
          <w:tab w:val="clear" w:pos="2835"/>
          <w:tab w:val="clear" w:pos="3686"/>
        </w:tabs>
        <w:spacing w:before="120"/>
        <w:ind w:left="709" w:hanging="709"/>
      </w:pPr>
      <w:r>
        <w:t xml:space="preserve">La </w:t>
      </w:r>
      <w:r w:rsidRPr="002B15C3">
        <w:t>délégation</w:t>
      </w:r>
      <w:r>
        <w:t xml:space="preserve"> de l</w:t>
      </w:r>
      <w:r w:rsidR="00346F1B">
        <w:t>’</w:t>
      </w:r>
      <w:r w:rsidRPr="00995C44">
        <w:rPr>
          <w:b/>
        </w:rPr>
        <w:t>É</w:t>
      </w:r>
      <w:r w:rsidR="00995C44" w:rsidRPr="00995C44">
        <w:rPr>
          <w:b/>
        </w:rPr>
        <w:t>gypte</w:t>
      </w:r>
      <w:r w:rsidR="00995C44">
        <w:t xml:space="preserve"> a félicité, d</w:t>
      </w:r>
      <w:r w:rsidR="00346F1B">
        <w:t>’</w:t>
      </w:r>
      <w:r w:rsidR="00995C44">
        <w:t>une part, l</w:t>
      </w:r>
      <w:r w:rsidR="00346F1B">
        <w:t>’</w:t>
      </w:r>
      <w:r w:rsidR="00995C44" w:rsidRPr="00995C44">
        <w:t>Éthiopie</w:t>
      </w:r>
      <w:r w:rsidR="00995C44">
        <w:t xml:space="preserve"> </w:t>
      </w:r>
      <w:r>
        <w:t xml:space="preserve">pour son </w:t>
      </w:r>
      <w:r w:rsidR="00995C44">
        <w:t>hospitalité et l</w:t>
      </w:r>
      <w:r w:rsidR="00346F1B">
        <w:t>’</w:t>
      </w:r>
      <w:r w:rsidR="00995C44" w:rsidRPr="00995C44">
        <w:t>organisation</w:t>
      </w:r>
      <w:r w:rsidR="00995C44">
        <w:t xml:space="preserve"> fort réussie de la réunion, et d</w:t>
      </w:r>
      <w:r w:rsidR="00346F1B">
        <w:t>’</w:t>
      </w:r>
      <w:r w:rsidR="00995C44">
        <w:t>autre part, le Secrétariat et l</w:t>
      </w:r>
      <w:r w:rsidR="00346F1B">
        <w:t>’</w:t>
      </w:r>
      <w:r w:rsidR="00995C44">
        <w:t>Organe d</w:t>
      </w:r>
      <w:r w:rsidR="00346F1B">
        <w:t>’</w:t>
      </w:r>
      <w:r w:rsidR="00995C44">
        <w:t xml:space="preserve">évaluation pour leur travail. La </w:t>
      </w:r>
      <w:r w:rsidR="00995C44" w:rsidRPr="00995C44">
        <w:t>délégation</w:t>
      </w:r>
      <w:r w:rsidR="00995C44">
        <w:t xml:space="preserve"> a remercié l</w:t>
      </w:r>
      <w:r w:rsidR="00346F1B">
        <w:t>’</w:t>
      </w:r>
      <w:r w:rsidR="00995C44">
        <w:t xml:space="preserve">Espagne de sa </w:t>
      </w:r>
      <w:r w:rsidR="00995C44" w:rsidRPr="00995C44">
        <w:t>proposition</w:t>
      </w:r>
      <w:r w:rsidR="00576A61">
        <w:t>. Elle soutenait</w:t>
      </w:r>
      <w:r w:rsidR="00995C44">
        <w:t xml:space="preserve"> l</w:t>
      </w:r>
      <w:r w:rsidR="00346F1B">
        <w:t>’</w:t>
      </w:r>
      <w:r w:rsidR="00995C44" w:rsidRPr="00995C44">
        <w:t>amendement</w:t>
      </w:r>
      <w:r w:rsidR="00995C44">
        <w:t xml:space="preserve"> de la Palestine, appuyé par de nombreuses délégations, relatif à la nécessité d</w:t>
      </w:r>
      <w:r w:rsidR="00346F1B">
        <w:t>’</w:t>
      </w:r>
      <w:r w:rsidR="00995C44">
        <w:t>harmoniser les méthodes de travail du Comité avec celles des autres organes de l</w:t>
      </w:r>
      <w:r w:rsidR="00346F1B">
        <w:t>’</w:t>
      </w:r>
      <w:r w:rsidR="00995C44">
        <w:t xml:space="preserve">UNESCO, </w:t>
      </w:r>
      <w:r w:rsidR="00995C44" w:rsidRPr="00995C44">
        <w:t>en particulier</w:t>
      </w:r>
      <w:r w:rsidR="00995C44">
        <w:t xml:space="preserve"> s</w:t>
      </w:r>
      <w:r w:rsidR="00346F1B">
        <w:t>’</w:t>
      </w:r>
      <w:r w:rsidR="00995C44">
        <w:t xml:space="preserve">agissant du processus de prise de décisions. </w:t>
      </w:r>
      <w:r w:rsidR="00995C44" w:rsidRPr="00995C44">
        <w:t>En ce qui concerne</w:t>
      </w:r>
      <w:r w:rsidR="00995C44">
        <w:t xml:space="preserve"> la procédure d</w:t>
      </w:r>
      <w:r w:rsidR="00346F1B">
        <w:t>’</w:t>
      </w:r>
      <w:r w:rsidR="00995C44" w:rsidRPr="00995C44">
        <w:t>évaluation</w:t>
      </w:r>
      <w:r w:rsidR="00995C44">
        <w:t xml:space="preserve">, la </w:t>
      </w:r>
      <w:r w:rsidR="00995C44" w:rsidRPr="00995C44">
        <w:t>délégation</w:t>
      </w:r>
      <w:r w:rsidR="00576A61">
        <w:t xml:space="preserve"> soutenait</w:t>
      </w:r>
      <w:r w:rsidR="00995C44">
        <w:t xml:space="preserve"> </w:t>
      </w:r>
      <w:r w:rsidR="00995C44" w:rsidRPr="00995C44">
        <w:t>également</w:t>
      </w:r>
      <w:r w:rsidR="00995C44">
        <w:t xml:space="preserve"> les opinions exprimées par plusieurs </w:t>
      </w:r>
      <w:r w:rsidR="008A3BB3">
        <w:t>m</w:t>
      </w:r>
      <w:r w:rsidR="00A46CAD">
        <w:t>embres</w:t>
      </w:r>
      <w:r w:rsidR="00995C44">
        <w:t xml:space="preserve"> quant à la nécessité de renforcer un dialogue ou une interaction entre l</w:t>
      </w:r>
      <w:r w:rsidR="00346F1B">
        <w:t>’</w:t>
      </w:r>
      <w:r w:rsidR="00995C44">
        <w:t>Organe d</w:t>
      </w:r>
      <w:r w:rsidR="00346F1B">
        <w:t>’</w:t>
      </w:r>
      <w:r w:rsidR="00995C44">
        <w:t>évaluation et le</w:t>
      </w:r>
      <w:r w:rsidR="00576A61">
        <w:t>s États soumissionnaires pendant</w:t>
      </w:r>
      <w:r w:rsidR="00995C44">
        <w:t xml:space="preserve"> l</w:t>
      </w:r>
      <w:r w:rsidR="00346F1B">
        <w:t>’</w:t>
      </w:r>
      <w:r w:rsidR="00995C44" w:rsidRPr="00995C44">
        <w:t>évaluation</w:t>
      </w:r>
      <w:r w:rsidR="00995C44">
        <w:t xml:space="preserve"> des dossiers de candidature. La </w:t>
      </w:r>
      <w:r w:rsidR="00995C44" w:rsidRPr="00995C44">
        <w:t>délégation</w:t>
      </w:r>
      <w:r w:rsidR="00995C44">
        <w:t xml:space="preserve"> </w:t>
      </w:r>
      <w:r w:rsidR="00576A61">
        <w:t>estimait</w:t>
      </w:r>
      <w:r w:rsidR="00995C44">
        <w:t xml:space="preserve"> qu</w:t>
      </w:r>
      <w:r w:rsidR="00346F1B">
        <w:t>’</w:t>
      </w:r>
      <w:r w:rsidR="00995C44">
        <w:t>il était très important de soutenir le travail de l</w:t>
      </w:r>
      <w:r w:rsidR="00346F1B">
        <w:t>’</w:t>
      </w:r>
      <w:r w:rsidR="00995C44">
        <w:t>Organe d</w:t>
      </w:r>
      <w:r w:rsidR="00346F1B">
        <w:t>’</w:t>
      </w:r>
      <w:r w:rsidR="00995C44">
        <w:t xml:space="preserve">évaluation, </w:t>
      </w:r>
      <w:r w:rsidR="00995C44" w:rsidRPr="00995C44">
        <w:t>en particulier</w:t>
      </w:r>
      <w:r w:rsidR="00995C44">
        <w:t>, parce que la procédure d</w:t>
      </w:r>
      <w:r w:rsidR="00346F1B">
        <w:t>’</w:t>
      </w:r>
      <w:r w:rsidR="00995C44" w:rsidRPr="00995C44">
        <w:t>évaluation</w:t>
      </w:r>
      <w:r w:rsidR="00995C44">
        <w:t xml:space="preserve"> se déroulait pendant une période de temps au cours de laquelle des évolutions et des changements pouvaient se produire, </w:t>
      </w:r>
      <w:r w:rsidR="00995C44" w:rsidRPr="00995C44">
        <w:t>par exemple</w:t>
      </w:r>
      <w:r w:rsidR="00995C44">
        <w:t>, e</w:t>
      </w:r>
      <w:r w:rsidR="00995C44" w:rsidRPr="00995C44">
        <w:t>n ce qui concerne</w:t>
      </w:r>
      <w:r w:rsidR="00995C44">
        <w:t xml:space="preserve"> les mesures de sauvegarde, et que l</w:t>
      </w:r>
      <w:r w:rsidR="00346F1B">
        <w:t>’</w:t>
      </w:r>
      <w:r w:rsidR="00995C44">
        <w:t>Organe d</w:t>
      </w:r>
      <w:r w:rsidR="00346F1B">
        <w:t>’</w:t>
      </w:r>
      <w:r w:rsidR="00995C44">
        <w:t xml:space="preserve">évaluation devait en être tenu informé afin de réaliser une </w:t>
      </w:r>
      <w:r w:rsidR="00995C44" w:rsidRPr="00995C44">
        <w:t>évaluation</w:t>
      </w:r>
      <w:r w:rsidR="00A97118">
        <w:t xml:space="preserve"> exhaustive.</w:t>
      </w:r>
    </w:p>
    <w:p w14:paraId="4047524A" w14:textId="31356B11" w:rsidR="0080411A" w:rsidRDefault="0080411A" w:rsidP="00AF7860">
      <w:pPr>
        <w:pStyle w:val="Orateurengris"/>
        <w:tabs>
          <w:tab w:val="clear" w:pos="709"/>
          <w:tab w:val="clear" w:pos="1418"/>
          <w:tab w:val="clear" w:pos="2126"/>
          <w:tab w:val="clear" w:pos="2835"/>
          <w:tab w:val="clear" w:pos="3686"/>
        </w:tabs>
        <w:spacing w:before="120"/>
        <w:ind w:left="709" w:hanging="709"/>
      </w:pPr>
      <w:r>
        <w:t>S</w:t>
      </w:r>
      <w:r w:rsidR="00346F1B">
        <w:t>’</w:t>
      </w:r>
      <w:r>
        <w:t xml:space="preserve">agissant de la gouvernance, la </w:t>
      </w:r>
      <w:r w:rsidRPr="0080411A">
        <w:t>délégation</w:t>
      </w:r>
      <w:r>
        <w:t xml:space="preserve"> du </w:t>
      </w:r>
      <w:r w:rsidRPr="0080411A">
        <w:rPr>
          <w:b/>
        </w:rPr>
        <w:t>Venezuela</w:t>
      </w:r>
      <w:r>
        <w:t xml:space="preserve"> a apporté son soutien aux remarques formulées par les </w:t>
      </w:r>
      <w:r w:rsidR="008A3BB3">
        <w:t>m</w:t>
      </w:r>
      <w:r w:rsidR="00A46CAD">
        <w:t>embres du Comité</w:t>
      </w:r>
      <w:r>
        <w:t>, ajoutant qu</w:t>
      </w:r>
      <w:r w:rsidR="00346F1B">
        <w:t>’</w:t>
      </w:r>
      <w:r>
        <w:t>il était essentiel pour le Comité, l</w:t>
      </w:r>
      <w:r w:rsidR="00346F1B">
        <w:t>’</w:t>
      </w:r>
      <w:r w:rsidRPr="0080411A">
        <w:t>Assemblée</w:t>
      </w:r>
      <w:r>
        <w:t xml:space="preserve"> et le </w:t>
      </w:r>
      <w:r w:rsidRPr="0080411A">
        <w:t>Convention</w:t>
      </w:r>
      <w:r>
        <w:t xml:space="preserve"> de promouvoir une méthodologie qui rende clairs et précis les mécanismes d</w:t>
      </w:r>
      <w:r w:rsidR="00346F1B">
        <w:t>’</w:t>
      </w:r>
      <w:r w:rsidRPr="0080411A">
        <w:t>interprétation</w:t>
      </w:r>
      <w:r>
        <w:t xml:space="preserve"> des critères de </w:t>
      </w:r>
      <w:r w:rsidRPr="0080411A">
        <w:t>candidature</w:t>
      </w:r>
      <w:r>
        <w:t>, et ce, dans un souci de transparence et d</w:t>
      </w:r>
      <w:r w:rsidR="00346F1B">
        <w:t>’</w:t>
      </w:r>
      <w:r>
        <w:t xml:space="preserve">équilibre. La </w:t>
      </w:r>
      <w:r w:rsidRPr="0080411A">
        <w:t>délégation</w:t>
      </w:r>
      <w:r>
        <w:t xml:space="preserve"> avait le sentiment que l</w:t>
      </w:r>
      <w:r w:rsidR="00346F1B">
        <w:t>’</w:t>
      </w:r>
      <w:r>
        <w:t>Organe d</w:t>
      </w:r>
      <w:r w:rsidR="00346F1B">
        <w:t>’</w:t>
      </w:r>
      <w:r>
        <w:t>évaluation avait une fonction con</w:t>
      </w:r>
      <w:r w:rsidR="00050621">
        <w:t xml:space="preserve">sultative et non décisionnelle, </w:t>
      </w:r>
      <w:r>
        <w:t>et</w:t>
      </w:r>
      <w:r w:rsidR="00050621">
        <w:t xml:space="preserve"> que</w:t>
      </w:r>
      <w:r>
        <w:t xml:space="preserve"> ses décisions n</w:t>
      </w:r>
      <w:r w:rsidR="00346F1B">
        <w:t>’</w:t>
      </w:r>
      <w:r>
        <w:t>avai</w:t>
      </w:r>
      <w:r w:rsidR="00050621">
        <w:t>ent pas un caractère</w:t>
      </w:r>
      <w:r w:rsidR="005E6906">
        <w:t xml:space="preserve"> contraignant</w:t>
      </w:r>
      <w:r w:rsidR="00050621">
        <w:t>. L</w:t>
      </w:r>
      <w:r w:rsidR="00346F1B">
        <w:t>’</w:t>
      </w:r>
      <w:r w:rsidR="00050621">
        <w:t>Organe d</w:t>
      </w:r>
      <w:r w:rsidR="00346F1B">
        <w:t>’</w:t>
      </w:r>
      <w:r w:rsidR="00050621">
        <w:t xml:space="preserve">évaluation ne pouvait pas prédéterminer les décisions, il ne pouvait que formuler des recommandations préliminaires sur les dossiers de candidature, </w:t>
      </w:r>
      <w:r w:rsidR="00050621" w:rsidRPr="00050621">
        <w:t>conformément</w:t>
      </w:r>
      <w:r w:rsidR="00050621">
        <w:t xml:space="preserve"> aux Directives opérationnelles du Comité, tout en donnant à l</w:t>
      </w:r>
      <w:r w:rsidR="00346F1B">
        <w:t>’</w:t>
      </w:r>
      <w:r w:rsidR="00050621">
        <w:t>État concerné l</w:t>
      </w:r>
      <w:r w:rsidR="00346F1B">
        <w:t>’</w:t>
      </w:r>
      <w:r w:rsidR="00050621">
        <w:t xml:space="preserve">opportunité de soumettre, si nécessaire, des clarifications. </w:t>
      </w:r>
      <w:r w:rsidR="005E6906">
        <w:t>À l</w:t>
      </w:r>
      <w:r w:rsidR="00346F1B">
        <w:t>’</w:t>
      </w:r>
      <w:r w:rsidR="005E6906">
        <w:t>avenir, c</w:t>
      </w:r>
      <w:r w:rsidR="00050621">
        <w:t xml:space="preserve">ela faciliterait le travail du Comité et renforcerait les </w:t>
      </w:r>
      <w:r w:rsidR="00050621" w:rsidRPr="00050621">
        <w:t>capacités</w:t>
      </w:r>
      <w:r w:rsidR="00050621">
        <w:t xml:space="preserve"> nationales dans ce domaine [interruption].</w:t>
      </w:r>
    </w:p>
    <w:p w14:paraId="3231B27E" w14:textId="7B03DF34" w:rsidR="00050621" w:rsidRPr="00050621" w:rsidRDefault="00050621" w:rsidP="00AF7860">
      <w:pPr>
        <w:pStyle w:val="Orateurengris"/>
        <w:tabs>
          <w:tab w:val="clear" w:pos="709"/>
          <w:tab w:val="clear" w:pos="1418"/>
          <w:tab w:val="clear" w:pos="2126"/>
          <w:tab w:val="clear" w:pos="2835"/>
          <w:tab w:val="clear" w:pos="3686"/>
        </w:tabs>
        <w:spacing w:before="120"/>
        <w:ind w:left="709" w:hanging="709"/>
        <w:rPr>
          <w:b/>
          <w:bCs/>
        </w:rPr>
      </w:pPr>
      <w:r w:rsidRPr="00050621">
        <w:rPr>
          <w:bCs/>
        </w:rPr>
        <w:t>La délégation de</w:t>
      </w:r>
      <w:r>
        <w:rPr>
          <w:b/>
          <w:bCs/>
        </w:rPr>
        <w:t xml:space="preserve"> Cuba </w:t>
      </w:r>
      <w:r w:rsidR="0019622F">
        <w:rPr>
          <w:bCs/>
        </w:rPr>
        <w:t xml:space="preserve">a invoqué une motion </w:t>
      </w:r>
      <w:r w:rsidRPr="00050621">
        <w:rPr>
          <w:bCs/>
        </w:rPr>
        <w:t>d</w:t>
      </w:r>
      <w:r w:rsidR="00346F1B">
        <w:rPr>
          <w:bCs/>
        </w:rPr>
        <w:t>’</w:t>
      </w:r>
      <w:r w:rsidRPr="00050621">
        <w:rPr>
          <w:bCs/>
        </w:rPr>
        <w:t>ordre</w:t>
      </w:r>
      <w:r>
        <w:rPr>
          <w:bCs/>
        </w:rPr>
        <w:t xml:space="preserve"> en expliquant que le Président ne pouvait pas changer les </w:t>
      </w:r>
      <w:r w:rsidR="0019622F">
        <w:rPr>
          <w:bCs/>
        </w:rPr>
        <w:t>règles du jeu en raccou</w:t>
      </w:r>
      <w:r w:rsidR="002567C8">
        <w:rPr>
          <w:bCs/>
        </w:rPr>
        <w:t>rcissant les interventions des o</w:t>
      </w:r>
      <w:r w:rsidR="0019622F">
        <w:rPr>
          <w:bCs/>
        </w:rPr>
        <w:t xml:space="preserve">bservateurs. Elle a ajouté que les délégations devaient disposer du même temps que les précédents intervenants. La </w:t>
      </w:r>
      <w:r w:rsidR="0019622F" w:rsidRPr="0019622F">
        <w:rPr>
          <w:bCs/>
        </w:rPr>
        <w:t>délégation</w:t>
      </w:r>
      <w:r w:rsidR="0019622F">
        <w:rPr>
          <w:bCs/>
        </w:rPr>
        <w:t xml:space="preserve"> comprenait que le Comité était en retard, comme l</w:t>
      </w:r>
      <w:r w:rsidR="00346F1B">
        <w:rPr>
          <w:bCs/>
        </w:rPr>
        <w:t>’</w:t>
      </w:r>
      <w:r w:rsidR="0019622F">
        <w:rPr>
          <w:bCs/>
        </w:rPr>
        <w:t>avait souligné la Côte d</w:t>
      </w:r>
      <w:r w:rsidR="00346F1B">
        <w:rPr>
          <w:bCs/>
        </w:rPr>
        <w:t>’</w:t>
      </w:r>
      <w:r w:rsidR="0019622F">
        <w:rPr>
          <w:bCs/>
        </w:rPr>
        <w:t xml:space="preserve">Ivoire, mais les règles ne pouvaient être </w:t>
      </w:r>
      <w:r w:rsidR="005E6906">
        <w:rPr>
          <w:bCs/>
        </w:rPr>
        <w:t xml:space="preserve">changées en cours de </w:t>
      </w:r>
      <w:r w:rsidR="0019622F">
        <w:rPr>
          <w:bCs/>
        </w:rPr>
        <w:t xml:space="preserve">session alors que tous les États étaient </w:t>
      </w:r>
      <w:r w:rsidR="0019622F" w:rsidRPr="0019622F">
        <w:rPr>
          <w:bCs/>
        </w:rPr>
        <w:t>détenteurs</w:t>
      </w:r>
      <w:r w:rsidR="0019622F">
        <w:rPr>
          <w:bCs/>
        </w:rPr>
        <w:t xml:space="preserve"> des mêmes droits à la parole et </w:t>
      </w:r>
      <w:r w:rsidR="00576A61">
        <w:rPr>
          <w:bCs/>
        </w:rPr>
        <w:t xml:space="preserve">exprimaient </w:t>
      </w:r>
      <w:r w:rsidR="00A97118">
        <w:rPr>
          <w:bCs/>
        </w:rPr>
        <w:t>de vives préoccupations.</w:t>
      </w:r>
    </w:p>
    <w:p w14:paraId="5566C5B6" w14:textId="7974CBF3" w:rsidR="005E6906" w:rsidRPr="005E6906" w:rsidRDefault="005E6906" w:rsidP="00AF7860">
      <w:pPr>
        <w:pStyle w:val="Orateurengris"/>
        <w:tabs>
          <w:tab w:val="clear" w:pos="709"/>
          <w:tab w:val="clear" w:pos="1418"/>
          <w:tab w:val="clear" w:pos="2126"/>
          <w:tab w:val="clear" w:pos="2835"/>
          <w:tab w:val="clear" w:pos="3686"/>
        </w:tabs>
        <w:spacing w:before="120"/>
        <w:ind w:left="709" w:hanging="709"/>
        <w:rPr>
          <w:bCs/>
        </w:rPr>
      </w:pPr>
      <w:r w:rsidRPr="005E6906">
        <w:rPr>
          <w:bCs/>
        </w:rPr>
        <w:t xml:space="preserve">Le </w:t>
      </w:r>
      <w:r w:rsidRPr="005E6906">
        <w:rPr>
          <w:b/>
          <w:bCs/>
        </w:rPr>
        <w:t>Président</w:t>
      </w:r>
      <w:r w:rsidRPr="005E6906">
        <w:rPr>
          <w:bCs/>
        </w:rPr>
        <w:t xml:space="preserve"> </w:t>
      </w:r>
      <w:r>
        <w:rPr>
          <w:bCs/>
        </w:rPr>
        <w:t xml:space="preserve">entendait </w:t>
      </w:r>
      <w:r w:rsidRPr="005E6906">
        <w:rPr>
          <w:bCs/>
        </w:rPr>
        <w:t xml:space="preserve">les remarques formulées par Cuba. Néanmoins, il </w:t>
      </w:r>
      <w:r>
        <w:rPr>
          <w:bCs/>
        </w:rPr>
        <w:t>a rappelé la discussion du Bureau à propos du temps et des préoccupations suscitées. Il limite</w:t>
      </w:r>
      <w:r w:rsidR="002567C8">
        <w:rPr>
          <w:bCs/>
        </w:rPr>
        <w:t xml:space="preserve">rait donc le temps accordé aux observateurs mais pas aux </w:t>
      </w:r>
      <w:r w:rsidR="00A46CAD">
        <w:rPr>
          <w:bCs/>
        </w:rPr>
        <w:t>membres du Comité</w:t>
      </w:r>
      <w:r>
        <w:rPr>
          <w:bCs/>
        </w:rPr>
        <w:t>.</w:t>
      </w:r>
    </w:p>
    <w:p w14:paraId="50A47A44" w14:textId="7B00508A" w:rsidR="005E6906" w:rsidRPr="005E6906" w:rsidRDefault="005E6906" w:rsidP="00AF7860">
      <w:pPr>
        <w:pStyle w:val="Orateurengris"/>
        <w:tabs>
          <w:tab w:val="clear" w:pos="709"/>
          <w:tab w:val="clear" w:pos="1418"/>
          <w:tab w:val="clear" w:pos="2126"/>
          <w:tab w:val="clear" w:pos="2835"/>
          <w:tab w:val="clear" w:pos="3686"/>
        </w:tabs>
        <w:spacing w:before="120"/>
        <w:ind w:left="709" w:hanging="709"/>
        <w:rPr>
          <w:bCs/>
        </w:rPr>
      </w:pPr>
      <w:r w:rsidRPr="005E6906">
        <w:rPr>
          <w:bCs/>
        </w:rPr>
        <w:t xml:space="preserve">La délégation du </w:t>
      </w:r>
      <w:r w:rsidRPr="005E6906">
        <w:rPr>
          <w:b/>
          <w:bCs/>
        </w:rPr>
        <w:t>Venezuela</w:t>
      </w:r>
      <w:r w:rsidRPr="005E6906">
        <w:rPr>
          <w:bCs/>
        </w:rPr>
        <w:t xml:space="preserve"> </w:t>
      </w:r>
      <w:r>
        <w:rPr>
          <w:bCs/>
        </w:rPr>
        <w:t xml:space="preserve">a remercié le Président de sa </w:t>
      </w:r>
      <w:r w:rsidRPr="005E6906">
        <w:rPr>
          <w:bCs/>
        </w:rPr>
        <w:t>compréhension</w:t>
      </w:r>
      <w:r>
        <w:rPr>
          <w:bCs/>
        </w:rPr>
        <w:t xml:space="preserve">. Elle a conclu son </w:t>
      </w:r>
      <w:r w:rsidRPr="005E6906">
        <w:rPr>
          <w:bCs/>
        </w:rPr>
        <w:t>intervention</w:t>
      </w:r>
      <w:r>
        <w:rPr>
          <w:bCs/>
        </w:rPr>
        <w:t xml:space="preserve"> en suggérant que les résultats de l</w:t>
      </w:r>
      <w:r w:rsidR="00346F1B">
        <w:rPr>
          <w:bCs/>
        </w:rPr>
        <w:t>’</w:t>
      </w:r>
      <w:r w:rsidRPr="005E6906">
        <w:rPr>
          <w:bCs/>
        </w:rPr>
        <w:t>évaluation</w:t>
      </w:r>
      <w:r>
        <w:rPr>
          <w:bCs/>
        </w:rPr>
        <w:t xml:space="preserve"> soient soumis à un certain degré de confidentialité entre les États parties et le Secrétariat afin d</w:t>
      </w:r>
      <w:r w:rsidR="00346F1B">
        <w:rPr>
          <w:bCs/>
        </w:rPr>
        <w:t>’</w:t>
      </w:r>
      <w:r>
        <w:rPr>
          <w:bCs/>
        </w:rPr>
        <w:t>éviter qu</w:t>
      </w:r>
      <w:r w:rsidR="00346F1B">
        <w:rPr>
          <w:bCs/>
        </w:rPr>
        <w:t>’</w:t>
      </w:r>
      <w:r>
        <w:rPr>
          <w:bCs/>
        </w:rPr>
        <w:t xml:space="preserve">il soit fait un mauvais usage des </w:t>
      </w:r>
      <w:r w:rsidRPr="005E6906">
        <w:rPr>
          <w:bCs/>
        </w:rPr>
        <w:t>informations</w:t>
      </w:r>
      <w:r>
        <w:rPr>
          <w:bCs/>
        </w:rPr>
        <w:t xml:space="preserve"> par des tiers, ce qui porterait préjudice aux procédures établies de la </w:t>
      </w:r>
      <w:r w:rsidRPr="005E6906">
        <w:rPr>
          <w:bCs/>
        </w:rPr>
        <w:t>Convention</w:t>
      </w:r>
      <w:r>
        <w:rPr>
          <w:bCs/>
        </w:rPr>
        <w:t xml:space="preserve">. Enfin, </w:t>
      </w:r>
      <w:r w:rsidR="006E7977">
        <w:rPr>
          <w:bCs/>
        </w:rPr>
        <w:t xml:space="preserve">la </w:t>
      </w:r>
      <w:r w:rsidR="006E7977" w:rsidRPr="006E7977">
        <w:rPr>
          <w:bCs/>
        </w:rPr>
        <w:t>délégation</w:t>
      </w:r>
      <w:r w:rsidR="006E7977">
        <w:rPr>
          <w:bCs/>
        </w:rPr>
        <w:t>, bien consciente</w:t>
      </w:r>
      <w:r w:rsidR="00AD7F23">
        <w:rPr>
          <w:bCs/>
        </w:rPr>
        <w:t xml:space="preserve"> des difficultés financières, souhaitait</w:t>
      </w:r>
      <w:r w:rsidR="006E7977">
        <w:rPr>
          <w:bCs/>
        </w:rPr>
        <w:t xml:space="preserve"> reconnaître le travail réalisé par le Secrétariat et ses efforts pour promouvoir la visibilité et la crédibilité de la </w:t>
      </w:r>
      <w:r w:rsidR="006E7977" w:rsidRPr="006E7977">
        <w:rPr>
          <w:bCs/>
        </w:rPr>
        <w:t>Convention</w:t>
      </w:r>
      <w:r w:rsidR="00A97118">
        <w:rPr>
          <w:bCs/>
        </w:rPr>
        <w:t>.</w:t>
      </w:r>
    </w:p>
    <w:p w14:paraId="138A9556" w14:textId="2D66B75F" w:rsidR="006E7977" w:rsidRPr="004A5BA7" w:rsidRDefault="006E7977" w:rsidP="00AF7860">
      <w:pPr>
        <w:pStyle w:val="Orateurengris"/>
        <w:tabs>
          <w:tab w:val="clear" w:pos="709"/>
          <w:tab w:val="clear" w:pos="1418"/>
          <w:tab w:val="clear" w:pos="2126"/>
          <w:tab w:val="clear" w:pos="2835"/>
          <w:tab w:val="clear" w:pos="3686"/>
        </w:tabs>
        <w:spacing w:before="120"/>
        <w:ind w:left="709" w:hanging="709"/>
        <w:rPr>
          <w:b/>
          <w:bCs/>
        </w:rPr>
      </w:pPr>
      <w:r>
        <w:rPr>
          <w:bCs/>
        </w:rPr>
        <w:t xml:space="preserve">La </w:t>
      </w:r>
      <w:r w:rsidRPr="006E7977">
        <w:rPr>
          <w:bCs/>
        </w:rPr>
        <w:t>délégation</w:t>
      </w:r>
      <w:r>
        <w:rPr>
          <w:bCs/>
        </w:rPr>
        <w:t xml:space="preserve"> de la </w:t>
      </w:r>
      <w:r w:rsidRPr="006E7977">
        <w:rPr>
          <w:b/>
          <w:bCs/>
        </w:rPr>
        <w:t>Belgique</w:t>
      </w:r>
      <w:r>
        <w:rPr>
          <w:bCs/>
        </w:rPr>
        <w:t xml:space="preserve"> a remercié le Président et le Comité de lui permettre de contribuer au débat. Premièrement, s</w:t>
      </w:r>
      <w:r w:rsidR="00346F1B">
        <w:rPr>
          <w:bCs/>
        </w:rPr>
        <w:t>’</w:t>
      </w:r>
      <w:r>
        <w:rPr>
          <w:bCs/>
        </w:rPr>
        <w:t xml:space="preserve">agissant de la cohérence et des synergies, la </w:t>
      </w:r>
      <w:r w:rsidRPr="006E7977">
        <w:rPr>
          <w:bCs/>
        </w:rPr>
        <w:t>délégation</w:t>
      </w:r>
      <w:r>
        <w:rPr>
          <w:bCs/>
        </w:rPr>
        <w:t xml:space="preserve"> estimait que les procédures de la </w:t>
      </w:r>
      <w:r w:rsidRPr="006E7977">
        <w:rPr>
          <w:bCs/>
        </w:rPr>
        <w:t>Convention</w:t>
      </w:r>
      <w:r>
        <w:rPr>
          <w:bCs/>
        </w:rPr>
        <w:t xml:space="preserve"> étaient, en fait, conformes à celles des autres Conventions car les textes étaient exactement similaires. La </w:t>
      </w:r>
      <w:r w:rsidRPr="006E7977">
        <w:rPr>
          <w:bCs/>
        </w:rPr>
        <w:t>délégation</w:t>
      </w:r>
      <w:r>
        <w:rPr>
          <w:bCs/>
        </w:rPr>
        <w:t xml:space="preserve"> pensait </w:t>
      </w:r>
      <w:r w:rsidR="004A5BA7">
        <w:rPr>
          <w:bCs/>
        </w:rPr>
        <w:t xml:space="preserve">toutefois </w:t>
      </w:r>
      <w:r w:rsidR="00494A1A">
        <w:rPr>
          <w:bCs/>
        </w:rPr>
        <w:t>que la pratique était d</w:t>
      </w:r>
      <w:r w:rsidR="004A5BA7">
        <w:rPr>
          <w:bCs/>
        </w:rPr>
        <w:t>ifférente car la Convention étai</w:t>
      </w:r>
      <w:r w:rsidR="00494A1A">
        <w:rPr>
          <w:bCs/>
        </w:rPr>
        <w:t xml:space="preserve">t elle-même différente </w:t>
      </w:r>
      <w:r w:rsidR="004A5BA7">
        <w:rPr>
          <w:bCs/>
        </w:rPr>
        <w:t xml:space="preserve">des autres Conventions </w:t>
      </w:r>
      <w:r w:rsidR="00494A1A">
        <w:rPr>
          <w:bCs/>
        </w:rPr>
        <w:t>en ce qu</w:t>
      </w:r>
      <w:r w:rsidR="00346F1B">
        <w:rPr>
          <w:bCs/>
        </w:rPr>
        <w:t>’</w:t>
      </w:r>
      <w:r w:rsidR="00494A1A">
        <w:rPr>
          <w:bCs/>
        </w:rPr>
        <w:t xml:space="preserve">elle </w:t>
      </w:r>
      <w:r w:rsidR="004A5BA7">
        <w:rPr>
          <w:bCs/>
        </w:rPr>
        <w:t>disposait d</w:t>
      </w:r>
      <w:r w:rsidR="00346F1B">
        <w:rPr>
          <w:bCs/>
        </w:rPr>
        <w:t>’</w:t>
      </w:r>
      <w:r w:rsidR="00494A1A">
        <w:rPr>
          <w:bCs/>
        </w:rPr>
        <w:t>un Organe d</w:t>
      </w:r>
      <w:r w:rsidR="00346F1B">
        <w:rPr>
          <w:bCs/>
        </w:rPr>
        <w:t>’</w:t>
      </w:r>
      <w:r w:rsidR="00494A1A">
        <w:rPr>
          <w:bCs/>
        </w:rPr>
        <w:t xml:space="preserve">évaluation </w:t>
      </w:r>
      <w:r w:rsidR="004A5BA7" w:rsidRPr="004A5BA7">
        <w:rPr>
          <w:bCs/>
        </w:rPr>
        <w:t>intergouvernemental</w:t>
      </w:r>
      <w:r w:rsidR="004A5BA7">
        <w:rPr>
          <w:bCs/>
        </w:rPr>
        <w:t xml:space="preserve"> et que derrière chaque décision prise il y avait une </w:t>
      </w:r>
      <w:r w:rsidR="004A5BA7" w:rsidRPr="004A5BA7">
        <w:rPr>
          <w:bCs/>
        </w:rPr>
        <w:t>communauté</w:t>
      </w:r>
      <w:r w:rsidR="004A5BA7">
        <w:rPr>
          <w:bCs/>
        </w:rPr>
        <w:t xml:space="preserve"> et un peuple, et un impact sur cette communauté et ce peuple, c</w:t>
      </w:r>
      <w:r w:rsidR="00346F1B">
        <w:rPr>
          <w:bCs/>
        </w:rPr>
        <w:t>’</w:t>
      </w:r>
      <w:r w:rsidR="004A5BA7">
        <w:rPr>
          <w:bCs/>
        </w:rPr>
        <w:t xml:space="preserve">était la raison pour laquelle notre </w:t>
      </w:r>
      <w:r w:rsidR="004A5BA7" w:rsidRPr="004A5BA7">
        <w:rPr>
          <w:bCs/>
        </w:rPr>
        <w:t>interprétation</w:t>
      </w:r>
      <w:r w:rsidR="004A5BA7">
        <w:rPr>
          <w:bCs/>
        </w:rPr>
        <w:t xml:space="preserve"> du silence était </w:t>
      </w:r>
      <w:r w:rsidR="004A5BA7" w:rsidRPr="004A5BA7">
        <w:rPr>
          <w:bCs/>
        </w:rPr>
        <w:t>peut-être</w:t>
      </w:r>
      <w:r w:rsidR="004A5BA7">
        <w:rPr>
          <w:bCs/>
        </w:rPr>
        <w:t xml:space="preserve"> différente. </w:t>
      </w:r>
      <w:r w:rsidRPr="004A5BA7">
        <w:rPr>
          <w:bCs/>
        </w:rPr>
        <w:t xml:space="preserve">Deuxièmement, la question était : est-ce que cela </w:t>
      </w:r>
      <w:r w:rsidR="004A5BA7">
        <w:rPr>
          <w:bCs/>
        </w:rPr>
        <w:t xml:space="preserve">entravait </w:t>
      </w:r>
      <w:r w:rsidRPr="004A5BA7">
        <w:rPr>
          <w:bCs/>
        </w:rPr>
        <w:t xml:space="preserve">réellement </w:t>
      </w:r>
      <w:r w:rsidR="004A5BA7">
        <w:rPr>
          <w:bCs/>
        </w:rPr>
        <w:t>la prise de décision</w:t>
      </w:r>
      <w:r w:rsidR="00D53CBD">
        <w:rPr>
          <w:bCs/>
        </w:rPr>
        <w:t>s</w:t>
      </w:r>
      <w:r w:rsidR="004A5BA7">
        <w:rPr>
          <w:bCs/>
        </w:rPr>
        <w:t xml:space="preserve"> par </w:t>
      </w:r>
      <w:r w:rsidRPr="004A5BA7">
        <w:rPr>
          <w:bCs/>
        </w:rPr>
        <w:t>le Comité</w:t>
      </w:r>
      <w:r w:rsidR="004A5BA7">
        <w:rPr>
          <w:bCs/>
        </w:rPr>
        <w:t xml:space="preserve"> </w:t>
      </w:r>
      <w:r w:rsidRPr="004A5BA7">
        <w:rPr>
          <w:bCs/>
        </w:rPr>
        <w:t xml:space="preserve">? La délégation a fait référence aux décisions prises lors de la dernière session du Comité au cours de laquelle celui-ci avait </w:t>
      </w:r>
      <w:r w:rsidR="00494A1A" w:rsidRPr="004A5BA7">
        <w:rPr>
          <w:bCs/>
        </w:rPr>
        <w:t>modifié un grand nombre des recommandations, comme c</w:t>
      </w:r>
      <w:r w:rsidR="00346F1B">
        <w:rPr>
          <w:bCs/>
        </w:rPr>
        <w:t>’</w:t>
      </w:r>
      <w:r w:rsidR="00494A1A" w:rsidRPr="004A5BA7">
        <w:rPr>
          <w:bCs/>
        </w:rPr>
        <w:t>était d</w:t>
      </w:r>
      <w:r w:rsidR="00346F1B">
        <w:rPr>
          <w:bCs/>
        </w:rPr>
        <w:t>’</w:t>
      </w:r>
      <w:r w:rsidR="00494A1A" w:rsidRPr="004A5BA7">
        <w:rPr>
          <w:bCs/>
        </w:rPr>
        <w:t>ailleurs son mandat. Enfin, s</w:t>
      </w:r>
      <w:r w:rsidR="00346F1B">
        <w:rPr>
          <w:bCs/>
        </w:rPr>
        <w:t>’</w:t>
      </w:r>
      <w:r w:rsidR="00494A1A" w:rsidRPr="004A5BA7">
        <w:rPr>
          <w:bCs/>
        </w:rPr>
        <w:t>agissant de la clarté et de la transparence, la délégation s</w:t>
      </w:r>
      <w:r w:rsidR="00346F1B">
        <w:rPr>
          <w:bCs/>
        </w:rPr>
        <w:t>’</w:t>
      </w:r>
      <w:r w:rsidR="00494A1A" w:rsidRPr="004A5BA7">
        <w:rPr>
          <w:bCs/>
        </w:rPr>
        <w:t>est félicitée de la pratique par laquelle le Président décrivait clairement la</w:t>
      </w:r>
      <w:r w:rsidR="004A5BA7">
        <w:rPr>
          <w:bCs/>
        </w:rPr>
        <w:t xml:space="preserve"> procédure lors de l</w:t>
      </w:r>
      <w:r w:rsidR="00346F1B">
        <w:rPr>
          <w:bCs/>
        </w:rPr>
        <w:t>’</w:t>
      </w:r>
      <w:r w:rsidR="004A5BA7">
        <w:rPr>
          <w:bCs/>
        </w:rPr>
        <w:t xml:space="preserve">examen des </w:t>
      </w:r>
      <w:r w:rsidR="00494A1A" w:rsidRPr="004A5BA7">
        <w:rPr>
          <w:bCs/>
        </w:rPr>
        <w:t>propositions, car cela aidait à la transparence ; et elle a salué la proposition de la Turquie de renforcer le dialogue afin de di</w:t>
      </w:r>
      <w:r w:rsidR="00A97118">
        <w:rPr>
          <w:bCs/>
        </w:rPr>
        <w:t>ssiper les craintes exprimées.</w:t>
      </w:r>
    </w:p>
    <w:p w14:paraId="4886A182" w14:textId="05C5358E" w:rsidR="004A5BA7" w:rsidRDefault="004A5BA7" w:rsidP="00AF7860">
      <w:pPr>
        <w:pStyle w:val="Orateurengris"/>
        <w:tabs>
          <w:tab w:val="clear" w:pos="709"/>
          <w:tab w:val="clear" w:pos="1418"/>
          <w:tab w:val="clear" w:pos="2126"/>
          <w:tab w:val="clear" w:pos="2835"/>
          <w:tab w:val="clear" w:pos="3686"/>
        </w:tabs>
        <w:spacing w:before="120"/>
        <w:ind w:left="709" w:hanging="709"/>
      </w:pPr>
      <w:r>
        <w:t xml:space="preserve">La </w:t>
      </w:r>
      <w:r w:rsidRPr="004A5BA7">
        <w:t>délégation</w:t>
      </w:r>
      <w:r>
        <w:t xml:space="preserve"> de l</w:t>
      </w:r>
      <w:r w:rsidR="00346F1B">
        <w:t>’</w:t>
      </w:r>
      <w:r w:rsidRPr="004A5BA7">
        <w:rPr>
          <w:b/>
        </w:rPr>
        <w:t>Azerbaïdjan</w:t>
      </w:r>
      <w:r>
        <w:t xml:space="preserve"> a félicité l</w:t>
      </w:r>
      <w:r w:rsidR="00346F1B">
        <w:t>’</w:t>
      </w:r>
      <w:r w:rsidRPr="004A5BA7">
        <w:t>Éthiopie</w:t>
      </w:r>
      <w:r>
        <w:t xml:space="preserve"> pour cette session réussie et lui a adressé ses remerciements pour sa chaleureuse </w:t>
      </w:r>
      <w:r w:rsidR="00AD7F23">
        <w:t>hospitalité. Elle souhaitait</w:t>
      </w:r>
      <w:r>
        <w:t xml:space="preserve"> partager son expérience acquise en tant que </w:t>
      </w:r>
      <w:r w:rsidR="008A3BB3">
        <w:t>m</w:t>
      </w:r>
      <w:r w:rsidR="00A46CAD">
        <w:t>embre</w:t>
      </w:r>
      <w:r>
        <w:t xml:space="preserve"> du Comité et Président de celui-ci en 2013. Selon la pratique établie, elle pensait que le silence au Comité</w:t>
      </w:r>
      <w:r w:rsidR="00AE0E45">
        <w:t xml:space="preserve"> ne pouvait être interprété ni comme un soutien au consensus ni comme une opposition à celui-ci. C</w:t>
      </w:r>
      <w:r w:rsidR="00346F1B">
        <w:t>’</w:t>
      </w:r>
      <w:r w:rsidR="00AE0E45">
        <w:t xml:space="preserve">était une prérogative du Président de prendre la décision sur la base des positions exprimées. La </w:t>
      </w:r>
      <w:r w:rsidR="00AE0E45" w:rsidRPr="00AE0E45">
        <w:t>délégation</w:t>
      </w:r>
      <w:r w:rsidR="00AE0E45">
        <w:t xml:space="preserve"> croyait qu</w:t>
      </w:r>
      <w:r w:rsidR="00346F1B">
        <w:t>’</w:t>
      </w:r>
      <w:r w:rsidR="00AE0E45">
        <w:t>il s</w:t>
      </w:r>
      <w:r w:rsidR="00346F1B">
        <w:t>’</w:t>
      </w:r>
      <w:r w:rsidR="00AE0E45">
        <w:t xml:space="preserve">agissait là de la meilleure façon de traiter les propositions. </w:t>
      </w:r>
      <w:r w:rsidR="00AE0E45" w:rsidRPr="00AE0E45">
        <w:t>Néanmoins</w:t>
      </w:r>
      <w:r w:rsidR="00AE0E45">
        <w:t xml:space="preserve">, la question réclamait davantage de clarté et la </w:t>
      </w:r>
      <w:r w:rsidR="00AE0E45" w:rsidRPr="00AE0E45">
        <w:t>délégation</w:t>
      </w:r>
      <w:r w:rsidR="00AE0E45">
        <w:t xml:space="preserve"> </w:t>
      </w:r>
      <w:r w:rsidR="00AD7F23">
        <w:t>soutenait</w:t>
      </w:r>
      <w:r w:rsidR="00AE0E45">
        <w:t xml:space="preserve"> l</w:t>
      </w:r>
      <w:r w:rsidR="00346F1B">
        <w:t>’</w:t>
      </w:r>
      <w:r w:rsidR="00AE0E45">
        <w:t>idée d</w:t>
      </w:r>
      <w:r w:rsidR="00346F1B">
        <w:t>’</w:t>
      </w:r>
      <w:r w:rsidR="00AE0E45">
        <w:t>une réflexion plus approfondie, ainsi que l</w:t>
      </w:r>
      <w:r w:rsidR="00346F1B">
        <w:t>’</w:t>
      </w:r>
      <w:r w:rsidR="00AE0E45">
        <w:t>idée selon laquelle le Président devrait expliquer clairement, dès le début, comment il ou elle</w:t>
      </w:r>
      <w:r w:rsidR="00A97118">
        <w:t xml:space="preserve"> avait l</w:t>
      </w:r>
      <w:r w:rsidR="00346F1B">
        <w:t>’</w:t>
      </w:r>
      <w:r w:rsidR="00A97118">
        <w:t>intention de procéder.</w:t>
      </w:r>
    </w:p>
    <w:p w14:paraId="7CD53C8B" w14:textId="7F13808E" w:rsidR="00AE0E45" w:rsidRDefault="00802DCD" w:rsidP="00AF7860">
      <w:pPr>
        <w:pStyle w:val="Orateurengris"/>
        <w:tabs>
          <w:tab w:val="clear" w:pos="709"/>
          <w:tab w:val="clear" w:pos="1418"/>
          <w:tab w:val="clear" w:pos="2126"/>
          <w:tab w:val="clear" w:pos="2835"/>
          <w:tab w:val="clear" w:pos="3686"/>
        </w:tabs>
        <w:spacing w:before="120"/>
        <w:ind w:left="709" w:hanging="709"/>
      </w:pPr>
      <w:r>
        <w:t xml:space="preserve">La </w:t>
      </w:r>
      <w:r w:rsidRPr="00802DCD">
        <w:t>délégation</w:t>
      </w:r>
      <w:r>
        <w:t xml:space="preserve"> de l</w:t>
      </w:r>
      <w:r w:rsidR="00346F1B">
        <w:t>’</w:t>
      </w:r>
      <w:r w:rsidRPr="00802DCD">
        <w:rPr>
          <w:b/>
        </w:rPr>
        <w:t>Allemagne</w:t>
      </w:r>
      <w:r>
        <w:t xml:space="preserve"> pensait que le processus de prise de décisions du Comité était une question de</w:t>
      </w:r>
      <w:r w:rsidR="00AD7F23">
        <w:t xml:space="preserve"> gouvernance très importante. En conséquence, </w:t>
      </w:r>
      <w:r>
        <w:t>elle</w:t>
      </w:r>
      <w:r w:rsidR="00AD7F23">
        <w:t xml:space="preserve"> soutenait </w:t>
      </w:r>
      <w:r>
        <w:t>les propositions de l</w:t>
      </w:r>
      <w:r w:rsidR="00346F1B">
        <w:t>’</w:t>
      </w:r>
      <w:r>
        <w:t>Espagne et de la Palestine en faveur d</w:t>
      </w:r>
      <w:r w:rsidR="00346F1B">
        <w:t>’</w:t>
      </w:r>
      <w:r>
        <w:t>une plus grande transparence et d</w:t>
      </w:r>
      <w:r w:rsidR="00346F1B">
        <w:t>’</w:t>
      </w:r>
      <w:r>
        <w:t>une synergie, d</w:t>
      </w:r>
      <w:r w:rsidR="00346F1B">
        <w:t>’</w:t>
      </w:r>
      <w:r>
        <w:t>une harmonisation et d</w:t>
      </w:r>
      <w:r w:rsidR="00346F1B">
        <w:t>’</w:t>
      </w:r>
      <w:r>
        <w:t xml:space="preserve">une cohérence entre les différents Comités. </w:t>
      </w:r>
      <w:r w:rsidRPr="00802DCD">
        <w:t>Toutefois</w:t>
      </w:r>
      <w:r>
        <w:t>, cette session n</w:t>
      </w:r>
      <w:r w:rsidR="00346F1B">
        <w:t>’</w:t>
      </w:r>
      <w:r>
        <w:t xml:space="preserve">était pas le bon moment </w:t>
      </w:r>
      <w:r w:rsidR="00AD7F23">
        <w:t>pour en débattre,</w:t>
      </w:r>
      <w:r>
        <w:t xml:space="preserve"> le Comité dev</w:t>
      </w:r>
      <w:r w:rsidR="00AD7F23">
        <w:t>r</w:t>
      </w:r>
      <w:r>
        <w:t>ait procéd</w:t>
      </w:r>
      <w:r w:rsidR="00A97118">
        <w:t>er avec beaucoup de précaution.</w:t>
      </w:r>
    </w:p>
    <w:p w14:paraId="64B8FAE6" w14:textId="5743B1C0" w:rsidR="00802DCD" w:rsidRPr="00802DCD" w:rsidRDefault="00802DCD" w:rsidP="00AF7860">
      <w:pPr>
        <w:pStyle w:val="Orateurengris"/>
        <w:tabs>
          <w:tab w:val="clear" w:pos="709"/>
          <w:tab w:val="clear" w:pos="1418"/>
          <w:tab w:val="clear" w:pos="2126"/>
          <w:tab w:val="clear" w:pos="2835"/>
          <w:tab w:val="clear" w:pos="3686"/>
        </w:tabs>
        <w:spacing w:before="120"/>
        <w:ind w:left="709" w:hanging="709"/>
      </w:pPr>
      <w:r w:rsidRPr="00802DCD">
        <w:t xml:space="preserve">La délégation des </w:t>
      </w:r>
      <w:r w:rsidRPr="00802DCD">
        <w:rPr>
          <w:b/>
        </w:rPr>
        <w:t>Émirats arabes unis</w:t>
      </w:r>
      <w:r>
        <w:t xml:space="preserve"> a exprimé sa gratitude et </w:t>
      </w:r>
      <w:r w:rsidR="00962B2B">
        <w:t>a adressé ses remerciements au G</w:t>
      </w:r>
      <w:r w:rsidRPr="00802DCD">
        <w:t>ouvernement</w:t>
      </w:r>
      <w:r>
        <w:t xml:space="preserve"> de l</w:t>
      </w:r>
      <w:r w:rsidR="00346F1B">
        <w:t>’</w:t>
      </w:r>
      <w:r w:rsidRPr="00802DCD">
        <w:t>Éthiopie</w:t>
      </w:r>
      <w:r>
        <w:t xml:space="preserve"> pour son hospitalité et pour l</w:t>
      </w:r>
      <w:r w:rsidR="00346F1B">
        <w:t>’</w:t>
      </w:r>
      <w:r>
        <w:t xml:space="preserve">accueil de cette session. Elle a </w:t>
      </w:r>
      <w:r w:rsidRPr="00802DCD">
        <w:t>également</w:t>
      </w:r>
      <w:r>
        <w:t xml:space="preserve"> félicité le Président. Tout en soulignant l</w:t>
      </w:r>
      <w:r w:rsidR="00346F1B">
        <w:t>’</w:t>
      </w:r>
      <w:r>
        <w:t>im</w:t>
      </w:r>
      <w:r w:rsidR="00AD7F23">
        <w:t xml:space="preserve">portance de la question, elle soutenait </w:t>
      </w:r>
      <w:r>
        <w:t xml:space="preserve">la position exprimée par plusieurs </w:t>
      </w:r>
      <w:r w:rsidR="008A3BB3">
        <w:t>m</w:t>
      </w:r>
      <w:r w:rsidR="00A46CAD">
        <w:t>embres du Comité</w:t>
      </w:r>
      <w:r w:rsidR="00284CCD">
        <w:t>.</w:t>
      </w:r>
      <w:r>
        <w:t xml:space="preserve"> La </w:t>
      </w:r>
      <w:r w:rsidRPr="00802DCD">
        <w:t>délégation</w:t>
      </w:r>
      <w:r>
        <w:t xml:space="preserve"> était heureuse que la question ait été soulevée mais elle avait le sentiment que le Comité devrait consacr</w:t>
      </w:r>
      <w:r w:rsidR="00A97118">
        <w:t>er plus de temps à en débattre.</w:t>
      </w:r>
    </w:p>
    <w:p w14:paraId="51707E41" w14:textId="5AAD7F16" w:rsidR="00284CCD" w:rsidRPr="00284CCD" w:rsidRDefault="00284CCD" w:rsidP="00AF7860">
      <w:pPr>
        <w:pStyle w:val="Orateurengris"/>
        <w:tabs>
          <w:tab w:val="clear" w:pos="709"/>
          <w:tab w:val="clear" w:pos="1418"/>
          <w:tab w:val="clear" w:pos="2126"/>
          <w:tab w:val="clear" w:pos="2835"/>
          <w:tab w:val="clear" w:pos="3686"/>
        </w:tabs>
        <w:spacing w:before="120"/>
        <w:ind w:left="709" w:hanging="709"/>
        <w:rPr>
          <w:b/>
          <w:bCs/>
        </w:rPr>
      </w:pPr>
      <w:r>
        <w:rPr>
          <w:bCs/>
        </w:rPr>
        <w:t xml:space="preserve">La </w:t>
      </w:r>
      <w:r w:rsidRPr="00284CCD">
        <w:rPr>
          <w:bCs/>
        </w:rPr>
        <w:t>délégation</w:t>
      </w:r>
      <w:r>
        <w:rPr>
          <w:bCs/>
        </w:rPr>
        <w:t xml:space="preserve"> de la </w:t>
      </w:r>
      <w:r w:rsidRPr="00284CCD">
        <w:rPr>
          <w:b/>
          <w:bCs/>
        </w:rPr>
        <w:t>République populaire démocratique de Corée</w:t>
      </w:r>
      <w:r>
        <w:rPr>
          <w:bCs/>
        </w:rPr>
        <w:t xml:space="preserve"> a salué la </w:t>
      </w:r>
      <w:r w:rsidRPr="00284CCD">
        <w:rPr>
          <w:bCs/>
        </w:rPr>
        <w:t xml:space="preserve">proposition </w:t>
      </w:r>
      <w:r>
        <w:rPr>
          <w:bCs/>
        </w:rPr>
        <w:t>de l</w:t>
      </w:r>
      <w:r w:rsidR="00346F1B">
        <w:rPr>
          <w:bCs/>
        </w:rPr>
        <w:t>’</w:t>
      </w:r>
      <w:r>
        <w:rPr>
          <w:bCs/>
        </w:rPr>
        <w:t>Espagne sur cette importante question. Elle partageait l</w:t>
      </w:r>
      <w:r w:rsidR="00346F1B">
        <w:rPr>
          <w:bCs/>
        </w:rPr>
        <w:t>’</w:t>
      </w:r>
      <w:r>
        <w:rPr>
          <w:bCs/>
        </w:rPr>
        <w:t>opinion de Cuba et de la Palestine, ajoutant qu</w:t>
      </w:r>
      <w:r w:rsidR="00346F1B">
        <w:rPr>
          <w:bCs/>
        </w:rPr>
        <w:t>’</w:t>
      </w:r>
      <w:r>
        <w:rPr>
          <w:bCs/>
        </w:rPr>
        <w:t>il s</w:t>
      </w:r>
      <w:r w:rsidR="00346F1B">
        <w:rPr>
          <w:bCs/>
        </w:rPr>
        <w:t>’</w:t>
      </w:r>
      <w:r>
        <w:rPr>
          <w:bCs/>
        </w:rPr>
        <w:t>agissait là d</w:t>
      </w:r>
      <w:r w:rsidR="00346F1B">
        <w:rPr>
          <w:bCs/>
        </w:rPr>
        <w:t>’</w:t>
      </w:r>
      <w:r>
        <w:rPr>
          <w:bCs/>
        </w:rPr>
        <w:t xml:space="preserve">une question essentielle pour tous les États parties, </w:t>
      </w:r>
      <w:r w:rsidRPr="00284CCD">
        <w:rPr>
          <w:bCs/>
        </w:rPr>
        <w:t>en particulier</w:t>
      </w:r>
      <w:r>
        <w:rPr>
          <w:bCs/>
        </w:rPr>
        <w:t xml:space="preserve"> s</w:t>
      </w:r>
      <w:r w:rsidR="00346F1B">
        <w:rPr>
          <w:bCs/>
        </w:rPr>
        <w:t>’</w:t>
      </w:r>
      <w:r>
        <w:rPr>
          <w:bCs/>
        </w:rPr>
        <w:t xml:space="preserve">agissant du patrimoine culturel immatériel qui était partagé au niveau national et international. La </w:t>
      </w:r>
      <w:r w:rsidRPr="00284CCD">
        <w:rPr>
          <w:bCs/>
        </w:rPr>
        <w:t>délégation</w:t>
      </w:r>
      <w:r>
        <w:rPr>
          <w:bCs/>
        </w:rPr>
        <w:t xml:space="preserve"> a fait remarquer que les recommandations de l</w:t>
      </w:r>
      <w:r w:rsidR="00346F1B">
        <w:rPr>
          <w:bCs/>
        </w:rPr>
        <w:t>’</w:t>
      </w:r>
      <w:r>
        <w:rPr>
          <w:bCs/>
        </w:rPr>
        <w:t>Organe d</w:t>
      </w:r>
      <w:r w:rsidR="00346F1B">
        <w:rPr>
          <w:bCs/>
        </w:rPr>
        <w:t>’</w:t>
      </w:r>
      <w:r>
        <w:rPr>
          <w:bCs/>
        </w:rPr>
        <w:t>évaluation n</w:t>
      </w:r>
      <w:r w:rsidR="00346F1B">
        <w:rPr>
          <w:bCs/>
        </w:rPr>
        <w:t>’</w:t>
      </w:r>
      <w:r>
        <w:rPr>
          <w:bCs/>
        </w:rPr>
        <w:t>étaient parfois pas adaptées à la situation particulière d</w:t>
      </w:r>
      <w:r w:rsidR="00346F1B">
        <w:rPr>
          <w:bCs/>
        </w:rPr>
        <w:t>’</w:t>
      </w:r>
      <w:r>
        <w:rPr>
          <w:bCs/>
        </w:rPr>
        <w:t>un pays, et elle a donc exhorté l</w:t>
      </w:r>
      <w:r w:rsidR="00346F1B">
        <w:rPr>
          <w:bCs/>
        </w:rPr>
        <w:t>’</w:t>
      </w:r>
      <w:r>
        <w:rPr>
          <w:bCs/>
        </w:rPr>
        <w:t>Organe à faire preuve de transparence et de clarté afin que les États soumissionnaires puissent sciemment accepter les décisions de l</w:t>
      </w:r>
      <w:r w:rsidR="00346F1B">
        <w:rPr>
          <w:bCs/>
        </w:rPr>
        <w:t>’</w:t>
      </w:r>
      <w:r>
        <w:rPr>
          <w:bCs/>
        </w:rPr>
        <w:t>Organe d</w:t>
      </w:r>
      <w:r w:rsidR="00346F1B">
        <w:rPr>
          <w:bCs/>
        </w:rPr>
        <w:t>’</w:t>
      </w:r>
      <w:r>
        <w:rPr>
          <w:bCs/>
        </w:rPr>
        <w:t xml:space="preserve">évaluation. La </w:t>
      </w:r>
      <w:r w:rsidRPr="00284CCD">
        <w:rPr>
          <w:bCs/>
        </w:rPr>
        <w:t>délégation</w:t>
      </w:r>
      <w:r w:rsidR="00AD7F23">
        <w:rPr>
          <w:bCs/>
        </w:rPr>
        <w:t xml:space="preserve"> formait </w:t>
      </w:r>
      <w:r>
        <w:rPr>
          <w:bCs/>
        </w:rPr>
        <w:t>l</w:t>
      </w:r>
      <w:r w:rsidR="00346F1B">
        <w:rPr>
          <w:bCs/>
        </w:rPr>
        <w:t>’</w:t>
      </w:r>
      <w:r>
        <w:rPr>
          <w:bCs/>
        </w:rPr>
        <w:t>espoir que le Comité soit véritablement fidèle à l</w:t>
      </w:r>
      <w:r w:rsidR="00346F1B">
        <w:rPr>
          <w:bCs/>
        </w:rPr>
        <w:t>’</w:t>
      </w:r>
      <w:r>
        <w:rPr>
          <w:bCs/>
        </w:rPr>
        <w:t xml:space="preserve">esprit de la </w:t>
      </w:r>
      <w:r w:rsidRPr="00284CCD">
        <w:rPr>
          <w:bCs/>
        </w:rPr>
        <w:t>Convention</w:t>
      </w:r>
      <w:r>
        <w:rPr>
          <w:bCs/>
        </w:rPr>
        <w:t xml:space="preserve"> afin que chaque </w:t>
      </w:r>
      <w:r w:rsidRPr="00284CCD">
        <w:rPr>
          <w:bCs/>
        </w:rPr>
        <w:t>État partie</w:t>
      </w:r>
      <w:r>
        <w:rPr>
          <w:bCs/>
        </w:rPr>
        <w:t xml:space="preserve"> puisse en faire de même.</w:t>
      </w:r>
    </w:p>
    <w:p w14:paraId="2662DBD5" w14:textId="7C035BB9" w:rsidR="00E1025F" w:rsidRPr="00E1025F" w:rsidRDefault="00E1025F" w:rsidP="00AF7860">
      <w:pPr>
        <w:pStyle w:val="Orateurengris"/>
        <w:tabs>
          <w:tab w:val="clear" w:pos="709"/>
          <w:tab w:val="clear" w:pos="1418"/>
          <w:tab w:val="clear" w:pos="2126"/>
          <w:tab w:val="clear" w:pos="2835"/>
          <w:tab w:val="clear" w:pos="3686"/>
        </w:tabs>
        <w:spacing w:before="120"/>
        <w:ind w:left="709" w:hanging="709"/>
        <w:rPr>
          <w:bCs/>
        </w:rPr>
      </w:pPr>
      <w:r w:rsidRPr="00E1025F">
        <w:rPr>
          <w:bCs/>
        </w:rPr>
        <w:t xml:space="preserve">Après avoir </w:t>
      </w:r>
      <w:r>
        <w:rPr>
          <w:bCs/>
        </w:rPr>
        <w:t xml:space="preserve">précisé </w:t>
      </w:r>
      <w:r w:rsidRPr="00E1025F">
        <w:rPr>
          <w:bCs/>
        </w:rPr>
        <w:t>qu</w:t>
      </w:r>
      <w:r w:rsidR="00346F1B">
        <w:rPr>
          <w:bCs/>
        </w:rPr>
        <w:t>’</w:t>
      </w:r>
      <w:r w:rsidRPr="00E1025F">
        <w:rPr>
          <w:bCs/>
        </w:rPr>
        <w:t>il n</w:t>
      </w:r>
      <w:r w:rsidR="00346F1B">
        <w:rPr>
          <w:bCs/>
        </w:rPr>
        <w:t>’</w:t>
      </w:r>
      <w:r w:rsidRPr="00E1025F">
        <w:rPr>
          <w:bCs/>
        </w:rPr>
        <w:t>y</w:t>
      </w:r>
      <w:r>
        <w:rPr>
          <w:bCs/>
        </w:rPr>
        <w:t xml:space="preserve"> avait plus d</w:t>
      </w:r>
      <w:r w:rsidR="00346F1B">
        <w:rPr>
          <w:bCs/>
        </w:rPr>
        <w:t>’</w:t>
      </w:r>
      <w:r>
        <w:rPr>
          <w:bCs/>
        </w:rPr>
        <w:t xml:space="preserve">intervenants, le </w:t>
      </w:r>
      <w:r w:rsidRPr="00E1025F">
        <w:rPr>
          <w:b/>
          <w:bCs/>
        </w:rPr>
        <w:t>Président</w:t>
      </w:r>
      <w:r>
        <w:rPr>
          <w:bCs/>
        </w:rPr>
        <w:t xml:space="preserve"> a donné la parole au </w:t>
      </w:r>
      <w:r w:rsidRPr="00E1025F">
        <w:rPr>
          <w:bCs/>
        </w:rPr>
        <w:t>Secrétaire</w:t>
      </w:r>
      <w:r>
        <w:rPr>
          <w:bCs/>
        </w:rPr>
        <w:t xml:space="preserve"> afin </w:t>
      </w:r>
      <w:r w:rsidR="00A97118">
        <w:rPr>
          <w:bCs/>
        </w:rPr>
        <w:t>qu</w:t>
      </w:r>
      <w:r w:rsidR="00346F1B">
        <w:rPr>
          <w:bCs/>
        </w:rPr>
        <w:t>’</w:t>
      </w:r>
      <w:r w:rsidR="00A97118">
        <w:rPr>
          <w:bCs/>
        </w:rPr>
        <w:t>il formule des commentaires.</w:t>
      </w:r>
    </w:p>
    <w:p w14:paraId="58FDC99D" w14:textId="2C660887" w:rsidR="00E1025F" w:rsidRPr="00E1025F" w:rsidRDefault="00E1025F" w:rsidP="00AF7860">
      <w:pPr>
        <w:pStyle w:val="Orateurengris"/>
        <w:tabs>
          <w:tab w:val="clear" w:pos="709"/>
          <w:tab w:val="clear" w:pos="1418"/>
          <w:tab w:val="clear" w:pos="2126"/>
          <w:tab w:val="clear" w:pos="2835"/>
          <w:tab w:val="clear" w:pos="3686"/>
        </w:tabs>
        <w:spacing w:before="120"/>
        <w:ind w:left="709" w:hanging="709"/>
        <w:rPr>
          <w:bCs/>
        </w:rPr>
      </w:pPr>
      <w:r>
        <w:rPr>
          <w:bCs/>
        </w:rPr>
        <w:t>Dans un</w:t>
      </w:r>
      <w:r w:rsidR="00CB7BA8">
        <w:rPr>
          <w:bCs/>
        </w:rPr>
        <w:t>e volonté de résumer certaines d</w:t>
      </w:r>
      <w:r>
        <w:rPr>
          <w:bCs/>
        </w:rPr>
        <w:t xml:space="preserve">es questions soulevées, le </w:t>
      </w:r>
      <w:r w:rsidRPr="00EE0AEA">
        <w:rPr>
          <w:b/>
          <w:bCs/>
        </w:rPr>
        <w:t>Secrétaire</w:t>
      </w:r>
      <w:r>
        <w:rPr>
          <w:bCs/>
        </w:rPr>
        <w:t xml:space="preserve"> a évoqué les nombreuses références aux synergies et procédures, les questions de gouvernance, les </w:t>
      </w:r>
      <w:r w:rsidR="00E149C4">
        <w:rPr>
          <w:bCs/>
        </w:rPr>
        <w:t xml:space="preserve">prérogatives </w:t>
      </w:r>
      <w:r>
        <w:rPr>
          <w:bCs/>
        </w:rPr>
        <w:t>du Président et l</w:t>
      </w:r>
      <w:r w:rsidR="00346F1B">
        <w:rPr>
          <w:bCs/>
        </w:rPr>
        <w:t>’</w:t>
      </w:r>
      <w:r w:rsidRPr="00E1025F">
        <w:rPr>
          <w:bCs/>
        </w:rPr>
        <w:t>interprétation</w:t>
      </w:r>
      <w:r>
        <w:rPr>
          <w:bCs/>
        </w:rPr>
        <w:t xml:space="preserve"> du silence. Il a</w:t>
      </w:r>
      <w:r w:rsidR="00CB7BA8">
        <w:rPr>
          <w:bCs/>
        </w:rPr>
        <w:t>vait</w:t>
      </w:r>
      <w:r>
        <w:rPr>
          <w:bCs/>
        </w:rPr>
        <w:t xml:space="preserve"> </w:t>
      </w:r>
      <w:r w:rsidRPr="00E1025F">
        <w:rPr>
          <w:bCs/>
        </w:rPr>
        <w:t>également</w:t>
      </w:r>
      <w:r w:rsidR="00E149C4">
        <w:rPr>
          <w:bCs/>
        </w:rPr>
        <w:t xml:space="preserve"> pris note de la volonté d</w:t>
      </w:r>
      <w:r w:rsidR="00346F1B">
        <w:rPr>
          <w:bCs/>
        </w:rPr>
        <w:t>’</w:t>
      </w:r>
      <w:r w:rsidR="00CB7BA8">
        <w:rPr>
          <w:bCs/>
        </w:rPr>
        <w:t xml:space="preserve">établir </w:t>
      </w:r>
      <w:r w:rsidR="00E149C4">
        <w:rPr>
          <w:bCs/>
        </w:rPr>
        <w:t>un</w:t>
      </w:r>
      <w:r>
        <w:rPr>
          <w:bCs/>
        </w:rPr>
        <w:t xml:space="preserve"> dialogue entre les États soumissionnaires et l</w:t>
      </w:r>
      <w:r w:rsidR="00346F1B">
        <w:rPr>
          <w:bCs/>
        </w:rPr>
        <w:t>’</w:t>
      </w:r>
      <w:r>
        <w:rPr>
          <w:bCs/>
        </w:rPr>
        <w:t>Organe d</w:t>
      </w:r>
      <w:r w:rsidR="00346F1B">
        <w:rPr>
          <w:bCs/>
        </w:rPr>
        <w:t>’</w:t>
      </w:r>
      <w:r>
        <w:rPr>
          <w:bCs/>
        </w:rPr>
        <w:t xml:space="preserve">évaluation, et a </w:t>
      </w:r>
      <w:r w:rsidR="00CB7BA8">
        <w:rPr>
          <w:bCs/>
        </w:rPr>
        <w:t xml:space="preserve">vivement recommandé </w:t>
      </w:r>
      <w:r>
        <w:rPr>
          <w:bCs/>
        </w:rPr>
        <w:t>que l</w:t>
      </w:r>
      <w:r w:rsidR="00346F1B">
        <w:rPr>
          <w:bCs/>
        </w:rPr>
        <w:t>’</w:t>
      </w:r>
      <w:r w:rsidRPr="00E1025F">
        <w:rPr>
          <w:bCs/>
        </w:rPr>
        <w:t>intervention</w:t>
      </w:r>
      <w:r>
        <w:rPr>
          <w:bCs/>
        </w:rPr>
        <w:t xml:space="preserve"> de la Palestine soit </w:t>
      </w:r>
      <w:r w:rsidR="00EE0AEA">
        <w:rPr>
          <w:bCs/>
        </w:rPr>
        <w:t xml:space="preserve">introduite </w:t>
      </w:r>
      <w:r>
        <w:rPr>
          <w:bCs/>
        </w:rPr>
        <w:t>au point 10 de l</w:t>
      </w:r>
      <w:r w:rsidR="00346F1B">
        <w:rPr>
          <w:bCs/>
        </w:rPr>
        <w:t>’</w:t>
      </w:r>
      <w:r w:rsidRPr="00E1025F">
        <w:rPr>
          <w:bCs/>
        </w:rPr>
        <w:t>ordre du jour</w:t>
      </w:r>
      <w:r>
        <w:rPr>
          <w:bCs/>
        </w:rPr>
        <w:t xml:space="preserve"> lorsque le Comité aborderait le sujet de l</w:t>
      </w:r>
      <w:r w:rsidR="00346F1B">
        <w:rPr>
          <w:bCs/>
        </w:rPr>
        <w:t>’</w:t>
      </w:r>
      <w:r>
        <w:rPr>
          <w:bCs/>
        </w:rPr>
        <w:t>Organe d</w:t>
      </w:r>
      <w:r w:rsidR="00346F1B">
        <w:rPr>
          <w:bCs/>
        </w:rPr>
        <w:t>’</w:t>
      </w:r>
      <w:r>
        <w:rPr>
          <w:bCs/>
        </w:rPr>
        <w:t xml:space="preserve">évaluation et les questions liées à sa gouvernance, des sujets qui dépassaient </w:t>
      </w:r>
      <w:r w:rsidRPr="00E1025F">
        <w:rPr>
          <w:bCs/>
        </w:rPr>
        <w:t>vraisemblablement</w:t>
      </w:r>
      <w:r>
        <w:rPr>
          <w:bCs/>
        </w:rPr>
        <w:t xml:space="preserve"> </w:t>
      </w:r>
      <w:r w:rsidR="00EE0AEA">
        <w:rPr>
          <w:bCs/>
        </w:rPr>
        <w:t>la portée du po</w:t>
      </w:r>
      <w:r w:rsidR="003A6355">
        <w:rPr>
          <w:bCs/>
        </w:rPr>
        <w:t>int en cours. Le</w:t>
      </w:r>
      <w:r w:rsidR="00EE0AEA">
        <w:rPr>
          <w:bCs/>
        </w:rPr>
        <w:t xml:space="preserve"> </w:t>
      </w:r>
      <w:r w:rsidR="00EE0AEA" w:rsidRPr="00EE0AEA">
        <w:rPr>
          <w:bCs/>
        </w:rPr>
        <w:t>Secrétaire</w:t>
      </w:r>
      <w:r w:rsidR="00EE0AEA">
        <w:rPr>
          <w:bCs/>
        </w:rPr>
        <w:t xml:space="preserve"> a confirmé avoir reçu l</w:t>
      </w:r>
      <w:r w:rsidR="00346F1B">
        <w:rPr>
          <w:bCs/>
        </w:rPr>
        <w:t>’</w:t>
      </w:r>
      <w:r w:rsidR="00EE0AEA" w:rsidRPr="00EE0AEA">
        <w:rPr>
          <w:bCs/>
        </w:rPr>
        <w:t>amendement</w:t>
      </w:r>
      <w:r w:rsidR="00A97118">
        <w:rPr>
          <w:bCs/>
        </w:rPr>
        <w:t xml:space="preserve"> de la Palestine.</w:t>
      </w:r>
    </w:p>
    <w:p w14:paraId="4F29A40F" w14:textId="59E85E3F" w:rsidR="00EE0AEA" w:rsidRPr="00EE0AEA" w:rsidRDefault="00EE0AEA" w:rsidP="00AF7860">
      <w:pPr>
        <w:pStyle w:val="Orateurengris"/>
        <w:tabs>
          <w:tab w:val="clear" w:pos="709"/>
          <w:tab w:val="clear" w:pos="1418"/>
          <w:tab w:val="clear" w:pos="2126"/>
          <w:tab w:val="clear" w:pos="2835"/>
          <w:tab w:val="clear" w:pos="3686"/>
        </w:tabs>
        <w:spacing w:before="120"/>
        <w:ind w:left="709" w:hanging="709"/>
        <w:rPr>
          <w:bCs/>
        </w:rPr>
      </w:pPr>
      <w:r w:rsidRPr="00EE0AEA">
        <w:rPr>
          <w:bCs/>
        </w:rPr>
        <w:t xml:space="preserve">Le </w:t>
      </w:r>
      <w:r w:rsidRPr="00EE0AEA">
        <w:rPr>
          <w:b/>
          <w:bCs/>
        </w:rPr>
        <w:t>Président</w:t>
      </w:r>
      <w:r w:rsidRPr="00EE0AEA">
        <w:rPr>
          <w:bCs/>
        </w:rPr>
        <w:t xml:space="preserve"> est ensuite passé au projet de décision </w:t>
      </w:r>
      <w:r>
        <w:rPr>
          <w:bCs/>
        </w:rPr>
        <w:t xml:space="preserve">et à son adoption </w:t>
      </w:r>
      <w:r w:rsidRPr="00EE0AEA">
        <w:rPr>
          <w:bCs/>
        </w:rPr>
        <w:t>paragraphe</w:t>
      </w:r>
      <w:r>
        <w:rPr>
          <w:bCs/>
        </w:rPr>
        <w:t xml:space="preserve"> par </w:t>
      </w:r>
      <w:r w:rsidRPr="00EE0AEA">
        <w:rPr>
          <w:bCs/>
        </w:rPr>
        <w:t>paragraphe</w:t>
      </w:r>
      <w:r>
        <w:rPr>
          <w:bCs/>
        </w:rPr>
        <w:t>. En l</w:t>
      </w:r>
      <w:r w:rsidR="00346F1B">
        <w:rPr>
          <w:bCs/>
        </w:rPr>
        <w:t>’</w:t>
      </w:r>
      <w:r>
        <w:rPr>
          <w:bCs/>
        </w:rPr>
        <w:t>absence d</w:t>
      </w:r>
      <w:r w:rsidR="00346F1B">
        <w:rPr>
          <w:bCs/>
        </w:rPr>
        <w:t>’</w:t>
      </w:r>
      <w:r>
        <w:rPr>
          <w:bCs/>
        </w:rPr>
        <w:t xml:space="preserve">autres commentaires ou </w:t>
      </w:r>
      <w:r w:rsidRPr="00EE0AEA">
        <w:rPr>
          <w:bCs/>
        </w:rPr>
        <w:t>objections</w:t>
      </w:r>
      <w:r>
        <w:rPr>
          <w:bCs/>
        </w:rPr>
        <w:t xml:space="preserve">, les </w:t>
      </w:r>
      <w:r w:rsidRPr="00EE0AEA">
        <w:rPr>
          <w:bCs/>
        </w:rPr>
        <w:t>p</w:t>
      </w:r>
      <w:r>
        <w:rPr>
          <w:bCs/>
        </w:rPr>
        <w:t xml:space="preserve">aragraphes 1 à 3 ont été adoptés. La Palestine a proposé un </w:t>
      </w:r>
      <w:r w:rsidRPr="00EE0AEA">
        <w:rPr>
          <w:bCs/>
        </w:rPr>
        <w:t>amendement</w:t>
      </w:r>
      <w:r>
        <w:rPr>
          <w:bCs/>
        </w:rPr>
        <w:t xml:space="preserve"> au </w:t>
      </w:r>
      <w:r w:rsidRPr="00EE0AEA">
        <w:rPr>
          <w:bCs/>
        </w:rPr>
        <w:t>paragraphe</w:t>
      </w:r>
      <w:r>
        <w:rPr>
          <w:bCs/>
        </w:rPr>
        <w:t xml:space="preserve"> 4, avec des suppressions et des insertions [soulignées]</w:t>
      </w:r>
      <w:r w:rsidR="003B66EA">
        <w:rPr>
          <w:bCs/>
        </w:rPr>
        <w:t> : « </w:t>
      </w:r>
      <w:r w:rsidRPr="00EE0AEA">
        <w:rPr>
          <w:bCs/>
          <w:strike/>
        </w:rPr>
        <w:t>Rappelle l</w:t>
      </w:r>
      <w:r w:rsidR="00346F1B">
        <w:rPr>
          <w:bCs/>
          <w:strike/>
        </w:rPr>
        <w:t>’</w:t>
      </w:r>
      <w:r w:rsidRPr="00EE0AEA">
        <w:rPr>
          <w:bCs/>
          <w:strike/>
        </w:rPr>
        <w:t>importance d</w:t>
      </w:r>
      <w:r w:rsidR="00346F1B">
        <w:rPr>
          <w:bCs/>
          <w:strike/>
        </w:rPr>
        <w:t>’</w:t>
      </w:r>
      <w:r w:rsidRPr="00EE0AEA">
        <w:rPr>
          <w:bCs/>
          <w:strike/>
        </w:rPr>
        <w:t>observer rigoureusement le Règlement intérieur du Comité, tout en affirmant</w:t>
      </w:r>
      <w:r>
        <w:rPr>
          <w:bCs/>
        </w:rPr>
        <w:t xml:space="preserve"> </w:t>
      </w:r>
      <w:r w:rsidRPr="003B66EA">
        <w:rPr>
          <w:bCs/>
          <w:u w:val="single"/>
        </w:rPr>
        <w:t>Réaffirme</w:t>
      </w:r>
      <w:r>
        <w:rPr>
          <w:bCs/>
        </w:rPr>
        <w:t xml:space="preserve"> que le mode de fonctionnement du Comité privilégie le cons</w:t>
      </w:r>
      <w:r w:rsidR="003B66EA">
        <w:rPr>
          <w:bCs/>
        </w:rPr>
        <w:t>ensus pour la prise de décision</w:t>
      </w:r>
      <w:r w:rsidR="00D53CBD">
        <w:rPr>
          <w:bCs/>
        </w:rPr>
        <w:t>s</w:t>
      </w:r>
      <w:r w:rsidR="003B66EA">
        <w:rPr>
          <w:bCs/>
        </w:rPr>
        <w:t>, de manière à promouvoir l</w:t>
      </w:r>
      <w:r w:rsidR="00346F1B">
        <w:rPr>
          <w:bCs/>
        </w:rPr>
        <w:t>’</w:t>
      </w:r>
      <w:r w:rsidR="003B66EA">
        <w:rPr>
          <w:bCs/>
        </w:rPr>
        <w:t xml:space="preserve">esprit de </w:t>
      </w:r>
      <w:r w:rsidR="003B66EA" w:rsidRPr="003B66EA">
        <w:rPr>
          <w:bCs/>
        </w:rPr>
        <w:t>coopération</w:t>
      </w:r>
      <w:r w:rsidR="003B66EA">
        <w:rPr>
          <w:bCs/>
        </w:rPr>
        <w:t xml:space="preserve"> </w:t>
      </w:r>
      <w:r w:rsidR="00F025DC">
        <w:rPr>
          <w:bCs/>
        </w:rPr>
        <w:t>internationale</w:t>
      </w:r>
      <w:r w:rsidR="003B66EA">
        <w:rPr>
          <w:bCs/>
        </w:rPr>
        <w:t xml:space="preserve"> et la </w:t>
      </w:r>
      <w:r w:rsidR="003B66EA" w:rsidRPr="003B66EA">
        <w:rPr>
          <w:bCs/>
        </w:rPr>
        <w:t>compréhension</w:t>
      </w:r>
      <w:r w:rsidR="003B66EA">
        <w:rPr>
          <w:bCs/>
        </w:rPr>
        <w:t xml:space="preserve"> mutuelle ». En l</w:t>
      </w:r>
      <w:r w:rsidR="00346F1B">
        <w:rPr>
          <w:bCs/>
        </w:rPr>
        <w:t>’</w:t>
      </w:r>
      <w:r w:rsidR="003B66EA">
        <w:rPr>
          <w:bCs/>
        </w:rPr>
        <w:t>absence d</w:t>
      </w:r>
      <w:r w:rsidR="00346F1B">
        <w:rPr>
          <w:bCs/>
        </w:rPr>
        <w:t>’</w:t>
      </w:r>
      <w:r w:rsidR="003B66EA">
        <w:rPr>
          <w:bCs/>
        </w:rPr>
        <w:t xml:space="preserve">objections, le </w:t>
      </w:r>
      <w:r w:rsidR="003B66EA" w:rsidRPr="003B66EA">
        <w:rPr>
          <w:bCs/>
        </w:rPr>
        <w:t>paragraphe</w:t>
      </w:r>
      <w:r w:rsidR="003B66EA">
        <w:rPr>
          <w:bCs/>
        </w:rPr>
        <w:t xml:space="preserve"> 4 a été adopté tel qu</w:t>
      </w:r>
      <w:r w:rsidR="00346F1B">
        <w:rPr>
          <w:bCs/>
        </w:rPr>
        <w:t>’</w:t>
      </w:r>
      <w:r w:rsidR="003B66EA">
        <w:rPr>
          <w:bCs/>
        </w:rPr>
        <w:t xml:space="preserve">amendé. La Palestine a </w:t>
      </w:r>
      <w:r w:rsidR="003B66EA" w:rsidRPr="003B66EA">
        <w:rPr>
          <w:bCs/>
        </w:rPr>
        <w:t>également</w:t>
      </w:r>
      <w:r w:rsidR="003B66EA">
        <w:rPr>
          <w:bCs/>
        </w:rPr>
        <w:t xml:space="preserve"> proposé un </w:t>
      </w:r>
      <w:r w:rsidR="003B66EA" w:rsidRPr="003B66EA">
        <w:rPr>
          <w:bCs/>
        </w:rPr>
        <w:t>amendement</w:t>
      </w:r>
      <w:r w:rsidR="003B66EA">
        <w:rPr>
          <w:bCs/>
        </w:rPr>
        <w:t xml:space="preserve"> au </w:t>
      </w:r>
      <w:r w:rsidR="003B66EA" w:rsidRPr="003B66EA">
        <w:rPr>
          <w:bCs/>
        </w:rPr>
        <w:t>paragraphe</w:t>
      </w:r>
      <w:r w:rsidR="003B66EA">
        <w:rPr>
          <w:bCs/>
        </w:rPr>
        <w:t xml:space="preserve"> 5 : « </w:t>
      </w:r>
      <w:r w:rsidR="003B66EA" w:rsidRPr="003B66EA">
        <w:rPr>
          <w:bCs/>
          <w:strike/>
        </w:rPr>
        <w:t>Demande</w:t>
      </w:r>
      <w:r w:rsidR="003B66EA">
        <w:rPr>
          <w:bCs/>
        </w:rPr>
        <w:t xml:space="preserve"> </w:t>
      </w:r>
      <w:r w:rsidR="003B66EA" w:rsidRPr="003B66EA">
        <w:rPr>
          <w:bCs/>
          <w:u w:val="single"/>
        </w:rPr>
        <w:t>Recommande</w:t>
      </w:r>
      <w:r w:rsidR="003B66EA">
        <w:rPr>
          <w:bCs/>
        </w:rPr>
        <w:t xml:space="preserve"> au</w:t>
      </w:r>
      <w:r w:rsidR="003B66EA" w:rsidRPr="003B66EA">
        <w:rPr>
          <w:bCs/>
          <w:strike/>
        </w:rPr>
        <w:t>x</w:t>
      </w:r>
      <w:r w:rsidR="003B66EA">
        <w:rPr>
          <w:bCs/>
        </w:rPr>
        <w:t xml:space="preserve"> </w:t>
      </w:r>
      <w:r w:rsidR="003B66EA" w:rsidRPr="003B66EA">
        <w:rPr>
          <w:bCs/>
        </w:rPr>
        <w:t>Président</w:t>
      </w:r>
      <w:r w:rsidR="003B66EA" w:rsidRPr="003B66EA">
        <w:rPr>
          <w:bCs/>
          <w:strike/>
        </w:rPr>
        <w:t>s</w:t>
      </w:r>
      <w:r w:rsidR="003B66EA">
        <w:rPr>
          <w:bCs/>
        </w:rPr>
        <w:t xml:space="preserve"> </w:t>
      </w:r>
      <w:r w:rsidR="003B66EA" w:rsidRPr="003B66EA">
        <w:rPr>
          <w:bCs/>
          <w:strike/>
        </w:rPr>
        <w:t>des prochaines sessions</w:t>
      </w:r>
      <w:r w:rsidR="003B66EA" w:rsidRPr="003B66EA">
        <w:rPr>
          <w:bCs/>
        </w:rPr>
        <w:t xml:space="preserve"> du Comité</w:t>
      </w:r>
      <w:r w:rsidR="003B66EA">
        <w:rPr>
          <w:bCs/>
        </w:rPr>
        <w:t>, dans le cas d</w:t>
      </w:r>
      <w:r w:rsidR="00346F1B">
        <w:rPr>
          <w:bCs/>
        </w:rPr>
        <w:t>’</w:t>
      </w:r>
      <w:r w:rsidR="003B66EA">
        <w:rPr>
          <w:bCs/>
        </w:rPr>
        <w:t>amendements pour un projet de décision recommandé par l</w:t>
      </w:r>
      <w:r w:rsidR="00346F1B">
        <w:rPr>
          <w:bCs/>
        </w:rPr>
        <w:t>’</w:t>
      </w:r>
      <w:r w:rsidR="003B66EA">
        <w:rPr>
          <w:bCs/>
        </w:rPr>
        <w:t>Organe d</w:t>
      </w:r>
      <w:r w:rsidR="00346F1B">
        <w:rPr>
          <w:bCs/>
        </w:rPr>
        <w:t>’</w:t>
      </w:r>
      <w:r w:rsidR="003B66EA">
        <w:rPr>
          <w:bCs/>
        </w:rPr>
        <w:t>évaluation, de privilégier la prise de décision</w:t>
      </w:r>
      <w:r w:rsidR="00D53CBD">
        <w:rPr>
          <w:bCs/>
        </w:rPr>
        <w:t>s</w:t>
      </w:r>
      <w:r w:rsidR="003B66EA">
        <w:rPr>
          <w:bCs/>
        </w:rPr>
        <w:t xml:space="preserve"> par consensus en évaluant les soutiens et </w:t>
      </w:r>
      <w:r w:rsidR="003B66EA" w:rsidRPr="003B66EA">
        <w:rPr>
          <w:bCs/>
        </w:rPr>
        <w:t>objections</w:t>
      </w:r>
      <w:r w:rsidR="003B66EA">
        <w:rPr>
          <w:bCs/>
        </w:rPr>
        <w:t xml:space="preserve"> au projet de décision considéré ». En l</w:t>
      </w:r>
      <w:r w:rsidR="00346F1B">
        <w:rPr>
          <w:bCs/>
        </w:rPr>
        <w:t>’</w:t>
      </w:r>
      <w:r w:rsidR="003B66EA">
        <w:rPr>
          <w:bCs/>
        </w:rPr>
        <w:t>absence d</w:t>
      </w:r>
      <w:r w:rsidR="00346F1B">
        <w:rPr>
          <w:bCs/>
        </w:rPr>
        <w:t>’</w:t>
      </w:r>
      <w:r w:rsidR="003B66EA" w:rsidRPr="003B66EA">
        <w:rPr>
          <w:bCs/>
        </w:rPr>
        <w:t>objections</w:t>
      </w:r>
      <w:r w:rsidR="003B66EA">
        <w:rPr>
          <w:bCs/>
        </w:rPr>
        <w:t xml:space="preserve">, le </w:t>
      </w:r>
      <w:r w:rsidR="003B66EA" w:rsidRPr="003B66EA">
        <w:rPr>
          <w:bCs/>
        </w:rPr>
        <w:t>paragraphe</w:t>
      </w:r>
      <w:r w:rsidR="003B66EA">
        <w:rPr>
          <w:bCs/>
        </w:rPr>
        <w:t xml:space="preserve"> 5 a été </w:t>
      </w:r>
      <w:r w:rsidR="008052AC">
        <w:rPr>
          <w:bCs/>
        </w:rPr>
        <w:t>dûment</w:t>
      </w:r>
      <w:r w:rsidR="00A97118">
        <w:rPr>
          <w:bCs/>
        </w:rPr>
        <w:t xml:space="preserve"> adopté.</w:t>
      </w:r>
    </w:p>
    <w:p w14:paraId="211ECE40" w14:textId="745911EC" w:rsidR="0047426A" w:rsidRPr="0047426A" w:rsidRDefault="0047426A" w:rsidP="00AF7860">
      <w:pPr>
        <w:pStyle w:val="Orateurengris"/>
        <w:tabs>
          <w:tab w:val="clear" w:pos="709"/>
          <w:tab w:val="clear" w:pos="1418"/>
          <w:tab w:val="clear" w:pos="2126"/>
          <w:tab w:val="clear" w:pos="2835"/>
          <w:tab w:val="clear" w:pos="3686"/>
        </w:tabs>
        <w:spacing w:before="120"/>
        <w:ind w:left="709" w:hanging="709"/>
        <w:rPr>
          <w:bCs/>
        </w:rPr>
      </w:pPr>
      <w:r w:rsidRPr="0047426A">
        <w:rPr>
          <w:bCs/>
        </w:rPr>
        <w:t>La délégation de la</w:t>
      </w:r>
      <w:r>
        <w:rPr>
          <w:bCs/>
        </w:rPr>
        <w:t xml:space="preserve"> </w:t>
      </w:r>
      <w:r w:rsidRPr="0047426A">
        <w:rPr>
          <w:b/>
          <w:bCs/>
        </w:rPr>
        <w:t>Turquie</w:t>
      </w:r>
      <w:r w:rsidR="00CB7BA8">
        <w:rPr>
          <w:bCs/>
        </w:rPr>
        <w:t xml:space="preserve"> souhaitait</w:t>
      </w:r>
      <w:r>
        <w:rPr>
          <w:bCs/>
        </w:rPr>
        <w:t xml:space="preserve"> savoir si le libellé, tel que rédigé, avait un précédent dans les autres Conventions culturelles. Elle s</w:t>
      </w:r>
      <w:r w:rsidR="00346F1B">
        <w:rPr>
          <w:bCs/>
        </w:rPr>
        <w:t>’</w:t>
      </w:r>
      <w:r>
        <w:rPr>
          <w:bCs/>
        </w:rPr>
        <w:t xml:space="preserve">interrogeait </w:t>
      </w:r>
      <w:r w:rsidRPr="0047426A">
        <w:rPr>
          <w:bCs/>
        </w:rPr>
        <w:t>également</w:t>
      </w:r>
      <w:r>
        <w:rPr>
          <w:bCs/>
        </w:rPr>
        <w:t xml:space="preserve"> si, en adoptant le </w:t>
      </w:r>
      <w:r w:rsidRPr="0047426A">
        <w:rPr>
          <w:bCs/>
        </w:rPr>
        <w:t>paragraphe</w:t>
      </w:r>
      <w:r>
        <w:rPr>
          <w:bCs/>
        </w:rPr>
        <w:t xml:space="preserve"> 5, le Comité ne reconnaissait pas implicitement que le consensus était, en fait, une sorte de </w:t>
      </w:r>
      <w:r w:rsidR="00E149C4">
        <w:rPr>
          <w:bCs/>
        </w:rPr>
        <w:t xml:space="preserve">mise aux voix </w:t>
      </w:r>
      <w:r>
        <w:rPr>
          <w:bCs/>
        </w:rPr>
        <w:t>informel</w:t>
      </w:r>
      <w:r w:rsidR="00E149C4">
        <w:rPr>
          <w:bCs/>
        </w:rPr>
        <w:t>le</w:t>
      </w:r>
      <w:r>
        <w:rPr>
          <w:bCs/>
        </w:rPr>
        <w:t>, puisqu</w:t>
      </w:r>
      <w:r w:rsidR="00346F1B">
        <w:rPr>
          <w:bCs/>
        </w:rPr>
        <w:t>’</w:t>
      </w:r>
      <w:r>
        <w:rPr>
          <w:bCs/>
        </w:rPr>
        <w:t xml:space="preserve">il convenait de déterminer qui « soutenait » une </w:t>
      </w:r>
      <w:r w:rsidRPr="0047426A">
        <w:rPr>
          <w:bCs/>
        </w:rPr>
        <w:t>décision</w:t>
      </w:r>
      <w:r>
        <w:rPr>
          <w:bCs/>
        </w:rPr>
        <w:t xml:space="preserve"> et qui « objectait » à celle-ci, ce</w:t>
      </w:r>
      <w:r w:rsidR="00A97118">
        <w:rPr>
          <w:bCs/>
        </w:rPr>
        <w:t xml:space="preserve"> qui était semblable à un vote.</w:t>
      </w:r>
    </w:p>
    <w:p w14:paraId="549F9004" w14:textId="600F7CD9" w:rsidR="0047426A" w:rsidRPr="0047426A" w:rsidRDefault="0047426A" w:rsidP="00AF7860">
      <w:pPr>
        <w:pStyle w:val="Orateurengris"/>
        <w:tabs>
          <w:tab w:val="clear" w:pos="709"/>
          <w:tab w:val="clear" w:pos="1418"/>
          <w:tab w:val="clear" w:pos="2126"/>
          <w:tab w:val="clear" w:pos="2835"/>
          <w:tab w:val="clear" w:pos="3686"/>
        </w:tabs>
        <w:spacing w:before="120"/>
        <w:ind w:left="709" w:hanging="709"/>
        <w:rPr>
          <w:b/>
          <w:bCs/>
        </w:rPr>
      </w:pPr>
      <w:r>
        <w:rPr>
          <w:bCs/>
        </w:rPr>
        <w:t xml:space="preserve">Le </w:t>
      </w:r>
      <w:r w:rsidRPr="0047426A">
        <w:rPr>
          <w:b/>
          <w:bCs/>
        </w:rPr>
        <w:t>Secrétaire</w:t>
      </w:r>
      <w:r>
        <w:rPr>
          <w:bCs/>
        </w:rPr>
        <w:t xml:space="preserve"> a expliqué que le </w:t>
      </w:r>
      <w:r w:rsidRPr="0047426A">
        <w:rPr>
          <w:bCs/>
        </w:rPr>
        <w:t>paragraphe</w:t>
      </w:r>
      <w:r>
        <w:rPr>
          <w:bCs/>
        </w:rPr>
        <w:t xml:space="preserve"> était avant tout une </w:t>
      </w:r>
      <w:r w:rsidRPr="0047426A">
        <w:rPr>
          <w:bCs/>
        </w:rPr>
        <w:t>recommandation</w:t>
      </w:r>
      <w:r>
        <w:rPr>
          <w:bCs/>
        </w:rPr>
        <w:t xml:space="preserve"> </w:t>
      </w:r>
      <w:r w:rsidR="008A5C3E">
        <w:rPr>
          <w:bCs/>
        </w:rPr>
        <w:t xml:space="preserve">adressée </w:t>
      </w:r>
      <w:r>
        <w:rPr>
          <w:bCs/>
        </w:rPr>
        <w:t xml:space="preserve">au Président, et que, </w:t>
      </w:r>
      <w:r w:rsidRPr="0047426A">
        <w:rPr>
          <w:bCs/>
        </w:rPr>
        <w:t>par conséquent</w:t>
      </w:r>
      <w:r>
        <w:rPr>
          <w:bCs/>
        </w:rPr>
        <w:t xml:space="preserve">, elle </w:t>
      </w:r>
      <w:r w:rsidR="008A5C3E">
        <w:rPr>
          <w:bCs/>
        </w:rPr>
        <w:t>s</w:t>
      </w:r>
      <w:r w:rsidR="00346F1B">
        <w:rPr>
          <w:bCs/>
        </w:rPr>
        <w:t>’</w:t>
      </w:r>
      <w:r w:rsidR="008A5C3E">
        <w:rPr>
          <w:bCs/>
        </w:rPr>
        <w:t xml:space="preserve">intéressait à </w:t>
      </w:r>
      <w:r>
        <w:rPr>
          <w:bCs/>
        </w:rPr>
        <w:t>l</w:t>
      </w:r>
      <w:r w:rsidR="00346F1B">
        <w:rPr>
          <w:bCs/>
        </w:rPr>
        <w:t>’</w:t>
      </w:r>
      <w:r>
        <w:rPr>
          <w:bCs/>
        </w:rPr>
        <w:t>esprit du Président dans son rôle d</w:t>
      </w:r>
      <w:r w:rsidR="00346F1B">
        <w:rPr>
          <w:bCs/>
        </w:rPr>
        <w:t>’</w:t>
      </w:r>
      <w:r>
        <w:rPr>
          <w:bCs/>
        </w:rPr>
        <w:t>interprète du consensus obtenu dans l</w:t>
      </w:r>
      <w:r w:rsidR="00346F1B">
        <w:rPr>
          <w:bCs/>
        </w:rPr>
        <w:t>’</w:t>
      </w:r>
      <w:r>
        <w:rPr>
          <w:bCs/>
        </w:rPr>
        <w:t xml:space="preserve">assemblée réunie. Le </w:t>
      </w:r>
      <w:r w:rsidRPr="0047426A">
        <w:rPr>
          <w:bCs/>
        </w:rPr>
        <w:t>paragraphe</w:t>
      </w:r>
      <w:r>
        <w:rPr>
          <w:bCs/>
        </w:rPr>
        <w:t xml:space="preserve"> aurait eu une autre </w:t>
      </w:r>
      <w:r w:rsidRPr="0047426A">
        <w:rPr>
          <w:bCs/>
        </w:rPr>
        <w:t xml:space="preserve">signification </w:t>
      </w:r>
      <w:r>
        <w:rPr>
          <w:bCs/>
        </w:rPr>
        <w:t>s</w:t>
      </w:r>
      <w:r w:rsidR="00346F1B">
        <w:rPr>
          <w:bCs/>
        </w:rPr>
        <w:t>’</w:t>
      </w:r>
      <w:r>
        <w:rPr>
          <w:bCs/>
        </w:rPr>
        <w:t>il a</w:t>
      </w:r>
      <w:r w:rsidR="00A97118">
        <w:rPr>
          <w:bCs/>
        </w:rPr>
        <w:t>vait « demandé » au Président.</w:t>
      </w:r>
    </w:p>
    <w:p w14:paraId="72CF54FA" w14:textId="369634DB" w:rsidR="008A5C3E" w:rsidRPr="008A5C3E" w:rsidRDefault="008A5C3E" w:rsidP="00AF7860">
      <w:pPr>
        <w:pStyle w:val="Orateurengris"/>
        <w:tabs>
          <w:tab w:val="clear" w:pos="709"/>
          <w:tab w:val="clear" w:pos="1418"/>
          <w:tab w:val="clear" w:pos="2126"/>
          <w:tab w:val="clear" w:pos="2835"/>
          <w:tab w:val="clear" w:pos="3686"/>
        </w:tabs>
        <w:spacing w:before="120"/>
        <w:ind w:left="709" w:hanging="709"/>
      </w:pPr>
      <w:r>
        <w:t xml:space="preserve">Comprenant la </w:t>
      </w:r>
      <w:r w:rsidRPr="008A5C3E">
        <w:t>préoccupation</w:t>
      </w:r>
      <w:r>
        <w:t xml:space="preserve"> de la Turquie, la </w:t>
      </w:r>
      <w:r w:rsidRPr="008A5C3E">
        <w:t>délégation</w:t>
      </w:r>
      <w:r>
        <w:t xml:space="preserve"> de </w:t>
      </w:r>
      <w:r w:rsidRPr="008A5C3E">
        <w:rPr>
          <w:b/>
        </w:rPr>
        <w:t>Cuba</w:t>
      </w:r>
      <w:r>
        <w:t xml:space="preserve"> a remercié le </w:t>
      </w:r>
      <w:r w:rsidRPr="008A5C3E">
        <w:t>Secrétaire</w:t>
      </w:r>
      <w:r>
        <w:t xml:space="preserve"> pour son explication par laquelle il avait été précisé qu</w:t>
      </w:r>
      <w:r w:rsidR="00346F1B">
        <w:t>’</w:t>
      </w:r>
      <w:r>
        <w:t>il s</w:t>
      </w:r>
      <w:r w:rsidR="00346F1B">
        <w:t>’</w:t>
      </w:r>
      <w:r>
        <w:t>agissait en fait d</w:t>
      </w:r>
      <w:r w:rsidR="00346F1B">
        <w:t>’</w:t>
      </w:r>
      <w:r>
        <w:t xml:space="preserve">une </w:t>
      </w:r>
      <w:r w:rsidRPr="008A5C3E">
        <w:t>recommandation</w:t>
      </w:r>
      <w:r>
        <w:t xml:space="preserve"> adressée au Président. </w:t>
      </w:r>
      <w:r w:rsidRPr="008A5C3E">
        <w:t>Toutefois</w:t>
      </w:r>
      <w:r>
        <w:t xml:space="preserve">, la </w:t>
      </w:r>
      <w:r w:rsidRPr="008A5C3E">
        <w:t>délégation</w:t>
      </w:r>
      <w:r>
        <w:t xml:space="preserve"> a affirmé que tout </w:t>
      </w:r>
      <w:r w:rsidR="008A3BB3">
        <w:t>m</w:t>
      </w:r>
      <w:r w:rsidR="00A46CAD">
        <w:t>embre</w:t>
      </w:r>
      <w:r>
        <w:t xml:space="preserve"> du Comité était en droit de demander un</w:t>
      </w:r>
      <w:r w:rsidR="00E149C4">
        <w:t xml:space="preserve">e mise aux voix </w:t>
      </w:r>
      <w:r>
        <w:t>dans le cas où l</w:t>
      </w:r>
      <w:r w:rsidR="00346F1B">
        <w:t>’</w:t>
      </w:r>
      <w:r>
        <w:t>obtention d</w:t>
      </w:r>
      <w:r w:rsidR="00346F1B">
        <w:t>’</w:t>
      </w:r>
      <w:r>
        <w:t>un consensus était jugée compliquée, comme le soulignait le Règlement intérieur, c</w:t>
      </w:r>
      <w:r w:rsidR="00346F1B">
        <w:t>’</w:t>
      </w:r>
      <w:r>
        <w:t xml:space="preserve">était une règle démocratique fondamentale. La </w:t>
      </w:r>
      <w:r w:rsidRPr="008A5C3E">
        <w:t>délégation</w:t>
      </w:r>
      <w:r w:rsidR="00CC3139">
        <w:t xml:space="preserve"> a réaffirmé qu</w:t>
      </w:r>
      <w:r w:rsidR="00346F1B">
        <w:t>’</w:t>
      </w:r>
      <w:r w:rsidR="00CC3139">
        <w:t xml:space="preserve">une mise aux voix </w:t>
      </w:r>
      <w:r>
        <w:t>pouvait être demandé</w:t>
      </w:r>
      <w:r w:rsidR="00CC3139">
        <w:t>e</w:t>
      </w:r>
      <w:r>
        <w:t xml:space="preserve"> si le Comité ne parvenait pas à un consensus, c</w:t>
      </w:r>
      <w:r w:rsidR="00346F1B">
        <w:t>’</w:t>
      </w:r>
      <w:r>
        <w:t>était une prérogative d</w:t>
      </w:r>
      <w:r w:rsidR="00346F1B">
        <w:t>’</w:t>
      </w:r>
      <w:r>
        <w:t xml:space="preserve">un État </w:t>
      </w:r>
      <w:r w:rsidR="00A46CAD">
        <w:t>membre</w:t>
      </w:r>
      <w:r w:rsidR="00A97118">
        <w:t>.</w:t>
      </w:r>
    </w:p>
    <w:p w14:paraId="0D36907A" w14:textId="45080999" w:rsidR="008A5C3E" w:rsidRDefault="008A5C3E" w:rsidP="00AF7860">
      <w:pPr>
        <w:pStyle w:val="Orateurengris"/>
        <w:tabs>
          <w:tab w:val="clear" w:pos="709"/>
          <w:tab w:val="clear" w:pos="1418"/>
          <w:tab w:val="clear" w:pos="2126"/>
          <w:tab w:val="clear" w:pos="2835"/>
          <w:tab w:val="clear" w:pos="3686"/>
        </w:tabs>
        <w:spacing w:before="120"/>
        <w:ind w:left="709" w:hanging="709"/>
      </w:pPr>
      <w:r>
        <w:t xml:space="preserve">En réponse à la question soulevée par la Turquie, et après avoir </w:t>
      </w:r>
      <w:r w:rsidR="00CC3139">
        <w:t xml:space="preserve">participé </w:t>
      </w:r>
      <w:r>
        <w:t>à d</w:t>
      </w:r>
      <w:r w:rsidR="00346F1B">
        <w:t>’</w:t>
      </w:r>
      <w:r>
        <w:t xml:space="preserve">autres Comités, la </w:t>
      </w:r>
      <w:r w:rsidRPr="008A5C3E">
        <w:t>délégation</w:t>
      </w:r>
      <w:r>
        <w:t xml:space="preserve"> de l</w:t>
      </w:r>
      <w:r w:rsidR="00346F1B">
        <w:t>’</w:t>
      </w:r>
      <w:r w:rsidRPr="00280E6F">
        <w:rPr>
          <w:b/>
        </w:rPr>
        <w:t>Inde</w:t>
      </w:r>
      <w:r>
        <w:t xml:space="preserve"> avait </w:t>
      </w:r>
      <w:r w:rsidR="00280E6F">
        <w:t xml:space="preserve">compris </w:t>
      </w:r>
      <w:r>
        <w:t>qu</w:t>
      </w:r>
      <w:r w:rsidR="00346F1B">
        <w:t>’</w:t>
      </w:r>
      <w:r>
        <w:t xml:space="preserve">un </w:t>
      </w:r>
      <w:r w:rsidRPr="008A5C3E">
        <w:t>amendement</w:t>
      </w:r>
      <w:r>
        <w:t xml:space="preserve"> qui était soumis à examen recevait </w:t>
      </w:r>
      <w:r w:rsidR="00DD693A" w:rsidRPr="00DD693A">
        <w:t>systématiquement</w:t>
      </w:r>
      <w:r w:rsidR="00DD693A">
        <w:t xml:space="preserve"> </w:t>
      </w:r>
      <w:r>
        <w:t>un soutien mais que, dans le cas où une ou deux objections étaient présentées, il revenait au Président d</w:t>
      </w:r>
      <w:r w:rsidR="00346F1B">
        <w:t>’</w:t>
      </w:r>
      <w:r>
        <w:t xml:space="preserve">évaluer le consensus. </w:t>
      </w:r>
      <w:r w:rsidR="00280E6F">
        <w:t xml:space="preserve">La </w:t>
      </w:r>
      <w:r w:rsidR="00280E6F" w:rsidRPr="00280E6F">
        <w:t>délégation</w:t>
      </w:r>
      <w:r w:rsidR="00280E6F">
        <w:t xml:space="preserve"> a ajouté qu</w:t>
      </w:r>
      <w:r w:rsidR="00346F1B">
        <w:t>’</w:t>
      </w:r>
      <w:r w:rsidR="00280E6F">
        <w:t>un vote n</w:t>
      </w:r>
      <w:r w:rsidR="00346F1B">
        <w:t>’</w:t>
      </w:r>
      <w:r w:rsidR="00280E6F">
        <w:t xml:space="preserve">était ni nécessaire ni souhaitable. La </w:t>
      </w:r>
      <w:r w:rsidR="00280E6F" w:rsidRPr="00280E6F">
        <w:t>Convention</w:t>
      </w:r>
      <w:r w:rsidR="00106AEB">
        <w:t xml:space="preserve"> de 1972 fonctionnait ainsi. </w:t>
      </w:r>
      <w:r w:rsidR="00DD693A">
        <w:t xml:space="preserve">La </w:t>
      </w:r>
      <w:r w:rsidR="00DD693A" w:rsidRPr="00DD693A">
        <w:t>délégation</w:t>
      </w:r>
      <w:r w:rsidR="00DD693A">
        <w:t xml:space="preserve"> a remarqué que le fait que cette décision soit elle-même adoptée par consensus en fai</w:t>
      </w:r>
      <w:r w:rsidR="00CB7BA8">
        <w:t>sait une bonne décision. Elle souhaitait</w:t>
      </w:r>
      <w:r w:rsidR="00DD693A">
        <w:t xml:space="preserve"> rassurer le Comité</w:t>
      </w:r>
      <w:r w:rsidR="009642BF">
        <w:t xml:space="preserve">, </w:t>
      </w:r>
      <w:r w:rsidR="00DD693A">
        <w:t xml:space="preserve">cette décision ne débouchait pas sur un vote, </w:t>
      </w:r>
      <w:r w:rsidR="00DD693A" w:rsidRPr="00DD693A">
        <w:t>en particulier</w:t>
      </w:r>
      <w:r w:rsidR="00DD693A">
        <w:t xml:space="preserve"> </w:t>
      </w:r>
      <w:r w:rsidR="00DD693A" w:rsidRPr="00DD693A">
        <w:t>parce que</w:t>
      </w:r>
      <w:r w:rsidR="00DD693A">
        <w:t>, s</w:t>
      </w:r>
      <w:r w:rsidR="00346F1B">
        <w:t>’</w:t>
      </w:r>
      <w:r w:rsidR="00DD693A">
        <w:t xml:space="preserve">agissant de la culture, aucune des délégations ne </w:t>
      </w:r>
      <w:r w:rsidR="00CC3139">
        <w:t xml:space="preserve">souhaitait </w:t>
      </w:r>
      <w:r w:rsidR="00DD693A">
        <w:t xml:space="preserve">de mise aux voix. </w:t>
      </w:r>
      <w:r w:rsidR="00CC3139">
        <w:t>E</w:t>
      </w:r>
      <w:r w:rsidR="009642BF">
        <w:t xml:space="preserve">n tant que telle, la décision était conforme aux </w:t>
      </w:r>
      <w:r w:rsidR="00CC3139">
        <w:t xml:space="preserve">règles des </w:t>
      </w:r>
      <w:r w:rsidR="00A97118">
        <w:t>autres Comités.</w:t>
      </w:r>
    </w:p>
    <w:p w14:paraId="17EF2E72" w14:textId="01EA126B" w:rsidR="00CC3139" w:rsidRDefault="00CC3139" w:rsidP="00AF7860">
      <w:pPr>
        <w:pStyle w:val="Orateurengris"/>
        <w:tabs>
          <w:tab w:val="clear" w:pos="709"/>
          <w:tab w:val="clear" w:pos="1418"/>
          <w:tab w:val="clear" w:pos="2126"/>
          <w:tab w:val="clear" w:pos="2835"/>
          <w:tab w:val="clear" w:pos="3686"/>
        </w:tabs>
        <w:spacing w:before="120"/>
        <w:ind w:left="709" w:hanging="709"/>
      </w:pPr>
      <w:r>
        <w:t xml:space="preserve">Le </w:t>
      </w:r>
      <w:r w:rsidRPr="00CC3139">
        <w:rPr>
          <w:b/>
        </w:rPr>
        <w:t>Président</w:t>
      </w:r>
      <w:r>
        <w:t xml:space="preserve"> a remercié l</w:t>
      </w:r>
      <w:r w:rsidR="00346F1B">
        <w:t>’</w:t>
      </w:r>
      <w:r>
        <w:t>Inde et l</w:t>
      </w:r>
      <w:r w:rsidR="00346F1B">
        <w:t>’</w:t>
      </w:r>
      <w:r>
        <w:t xml:space="preserve">Espagne et a rappelé que le </w:t>
      </w:r>
      <w:r w:rsidRPr="00CC3139">
        <w:t>paragraphe</w:t>
      </w:r>
      <w:r>
        <w:t xml:space="preserve"> 5 était une </w:t>
      </w:r>
      <w:r w:rsidRPr="00CC3139">
        <w:t>recommandation</w:t>
      </w:r>
      <w:r>
        <w:t xml:space="preserve"> adressée au Président sur la définition de l</w:t>
      </w:r>
      <w:r w:rsidR="00346F1B">
        <w:t>’</w:t>
      </w:r>
      <w:r>
        <w:t>opinion générale au sein d</w:t>
      </w:r>
      <w:r w:rsidR="00346F1B">
        <w:t>’</w:t>
      </w:r>
      <w:r>
        <w:t>une assemblée. En l</w:t>
      </w:r>
      <w:r w:rsidR="00346F1B">
        <w:t>’</w:t>
      </w:r>
      <w:r>
        <w:t>absence d</w:t>
      </w:r>
      <w:r w:rsidR="00346F1B">
        <w:t>’</w:t>
      </w:r>
      <w:r>
        <w:t>objections de nature procédurale et juridique, il a invité le Comité à adopter le projet</w:t>
      </w:r>
      <w:r w:rsidR="00A97118">
        <w:t xml:space="preserve"> de décision dans son ensemble.</w:t>
      </w:r>
    </w:p>
    <w:p w14:paraId="355BDC64" w14:textId="5FE49AEB" w:rsidR="00CC3139" w:rsidRDefault="002271D4" w:rsidP="00AF7860">
      <w:pPr>
        <w:pStyle w:val="Orateurengris"/>
        <w:tabs>
          <w:tab w:val="clear" w:pos="709"/>
          <w:tab w:val="clear" w:pos="1418"/>
          <w:tab w:val="clear" w:pos="2126"/>
          <w:tab w:val="clear" w:pos="2835"/>
          <w:tab w:val="clear" w:pos="3686"/>
        </w:tabs>
        <w:spacing w:before="120"/>
        <w:ind w:left="709" w:hanging="709"/>
      </w:pPr>
      <w:r>
        <w:t xml:space="preserve">La </w:t>
      </w:r>
      <w:r w:rsidRPr="002271D4">
        <w:t>délégation</w:t>
      </w:r>
      <w:r>
        <w:t xml:space="preserve"> de la </w:t>
      </w:r>
      <w:r w:rsidRPr="002271D4">
        <w:rPr>
          <w:b/>
        </w:rPr>
        <w:t>Turquie</w:t>
      </w:r>
      <w:r>
        <w:t xml:space="preserve"> a demandé au Secrétariat de répondre à la question sur l</w:t>
      </w:r>
      <w:r w:rsidR="00346F1B">
        <w:t>’</w:t>
      </w:r>
      <w:r>
        <w:t>existence d</w:t>
      </w:r>
      <w:r w:rsidR="00346F1B">
        <w:t>’</w:t>
      </w:r>
      <w:r>
        <w:t>un libellé similaire dans d</w:t>
      </w:r>
      <w:r w:rsidR="00346F1B">
        <w:t>’</w:t>
      </w:r>
      <w:r>
        <w:t>autres Conventions culturelles.</w:t>
      </w:r>
    </w:p>
    <w:p w14:paraId="3A2E239E" w14:textId="087F0EAA" w:rsidR="002271D4" w:rsidRDefault="002271D4" w:rsidP="00AF7860">
      <w:pPr>
        <w:pStyle w:val="Orateurengris"/>
        <w:tabs>
          <w:tab w:val="clear" w:pos="709"/>
          <w:tab w:val="clear" w:pos="1418"/>
          <w:tab w:val="clear" w:pos="2126"/>
          <w:tab w:val="clear" w:pos="2835"/>
          <w:tab w:val="clear" w:pos="3686"/>
        </w:tabs>
        <w:spacing w:before="120"/>
        <w:ind w:left="709" w:hanging="709"/>
      </w:pPr>
      <w:r>
        <w:t xml:space="preserve">Le </w:t>
      </w:r>
      <w:r w:rsidRPr="002271D4">
        <w:rPr>
          <w:b/>
        </w:rPr>
        <w:t>Secrétaire</w:t>
      </w:r>
      <w:r>
        <w:t xml:space="preserve"> n</w:t>
      </w:r>
      <w:r w:rsidR="003A7F42">
        <w:t>’</w:t>
      </w:r>
      <w:r>
        <w:t>a pas été en mesure de fournir une réponse définitive à la question sur l</w:t>
      </w:r>
      <w:r w:rsidR="00346F1B">
        <w:t>’</w:t>
      </w:r>
      <w:r>
        <w:t>existence d</w:t>
      </w:r>
      <w:r w:rsidR="00346F1B">
        <w:t>’</w:t>
      </w:r>
      <w:r>
        <w:t xml:space="preserve">un libellé similaire dans les </w:t>
      </w:r>
      <w:r w:rsidR="00A97118">
        <w:t>autres Conventions culturelles.</w:t>
      </w:r>
    </w:p>
    <w:p w14:paraId="58CED76D" w14:textId="05AEC194" w:rsidR="002271D4" w:rsidRPr="002271D4" w:rsidRDefault="002271D4" w:rsidP="00AF7860">
      <w:pPr>
        <w:pStyle w:val="Orateurengris"/>
        <w:tabs>
          <w:tab w:val="clear" w:pos="709"/>
          <w:tab w:val="clear" w:pos="1418"/>
          <w:tab w:val="clear" w:pos="2126"/>
          <w:tab w:val="clear" w:pos="2835"/>
          <w:tab w:val="clear" w:pos="3686"/>
        </w:tabs>
        <w:spacing w:before="120"/>
        <w:ind w:left="709" w:hanging="709"/>
      </w:pPr>
      <w:r>
        <w:t xml:space="preserve">En réponse à la question de la Turquie, la </w:t>
      </w:r>
      <w:r w:rsidRPr="002271D4">
        <w:t>délégation</w:t>
      </w:r>
      <w:r>
        <w:t xml:space="preserve"> de la </w:t>
      </w:r>
      <w:r w:rsidRPr="002271D4">
        <w:rPr>
          <w:b/>
        </w:rPr>
        <w:t>Palestine</w:t>
      </w:r>
      <w:r>
        <w:t xml:space="preserve"> a précisé qu</w:t>
      </w:r>
      <w:r w:rsidR="00346F1B">
        <w:t>’</w:t>
      </w:r>
      <w:r>
        <w:t>il n</w:t>
      </w:r>
      <w:r w:rsidR="00346F1B">
        <w:t>’</w:t>
      </w:r>
      <w:r>
        <w:t>existait pas de telles recommandations au Président dans les autres Conventions car la pratique n</w:t>
      </w:r>
      <w:r w:rsidR="00346F1B">
        <w:t>’</w:t>
      </w:r>
      <w:r>
        <w:t>était pas du tout la même. Cette pratique inhabituelle n</w:t>
      </w:r>
      <w:r w:rsidR="00346F1B">
        <w:t>’</w:t>
      </w:r>
      <w:r>
        <w:t xml:space="preserve">existait que dans la </w:t>
      </w:r>
      <w:r w:rsidRPr="002271D4">
        <w:t>Convention</w:t>
      </w:r>
      <w:r>
        <w:t xml:space="preserve"> de 2003. C</w:t>
      </w:r>
      <w:r w:rsidR="00346F1B">
        <w:t>’</w:t>
      </w:r>
      <w:r>
        <w:t xml:space="preserve">était la raison même de cette </w:t>
      </w:r>
      <w:r w:rsidRPr="002271D4">
        <w:t>recommandation</w:t>
      </w:r>
      <w:r>
        <w:t xml:space="preserve"> destinée à harmoniser le processus de prise de décisions avec celui des autres </w:t>
      </w:r>
      <w:r w:rsidR="00A97118">
        <w:t>organes et Comités de l</w:t>
      </w:r>
      <w:r w:rsidR="00346F1B">
        <w:t>’</w:t>
      </w:r>
      <w:r w:rsidR="00A97118">
        <w:t>UNESCO.</w:t>
      </w:r>
    </w:p>
    <w:p w14:paraId="25EF4A8D" w14:textId="54EB2BC0" w:rsidR="002271D4" w:rsidRDefault="002271D4" w:rsidP="00AF7860">
      <w:pPr>
        <w:pStyle w:val="Orateurengris"/>
        <w:tabs>
          <w:tab w:val="clear" w:pos="709"/>
          <w:tab w:val="clear" w:pos="1418"/>
          <w:tab w:val="clear" w:pos="2126"/>
          <w:tab w:val="clear" w:pos="2835"/>
          <w:tab w:val="clear" w:pos="3686"/>
        </w:tabs>
        <w:spacing w:before="120"/>
        <w:ind w:left="709" w:hanging="709"/>
      </w:pPr>
      <w:r>
        <w:t xml:space="preserve">La </w:t>
      </w:r>
      <w:r w:rsidRPr="002271D4">
        <w:t>délégation</w:t>
      </w:r>
      <w:r>
        <w:t xml:space="preserve"> de l</w:t>
      </w:r>
      <w:r w:rsidR="00346F1B">
        <w:t>’</w:t>
      </w:r>
      <w:r w:rsidRPr="002271D4">
        <w:rPr>
          <w:b/>
        </w:rPr>
        <w:t>Inde</w:t>
      </w:r>
      <w:r>
        <w:t xml:space="preserve"> a apporté son soutien aux éclaircissements de la Palestine, ajoutant que cette pratique était suivie par les autres Conventions même si elle n</w:t>
      </w:r>
      <w:r w:rsidR="00346F1B">
        <w:t>’</w:t>
      </w:r>
      <w:r>
        <w:t>était pas codifiée.</w:t>
      </w:r>
    </w:p>
    <w:p w14:paraId="7A5D631C" w14:textId="6562CEA0" w:rsidR="002271D4" w:rsidRPr="002271D4" w:rsidRDefault="002271D4" w:rsidP="00AF7860">
      <w:pPr>
        <w:pStyle w:val="Orateurengris"/>
        <w:tabs>
          <w:tab w:val="clear" w:pos="709"/>
          <w:tab w:val="clear" w:pos="1418"/>
          <w:tab w:val="clear" w:pos="2126"/>
          <w:tab w:val="clear" w:pos="2835"/>
          <w:tab w:val="clear" w:pos="3686"/>
        </w:tabs>
        <w:spacing w:before="120"/>
        <w:ind w:left="709" w:hanging="709"/>
      </w:pPr>
      <w:r w:rsidRPr="002271D4">
        <w:t xml:space="preserve">Le </w:t>
      </w:r>
      <w:r w:rsidRPr="00504E85">
        <w:rPr>
          <w:b/>
        </w:rPr>
        <w:t>Président</w:t>
      </w:r>
      <w:r w:rsidRPr="002271D4">
        <w:t xml:space="preserve"> a </w:t>
      </w:r>
      <w:r>
        <w:t xml:space="preserve">convenu que le </w:t>
      </w:r>
      <w:r w:rsidRPr="002271D4">
        <w:t>paragraphe</w:t>
      </w:r>
      <w:r>
        <w:t xml:space="preserve"> 5 était une </w:t>
      </w:r>
      <w:r w:rsidRPr="002271D4">
        <w:t>recommandation</w:t>
      </w:r>
      <w:r>
        <w:t xml:space="preserve"> sur la pratique.</w:t>
      </w:r>
      <w:r w:rsidR="00504E85">
        <w:t xml:space="preserve"> Dans cet esprit, il est passé à l</w:t>
      </w:r>
      <w:r w:rsidR="00346F1B">
        <w:t>’</w:t>
      </w:r>
      <w:r w:rsidR="00504E85">
        <w:t>adoption du projet de décision dans son ensemble. En l</w:t>
      </w:r>
      <w:r w:rsidR="00346F1B">
        <w:t>’</w:t>
      </w:r>
      <w:r w:rsidR="00504E85">
        <w:t>absence d</w:t>
      </w:r>
      <w:r w:rsidR="00346F1B">
        <w:t>’</w:t>
      </w:r>
      <w:r w:rsidR="00504E85">
        <w:t xml:space="preserve">autres commentaires ou </w:t>
      </w:r>
      <w:r w:rsidR="00504E85" w:rsidRPr="00504E85">
        <w:t>objections</w:t>
      </w:r>
      <w:r w:rsidR="00504E85">
        <w:t xml:space="preserve">, le </w:t>
      </w:r>
      <w:r w:rsidR="00504E85" w:rsidRPr="00504E85">
        <w:rPr>
          <w:b/>
        </w:rPr>
        <w:t>Président a déclaré la décision 11.COM 8 adoptée</w:t>
      </w:r>
      <w:r w:rsidR="00504E85">
        <w:t>. Afin d</w:t>
      </w:r>
      <w:r w:rsidR="00346F1B">
        <w:t>’</w:t>
      </w:r>
      <w:r w:rsidR="00504E85">
        <w:t>être clair et précis, le Président considérerait le silence comme une expression du consensus sur la motion de l</w:t>
      </w:r>
      <w:r w:rsidR="00346F1B">
        <w:t>’</w:t>
      </w:r>
      <w:r w:rsidR="00504E85" w:rsidRPr="00504E85">
        <w:t>amendement</w:t>
      </w:r>
      <w:r w:rsidR="00504E85">
        <w:t>. Il est ensuite passé à l</w:t>
      </w:r>
      <w:r w:rsidR="00346F1B">
        <w:t>’</w:t>
      </w:r>
      <w:r w:rsidR="00504E85">
        <w:t>ensemble de s</w:t>
      </w:r>
      <w:r w:rsidR="00A97118">
        <w:t>ous-points au titre du point 9.</w:t>
      </w:r>
    </w:p>
    <w:p w14:paraId="760CEBBD" w14:textId="411FFA5D" w:rsidR="00791FE8" w:rsidRPr="00504E85" w:rsidRDefault="00504E85" w:rsidP="002B4948">
      <w:pPr>
        <w:pStyle w:val="Marge"/>
        <w:keepNext/>
        <w:tabs>
          <w:tab w:val="clear" w:pos="567"/>
          <w:tab w:val="left" w:pos="709"/>
          <w:tab w:val="left" w:pos="1418"/>
          <w:tab w:val="left" w:pos="2126"/>
          <w:tab w:val="left" w:pos="2835"/>
        </w:tabs>
        <w:spacing w:before="360" w:after="60"/>
        <w:ind w:left="567" w:hanging="567"/>
        <w:jc w:val="left"/>
        <w:outlineLvl w:val="0"/>
        <w:rPr>
          <w:rFonts w:eastAsia="Cambria" w:cs="Arial"/>
          <w:b/>
          <w:szCs w:val="22"/>
          <w:u w:val="single"/>
        </w:rPr>
      </w:pPr>
      <w:r>
        <w:rPr>
          <w:rFonts w:eastAsia="Cambria" w:cs="Arial"/>
          <w:b/>
          <w:szCs w:val="22"/>
          <w:u w:val="single"/>
        </w:rPr>
        <w:t xml:space="preserve">POINT </w:t>
      </w:r>
      <w:r w:rsidR="00DA6B24">
        <w:rPr>
          <w:rFonts w:eastAsia="Cambria" w:cs="Arial"/>
          <w:b/>
          <w:szCs w:val="22"/>
          <w:u w:val="single"/>
        </w:rPr>
        <w:t>9.a</w:t>
      </w:r>
      <w:r>
        <w:rPr>
          <w:rFonts w:eastAsia="Cambria" w:cs="Arial"/>
          <w:b/>
          <w:szCs w:val="22"/>
          <w:u w:val="single"/>
        </w:rPr>
        <w:t xml:space="preserve"> DE L</w:t>
      </w:r>
      <w:r w:rsidR="00346F1B">
        <w:rPr>
          <w:rFonts w:eastAsia="Cambria" w:cs="Arial"/>
          <w:b/>
          <w:szCs w:val="22"/>
          <w:u w:val="single"/>
        </w:rPr>
        <w:t>’</w:t>
      </w:r>
      <w:r w:rsidRPr="00504E85">
        <w:rPr>
          <w:rFonts w:eastAsia="Cambria" w:cs="Arial"/>
          <w:b/>
          <w:szCs w:val="22"/>
          <w:u w:val="single"/>
        </w:rPr>
        <w:t>ORDRE DU JOUR</w:t>
      </w:r>
      <w:r>
        <w:rPr>
          <w:rFonts w:eastAsia="Cambria" w:cs="Arial"/>
          <w:b/>
          <w:szCs w:val="22"/>
          <w:u w:val="single"/>
        </w:rPr>
        <w:t> :</w:t>
      </w:r>
    </w:p>
    <w:p w14:paraId="43D1D4BF" w14:textId="035088EA" w:rsidR="00791FE8" w:rsidRPr="00A97118" w:rsidRDefault="00504E85" w:rsidP="002B4948">
      <w:pPr>
        <w:pStyle w:val="Marge"/>
        <w:keepNext/>
        <w:tabs>
          <w:tab w:val="clear" w:pos="567"/>
          <w:tab w:val="left" w:pos="709"/>
          <w:tab w:val="left" w:pos="1418"/>
          <w:tab w:val="left" w:pos="2126"/>
          <w:tab w:val="left" w:pos="2835"/>
        </w:tabs>
        <w:spacing w:after="120"/>
        <w:jc w:val="left"/>
        <w:outlineLvl w:val="0"/>
        <w:rPr>
          <w:rFonts w:eastAsia="Cambria" w:cs="Arial"/>
          <w:b/>
          <w:szCs w:val="22"/>
        </w:rPr>
      </w:pPr>
      <w:r>
        <w:rPr>
          <w:rFonts w:eastAsiaTheme="minorEastAsia"/>
          <w:b/>
        </w:rPr>
        <w:t xml:space="preserve">EXAMEN DES RAPPORTS DES ÉTATS PARTIES SUR LA MISE EN ŒUVRE DE LA </w:t>
      </w:r>
      <w:r w:rsidRPr="00504E85">
        <w:rPr>
          <w:rFonts w:eastAsiaTheme="minorEastAsia"/>
          <w:b/>
        </w:rPr>
        <w:t>CONVENTION</w:t>
      </w:r>
      <w:r>
        <w:rPr>
          <w:rFonts w:eastAsiaTheme="minorEastAsia"/>
          <w:b/>
        </w:rPr>
        <w:t xml:space="preserve"> ET L</w:t>
      </w:r>
      <w:r w:rsidR="00346F1B">
        <w:rPr>
          <w:rFonts w:eastAsiaTheme="minorEastAsia"/>
          <w:b/>
        </w:rPr>
        <w:t>’</w:t>
      </w:r>
      <w:r>
        <w:rPr>
          <w:rFonts w:eastAsiaTheme="minorEastAsia"/>
          <w:b/>
        </w:rPr>
        <w:t>ÉTAT ACTUEL D</w:t>
      </w:r>
      <w:r w:rsidR="00346F1B">
        <w:rPr>
          <w:rFonts w:eastAsiaTheme="minorEastAsia"/>
          <w:b/>
        </w:rPr>
        <w:t>’</w:t>
      </w:r>
      <w:r>
        <w:rPr>
          <w:rFonts w:eastAsiaTheme="minorEastAsia"/>
          <w:b/>
        </w:rPr>
        <w:t>ÉLÉMENTS INSCRITS SUR LA LISTE REPRÉSENTATIVE DU PATRIMOINE CULTUREL IMMATÉRIEL DE L</w:t>
      </w:r>
      <w:r w:rsidR="00346F1B">
        <w:rPr>
          <w:rFonts w:eastAsiaTheme="minorEastAsia"/>
          <w:b/>
        </w:rPr>
        <w:t>’</w:t>
      </w:r>
      <w:r>
        <w:rPr>
          <w:rFonts w:eastAsiaTheme="minorEastAsia"/>
          <w:b/>
        </w:rPr>
        <w:t>HUMANITÉ</w:t>
      </w:r>
    </w:p>
    <w:p w14:paraId="46914799" w14:textId="4E740D50" w:rsidR="00FF32CD" w:rsidRPr="00504E85" w:rsidRDefault="00791FE8" w:rsidP="002B6656">
      <w:pPr>
        <w:pStyle w:val="NormalWeb"/>
        <w:keepNext/>
        <w:tabs>
          <w:tab w:val="left" w:pos="709"/>
          <w:tab w:val="left" w:pos="1418"/>
          <w:tab w:val="left" w:pos="2126"/>
          <w:tab w:val="left" w:pos="2835"/>
        </w:tabs>
        <w:spacing w:before="0" w:beforeAutospacing="0" w:after="0" w:afterAutospacing="0"/>
        <w:ind w:left="709" w:hanging="709"/>
        <w:rPr>
          <w:rFonts w:ascii="Arial" w:hAnsi="Arial" w:cs="Arial"/>
          <w:i/>
          <w:sz w:val="22"/>
          <w:szCs w:val="22"/>
          <w:lang w:val="fr-FR"/>
        </w:rPr>
      </w:pPr>
      <w:r w:rsidRPr="00504E85">
        <w:rPr>
          <w:rFonts w:ascii="Arial" w:hAnsi="Arial" w:cs="Arial"/>
          <w:b/>
          <w:sz w:val="22"/>
          <w:szCs w:val="22"/>
          <w:lang w:val="fr-FR"/>
        </w:rPr>
        <w:tab/>
      </w:r>
      <w:r w:rsidR="00FF32CD" w:rsidRPr="00504E85">
        <w:rPr>
          <w:rFonts w:ascii="Arial" w:hAnsi="Arial" w:cs="Arial"/>
          <w:b/>
          <w:sz w:val="22"/>
          <w:szCs w:val="22"/>
          <w:lang w:val="fr-FR"/>
        </w:rPr>
        <w:t>Document</w:t>
      </w:r>
      <w:r w:rsidR="00FF32CD" w:rsidRPr="00504E85">
        <w:rPr>
          <w:rFonts w:ascii="Arial" w:hAnsi="Arial" w:cs="Arial"/>
          <w:b/>
          <w:sz w:val="22"/>
          <w:szCs w:val="22"/>
          <w:lang w:val="fr-FR"/>
        </w:rPr>
        <w:tab/>
      </w:r>
      <w:r w:rsidR="007B1438">
        <w:fldChar w:fldCharType="begin"/>
      </w:r>
      <w:r w:rsidR="007B1438" w:rsidRPr="007B1438">
        <w:rPr>
          <w:lang w:val="fr-FR"/>
        </w:rPr>
        <w:instrText xml:space="preserve"> HYPERLINK "https://ich.unesco.org/doc/src/ITH-16-11.COM-9.a-FR.docx" </w:instrText>
      </w:r>
      <w:r w:rsidR="007B1438">
        <w:fldChar w:fldCharType="separate"/>
      </w:r>
      <w:r w:rsidR="00FF32CD" w:rsidRPr="00504E85">
        <w:rPr>
          <w:rStyle w:val="Hyperlink"/>
          <w:rFonts w:ascii="Arial" w:hAnsi="Arial" w:cs="Arial"/>
          <w:i/>
          <w:sz w:val="22"/>
          <w:szCs w:val="22"/>
          <w:lang w:val="fr-FR"/>
        </w:rPr>
        <w:t>I</w:t>
      </w:r>
      <w:r w:rsidR="00B2007A" w:rsidRPr="00504E85">
        <w:rPr>
          <w:rStyle w:val="Hyperlink"/>
          <w:rFonts w:ascii="Arial" w:hAnsi="Arial" w:cs="Arial"/>
          <w:i/>
          <w:sz w:val="22"/>
          <w:szCs w:val="22"/>
          <w:lang w:val="fr-FR"/>
        </w:rPr>
        <w:t>TH/16/11.COM/9.a</w:t>
      </w:r>
      <w:r w:rsidR="007B1438">
        <w:rPr>
          <w:rStyle w:val="Hyperlink"/>
          <w:rFonts w:ascii="Arial" w:hAnsi="Arial" w:cs="Arial"/>
          <w:i/>
          <w:sz w:val="22"/>
          <w:szCs w:val="22"/>
          <w:lang w:val="fr-FR"/>
        </w:rPr>
        <w:fldChar w:fldCharType="end"/>
      </w:r>
    </w:p>
    <w:p w14:paraId="24105009" w14:textId="4C0E4A0B" w:rsidR="00A06E2A" w:rsidRPr="00504E85" w:rsidRDefault="00027A54" w:rsidP="002B6656">
      <w:pPr>
        <w:pStyle w:val="NormalWeb"/>
        <w:keepNext/>
        <w:tabs>
          <w:tab w:val="left" w:pos="709"/>
          <w:tab w:val="left" w:pos="1418"/>
          <w:tab w:val="left" w:pos="2126"/>
          <w:tab w:val="left" w:pos="2835"/>
        </w:tabs>
        <w:spacing w:before="0" w:beforeAutospacing="0" w:after="0" w:afterAutospacing="0"/>
        <w:ind w:left="709" w:hanging="709"/>
        <w:rPr>
          <w:rFonts w:ascii="Arial" w:hAnsi="Arial" w:cs="Arial"/>
          <w:i/>
          <w:sz w:val="22"/>
          <w:szCs w:val="22"/>
          <w:lang w:val="fr-FR"/>
        </w:rPr>
      </w:pPr>
      <w:r>
        <w:rPr>
          <w:rFonts w:ascii="Arial" w:hAnsi="Arial" w:cs="Arial"/>
          <w:b/>
          <w:sz w:val="22"/>
          <w:szCs w:val="22"/>
          <w:lang w:val="fr-FR"/>
        </w:rPr>
        <w:tab/>
        <w:t>Rapports</w:t>
      </w:r>
      <w:r w:rsidR="00A06E2A" w:rsidRPr="00504E85">
        <w:rPr>
          <w:rFonts w:ascii="Arial" w:hAnsi="Arial" w:cs="Arial"/>
          <w:b/>
          <w:sz w:val="22"/>
          <w:szCs w:val="22"/>
          <w:lang w:val="fr-FR"/>
        </w:rPr>
        <w:tab/>
      </w:r>
      <w:r w:rsidR="007B1438">
        <w:fldChar w:fldCharType="begin"/>
      </w:r>
      <w:r w:rsidR="007B1438" w:rsidRPr="007B1438">
        <w:rPr>
          <w:lang w:val="fr-FR"/>
        </w:rPr>
        <w:instrText xml:space="preserve"> HYPERLINK "https://ich.unesco.org/fr/9a-rapports-periodiques-00857" </w:instrText>
      </w:r>
      <w:r w:rsidR="007B1438">
        <w:fldChar w:fldCharType="separate"/>
      </w:r>
      <w:r>
        <w:rPr>
          <w:rStyle w:val="Hyperlink"/>
          <w:rFonts w:ascii="Arial" w:hAnsi="Arial" w:cs="Arial"/>
          <w:i/>
          <w:sz w:val="22"/>
          <w:szCs w:val="22"/>
          <w:lang w:val="fr-FR"/>
        </w:rPr>
        <w:t>6 rapports périodiques</w:t>
      </w:r>
      <w:r w:rsidR="007B1438">
        <w:rPr>
          <w:rStyle w:val="Hyperlink"/>
          <w:rFonts w:ascii="Arial" w:hAnsi="Arial" w:cs="Arial"/>
          <w:i/>
          <w:sz w:val="22"/>
          <w:szCs w:val="22"/>
          <w:lang w:val="fr-FR"/>
        </w:rPr>
        <w:fldChar w:fldCharType="end"/>
      </w:r>
    </w:p>
    <w:p w14:paraId="6F5A441A" w14:textId="0E9134EB" w:rsidR="00791FE8" w:rsidRPr="00504E85" w:rsidRDefault="00791FE8" w:rsidP="002B6656">
      <w:pPr>
        <w:keepNext/>
        <w:tabs>
          <w:tab w:val="left" w:pos="709"/>
          <w:tab w:val="left" w:pos="1418"/>
          <w:tab w:val="left" w:pos="2126"/>
          <w:tab w:val="left" w:pos="2835"/>
        </w:tabs>
        <w:spacing w:after="240"/>
        <w:ind w:left="709" w:hanging="709"/>
        <w:rPr>
          <w:rFonts w:ascii="Arial" w:hAnsi="Arial" w:cs="Arial"/>
          <w:i/>
          <w:sz w:val="22"/>
          <w:szCs w:val="22"/>
          <w:lang w:eastAsia="en-US"/>
        </w:rPr>
      </w:pPr>
      <w:r w:rsidRPr="00504E85">
        <w:rPr>
          <w:rFonts w:ascii="Arial" w:hAnsi="Arial" w:cs="Arial"/>
          <w:b/>
          <w:sz w:val="22"/>
          <w:szCs w:val="22"/>
          <w:lang w:eastAsia="en-US"/>
        </w:rPr>
        <w:tab/>
      </w:r>
      <w:r w:rsidR="00027A54">
        <w:rPr>
          <w:rFonts w:ascii="Arial" w:hAnsi="Arial" w:cs="Arial"/>
          <w:b/>
          <w:sz w:val="22"/>
          <w:szCs w:val="22"/>
          <w:lang w:eastAsia="en-US"/>
        </w:rPr>
        <w:t>Dé</w:t>
      </w:r>
      <w:r w:rsidR="00FF32CD" w:rsidRPr="00504E85">
        <w:rPr>
          <w:rFonts w:ascii="Arial" w:hAnsi="Arial" w:cs="Arial"/>
          <w:b/>
          <w:sz w:val="22"/>
          <w:szCs w:val="22"/>
          <w:lang w:eastAsia="en-US"/>
        </w:rPr>
        <w:t>cision</w:t>
      </w:r>
      <w:r w:rsidR="00FF32CD" w:rsidRPr="00504E85">
        <w:rPr>
          <w:rFonts w:ascii="Arial" w:hAnsi="Arial" w:cs="Arial"/>
          <w:b/>
          <w:sz w:val="22"/>
          <w:szCs w:val="22"/>
        </w:rPr>
        <w:tab/>
      </w:r>
      <w:r w:rsidR="00B2007A" w:rsidRPr="00504E85">
        <w:rPr>
          <w:rFonts w:ascii="Arial" w:hAnsi="Arial" w:cs="Arial"/>
          <w:i/>
          <w:sz w:val="22"/>
          <w:szCs w:val="22"/>
          <w:lang w:eastAsia="en-US"/>
        </w:rPr>
        <w:t>11.COM 9.a</w:t>
      </w:r>
    </w:p>
    <w:p w14:paraId="6792ACFB" w14:textId="70D44311" w:rsidR="00027A54" w:rsidRDefault="00027A54" w:rsidP="00AF7860">
      <w:pPr>
        <w:pStyle w:val="Orateurengris"/>
        <w:spacing w:before="120"/>
        <w:ind w:left="709" w:hanging="709"/>
      </w:pPr>
      <w:r>
        <w:t xml:space="preserve">Le </w:t>
      </w:r>
      <w:r w:rsidRPr="00027A54">
        <w:rPr>
          <w:b/>
        </w:rPr>
        <w:t>Président</w:t>
      </w:r>
      <w:r>
        <w:t xml:space="preserve"> est passé à l</w:t>
      </w:r>
      <w:r w:rsidR="00346F1B">
        <w:t>’</w:t>
      </w:r>
      <w:r>
        <w:t>ensemble de sous-points au titre du point 9 de l</w:t>
      </w:r>
      <w:r w:rsidR="00346F1B">
        <w:t>’</w:t>
      </w:r>
      <w:r w:rsidRPr="00027A54">
        <w:t>ordre du jour</w:t>
      </w:r>
      <w:r>
        <w:t>, en commençant par le point 9.a sur l</w:t>
      </w:r>
      <w:r w:rsidR="00346F1B">
        <w:t>’</w:t>
      </w:r>
      <w:r>
        <w:t xml:space="preserve">examen des rapports des États parties sur la mise en œuvre de la </w:t>
      </w:r>
      <w:r w:rsidRPr="00027A54">
        <w:t>Convention</w:t>
      </w:r>
      <w:r>
        <w:t xml:space="preserve"> et l</w:t>
      </w:r>
      <w:r w:rsidR="00346F1B">
        <w:t>’</w:t>
      </w:r>
      <w:r>
        <w:t>état actuel d</w:t>
      </w:r>
      <w:r w:rsidR="00346F1B">
        <w:t>’</w:t>
      </w:r>
      <w:r>
        <w:t>éléments inscrits sur la Liste r</w:t>
      </w:r>
      <w:r w:rsidR="002B6656">
        <w:t>eprésentative.</w:t>
      </w:r>
    </w:p>
    <w:p w14:paraId="58651D81" w14:textId="5514DAA6" w:rsidR="00661FD3" w:rsidRPr="00661FD3" w:rsidRDefault="00027A54" w:rsidP="00AF7860">
      <w:pPr>
        <w:pStyle w:val="Orateurengris"/>
        <w:spacing w:before="120"/>
        <w:ind w:left="709" w:hanging="709"/>
      </w:pPr>
      <w:r w:rsidRPr="002D7C4B">
        <w:t xml:space="preserve">Le </w:t>
      </w:r>
      <w:r w:rsidRPr="002D7C4B">
        <w:rPr>
          <w:b/>
        </w:rPr>
        <w:t>Secrétaire</w:t>
      </w:r>
      <w:r w:rsidRPr="002D7C4B">
        <w:t xml:space="preserve"> a rappelé au Comité qu</w:t>
      </w:r>
      <w:r w:rsidR="00346F1B">
        <w:t>’</w:t>
      </w:r>
      <w:r w:rsidRPr="002D7C4B">
        <w:t xml:space="preserve">il lui </w:t>
      </w:r>
      <w:r w:rsidR="009A208A">
        <w:t xml:space="preserve">incombait </w:t>
      </w:r>
      <w:r w:rsidRPr="002D7C4B">
        <w:t>d</w:t>
      </w:r>
      <w:r w:rsidR="00346F1B">
        <w:t>’</w:t>
      </w:r>
      <w:r w:rsidRPr="002D7C4B">
        <w:t>examiner les six</w:t>
      </w:r>
      <w:r w:rsidR="00CB7BA8">
        <w:t xml:space="preserve"> rapports périodiques soumis par les</w:t>
      </w:r>
      <w:r w:rsidRPr="002D7C4B">
        <w:t xml:space="preserve"> États parties au cours du cycle et de soumettre son propre rapport à l</w:t>
      </w:r>
      <w:r w:rsidR="00346F1B">
        <w:t>’</w:t>
      </w:r>
      <w:r w:rsidRPr="002D7C4B">
        <w:t xml:space="preserve">Assemblée générale. </w:t>
      </w:r>
      <w:r w:rsidR="00B4241A" w:rsidRPr="002D7C4B">
        <w:t>L</w:t>
      </w:r>
      <w:r w:rsidR="00346F1B">
        <w:t>’</w:t>
      </w:r>
      <w:r w:rsidR="00B4241A" w:rsidRPr="002D7C4B">
        <w:t xml:space="preserve">annexe du document 9.a présentait un aperçu </w:t>
      </w:r>
      <w:r w:rsidR="009A208A">
        <w:t xml:space="preserve">général </w:t>
      </w:r>
      <w:r w:rsidR="00B4241A" w:rsidRPr="002D7C4B">
        <w:t xml:space="preserve">des rapports périodiques de 2016 et des mesures prises par les États faisant rapport pour mettre en œuvre la Convention de 2003 en ce qui concerne </w:t>
      </w:r>
      <w:r w:rsidR="002D7C4B" w:rsidRPr="002D7C4B">
        <w:t xml:space="preserve">les </w:t>
      </w:r>
      <w:r w:rsidR="00B4241A" w:rsidRPr="002D7C4B">
        <w:t xml:space="preserve">éléments inclus sur la Liste représentative. </w:t>
      </w:r>
      <w:r w:rsidR="002D7C4B" w:rsidRPr="002D7C4B">
        <w:t>S</w:t>
      </w:r>
      <w:r w:rsidR="00346F1B">
        <w:t>’</w:t>
      </w:r>
      <w:r w:rsidR="002D7C4B" w:rsidRPr="002D7C4B">
        <w:t>agissant du tableau du paragraphe 6 de l</w:t>
      </w:r>
      <w:r w:rsidR="00346F1B">
        <w:t>’</w:t>
      </w:r>
      <w:r w:rsidR="002D7C4B" w:rsidRPr="002D7C4B">
        <w:t>annexe, le Secrétaire a expliqué qu</w:t>
      </w:r>
      <w:r w:rsidR="00346F1B">
        <w:t>’</w:t>
      </w:r>
      <w:r w:rsidR="002D7C4B" w:rsidRPr="002D7C4B">
        <w:t>il présentait le statut des 37 États parties dont le rapport était attendu en 2016. 31 États étaient en retard (soit 84 pour cent des rapports) et 21 av</w:t>
      </w:r>
      <w:r w:rsidR="009A208A">
        <w:t>aient plus d</w:t>
      </w:r>
      <w:r w:rsidR="00346F1B">
        <w:t>’</w:t>
      </w:r>
      <w:r w:rsidR="009A208A">
        <w:t>un an de retard. Le</w:t>
      </w:r>
      <w:r w:rsidR="002D7C4B" w:rsidRPr="002D7C4B">
        <w:t xml:space="preserve"> Secrétaire a par ailleurs rappelé au Comité qu</w:t>
      </w:r>
      <w:r w:rsidR="00346F1B">
        <w:t>’</w:t>
      </w:r>
      <w:r w:rsidR="002D7C4B" w:rsidRPr="002D7C4B">
        <w:t>il s</w:t>
      </w:r>
      <w:r w:rsidR="00346F1B">
        <w:t>’</w:t>
      </w:r>
      <w:r w:rsidR="002D7C4B" w:rsidRPr="002D7C4B">
        <w:t>agissait là d</w:t>
      </w:r>
      <w:r w:rsidR="00346F1B">
        <w:t>’</w:t>
      </w:r>
      <w:r w:rsidR="002D7C4B" w:rsidRPr="002D7C4B">
        <w:t>un problème récurrent et qu</w:t>
      </w:r>
      <w:r w:rsidR="00346F1B">
        <w:t>’</w:t>
      </w:r>
      <w:r w:rsidR="002D7C4B" w:rsidRPr="002D7C4B">
        <w:t>en 2015, le Comité</w:t>
      </w:r>
      <w:r w:rsidR="009A208A">
        <w:t xml:space="preserve"> avait décidé, </w:t>
      </w:r>
      <w:r w:rsidR="002D7C4B" w:rsidRPr="002D7C4B">
        <w:t>pour la première fois</w:t>
      </w:r>
      <w:r w:rsidR="009A208A">
        <w:t>,</w:t>
      </w:r>
      <w:r w:rsidR="002D7C4B" w:rsidRPr="002D7C4B">
        <w:t xml:space="preserve"> d</w:t>
      </w:r>
      <w:r w:rsidR="00346F1B">
        <w:t>’</w:t>
      </w:r>
      <w:r w:rsidR="002D7C4B" w:rsidRPr="002D7C4B">
        <w:t xml:space="preserve">encourager les États parties à </w:t>
      </w:r>
      <w:r w:rsidR="00F978E2">
        <w:t>satisfaire</w:t>
      </w:r>
      <w:r w:rsidR="002D7C4B" w:rsidRPr="002D7C4B">
        <w:t xml:space="preserve"> leurs obligations d</w:t>
      </w:r>
      <w:r w:rsidR="00346F1B">
        <w:t>’</w:t>
      </w:r>
      <w:r w:rsidR="002D7C4B" w:rsidRPr="002D7C4B">
        <w:t>établir un rapport avant de soumettre de nouvelles candidatures. Le Secrétariat avait également pris des mesures, notamment</w:t>
      </w:r>
      <w:r w:rsidR="002D7C4B">
        <w:t xml:space="preserve"> : </w:t>
      </w:r>
      <w:r w:rsidR="002D7C4B" w:rsidRPr="002D7C4B">
        <w:t xml:space="preserve">une </w:t>
      </w:r>
      <w:hyperlink r:id="rId35" w:history="1">
        <w:r w:rsidR="00F06254" w:rsidRPr="00F06254">
          <w:rPr>
            <w:rStyle w:val="Hyperlink"/>
            <w:rFonts w:eastAsia="Arial"/>
          </w:rPr>
          <w:t>page web</w:t>
        </w:r>
      </w:hyperlink>
      <w:r w:rsidR="00F06254">
        <w:rPr>
          <w:rStyle w:val="Hyperlink"/>
          <w:rFonts w:eastAsia="Arial"/>
          <w:u w:val="none"/>
        </w:rPr>
        <w:t xml:space="preserve"> </w:t>
      </w:r>
      <w:r w:rsidR="002D7C4B" w:rsidRPr="002D7C4B">
        <w:rPr>
          <w:rStyle w:val="Hyperlink"/>
          <w:rFonts w:eastAsia="Arial"/>
          <w:color w:val="auto"/>
          <w:u w:val="none"/>
        </w:rPr>
        <w:t xml:space="preserve">consacrée </w:t>
      </w:r>
      <w:r w:rsidR="002D7C4B">
        <w:rPr>
          <w:rStyle w:val="Hyperlink"/>
          <w:rFonts w:eastAsia="Arial"/>
          <w:color w:val="auto"/>
          <w:u w:val="none"/>
        </w:rPr>
        <w:t>au</w:t>
      </w:r>
      <w:r w:rsidR="00F06254">
        <w:rPr>
          <w:rStyle w:val="Hyperlink"/>
          <w:rFonts w:eastAsia="Arial"/>
          <w:color w:val="auto"/>
          <w:u w:val="none"/>
        </w:rPr>
        <w:t>x</w:t>
      </w:r>
      <w:r w:rsidR="002D7C4B">
        <w:rPr>
          <w:rStyle w:val="Hyperlink"/>
          <w:rFonts w:eastAsia="Arial"/>
          <w:color w:val="auto"/>
          <w:u w:val="none"/>
        </w:rPr>
        <w:t xml:space="preserve"> rapports périodiques avec des </w:t>
      </w:r>
      <w:r w:rsidR="002D7C4B" w:rsidRPr="002D7C4B">
        <w:rPr>
          <w:rStyle w:val="Hyperlink"/>
          <w:rFonts w:eastAsia="Arial"/>
          <w:color w:val="auto"/>
          <w:u w:val="none"/>
        </w:rPr>
        <w:t>informations</w:t>
      </w:r>
      <w:r w:rsidR="002D7C4B">
        <w:rPr>
          <w:rStyle w:val="Hyperlink"/>
          <w:rFonts w:eastAsia="Arial"/>
          <w:color w:val="auto"/>
          <w:u w:val="none"/>
        </w:rPr>
        <w:t xml:space="preserve"> propres à chaque pays ;</w:t>
      </w:r>
      <w:r w:rsidR="00F06254">
        <w:rPr>
          <w:rStyle w:val="Hyperlink"/>
          <w:rFonts w:eastAsia="Arial"/>
          <w:color w:val="auto"/>
          <w:u w:val="none"/>
        </w:rPr>
        <w:t xml:space="preserve"> des lettres de rappel avec une version actualisée du formulaire propre à chaque pays ; une réunion d</w:t>
      </w:r>
      <w:r w:rsidR="00346F1B">
        <w:rPr>
          <w:rStyle w:val="Hyperlink"/>
          <w:rFonts w:eastAsia="Arial"/>
          <w:color w:val="auto"/>
          <w:u w:val="none"/>
        </w:rPr>
        <w:t>’</w:t>
      </w:r>
      <w:r w:rsidR="00CB7BA8">
        <w:rPr>
          <w:rStyle w:val="Hyperlink"/>
          <w:rFonts w:eastAsia="Arial"/>
          <w:color w:val="auto"/>
          <w:u w:val="none"/>
        </w:rPr>
        <w:t>information</w:t>
      </w:r>
      <w:r w:rsidR="00F06254">
        <w:rPr>
          <w:rStyle w:val="Hyperlink"/>
          <w:rFonts w:eastAsia="Arial"/>
          <w:color w:val="auto"/>
          <w:u w:val="none"/>
        </w:rPr>
        <w:t xml:space="preserve"> organisée au cours de la sixième session de l</w:t>
      </w:r>
      <w:r w:rsidR="00346F1B">
        <w:rPr>
          <w:rStyle w:val="Hyperlink"/>
          <w:rFonts w:eastAsia="Arial"/>
          <w:color w:val="auto"/>
          <w:u w:val="none"/>
        </w:rPr>
        <w:t>’</w:t>
      </w:r>
      <w:r w:rsidR="00F06254">
        <w:rPr>
          <w:rStyle w:val="Hyperlink"/>
          <w:rFonts w:eastAsia="Arial"/>
          <w:color w:val="auto"/>
          <w:u w:val="none"/>
        </w:rPr>
        <w:t xml:space="preserve">Assemblée générale ; et la mise à jour des « Orientations additionnelles pour compléter les rapports ». </w:t>
      </w:r>
      <w:r w:rsidR="00CB7BA8">
        <w:rPr>
          <w:rStyle w:val="Hyperlink"/>
          <w:rFonts w:eastAsia="Arial"/>
          <w:color w:val="auto"/>
          <w:u w:val="none"/>
        </w:rPr>
        <w:t>Le</w:t>
      </w:r>
      <w:r w:rsidR="00661FD3">
        <w:rPr>
          <w:rStyle w:val="Hyperlink"/>
          <w:rFonts w:eastAsia="Arial"/>
          <w:color w:val="auto"/>
          <w:u w:val="none"/>
        </w:rPr>
        <w:t xml:space="preserve"> </w:t>
      </w:r>
      <w:r w:rsidR="00661FD3" w:rsidRPr="00661FD3">
        <w:rPr>
          <w:rStyle w:val="Hyperlink"/>
          <w:rFonts w:eastAsia="Arial"/>
          <w:color w:val="auto"/>
          <w:u w:val="none"/>
        </w:rPr>
        <w:t>Secrétaire</w:t>
      </w:r>
      <w:r w:rsidR="00CB7BA8">
        <w:rPr>
          <w:rStyle w:val="Hyperlink"/>
          <w:rFonts w:eastAsia="Arial"/>
          <w:color w:val="auto"/>
          <w:u w:val="none"/>
        </w:rPr>
        <w:t xml:space="preserve"> souhaitait</w:t>
      </w:r>
      <w:r w:rsidR="00661FD3">
        <w:rPr>
          <w:rStyle w:val="Hyperlink"/>
          <w:rFonts w:eastAsia="Arial"/>
          <w:color w:val="auto"/>
          <w:u w:val="none"/>
        </w:rPr>
        <w:t xml:space="preserve"> remercier une fois encore la </w:t>
      </w:r>
      <w:r w:rsidR="00661FD3" w:rsidRPr="00661FD3">
        <w:rPr>
          <w:rStyle w:val="Hyperlink"/>
          <w:rFonts w:eastAsia="Arial"/>
          <w:color w:val="auto"/>
          <w:u w:val="none"/>
        </w:rPr>
        <w:t>République</w:t>
      </w:r>
      <w:r w:rsidR="00661FD3">
        <w:rPr>
          <w:rStyle w:val="Hyperlink"/>
          <w:rFonts w:eastAsia="Arial"/>
          <w:color w:val="auto"/>
          <w:u w:val="none"/>
        </w:rPr>
        <w:t xml:space="preserve"> de Corée pour sa généreuse contribution de 300</w:t>
      </w:r>
      <w:r w:rsidR="00346F1B">
        <w:rPr>
          <w:rStyle w:val="Hyperlink"/>
          <w:rFonts w:eastAsia="Arial"/>
          <w:color w:val="auto"/>
          <w:u w:val="none"/>
        </w:rPr>
        <w:t> 000</w:t>
      </w:r>
      <w:r w:rsidR="00661FD3">
        <w:rPr>
          <w:rStyle w:val="Hyperlink"/>
          <w:rFonts w:eastAsia="Arial"/>
          <w:color w:val="auto"/>
          <w:u w:val="none"/>
        </w:rPr>
        <w:t xml:space="preserve"> </w:t>
      </w:r>
      <w:r w:rsidR="00661FD3" w:rsidRPr="00661FD3">
        <w:rPr>
          <w:rStyle w:val="Hyperlink"/>
          <w:rFonts w:eastAsia="Arial"/>
          <w:color w:val="auto"/>
          <w:u w:val="none"/>
        </w:rPr>
        <w:t>dollars des États-Unis</w:t>
      </w:r>
      <w:r w:rsidR="00661FD3">
        <w:rPr>
          <w:rStyle w:val="Hyperlink"/>
          <w:rFonts w:eastAsia="Arial"/>
          <w:color w:val="auto"/>
          <w:u w:val="none"/>
        </w:rPr>
        <w:t xml:space="preserve"> au Fonds du patrimoine culturel immatériel afin d</w:t>
      </w:r>
      <w:r w:rsidR="00346F1B">
        <w:rPr>
          <w:rStyle w:val="Hyperlink"/>
          <w:rFonts w:eastAsia="Arial"/>
          <w:color w:val="auto"/>
          <w:u w:val="none"/>
        </w:rPr>
        <w:t>’</w:t>
      </w:r>
      <w:r w:rsidR="00661FD3">
        <w:rPr>
          <w:rStyle w:val="Hyperlink"/>
          <w:rFonts w:eastAsia="Arial"/>
          <w:color w:val="auto"/>
          <w:u w:val="none"/>
        </w:rPr>
        <w:t>aider le Secrétariat à améliorer le mécanisme de rapports périodiques</w:t>
      </w:r>
      <w:r w:rsidR="009A208A">
        <w:rPr>
          <w:rStyle w:val="Hyperlink"/>
          <w:rFonts w:eastAsia="Arial"/>
          <w:color w:val="auto"/>
          <w:u w:val="none"/>
        </w:rPr>
        <w:t xml:space="preserve">, </w:t>
      </w:r>
      <w:r w:rsidR="00661FD3">
        <w:rPr>
          <w:rStyle w:val="Hyperlink"/>
          <w:rFonts w:eastAsia="Arial"/>
          <w:color w:val="auto"/>
          <w:u w:val="none"/>
        </w:rPr>
        <w:t xml:space="preserve">approuvée </w:t>
      </w:r>
      <w:r w:rsidR="009A208A">
        <w:rPr>
          <w:rStyle w:val="Hyperlink"/>
          <w:rFonts w:eastAsia="Arial"/>
          <w:color w:val="auto"/>
          <w:u w:val="none"/>
        </w:rPr>
        <w:t xml:space="preserve">le jour précédent </w:t>
      </w:r>
      <w:r w:rsidR="00661FD3">
        <w:rPr>
          <w:rStyle w:val="Hyperlink"/>
          <w:rFonts w:eastAsia="Arial"/>
          <w:color w:val="auto"/>
          <w:u w:val="none"/>
        </w:rPr>
        <w:t xml:space="preserve">par le Comité au titre du point 6. </w:t>
      </w:r>
      <w:r w:rsidR="00661FD3" w:rsidRPr="00661FD3">
        <w:rPr>
          <w:rStyle w:val="Hyperlink"/>
          <w:rFonts w:eastAsia="Arial"/>
          <w:color w:val="auto"/>
          <w:u w:val="none"/>
        </w:rPr>
        <w:t>Néanmoins</w:t>
      </w:r>
      <w:r w:rsidR="00661FD3">
        <w:rPr>
          <w:rStyle w:val="Hyperlink"/>
          <w:rFonts w:eastAsia="Arial"/>
          <w:color w:val="auto"/>
          <w:u w:val="none"/>
        </w:rPr>
        <w:t>, la question demeurait : pourquoi les rapports n</w:t>
      </w:r>
      <w:r w:rsidR="00346F1B">
        <w:rPr>
          <w:rStyle w:val="Hyperlink"/>
          <w:rFonts w:eastAsia="Arial"/>
          <w:color w:val="auto"/>
          <w:u w:val="none"/>
        </w:rPr>
        <w:t>’</w:t>
      </w:r>
      <w:r w:rsidR="00661FD3">
        <w:rPr>
          <w:rStyle w:val="Hyperlink"/>
          <w:rFonts w:eastAsia="Arial"/>
          <w:color w:val="auto"/>
          <w:u w:val="none"/>
        </w:rPr>
        <w:t>étaient-ils pas</w:t>
      </w:r>
      <w:r w:rsidR="009A208A">
        <w:rPr>
          <w:rStyle w:val="Hyperlink"/>
          <w:rFonts w:eastAsia="Arial"/>
          <w:color w:val="auto"/>
          <w:u w:val="none"/>
        </w:rPr>
        <w:t xml:space="preserve"> rendus </w:t>
      </w:r>
      <w:r w:rsidR="00661FD3">
        <w:rPr>
          <w:rStyle w:val="Hyperlink"/>
          <w:rFonts w:eastAsia="Arial"/>
          <w:color w:val="auto"/>
          <w:u w:val="none"/>
        </w:rPr>
        <w:t>? En outre, il serait important d</w:t>
      </w:r>
      <w:r w:rsidR="00346F1B">
        <w:rPr>
          <w:rStyle w:val="Hyperlink"/>
          <w:rFonts w:eastAsia="Arial"/>
          <w:color w:val="auto"/>
          <w:u w:val="none"/>
        </w:rPr>
        <w:t>’</w:t>
      </w:r>
      <w:r w:rsidR="00661FD3">
        <w:rPr>
          <w:rStyle w:val="Hyperlink"/>
          <w:rFonts w:eastAsia="Arial"/>
          <w:color w:val="auto"/>
          <w:u w:val="none"/>
        </w:rPr>
        <w:t xml:space="preserve">analyser leur rôle dans le cadre global de résultats pour la </w:t>
      </w:r>
      <w:r w:rsidR="00661FD3" w:rsidRPr="00661FD3">
        <w:rPr>
          <w:rStyle w:val="Hyperlink"/>
          <w:rFonts w:eastAsia="Arial"/>
          <w:color w:val="auto"/>
          <w:u w:val="none"/>
        </w:rPr>
        <w:t>Convention</w:t>
      </w:r>
      <w:r w:rsidR="00661FD3">
        <w:rPr>
          <w:rStyle w:val="Hyperlink"/>
          <w:rFonts w:eastAsia="Arial"/>
          <w:color w:val="auto"/>
          <w:u w:val="none"/>
        </w:rPr>
        <w:t xml:space="preserve"> (point 14 de l</w:t>
      </w:r>
      <w:r w:rsidR="00346F1B">
        <w:rPr>
          <w:rStyle w:val="Hyperlink"/>
          <w:rFonts w:eastAsia="Arial"/>
          <w:color w:val="auto"/>
          <w:u w:val="none"/>
        </w:rPr>
        <w:t>’</w:t>
      </w:r>
      <w:r w:rsidR="00661FD3" w:rsidRPr="00661FD3">
        <w:rPr>
          <w:rStyle w:val="Hyperlink"/>
          <w:rFonts w:eastAsia="Arial"/>
          <w:color w:val="auto"/>
          <w:u w:val="none"/>
        </w:rPr>
        <w:t>ordre du jour</w:t>
      </w:r>
      <w:r w:rsidR="00661FD3">
        <w:rPr>
          <w:rStyle w:val="Hyperlink"/>
          <w:rFonts w:eastAsia="Arial"/>
          <w:color w:val="auto"/>
          <w:u w:val="none"/>
        </w:rPr>
        <w:t>).</w:t>
      </w:r>
      <w:r w:rsidR="003B1E54">
        <w:rPr>
          <w:rStyle w:val="Hyperlink"/>
          <w:rFonts w:eastAsia="Arial"/>
          <w:color w:val="auto"/>
          <w:u w:val="none"/>
        </w:rPr>
        <w:t xml:space="preserve"> Après avoir progressé</w:t>
      </w:r>
      <w:r w:rsidR="00661FD3">
        <w:rPr>
          <w:rStyle w:val="Hyperlink"/>
          <w:rFonts w:eastAsia="Arial"/>
          <w:color w:val="auto"/>
          <w:u w:val="none"/>
        </w:rPr>
        <w:t xml:space="preserve"> sur l</w:t>
      </w:r>
      <w:r w:rsidR="00346F1B">
        <w:rPr>
          <w:rStyle w:val="Hyperlink"/>
          <w:rFonts w:eastAsia="Arial"/>
          <w:color w:val="auto"/>
          <w:u w:val="none"/>
        </w:rPr>
        <w:t>’</w:t>
      </w:r>
      <w:r w:rsidR="00661FD3">
        <w:rPr>
          <w:rStyle w:val="Hyperlink"/>
          <w:rFonts w:eastAsia="Arial"/>
          <w:color w:val="auto"/>
          <w:u w:val="none"/>
        </w:rPr>
        <w:t xml:space="preserve">idée </w:t>
      </w:r>
      <w:r w:rsidR="003B1E54">
        <w:rPr>
          <w:rStyle w:val="Hyperlink"/>
          <w:rFonts w:eastAsia="Arial"/>
          <w:color w:val="auto"/>
          <w:u w:val="none"/>
        </w:rPr>
        <w:t xml:space="preserve">de ce que pourrait être </w:t>
      </w:r>
      <w:r w:rsidR="00661FD3">
        <w:rPr>
          <w:rStyle w:val="Hyperlink"/>
          <w:rFonts w:eastAsia="Arial"/>
          <w:color w:val="auto"/>
          <w:u w:val="none"/>
        </w:rPr>
        <w:t xml:space="preserve">un </w:t>
      </w:r>
      <w:r w:rsidR="00661FD3" w:rsidRPr="00661FD3">
        <w:rPr>
          <w:rStyle w:val="Hyperlink"/>
          <w:rFonts w:eastAsia="Arial"/>
          <w:color w:val="auto"/>
          <w:u w:val="none"/>
        </w:rPr>
        <w:t>groupe de travail</w:t>
      </w:r>
      <w:r w:rsidR="00661FD3">
        <w:rPr>
          <w:rStyle w:val="Hyperlink"/>
          <w:rFonts w:eastAsia="Arial"/>
          <w:color w:val="auto"/>
          <w:u w:val="none"/>
        </w:rPr>
        <w:t xml:space="preserve"> </w:t>
      </w:r>
      <w:r w:rsidR="00881A0A">
        <w:rPr>
          <w:rStyle w:val="Hyperlink"/>
          <w:rFonts w:eastAsia="Arial"/>
          <w:color w:val="auto"/>
          <w:u w:val="none"/>
        </w:rPr>
        <w:t xml:space="preserve">à composition non limitée </w:t>
      </w:r>
      <w:r w:rsidR="003B1E54">
        <w:rPr>
          <w:rStyle w:val="Hyperlink"/>
          <w:rFonts w:eastAsia="Arial"/>
          <w:color w:val="auto"/>
          <w:u w:val="none"/>
        </w:rPr>
        <w:t xml:space="preserve">(sous réserve de la mise à disposition de ressources extrabudgétaires), la question était désormais de savoir si ce cadre pourrait avoir une influence sur le mécanisme de rapports périodiques. Le débat sur le cadre global de résultats pourrait </w:t>
      </w:r>
      <w:r w:rsidR="003B1E54" w:rsidRPr="003B1E54">
        <w:rPr>
          <w:rStyle w:val="Hyperlink"/>
          <w:rFonts w:eastAsia="Arial"/>
          <w:color w:val="auto"/>
          <w:u w:val="none"/>
        </w:rPr>
        <w:t>également</w:t>
      </w:r>
      <w:r w:rsidR="003B1E54">
        <w:rPr>
          <w:rStyle w:val="Hyperlink"/>
          <w:rFonts w:eastAsia="Arial"/>
          <w:color w:val="auto"/>
          <w:u w:val="none"/>
        </w:rPr>
        <w:t xml:space="preserve"> alimenter le débat sur les modalités d</w:t>
      </w:r>
      <w:r w:rsidR="00346F1B">
        <w:rPr>
          <w:rStyle w:val="Hyperlink"/>
          <w:rFonts w:eastAsia="Arial"/>
          <w:color w:val="auto"/>
          <w:u w:val="none"/>
        </w:rPr>
        <w:t>’</w:t>
      </w:r>
      <w:r w:rsidR="003B1E54" w:rsidRPr="003B1E54">
        <w:rPr>
          <w:rStyle w:val="Hyperlink"/>
          <w:rFonts w:eastAsia="Arial"/>
          <w:color w:val="auto"/>
          <w:u w:val="none"/>
        </w:rPr>
        <w:t>amélioration</w:t>
      </w:r>
      <w:r w:rsidR="003B1E54">
        <w:rPr>
          <w:rStyle w:val="Hyperlink"/>
          <w:rFonts w:eastAsia="Arial"/>
          <w:color w:val="auto"/>
          <w:u w:val="none"/>
        </w:rPr>
        <w:t xml:space="preserve"> du système de rapports en cours, en envisageant</w:t>
      </w:r>
      <w:r w:rsidR="009A208A">
        <w:rPr>
          <w:rStyle w:val="Hyperlink"/>
          <w:rFonts w:eastAsia="Arial"/>
          <w:color w:val="auto"/>
          <w:u w:val="none"/>
        </w:rPr>
        <w:t>,</w:t>
      </w:r>
      <w:r w:rsidR="003B1E54">
        <w:rPr>
          <w:rStyle w:val="Hyperlink"/>
          <w:rFonts w:eastAsia="Arial"/>
          <w:color w:val="auto"/>
          <w:u w:val="none"/>
        </w:rPr>
        <w:t xml:space="preserve"> </w:t>
      </w:r>
      <w:r w:rsidR="003B1E54" w:rsidRPr="003B1E54">
        <w:rPr>
          <w:rStyle w:val="Hyperlink"/>
          <w:rFonts w:eastAsia="Arial"/>
          <w:color w:val="auto"/>
          <w:u w:val="none"/>
        </w:rPr>
        <w:t>par exemple</w:t>
      </w:r>
      <w:r w:rsidR="003B1E54">
        <w:rPr>
          <w:rStyle w:val="Hyperlink"/>
          <w:rFonts w:eastAsia="Arial"/>
          <w:color w:val="auto"/>
          <w:u w:val="none"/>
        </w:rPr>
        <w:t>, de rédiger des rapports régionaux, des rapports multiples voire un rapport</w:t>
      </w:r>
      <w:r w:rsidR="009A208A">
        <w:rPr>
          <w:rStyle w:val="Hyperlink"/>
          <w:rFonts w:eastAsia="Arial"/>
          <w:color w:val="auto"/>
          <w:u w:val="none"/>
        </w:rPr>
        <w:t xml:space="preserve"> mondial</w:t>
      </w:r>
      <w:r w:rsidR="003B1E54">
        <w:rPr>
          <w:rStyle w:val="Hyperlink"/>
          <w:rFonts w:eastAsia="Arial"/>
          <w:color w:val="auto"/>
          <w:u w:val="none"/>
        </w:rPr>
        <w:t xml:space="preserve">. </w:t>
      </w:r>
      <w:r w:rsidR="003B1E54" w:rsidRPr="003B1E54">
        <w:rPr>
          <w:rStyle w:val="Hyperlink"/>
          <w:rFonts w:eastAsia="Arial"/>
          <w:color w:val="auto"/>
          <w:u w:val="none"/>
        </w:rPr>
        <w:t>En ce qui concerne</w:t>
      </w:r>
      <w:r w:rsidR="003B1E54">
        <w:rPr>
          <w:rStyle w:val="Hyperlink"/>
          <w:rFonts w:eastAsia="Arial"/>
          <w:color w:val="auto"/>
          <w:u w:val="none"/>
        </w:rPr>
        <w:t xml:space="preserve"> l</w:t>
      </w:r>
      <w:r w:rsidR="00346F1B">
        <w:rPr>
          <w:rStyle w:val="Hyperlink"/>
          <w:rFonts w:eastAsia="Arial"/>
          <w:color w:val="auto"/>
          <w:u w:val="none"/>
        </w:rPr>
        <w:t>’</w:t>
      </w:r>
      <w:r w:rsidR="003B1E54">
        <w:rPr>
          <w:rStyle w:val="Hyperlink"/>
          <w:rFonts w:eastAsia="Arial"/>
          <w:color w:val="auto"/>
          <w:u w:val="none"/>
        </w:rPr>
        <w:t xml:space="preserve">annexe, outre </w:t>
      </w:r>
      <w:r w:rsidR="009A208A">
        <w:rPr>
          <w:rStyle w:val="Hyperlink"/>
          <w:rFonts w:eastAsia="Arial"/>
          <w:color w:val="auto"/>
          <w:u w:val="none"/>
        </w:rPr>
        <w:t>la partie II qui présentait</w:t>
      </w:r>
      <w:r w:rsidR="00BA5F89">
        <w:rPr>
          <w:rStyle w:val="Hyperlink"/>
          <w:rFonts w:eastAsia="Arial"/>
          <w:color w:val="auto"/>
          <w:u w:val="none"/>
        </w:rPr>
        <w:t xml:space="preserve"> un </w:t>
      </w:r>
      <w:r w:rsidR="003B1E54">
        <w:rPr>
          <w:rStyle w:val="Hyperlink"/>
          <w:rFonts w:eastAsia="Arial"/>
          <w:color w:val="auto"/>
          <w:u w:val="none"/>
        </w:rPr>
        <w:t>aperçu des principaux sujets</w:t>
      </w:r>
      <w:r w:rsidR="00BA5F89">
        <w:rPr>
          <w:rStyle w:val="Hyperlink"/>
          <w:rFonts w:eastAsia="Arial"/>
          <w:color w:val="auto"/>
          <w:u w:val="none"/>
        </w:rPr>
        <w:t xml:space="preserve"> couverts par les six rapports,</w:t>
      </w:r>
      <w:r w:rsidR="003B1E54">
        <w:rPr>
          <w:rStyle w:val="Hyperlink"/>
          <w:rFonts w:eastAsia="Arial"/>
          <w:color w:val="auto"/>
          <w:u w:val="none"/>
        </w:rPr>
        <w:t xml:space="preserve"> le Secrétariat, dans la partie III, présentait </w:t>
      </w:r>
      <w:r w:rsidR="00BA5F89">
        <w:rPr>
          <w:rStyle w:val="Hyperlink"/>
          <w:rFonts w:eastAsia="Arial"/>
          <w:color w:val="auto"/>
          <w:u w:val="none"/>
        </w:rPr>
        <w:t>une analyse cumulative et approfondie de tous les rapports soumis jusqu</w:t>
      </w:r>
      <w:r w:rsidR="00346F1B">
        <w:rPr>
          <w:rStyle w:val="Hyperlink"/>
          <w:rFonts w:eastAsia="Arial"/>
          <w:color w:val="auto"/>
          <w:u w:val="none"/>
        </w:rPr>
        <w:t>’</w:t>
      </w:r>
      <w:r w:rsidR="00BA5F89">
        <w:rPr>
          <w:rStyle w:val="Hyperlink"/>
          <w:rFonts w:eastAsia="Arial"/>
          <w:color w:val="auto"/>
          <w:u w:val="none"/>
        </w:rPr>
        <w:t>alors, analyse qui, en 2016, s</w:t>
      </w:r>
      <w:r w:rsidR="00346F1B">
        <w:rPr>
          <w:rStyle w:val="Hyperlink"/>
          <w:rFonts w:eastAsia="Arial"/>
          <w:color w:val="auto"/>
          <w:u w:val="none"/>
        </w:rPr>
        <w:t>’</w:t>
      </w:r>
      <w:r w:rsidR="00BA5F89">
        <w:rPr>
          <w:rStyle w:val="Hyperlink"/>
          <w:rFonts w:eastAsia="Arial"/>
          <w:color w:val="auto"/>
          <w:u w:val="none"/>
        </w:rPr>
        <w:t xml:space="preserve">intéressait tout </w:t>
      </w:r>
      <w:r w:rsidR="00BA5F89" w:rsidRPr="00BA5F89">
        <w:rPr>
          <w:rStyle w:val="Hyperlink"/>
          <w:rFonts w:eastAsia="Arial"/>
          <w:color w:val="auto"/>
          <w:u w:val="none"/>
        </w:rPr>
        <w:t>particulièrement</w:t>
      </w:r>
      <w:r w:rsidR="00BA5F89">
        <w:rPr>
          <w:rStyle w:val="Hyperlink"/>
          <w:rFonts w:eastAsia="Arial"/>
          <w:color w:val="auto"/>
          <w:u w:val="none"/>
        </w:rPr>
        <w:t xml:space="preserve"> à l</w:t>
      </w:r>
      <w:r w:rsidR="00346F1B">
        <w:rPr>
          <w:rStyle w:val="Hyperlink"/>
          <w:rFonts w:eastAsia="Arial"/>
          <w:color w:val="auto"/>
          <w:u w:val="none"/>
        </w:rPr>
        <w:t>’</w:t>
      </w:r>
      <w:r w:rsidR="00BA5F89">
        <w:rPr>
          <w:rStyle w:val="Hyperlink"/>
          <w:rFonts w:eastAsia="Arial"/>
          <w:color w:val="auto"/>
          <w:u w:val="none"/>
        </w:rPr>
        <w:t xml:space="preserve">intégration du patrimoine culturel immatériel et de sa </w:t>
      </w:r>
      <w:r w:rsidR="00BA5F89" w:rsidRPr="00BA5F89">
        <w:rPr>
          <w:rStyle w:val="Hyperlink"/>
          <w:rFonts w:eastAsia="Arial"/>
          <w:color w:val="auto"/>
          <w:u w:val="none"/>
        </w:rPr>
        <w:t>sauvegarde</w:t>
      </w:r>
      <w:r w:rsidR="00BA5F89">
        <w:rPr>
          <w:rStyle w:val="Hyperlink"/>
          <w:rFonts w:eastAsia="Arial"/>
          <w:color w:val="auto"/>
          <w:u w:val="none"/>
        </w:rPr>
        <w:t xml:space="preserve"> dans les politiques culturelles et autres. Pour le cyc</w:t>
      </w:r>
      <w:r w:rsidR="00EC3251">
        <w:rPr>
          <w:rStyle w:val="Hyperlink"/>
          <w:rFonts w:eastAsia="Arial"/>
          <w:color w:val="auto"/>
          <w:u w:val="none"/>
        </w:rPr>
        <w:t>le 2</w:t>
      </w:r>
      <w:r w:rsidR="00E57AD2">
        <w:rPr>
          <w:rStyle w:val="Hyperlink"/>
          <w:rFonts w:eastAsia="Arial"/>
          <w:color w:val="auto"/>
          <w:u w:val="none"/>
        </w:rPr>
        <w:t>017, une étude approfondie était</w:t>
      </w:r>
      <w:r w:rsidR="00EC3251">
        <w:rPr>
          <w:rStyle w:val="Hyperlink"/>
          <w:rFonts w:eastAsia="Arial"/>
          <w:color w:val="auto"/>
          <w:u w:val="none"/>
        </w:rPr>
        <w:t xml:space="preserve"> proposée, elle serait consacrée aux</w:t>
      </w:r>
      <w:r w:rsidR="00BA5F89">
        <w:rPr>
          <w:rStyle w:val="Hyperlink"/>
          <w:rFonts w:eastAsia="Arial"/>
          <w:color w:val="auto"/>
          <w:u w:val="none"/>
        </w:rPr>
        <w:t xml:space="preserve"> mesures prises par les États parties afin d</w:t>
      </w:r>
      <w:r w:rsidR="00346F1B">
        <w:rPr>
          <w:rStyle w:val="Hyperlink"/>
          <w:rFonts w:eastAsia="Arial"/>
          <w:color w:val="auto"/>
          <w:u w:val="none"/>
        </w:rPr>
        <w:t>’</w:t>
      </w:r>
      <w:r w:rsidR="00BA5F89">
        <w:rPr>
          <w:rStyle w:val="Hyperlink"/>
          <w:rFonts w:eastAsia="Arial"/>
          <w:color w:val="auto"/>
          <w:u w:val="none"/>
        </w:rPr>
        <w:t xml:space="preserve">établir et de renforcer, sur leurs territoires, des capacités dans le domaine de la </w:t>
      </w:r>
      <w:r w:rsidR="00BA5F89" w:rsidRPr="00BA5F89">
        <w:rPr>
          <w:rStyle w:val="Hyperlink"/>
          <w:rFonts w:eastAsia="Arial"/>
          <w:color w:val="auto"/>
          <w:u w:val="none"/>
        </w:rPr>
        <w:t>sauvegarde</w:t>
      </w:r>
      <w:r w:rsidR="00BA5F89">
        <w:rPr>
          <w:rStyle w:val="Hyperlink"/>
          <w:rFonts w:eastAsia="Arial"/>
          <w:color w:val="auto"/>
          <w:u w:val="none"/>
        </w:rPr>
        <w:t xml:space="preserve"> du patrimoine culturel immatériel. La partie IV de l</w:t>
      </w:r>
      <w:r w:rsidR="00346F1B">
        <w:rPr>
          <w:rStyle w:val="Hyperlink"/>
          <w:rFonts w:eastAsia="Arial"/>
          <w:color w:val="auto"/>
          <w:u w:val="none"/>
        </w:rPr>
        <w:t>’</w:t>
      </w:r>
      <w:r w:rsidR="00BA5F89">
        <w:rPr>
          <w:rStyle w:val="Hyperlink"/>
          <w:rFonts w:eastAsia="Arial"/>
          <w:color w:val="auto"/>
          <w:u w:val="none"/>
        </w:rPr>
        <w:t xml:space="preserve">annexe était constituée des résumés de chacun des six rapports reçus, qui seraient mis à disposition sur le site web de la </w:t>
      </w:r>
      <w:r w:rsidR="00BA5F89" w:rsidRPr="00BA5F89">
        <w:rPr>
          <w:rStyle w:val="Hyperlink"/>
          <w:rFonts w:eastAsia="Arial"/>
          <w:color w:val="auto"/>
          <w:u w:val="none"/>
        </w:rPr>
        <w:t>Convention</w:t>
      </w:r>
      <w:r w:rsidR="00BA5F89">
        <w:rPr>
          <w:rStyle w:val="Hyperlink"/>
          <w:rFonts w:eastAsia="Arial"/>
          <w:color w:val="auto"/>
          <w:u w:val="none"/>
        </w:rPr>
        <w:t>, comme c</w:t>
      </w:r>
      <w:r w:rsidR="00346F1B">
        <w:rPr>
          <w:rStyle w:val="Hyperlink"/>
          <w:rFonts w:eastAsia="Arial"/>
          <w:color w:val="auto"/>
          <w:u w:val="none"/>
        </w:rPr>
        <w:t>’</w:t>
      </w:r>
      <w:r w:rsidR="00BA5F89">
        <w:rPr>
          <w:rStyle w:val="Hyperlink"/>
          <w:rFonts w:eastAsia="Arial"/>
          <w:color w:val="auto"/>
          <w:u w:val="none"/>
        </w:rPr>
        <w:t xml:space="preserve">était </w:t>
      </w:r>
      <w:r w:rsidR="00BA5F89" w:rsidRPr="00BA5F89">
        <w:rPr>
          <w:rStyle w:val="Hyperlink"/>
          <w:rFonts w:eastAsia="Arial"/>
          <w:color w:val="auto"/>
          <w:u w:val="none"/>
        </w:rPr>
        <w:t>également</w:t>
      </w:r>
      <w:r w:rsidR="00BA5F89">
        <w:rPr>
          <w:rStyle w:val="Hyperlink"/>
          <w:rFonts w:eastAsia="Arial"/>
          <w:color w:val="auto"/>
          <w:u w:val="none"/>
        </w:rPr>
        <w:t xml:space="preserve"> le cas pour </w:t>
      </w:r>
      <w:r w:rsidR="00EC3251">
        <w:rPr>
          <w:rStyle w:val="Hyperlink"/>
          <w:rFonts w:eastAsia="Arial"/>
          <w:color w:val="auto"/>
          <w:u w:val="none"/>
        </w:rPr>
        <w:t xml:space="preserve">les rapports </w:t>
      </w:r>
      <w:r w:rsidR="00BA5F89">
        <w:rPr>
          <w:rStyle w:val="Hyperlink"/>
          <w:rFonts w:eastAsia="Arial"/>
          <w:color w:val="auto"/>
          <w:u w:val="none"/>
        </w:rPr>
        <w:t xml:space="preserve">reçus entre 2011 et 2015. </w:t>
      </w:r>
      <w:r w:rsidR="009A208A">
        <w:rPr>
          <w:rStyle w:val="Hyperlink"/>
          <w:rFonts w:eastAsia="Arial"/>
          <w:color w:val="auto"/>
          <w:u w:val="none"/>
        </w:rPr>
        <w:t>Le projet de décision proposé par le Secrétariat mettait en exergue quelques tendances générales et abordait plusieurs</w:t>
      </w:r>
      <w:r w:rsidR="002B6656">
        <w:rPr>
          <w:rStyle w:val="Hyperlink"/>
          <w:rFonts w:eastAsia="Arial"/>
          <w:color w:val="auto"/>
          <w:u w:val="none"/>
        </w:rPr>
        <w:t xml:space="preserve"> points soulevés dans l</w:t>
      </w:r>
      <w:r w:rsidR="00346F1B">
        <w:rPr>
          <w:rStyle w:val="Hyperlink"/>
          <w:rFonts w:eastAsia="Arial"/>
          <w:color w:val="auto"/>
          <w:u w:val="none"/>
        </w:rPr>
        <w:t>’</w:t>
      </w:r>
      <w:r w:rsidR="002B6656">
        <w:rPr>
          <w:rStyle w:val="Hyperlink"/>
          <w:rFonts w:eastAsia="Arial"/>
          <w:color w:val="auto"/>
          <w:u w:val="none"/>
        </w:rPr>
        <w:t>annexe.</w:t>
      </w:r>
    </w:p>
    <w:p w14:paraId="4D59BCCA" w14:textId="78A3EDEA" w:rsidR="00EC3251" w:rsidRDefault="00EC3251" w:rsidP="00AF7860">
      <w:pPr>
        <w:pStyle w:val="Orateurengris"/>
        <w:spacing w:before="120"/>
        <w:ind w:left="709" w:hanging="709"/>
      </w:pPr>
      <w:r>
        <w:t xml:space="preserve">Après avoir remercié le </w:t>
      </w:r>
      <w:r w:rsidRPr="00EC3251">
        <w:t>Secrétaire</w:t>
      </w:r>
      <w:r>
        <w:t xml:space="preserve">, le </w:t>
      </w:r>
      <w:r w:rsidRPr="00EC3251">
        <w:rPr>
          <w:b/>
        </w:rPr>
        <w:t>Président</w:t>
      </w:r>
      <w:r>
        <w:t xml:space="preserve"> a donné la parole aux États qui avaient soumis un rapport afin qu</w:t>
      </w:r>
      <w:r w:rsidR="00346F1B">
        <w:t>’</w:t>
      </w:r>
      <w:r>
        <w:t xml:space="preserve">ils partagent leurs expériences sur les défis et opportunités rencontrés dans le cadre de la mise en œuvre de la </w:t>
      </w:r>
      <w:r w:rsidRPr="00EC3251">
        <w:t>Convention</w:t>
      </w:r>
      <w:r w:rsidR="002B6656">
        <w:t xml:space="preserve"> de 2003 au niveau national.</w:t>
      </w:r>
    </w:p>
    <w:p w14:paraId="6EFB087C" w14:textId="29252D51" w:rsidR="00AA2462" w:rsidRPr="00AA2462" w:rsidRDefault="00EC3251" w:rsidP="00AF7860">
      <w:pPr>
        <w:pStyle w:val="Orateurengris"/>
        <w:spacing w:before="120"/>
        <w:ind w:left="709" w:hanging="709"/>
      </w:pPr>
      <w:r>
        <w:t xml:space="preserve">La </w:t>
      </w:r>
      <w:r w:rsidRPr="00EC3251">
        <w:t>délégation</w:t>
      </w:r>
      <w:r>
        <w:t xml:space="preserve"> de l</w:t>
      </w:r>
      <w:r w:rsidR="00346F1B">
        <w:t>’</w:t>
      </w:r>
      <w:r w:rsidRPr="00EC3251">
        <w:rPr>
          <w:b/>
        </w:rPr>
        <w:t>Autriche</w:t>
      </w:r>
      <w:r>
        <w:t xml:space="preserve"> appréciait la proposition qui lui avait été faite de partager son expérience. Désireuse de se concentrer sur deux aspects de la mise en œuvre qui étaient considérés comme </w:t>
      </w:r>
      <w:r w:rsidRPr="00EC3251">
        <w:t>particulièrement</w:t>
      </w:r>
      <w:r>
        <w:t xml:space="preserve"> pertinents, la </w:t>
      </w:r>
      <w:r w:rsidRPr="00EC3251">
        <w:t>délégation</w:t>
      </w:r>
      <w:r>
        <w:t xml:space="preserve"> a d</w:t>
      </w:r>
      <w:r w:rsidR="00346F1B">
        <w:t>’</w:t>
      </w:r>
      <w:r>
        <w:t xml:space="preserve">abord évoqué la </w:t>
      </w:r>
      <w:r w:rsidRPr="00EC3251">
        <w:t>réalisation</w:t>
      </w:r>
      <w:r>
        <w:t xml:space="preserve"> de l</w:t>
      </w:r>
      <w:r w:rsidR="00346F1B">
        <w:t>’</w:t>
      </w:r>
      <w:r>
        <w:t xml:space="preserve">inventaire national, décrite comme un processus </w:t>
      </w:r>
      <w:r w:rsidR="00AA2462">
        <w:t>d</w:t>
      </w:r>
      <w:r w:rsidR="00346F1B">
        <w:t>’</w:t>
      </w:r>
      <w:r w:rsidR="00AA2462">
        <w:t xml:space="preserve">apprentissage et </w:t>
      </w:r>
      <w:r>
        <w:t xml:space="preserve">évolutif qui nécessitait une actualisation régulière, un suivi et une révision. Depuis la </w:t>
      </w:r>
      <w:r w:rsidRPr="00EC3251">
        <w:t>ratification</w:t>
      </w:r>
      <w:r>
        <w:t xml:space="preserve"> de la </w:t>
      </w:r>
      <w:r w:rsidRPr="00EC3251">
        <w:t>Convention</w:t>
      </w:r>
      <w:r>
        <w:t xml:space="preserve"> par l</w:t>
      </w:r>
      <w:r w:rsidR="00346F1B">
        <w:t>’</w:t>
      </w:r>
      <w:r>
        <w:t>Autriche en 2009, les critères d</w:t>
      </w:r>
      <w:r w:rsidR="00346F1B">
        <w:t>’</w:t>
      </w:r>
      <w:r w:rsidRPr="00EC3251">
        <w:t>inscription</w:t>
      </w:r>
      <w:r>
        <w:t xml:space="preserve"> à l</w:t>
      </w:r>
      <w:r w:rsidR="00346F1B">
        <w:t>’</w:t>
      </w:r>
      <w:r w:rsidRPr="00EC3251">
        <w:t>inventaire</w:t>
      </w:r>
      <w:r>
        <w:t xml:space="preserve"> national avaient été révisés, enrichis et, pour certains, supprimés. L</w:t>
      </w:r>
      <w:r w:rsidR="00346F1B">
        <w:t>’</w:t>
      </w:r>
      <w:r>
        <w:t>Autriche avait commencé à évaluer les effets de l</w:t>
      </w:r>
      <w:r w:rsidR="00346F1B">
        <w:t>’</w:t>
      </w:r>
      <w:r w:rsidRPr="00EC3251">
        <w:t>inscription</w:t>
      </w:r>
      <w:r w:rsidR="00C72B1B">
        <w:t xml:space="preserve"> à l</w:t>
      </w:r>
      <w:r w:rsidR="00346F1B">
        <w:t>’</w:t>
      </w:r>
      <w:r w:rsidR="00C72B1B">
        <w:t xml:space="preserve">occasion de la </w:t>
      </w:r>
      <w:r w:rsidR="00C72B1B" w:rsidRPr="00C72B1B">
        <w:t>préparation</w:t>
      </w:r>
      <w:r w:rsidR="00C72B1B">
        <w:t xml:space="preserve"> du rapport, ce qui était favorable au processus de mise en œuvre </w:t>
      </w:r>
      <w:r w:rsidR="00AA2462">
        <w:t xml:space="preserve">de la </w:t>
      </w:r>
      <w:r w:rsidR="00AA2462" w:rsidRPr="00AA2462">
        <w:t>Convention</w:t>
      </w:r>
      <w:r w:rsidR="00AA2462">
        <w:t xml:space="preserve"> </w:t>
      </w:r>
      <w:r w:rsidR="00C72B1B">
        <w:t>dans son ensemble. Toutefois, un mécanisme faisait défaut, celui qui permettrait de rester en contact avec les praticiens une fois l</w:t>
      </w:r>
      <w:r w:rsidR="00346F1B">
        <w:t>’</w:t>
      </w:r>
      <w:r w:rsidR="00C72B1B">
        <w:t>élément inscrit à l</w:t>
      </w:r>
      <w:r w:rsidR="00346F1B">
        <w:t>’</w:t>
      </w:r>
      <w:r w:rsidR="00C72B1B" w:rsidRPr="00C72B1B">
        <w:t>inventaire</w:t>
      </w:r>
      <w:r w:rsidR="00C72B1B">
        <w:t xml:space="preserve">. Il conviendrait </w:t>
      </w:r>
      <w:r w:rsidR="00C72B1B" w:rsidRPr="00C72B1B">
        <w:t>également</w:t>
      </w:r>
      <w:r w:rsidR="00C72B1B">
        <w:t xml:space="preserve"> d</w:t>
      </w:r>
      <w:r w:rsidR="00346F1B">
        <w:t>’</w:t>
      </w:r>
      <w:r w:rsidR="00C72B1B">
        <w:t xml:space="preserve">établir un meilleur équilibre entre les cinq domaines. À cet égard, les rapports des autres États parties pouvaient </w:t>
      </w:r>
      <w:r w:rsidR="00905ED9">
        <w:t>être utilisés afin d</w:t>
      </w:r>
      <w:r w:rsidR="00346F1B">
        <w:t>’</w:t>
      </w:r>
      <w:r w:rsidR="00905ED9">
        <w:t xml:space="preserve">établir des comparaisons et de partager </w:t>
      </w:r>
      <w:r w:rsidR="00C72B1B">
        <w:t>des idées et des bonnes pratiques.</w:t>
      </w:r>
      <w:r w:rsidR="00905ED9">
        <w:t xml:space="preserve"> La </w:t>
      </w:r>
      <w:r w:rsidR="00905ED9" w:rsidRPr="00905ED9">
        <w:t>délégation</w:t>
      </w:r>
      <w:r w:rsidR="00905ED9">
        <w:t xml:space="preserve"> a ensuite précisé que le rapport avait été préparé dans le cadre d</w:t>
      </w:r>
      <w:r w:rsidR="00346F1B">
        <w:t>’</w:t>
      </w:r>
      <w:r w:rsidR="00905ED9">
        <w:t>un</w:t>
      </w:r>
      <w:r w:rsidR="00AA2462">
        <w:t>e</w:t>
      </w:r>
      <w:r w:rsidR="00C72B1B">
        <w:t xml:space="preserve"> étroite </w:t>
      </w:r>
      <w:r w:rsidR="00905ED9" w:rsidRPr="00905ED9">
        <w:t>coopération</w:t>
      </w:r>
      <w:r w:rsidR="00905ED9">
        <w:t xml:space="preserve"> et en </w:t>
      </w:r>
      <w:r w:rsidR="00C72B1B" w:rsidRPr="00C72B1B">
        <w:t>collaboration</w:t>
      </w:r>
      <w:r w:rsidR="00905ED9">
        <w:t xml:space="preserve"> avec tous les acteurs participant à la </w:t>
      </w:r>
      <w:r w:rsidR="00905ED9" w:rsidRPr="00905ED9">
        <w:t>sauvegarde</w:t>
      </w:r>
      <w:r w:rsidR="00905ED9">
        <w:t xml:space="preserve"> du patrimoine culturel immatériel en Autriche, y compris les experts présents sur le terrain, les organes officiels et les communautés. Cette démarche participative avait instillé un processus de réflexion sur, </w:t>
      </w:r>
      <w:r w:rsidR="00905ED9" w:rsidRPr="00905ED9">
        <w:t>par exemple</w:t>
      </w:r>
      <w:r w:rsidR="00905ED9">
        <w:t xml:space="preserve">, le statut du patrimoine culturel immatériel, les mesures de </w:t>
      </w:r>
      <w:r w:rsidR="00905ED9" w:rsidRPr="00905ED9">
        <w:t>sauvegarde</w:t>
      </w:r>
      <w:r w:rsidR="00905ED9">
        <w:t xml:space="preserve"> prises, leur éventuelle </w:t>
      </w:r>
      <w:r w:rsidR="00905ED9" w:rsidRPr="00905ED9">
        <w:t>efficacité</w:t>
      </w:r>
      <w:r w:rsidR="00905ED9">
        <w:t xml:space="preserve"> et, dans le cas de leur inefficacité, la raison de celle-ci et les lacunes à combler dans ces cas précis. Bien que la </w:t>
      </w:r>
      <w:r w:rsidR="00905ED9" w:rsidRPr="00905ED9">
        <w:t>délégation</w:t>
      </w:r>
      <w:r w:rsidR="00905ED9">
        <w:t xml:space="preserve"> ait pu constater, grâce au rapport, que la mise en œuvre de la </w:t>
      </w:r>
      <w:r w:rsidR="00905ED9" w:rsidRPr="00905ED9">
        <w:t>Convention</w:t>
      </w:r>
      <w:r w:rsidR="00905ED9">
        <w:t xml:space="preserve"> avait des conséquences réelles à divers niveaux, elle a</w:t>
      </w:r>
      <w:r w:rsidR="00AA2462">
        <w:t>vait</w:t>
      </w:r>
      <w:r w:rsidR="00905ED9">
        <w:t xml:space="preserve"> </w:t>
      </w:r>
      <w:r w:rsidR="00905ED9" w:rsidRPr="00905ED9">
        <w:t>également</w:t>
      </w:r>
      <w:r w:rsidR="00905ED9">
        <w:t xml:space="preserve"> réalisé que beaucoup restait à faire. Le rapport pouvait être envisagé comme un accord vivant </w:t>
      </w:r>
      <w:r w:rsidR="00AA2462">
        <w:t xml:space="preserve">et évolutif </w:t>
      </w:r>
      <w:r w:rsidR="00905ED9">
        <w:t xml:space="preserve">entre les acteurs concernés par la </w:t>
      </w:r>
      <w:r w:rsidR="00905ED9" w:rsidRPr="00905ED9">
        <w:t>sauvegarde</w:t>
      </w:r>
      <w:r w:rsidR="00905ED9">
        <w:t xml:space="preserve"> du patrimoine culturel immatériel afin de conserver l</w:t>
      </w:r>
      <w:r w:rsidR="00346F1B">
        <w:t>’</w:t>
      </w:r>
      <w:r w:rsidR="00905ED9">
        <w:t xml:space="preserve">esprit de la </w:t>
      </w:r>
      <w:r w:rsidR="00905ED9" w:rsidRPr="00905ED9">
        <w:t>Convention</w:t>
      </w:r>
      <w:r w:rsidR="00905ED9">
        <w:t xml:space="preserve"> au niveau national. </w:t>
      </w:r>
      <w:r w:rsidR="00AA2462">
        <w:t xml:space="preserve">La </w:t>
      </w:r>
      <w:r w:rsidR="00AA2462" w:rsidRPr="00AA2462">
        <w:t>préparation</w:t>
      </w:r>
      <w:r w:rsidR="00AA2462">
        <w:t xml:space="preserve"> générale du rapport avait donc été considérée comme une expérience positive. La </w:t>
      </w:r>
      <w:r w:rsidR="00AA2462" w:rsidRPr="00AA2462">
        <w:t>délégation</w:t>
      </w:r>
      <w:r w:rsidR="00AA2462">
        <w:t xml:space="preserve"> a conclu son intervention en remerciant le Secrétariat pour son soutien et son </w:t>
      </w:r>
      <w:r w:rsidR="00AA2462" w:rsidRPr="00AA2462">
        <w:t>assistance</w:t>
      </w:r>
      <w:r w:rsidR="00AA2462">
        <w:t xml:space="preserve"> dans la </w:t>
      </w:r>
      <w:r w:rsidR="00AA2462" w:rsidRPr="00AA2462">
        <w:t>préparation</w:t>
      </w:r>
      <w:r w:rsidR="00AA2462">
        <w:t xml:space="preserve"> du rapport, plus </w:t>
      </w:r>
      <w:r w:rsidR="00AA2462" w:rsidRPr="00AA2462">
        <w:t>particulièrement</w:t>
      </w:r>
      <w:r w:rsidR="00AA2462">
        <w:t xml:space="preserve"> s</w:t>
      </w:r>
      <w:r w:rsidR="00346F1B">
        <w:t>’</w:t>
      </w:r>
      <w:r w:rsidR="00AA2462">
        <w:t>agissant des documents d</w:t>
      </w:r>
      <w:r w:rsidR="00346F1B">
        <w:t>’</w:t>
      </w:r>
      <w:r w:rsidR="00AA2462">
        <w:t xml:space="preserve">orientation </w:t>
      </w:r>
      <w:r w:rsidR="002B6656">
        <w:t>et des réponses à nos demandes.</w:t>
      </w:r>
    </w:p>
    <w:p w14:paraId="17EF67D3" w14:textId="4182EE85" w:rsidR="000C6812" w:rsidRPr="000C6812" w:rsidRDefault="00AA2462" w:rsidP="00AF7860">
      <w:pPr>
        <w:pStyle w:val="Orateurengris"/>
        <w:spacing w:before="120"/>
        <w:ind w:left="709" w:hanging="709"/>
      </w:pPr>
      <w:r>
        <w:t xml:space="preserve">La </w:t>
      </w:r>
      <w:r w:rsidRPr="00AA2462">
        <w:t>délégation</w:t>
      </w:r>
      <w:r>
        <w:t xml:space="preserve"> de la </w:t>
      </w:r>
      <w:r w:rsidRPr="00AA2462">
        <w:rPr>
          <w:b/>
        </w:rPr>
        <w:t>Tchéquie</w:t>
      </w:r>
      <w:r>
        <w:t xml:space="preserve"> a remercié le Président pour l</w:t>
      </w:r>
      <w:r w:rsidR="00346F1B">
        <w:t>’</w:t>
      </w:r>
      <w:r>
        <w:t>occasion qui lui était donnée de formuler quelques rem</w:t>
      </w:r>
      <w:r w:rsidR="006C68F7">
        <w:t xml:space="preserve">arques sur son premier rapport, ajoutant que sa </w:t>
      </w:r>
      <w:r w:rsidR="006C68F7" w:rsidRPr="006C68F7">
        <w:t>préparation</w:t>
      </w:r>
      <w:r w:rsidR="006C68F7">
        <w:t xml:space="preserve"> avait été une expérience enrichissante qui avait permis d</w:t>
      </w:r>
      <w:r w:rsidR="00346F1B">
        <w:t>’</w:t>
      </w:r>
      <w:r w:rsidR="006C68F7">
        <w:t xml:space="preserve">établir de meilleures relations entre les différents acteurs </w:t>
      </w:r>
      <w:r w:rsidR="0046587E">
        <w:t xml:space="preserve">participant à </w:t>
      </w:r>
      <w:r w:rsidR="006C68F7">
        <w:t xml:space="preserve">la </w:t>
      </w:r>
      <w:r w:rsidR="006C68F7" w:rsidRPr="006C68F7">
        <w:t>sauvegarde</w:t>
      </w:r>
      <w:r w:rsidR="006C68F7">
        <w:t xml:space="preserve"> du patrimoine culturel immatériel</w:t>
      </w:r>
      <w:r w:rsidR="0046587E">
        <w:t xml:space="preserve"> dans le</w:t>
      </w:r>
      <w:r w:rsidR="006C68F7">
        <w:t xml:space="preserve"> pays. La </w:t>
      </w:r>
      <w:r w:rsidR="006C68F7" w:rsidRPr="006C68F7">
        <w:t>préparation</w:t>
      </w:r>
      <w:r w:rsidR="006C68F7">
        <w:t xml:space="preserve"> du rapport avait </w:t>
      </w:r>
      <w:r w:rsidR="006C68F7" w:rsidRPr="006C68F7">
        <w:t>également</w:t>
      </w:r>
      <w:r w:rsidR="006C68F7">
        <w:t xml:space="preserve"> permis de revoir les mécanismes nationaux de </w:t>
      </w:r>
      <w:r w:rsidR="006C68F7" w:rsidRPr="006C68F7">
        <w:t>sauvegarde</w:t>
      </w:r>
      <w:r w:rsidR="006C68F7">
        <w:t xml:space="preserve"> du patrimoine culturel immatériel et de réfléchir à de possibles améliorations. Depuis lors, la Tchéquie avait mis en place un système </w:t>
      </w:r>
      <w:r w:rsidR="000C6812">
        <w:t>d</w:t>
      </w:r>
      <w:r w:rsidR="00346F1B">
        <w:t>’</w:t>
      </w:r>
      <w:r w:rsidR="000C6812" w:rsidRPr="000C6812">
        <w:t>inventaire</w:t>
      </w:r>
      <w:r w:rsidR="000C6812">
        <w:t xml:space="preserve"> départemental grâce auquel les nouveaux éléments du patrimoine culturel immatériel, identifiés avec la </w:t>
      </w:r>
      <w:r w:rsidR="000C6812" w:rsidRPr="000C6812">
        <w:t>participation</w:t>
      </w:r>
      <w:r w:rsidR="000C6812">
        <w:t xml:space="preserve"> des communautés ou de</w:t>
      </w:r>
      <w:r w:rsidR="0066577A">
        <w:t>s</w:t>
      </w:r>
      <w:r w:rsidR="000C6812">
        <w:t xml:space="preserve"> </w:t>
      </w:r>
      <w:r w:rsidR="000C6812" w:rsidRPr="000C6812">
        <w:t>individus</w:t>
      </w:r>
      <w:r w:rsidR="000C6812">
        <w:t xml:space="preserve"> concernés, étaient </w:t>
      </w:r>
      <w:r w:rsidR="000C6812" w:rsidRPr="000C6812">
        <w:t>désormais</w:t>
      </w:r>
      <w:r w:rsidR="000C6812">
        <w:t xml:space="preserve"> inscrits au niveau départemental avant </w:t>
      </w:r>
      <w:r w:rsidR="0046587E">
        <w:t xml:space="preserve">que leur </w:t>
      </w:r>
      <w:r w:rsidR="000C6812" w:rsidRPr="000C6812">
        <w:t>candidature</w:t>
      </w:r>
      <w:r w:rsidR="000C6812">
        <w:t xml:space="preserve"> </w:t>
      </w:r>
      <w:r w:rsidR="0046587E">
        <w:t>ne soit soumise à la liste nationale</w:t>
      </w:r>
      <w:r w:rsidR="000C6812">
        <w:t xml:space="preserve"> qui était </w:t>
      </w:r>
      <w:r w:rsidR="000C6812" w:rsidRPr="000C6812">
        <w:t>régulièrement</w:t>
      </w:r>
      <w:r w:rsidR="000C6812">
        <w:t xml:space="preserve"> mise à jour. Le système de mise en œuvre de la </w:t>
      </w:r>
      <w:r w:rsidR="000C6812" w:rsidRPr="000C6812">
        <w:t>Convention</w:t>
      </w:r>
      <w:r w:rsidR="000C6812">
        <w:t xml:space="preserve"> en Tchéquie avait clairement défini les rôles des différents acteurs au niveau de l</w:t>
      </w:r>
      <w:r w:rsidR="00346F1B">
        <w:t>’</w:t>
      </w:r>
      <w:r w:rsidR="000C6812">
        <w:t xml:space="preserve">État, des </w:t>
      </w:r>
      <w:r w:rsidR="000C6812" w:rsidRPr="000C6812">
        <w:t>institutions</w:t>
      </w:r>
      <w:r w:rsidR="000C6812">
        <w:t xml:space="preserve"> accréditées et des organes régionaux et locaux, avec un mécanisme que l</w:t>
      </w:r>
      <w:r w:rsidR="00346F1B">
        <w:t>’</w:t>
      </w:r>
      <w:r w:rsidR="000C6812">
        <w:t xml:space="preserve">on pouvait qualifier de « sophistiqué » </w:t>
      </w:r>
      <w:r w:rsidR="00321BC4">
        <w:t xml:space="preserve">en charge de </w:t>
      </w:r>
      <w:r w:rsidR="000C6812">
        <w:t xml:space="preserve">coopérer avec les communautés concernées et les </w:t>
      </w:r>
      <w:r w:rsidR="000C6812" w:rsidRPr="000C6812">
        <w:t>détenteurs</w:t>
      </w:r>
      <w:r w:rsidR="000C6812">
        <w:t xml:space="preserve"> des éléments. Les représentants de tous les acteurs et communautés concernés se réunissaient au sein du Conseil national pour le patrimoine culturel immatériel, un organe </w:t>
      </w:r>
      <w:r w:rsidR="0046587E">
        <w:t>consultatif</w:t>
      </w:r>
      <w:r w:rsidR="000C6812">
        <w:t xml:space="preserve"> </w:t>
      </w:r>
      <w:r w:rsidR="00321BC4">
        <w:t xml:space="preserve">auprès </w:t>
      </w:r>
      <w:r w:rsidR="000C6812">
        <w:t xml:space="preserve">du </w:t>
      </w:r>
      <w:r w:rsidR="000C6812" w:rsidRPr="000C6812">
        <w:t>ministère</w:t>
      </w:r>
      <w:r w:rsidR="000C6812">
        <w:t xml:space="preserve"> de la Culture. Des échanges mutuels rendaient possible le partage continu de connaissances sur le patrimoine culturel immatériel au moyen d</w:t>
      </w:r>
      <w:r w:rsidR="00346F1B">
        <w:t>’</w:t>
      </w:r>
      <w:r w:rsidR="000C6812">
        <w:t xml:space="preserve">exemples concrets. Cela </w:t>
      </w:r>
      <w:r w:rsidR="0046587E">
        <w:t xml:space="preserve">facilitait </w:t>
      </w:r>
      <w:r w:rsidR="000C6812" w:rsidRPr="000C6812">
        <w:t>également</w:t>
      </w:r>
      <w:r w:rsidR="000C6812">
        <w:t xml:space="preserve"> le suivi de l</w:t>
      </w:r>
      <w:r w:rsidR="00346F1B">
        <w:t>’</w:t>
      </w:r>
      <w:r w:rsidR="000C6812">
        <w:t xml:space="preserve">état des éléments, de leurs transformations, des innovations ou des effets négatifs liés à la </w:t>
      </w:r>
      <w:r w:rsidR="000C6812" w:rsidRPr="000C6812">
        <w:t>commercialisation</w:t>
      </w:r>
      <w:r w:rsidR="000C6812">
        <w:t xml:space="preserve">. Par cette démarche, une </w:t>
      </w:r>
      <w:r w:rsidR="000C6812" w:rsidRPr="000C6812">
        <w:t>stratégie</w:t>
      </w:r>
      <w:r w:rsidR="000C6812">
        <w:t xml:space="preserve"> efficace de </w:t>
      </w:r>
      <w:r w:rsidR="000C6812" w:rsidRPr="000C6812">
        <w:t>sauvegarde</w:t>
      </w:r>
      <w:r w:rsidR="000C6812">
        <w:t xml:space="preserve"> effective de la culture populaire traditionnelle avait été élaborée en 2003, </w:t>
      </w:r>
      <w:r w:rsidR="0046587E">
        <w:t xml:space="preserve">sa mise en œuvre ayant été </w:t>
      </w:r>
      <w:r w:rsidR="0046587E" w:rsidRPr="0046587E">
        <w:t>régulièrement</w:t>
      </w:r>
      <w:r w:rsidR="0046587E">
        <w:t xml:space="preserve"> contrôlée depuis lors. La </w:t>
      </w:r>
      <w:r w:rsidR="0046587E" w:rsidRPr="0046587E">
        <w:t>délégation</w:t>
      </w:r>
      <w:r w:rsidR="0046587E">
        <w:t xml:space="preserve"> espérait que les bonnes pratiques présentées dans son rapport inspireraient d</w:t>
      </w:r>
      <w:r w:rsidR="00346F1B">
        <w:t>’</w:t>
      </w:r>
      <w:r w:rsidR="0046587E">
        <w:t xml:space="preserve">autres pays </w:t>
      </w:r>
      <w:r w:rsidR="00321BC4">
        <w:t xml:space="preserve">dans </w:t>
      </w:r>
      <w:r w:rsidR="0046587E">
        <w:t xml:space="preserve">la mise en œuvre de la </w:t>
      </w:r>
      <w:r w:rsidR="0046587E" w:rsidRPr="0046587E">
        <w:t>Convention</w:t>
      </w:r>
      <w:r w:rsidR="0046587E">
        <w:t>. Le rapport étant un exercice important, la Tchéquie avait décidé de le d</w:t>
      </w:r>
      <w:r w:rsidR="002B6656">
        <w:t>iffuser auprès du grand public.</w:t>
      </w:r>
    </w:p>
    <w:p w14:paraId="3038D8B6" w14:textId="16F9779E" w:rsidR="0066577A" w:rsidRPr="00081093" w:rsidRDefault="0066577A" w:rsidP="00AF7860">
      <w:pPr>
        <w:pStyle w:val="Orateurengris"/>
        <w:spacing w:before="120"/>
        <w:ind w:left="709" w:hanging="709"/>
      </w:pPr>
      <w:r w:rsidRPr="0066577A">
        <w:t>La délégation de l</w:t>
      </w:r>
      <w:r w:rsidR="00346F1B">
        <w:t>’</w:t>
      </w:r>
      <w:r w:rsidRPr="0066577A">
        <w:rPr>
          <w:b/>
        </w:rPr>
        <w:t>Ukraine</w:t>
      </w:r>
      <w:r w:rsidR="00321BC4">
        <w:t xml:space="preserve"> était très reconnaissante au Comité de lui donner</w:t>
      </w:r>
      <w:r w:rsidRPr="00321BC4">
        <w:t xml:space="preserve"> l</w:t>
      </w:r>
      <w:r w:rsidR="00346F1B">
        <w:t>’</w:t>
      </w:r>
      <w:r w:rsidRPr="00321BC4">
        <w:t>opportunité de prononcer quelques mots à propos de son rapport. Avec une longue histoire sociale et culturelle et une grande diversité de tradit</w:t>
      </w:r>
      <w:r w:rsidR="00DC2CD7">
        <w:t>ions culturelles, l</w:t>
      </w:r>
      <w:r w:rsidR="00346F1B">
        <w:t>’</w:t>
      </w:r>
      <w:r w:rsidR="00DC2CD7">
        <w:t>Ukraine était détentrice d</w:t>
      </w:r>
      <w:r w:rsidR="00346F1B">
        <w:t>’</w:t>
      </w:r>
      <w:r w:rsidR="00DC2CD7">
        <w:t>un</w:t>
      </w:r>
      <w:r w:rsidRPr="00321BC4">
        <w:t xml:space="preserve"> véritable trésor composé d</w:t>
      </w:r>
      <w:r w:rsidR="00346F1B">
        <w:t>’</w:t>
      </w:r>
      <w:r w:rsidRPr="00321BC4">
        <w:t>éléments du patrimoine culturel immatériel</w:t>
      </w:r>
      <w:r w:rsidR="00081093">
        <w:t xml:space="preserve"> qui nécessit</w:t>
      </w:r>
      <w:r w:rsidR="00DC2CD7">
        <w:t>ai</w:t>
      </w:r>
      <w:r w:rsidR="00081093">
        <w:t>ent d</w:t>
      </w:r>
      <w:r w:rsidR="00346F1B">
        <w:t>’</w:t>
      </w:r>
      <w:r w:rsidR="00081093">
        <w:t>être régulièrement collectés</w:t>
      </w:r>
      <w:r w:rsidRPr="00321BC4">
        <w:t>, préservés et mis à jour. Le Centre ukrainien des études culturelles a</w:t>
      </w:r>
      <w:r w:rsidR="00DC2CD7">
        <w:t>vait</w:t>
      </w:r>
      <w:r w:rsidRPr="00321BC4">
        <w:t xml:space="preserve"> été désigné en tant que principale institution en charge de mener à bien ces activités et de préparer le rapport. </w:t>
      </w:r>
      <w:r w:rsidR="00321BC4">
        <w:t xml:space="preserve">La </w:t>
      </w:r>
      <w:r w:rsidR="00321BC4" w:rsidRPr="00321BC4">
        <w:t>délégation</w:t>
      </w:r>
      <w:r w:rsidR="00321BC4">
        <w:t xml:space="preserve"> avait concrétisé sa mission de </w:t>
      </w:r>
      <w:r w:rsidR="00321BC4" w:rsidRPr="00321BC4">
        <w:t>sauvegarde</w:t>
      </w:r>
      <w:r w:rsidR="00321BC4">
        <w:t xml:space="preserve"> du PCI en Ukraine en établissant </w:t>
      </w:r>
      <w:r w:rsidR="00081093">
        <w:t>d</w:t>
      </w:r>
      <w:r w:rsidR="00346F1B">
        <w:t>’</w:t>
      </w:r>
      <w:r w:rsidR="00081093">
        <w:t>efficaces partenariats entre les centres culturels, les universités et l</w:t>
      </w:r>
      <w:r w:rsidR="00321BC4">
        <w:t>es éc</w:t>
      </w:r>
      <w:r w:rsidR="00DC2CD7">
        <w:t>oles, l</w:t>
      </w:r>
      <w:r w:rsidR="00081093">
        <w:t>es communautés locales, l</w:t>
      </w:r>
      <w:r w:rsidR="00321BC4">
        <w:t>es as</w:t>
      </w:r>
      <w:r w:rsidR="00081093">
        <w:t>sociations professionnelles et l</w:t>
      </w:r>
      <w:r w:rsidR="00321BC4">
        <w:t xml:space="preserve">es </w:t>
      </w:r>
      <w:r w:rsidR="00321BC4" w:rsidRPr="00321BC4">
        <w:t>détenteurs</w:t>
      </w:r>
      <w:r w:rsidR="00321BC4">
        <w:t xml:space="preserve"> d</w:t>
      </w:r>
      <w:r w:rsidR="00346F1B">
        <w:t>’</w:t>
      </w:r>
      <w:r w:rsidR="00321BC4">
        <w:t xml:space="preserve">éléments. Dans ce contexte, la </w:t>
      </w:r>
      <w:r w:rsidR="00321BC4" w:rsidRPr="00321BC4">
        <w:t>délégation</w:t>
      </w:r>
      <w:r w:rsidR="00321BC4">
        <w:t xml:space="preserve"> a mis en évidence trois</w:t>
      </w:r>
      <w:r w:rsidR="00081093">
        <w:t xml:space="preserve"> points</w:t>
      </w:r>
      <w:r w:rsidR="00321BC4">
        <w:t xml:space="preserve">. Le premier était la nécessité de </w:t>
      </w:r>
      <w:r w:rsidR="00321BC4" w:rsidRPr="00321BC4">
        <w:t>sensib</w:t>
      </w:r>
      <w:r w:rsidR="00321BC4">
        <w:t xml:space="preserve">iliser au rôle du patrimoine culturel immatériel </w:t>
      </w:r>
      <w:r w:rsidR="00DC2CD7">
        <w:t xml:space="preserve">dans le </w:t>
      </w:r>
      <w:r w:rsidR="00321BC4" w:rsidRPr="00321BC4">
        <w:t>développement</w:t>
      </w:r>
      <w:r w:rsidR="00321BC4">
        <w:t xml:space="preserve"> social, la cohésion sociale et la construction de l</w:t>
      </w:r>
      <w:r w:rsidR="00346F1B">
        <w:t>’</w:t>
      </w:r>
      <w:r w:rsidR="00321BC4">
        <w:t>identité. Sur la base de ces objectifs, de nombreux ateliers, conférences, séminaires et formation</w:t>
      </w:r>
      <w:r w:rsidR="00DC2CD7">
        <w:t>s</w:t>
      </w:r>
      <w:r w:rsidR="00321BC4">
        <w:t>, y compris au niveau international, avaient été organisé</w:t>
      </w:r>
      <w:r w:rsidR="00081093">
        <w:t>s avec l</w:t>
      </w:r>
      <w:r w:rsidR="00346F1B">
        <w:t>’</w:t>
      </w:r>
      <w:r w:rsidR="00081093">
        <w:t>aide de partenaires dans des pays voisins de l</w:t>
      </w:r>
      <w:r w:rsidR="00346F1B">
        <w:t>’</w:t>
      </w:r>
      <w:r w:rsidR="00081093">
        <w:t>Ukraine tels que la Lituanie, l</w:t>
      </w:r>
      <w:r w:rsidR="00346F1B">
        <w:t>’</w:t>
      </w:r>
      <w:r w:rsidR="00081093" w:rsidRPr="00081093">
        <w:t>Azerbaïdjan</w:t>
      </w:r>
      <w:r w:rsidR="00081093">
        <w:t>, la Géorgie, la République de</w:t>
      </w:r>
      <w:r w:rsidR="00081093" w:rsidRPr="00081093">
        <w:t xml:space="preserve"> Moldova</w:t>
      </w:r>
      <w:r w:rsidR="00DC2CD7">
        <w:t xml:space="preserve"> et autres</w:t>
      </w:r>
      <w:r w:rsidR="00081093" w:rsidRPr="00081093">
        <w:t>. En</w:t>
      </w:r>
      <w:r w:rsidR="00DC2CD7">
        <w:t xml:space="preserve"> outre, le pays a utilisé d</w:t>
      </w:r>
      <w:r w:rsidR="00081093" w:rsidRPr="00081093">
        <w:t xml:space="preserve">es éléments inscrits, comme la peinture </w:t>
      </w:r>
      <w:r w:rsidR="00081093">
        <w:t>de</w:t>
      </w:r>
      <w:r w:rsidR="00DC2CD7">
        <w:t xml:space="preserve"> Petrykivka, pour développer de</w:t>
      </w:r>
      <w:r w:rsidR="00081093">
        <w:t xml:space="preserve"> bonnes</w:t>
      </w:r>
      <w:r w:rsidR="00081093" w:rsidRPr="00081093">
        <w:t xml:space="preserve"> pratiques et élaborer</w:t>
      </w:r>
      <w:r w:rsidR="00081093">
        <w:t xml:space="preserve"> des projets au niveau national</w:t>
      </w:r>
      <w:r w:rsidR="00081093" w:rsidRPr="00081093">
        <w:t xml:space="preserve">, régional et local. </w:t>
      </w:r>
      <w:r w:rsidR="00DC2CD7">
        <w:t>Enfin, i</w:t>
      </w:r>
      <w:r w:rsidR="00BE7002">
        <w:t xml:space="preserve">l convenait </w:t>
      </w:r>
      <w:r w:rsidR="00BE7002" w:rsidRPr="00BE7002">
        <w:t>également</w:t>
      </w:r>
      <w:r w:rsidR="00BE7002">
        <w:t xml:space="preserve"> de prendre soin d</w:t>
      </w:r>
      <w:r w:rsidR="00346F1B">
        <w:t>’</w:t>
      </w:r>
      <w:r w:rsidR="00BE7002">
        <w:t xml:space="preserve">éléments nécessitant une </w:t>
      </w:r>
      <w:r w:rsidR="00BE7002" w:rsidRPr="00BE7002">
        <w:t>sauvegarde</w:t>
      </w:r>
      <w:r w:rsidR="00BE7002">
        <w:t xml:space="preserve"> urgente qui étaient associés, d</w:t>
      </w:r>
      <w:r w:rsidR="00346F1B">
        <w:t>’</w:t>
      </w:r>
      <w:r w:rsidR="00BE7002">
        <w:t>une part, à de grandes évolutions telles que la mondialisation et l</w:t>
      </w:r>
      <w:r w:rsidR="00346F1B">
        <w:t>’</w:t>
      </w:r>
      <w:r w:rsidR="00BE7002">
        <w:t xml:space="preserve">urbanisation qui </w:t>
      </w:r>
      <w:r w:rsidR="00DC2CD7">
        <w:t xml:space="preserve">avaient </w:t>
      </w:r>
      <w:r w:rsidR="00BE7002">
        <w:t xml:space="preserve">des </w:t>
      </w:r>
      <w:r w:rsidR="00BE7002" w:rsidRPr="00BE7002">
        <w:t>conséquences</w:t>
      </w:r>
      <w:r w:rsidR="00BE7002">
        <w:t xml:space="preserve"> sur les zones rurales, et d</w:t>
      </w:r>
      <w:r w:rsidR="00346F1B">
        <w:t>’</w:t>
      </w:r>
      <w:r w:rsidR="00BE7002">
        <w:t xml:space="preserve">autre part, </w:t>
      </w:r>
      <w:r w:rsidR="00DC2CD7">
        <w:t xml:space="preserve">à </w:t>
      </w:r>
      <w:r w:rsidR="00BE7002">
        <w:t xml:space="preserve">la situation politique et </w:t>
      </w:r>
      <w:r w:rsidR="00BE7002" w:rsidRPr="00BE7002">
        <w:t>économique</w:t>
      </w:r>
      <w:r w:rsidR="00BE7002">
        <w:t xml:space="preserve"> et aux grands conflits qui </w:t>
      </w:r>
      <w:r w:rsidR="00DC2CD7">
        <w:t xml:space="preserve">avaient </w:t>
      </w:r>
      <w:r w:rsidR="00BE7002">
        <w:t xml:space="preserve">des conséquences non seulement sur la culture nationale ukrainienne mais </w:t>
      </w:r>
      <w:r w:rsidR="00BE7002" w:rsidRPr="00BE7002">
        <w:t>également</w:t>
      </w:r>
      <w:r w:rsidR="00BE7002">
        <w:t xml:space="preserve"> sur la culture des autres nations résidant depuis fort longtemps sur le </w:t>
      </w:r>
      <w:r w:rsidR="00BE7002" w:rsidRPr="00BE7002">
        <w:t>territoire</w:t>
      </w:r>
      <w:r w:rsidR="00BE7002">
        <w:t xml:space="preserve"> ukrainien telles que les Tatars de Crimée</w:t>
      </w:r>
      <w:r w:rsidR="003A7F42">
        <w:t xml:space="preserve"> et les Karaïtes. </w:t>
      </w:r>
      <w:r w:rsidR="00DC2CD7">
        <w:t>L</w:t>
      </w:r>
      <w:r w:rsidR="00346F1B">
        <w:t>’</w:t>
      </w:r>
      <w:r w:rsidR="00DC2CD7">
        <w:t>Ukraine étant</w:t>
      </w:r>
      <w:r w:rsidR="00BE7002">
        <w:t xml:space="preserve"> un État multinational constitué de 134 nati</w:t>
      </w:r>
      <w:r w:rsidR="00DC2CD7">
        <w:t xml:space="preserve">onalités et groupes ethniques, </w:t>
      </w:r>
      <w:r w:rsidR="00BE7002">
        <w:t xml:space="preserve">la mise en œuvre efficace de la </w:t>
      </w:r>
      <w:r w:rsidR="00BE7002" w:rsidRPr="00BE7002">
        <w:t>Convention</w:t>
      </w:r>
      <w:r w:rsidR="00DC2CD7">
        <w:t xml:space="preserve"> intervenait</w:t>
      </w:r>
      <w:r w:rsidR="00BE7002">
        <w:t xml:space="preserve"> dans le cadre du dialogue interculturel. Au nom du ministère de la Culture d</w:t>
      </w:r>
      <w:r w:rsidR="00346F1B">
        <w:t>’</w:t>
      </w:r>
      <w:r w:rsidR="00BE7002">
        <w:t xml:space="preserve">Ukraine, la </w:t>
      </w:r>
      <w:r w:rsidR="00BE7002" w:rsidRPr="00BE7002">
        <w:t>délégation</w:t>
      </w:r>
      <w:r w:rsidR="00BE7002">
        <w:t xml:space="preserve"> a exprimé son intérêt pour la </w:t>
      </w:r>
      <w:r w:rsidR="00BE7002" w:rsidRPr="00BE7002">
        <w:t>coopération</w:t>
      </w:r>
      <w:r w:rsidR="00BE7002">
        <w:t xml:space="preserve"> </w:t>
      </w:r>
      <w:r w:rsidR="00BE7002" w:rsidRPr="00BE7002">
        <w:t xml:space="preserve">internationale </w:t>
      </w:r>
      <w:r w:rsidR="00BE7002">
        <w:t xml:space="preserve">dans le domaine de la </w:t>
      </w:r>
      <w:r w:rsidR="00BE7002" w:rsidRPr="00BE7002">
        <w:t>formation</w:t>
      </w:r>
      <w:r w:rsidR="00BE7002">
        <w:t xml:space="preserve">, la </w:t>
      </w:r>
      <w:r w:rsidR="00BE7002" w:rsidRPr="00BE7002">
        <w:t>recherche</w:t>
      </w:r>
      <w:r w:rsidR="00BE7002">
        <w:t xml:space="preserve"> et la </w:t>
      </w:r>
      <w:r w:rsidR="00BE7002" w:rsidRPr="00BE7002">
        <w:t>réalisation</w:t>
      </w:r>
      <w:r w:rsidR="00BE7002">
        <w:t xml:space="preserve"> de projets communs, et elle </w:t>
      </w:r>
      <w:r w:rsidR="00DC2CD7">
        <w:t xml:space="preserve">a </w:t>
      </w:r>
      <w:r w:rsidR="00D9620F">
        <w:t xml:space="preserve">affirmé </w:t>
      </w:r>
      <w:r w:rsidR="00DC2CD7">
        <w:t>attendre des retours d</w:t>
      </w:r>
      <w:r w:rsidR="00346F1B">
        <w:t>’</w:t>
      </w:r>
      <w:r w:rsidR="00DC2CD7" w:rsidRPr="00DC2CD7">
        <w:t>informations</w:t>
      </w:r>
      <w:r w:rsidR="00DC2CD7">
        <w:t xml:space="preserve"> </w:t>
      </w:r>
      <w:r w:rsidR="00BE7002">
        <w:t xml:space="preserve">et </w:t>
      </w:r>
      <w:r w:rsidR="00DC2CD7">
        <w:t xml:space="preserve">espérer recevoir </w:t>
      </w:r>
      <w:r w:rsidR="00BE7002">
        <w:t>de</w:t>
      </w:r>
      <w:r w:rsidR="00DC2CD7">
        <w:t>s</w:t>
      </w:r>
      <w:r w:rsidR="00BE7002">
        <w:t xml:space="preserve"> </w:t>
      </w:r>
      <w:r w:rsidR="00DC2CD7">
        <w:t>proposi</w:t>
      </w:r>
      <w:r w:rsidR="002B6656">
        <w:t>tions intéressantes à ce sujet.</w:t>
      </w:r>
    </w:p>
    <w:p w14:paraId="72CEA771" w14:textId="1937FDD8" w:rsidR="00DA7730" w:rsidRPr="00DA7730" w:rsidRDefault="0001798C" w:rsidP="00AF7860">
      <w:pPr>
        <w:pStyle w:val="Orateurengris"/>
        <w:spacing w:before="120"/>
        <w:ind w:left="709" w:hanging="709"/>
      </w:pPr>
      <w:r>
        <w:t xml:space="preserve">La </w:t>
      </w:r>
      <w:r w:rsidRPr="0001798C">
        <w:t>délégation</w:t>
      </w:r>
      <w:r>
        <w:t xml:space="preserve"> des </w:t>
      </w:r>
      <w:r w:rsidRPr="0001798C">
        <w:rPr>
          <w:b/>
        </w:rPr>
        <w:t>Philippines</w:t>
      </w:r>
      <w:r>
        <w:t xml:space="preserve"> a fait remarquer que la soumission et l</w:t>
      </w:r>
      <w:r w:rsidR="00346F1B">
        <w:t>’</w:t>
      </w:r>
      <w:r>
        <w:t>examen des rapports périodiques sur l</w:t>
      </w:r>
      <w:r w:rsidR="00346F1B">
        <w:t>’</w:t>
      </w:r>
      <w:r>
        <w:t>état actuel d</w:t>
      </w:r>
      <w:r w:rsidR="00346F1B">
        <w:t>’</w:t>
      </w:r>
      <w:r>
        <w:t>éléments</w:t>
      </w:r>
      <w:r w:rsidR="00C3629F">
        <w:t xml:space="preserve"> étaient essentiels</w:t>
      </w:r>
      <w:r w:rsidR="00E57AD2">
        <w:t xml:space="preserve">. Elle </w:t>
      </w:r>
      <w:r>
        <w:t>regret</w:t>
      </w:r>
      <w:r w:rsidR="00E57AD2">
        <w:t>tait</w:t>
      </w:r>
      <w:r w:rsidR="00C3629F">
        <w:t xml:space="preserve"> le faible taux de soumission</w:t>
      </w:r>
      <w:r>
        <w:t xml:space="preserve"> en temps et en h</w:t>
      </w:r>
      <w:r w:rsidR="00E57AD2">
        <w:t xml:space="preserve">eure et a </w:t>
      </w:r>
      <w:r>
        <w:t>encouragé les États parties à soumettre des rapports en temp</w:t>
      </w:r>
      <w:r w:rsidR="004C5146">
        <w:t>s voulu, ajoutant qu</w:t>
      </w:r>
      <w:r w:rsidR="00346F1B">
        <w:t>’</w:t>
      </w:r>
      <w:r w:rsidR="004C5146">
        <w:t>il y avait</w:t>
      </w:r>
      <w:r>
        <w:t xml:space="preserve"> </w:t>
      </w:r>
      <w:r w:rsidRPr="0001798C">
        <w:t>peut-être</w:t>
      </w:r>
      <w:r>
        <w:t xml:space="preserve"> des moyens d</w:t>
      </w:r>
      <w:r w:rsidR="00346F1B">
        <w:t>’</w:t>
      </w:r>
      <w:r>
        <w:t xml:space="preserve">inciter tous les États parties </w:t>
      </w:r>
      <w:r w:rsidR="00DA7730">
        <w:t xml:space="preserve">à le faire. La soumission en temps voulu pourrait </w:t>
      </w:r>
      <w:r w:rsidR="00DA7730" w:rsidRPr="00DA7730">
        <w:t>éventuellement</w:t>
      </w:r>
      <w:r w:rsidR="00DA7730">
        <w:t xml:space="preserve"> être liée à une </w:t>
      </w:r>
      <w:r w:rsidR="00CC3C17">
        <w:t xml:space="preserve">priorisation </w:t>
      </w:r>
      <w:r w:rsidR="00DA7730">
        <w:t>de l</w:t>
      </w:r>
      <w:r w:rsidR="00346F1B">
        <w:t>’</w:t>
      </w:r>
      <w:r w:rsidR="00DA7730" w:rsidRPr="00DA7730">
        <w:t>évaluation</w:t>
      </w:r>
      <w:r w:rsidR="00DA7730">
        <w:t xml:space="preserve"> de</w:t>
      </w:r>
      <w:r w:rsidR="001433F2">
        <w:t>s candidatures aux différentes L</w:t>
      </w:r>
      <w:r w:rsidR="00DA7730">
        <w:t>istes ou des demandes d</w:t>
      </w:r>
      <w:r w:rsidR="00346F1B">
        <w:t>’</w:t>
      </w:r>
      <w:r w:rsidR="00DA7730">
        <w:t xml:space="preserve">assistance internationale. Le Comité pourrait </w:t>
      </w:r>
      <w:r w:rsidR="00DA7730" w:rsidRPr="00DA7730">
        <w:t>également</w:t>
      </w:r>
      <w:r w:rsidR="00DA7730">
        <w:t xml:space="preserve"> envisager des moyens pour faciliter l</w:t>
      </w:r>
      <w:r w:rsidR="00346F1B">
        <w:t>’</w:t>
      </w:r>
      <w:r w:rsidR="00DA7730">
        <w:t xml:space="preserve">actualisation et la soumission des rapports, comme, </w:t>
      </w:r>
      <w:r w:rsidR="00DA7730" w:rsidRPr="00DA7730">
        <w:t>par exemple</w:t>
      </w:r>
      <w:r w:rsidR="00DA7730">
        <w:t>, la mise à jour en ligne des rapports par les États parties au moyen d</w:t>
      </w:r>
      <w:r w:rsidR="00346F1B">
        <w:t>’</w:t>
      </w:r>
      <w:r w:rsidR="00DA7730">
        <w:t xml:space="preserve">un système de mot de passe protégé. Enfin, la </w:t>
      </w:r>
      <w:r w:rsidR="00DA7730" w:rsidRPr="00DA7730">
        <w:t>délégation</w:t>
      </w:r>
      <w:r w:rsidR="00E57AD2">
        <w:t xml:space="preserve"> estimait</w:t>
      </w:r>
      <w:r w:rsidR="00DA7730">
        <w:t xml:space="preserve"> que les rapports pouvaient </w:t>
      </w:r>
      <w:r w:rsidR="00DA7730" w:rsidRPr="00DA7730">
        <w:t>également</w:t>
      </w:r>
      <w:r w:rsidR="00DA7730">
        <w:t xml:space="preserve"> être les vecteurs d</w:t>
      </w:r>
      <w:r w:rsidR="00346F1B">
        <w:t>’</w:t>
      </w:r>
      <w:r w:rsidR="00DA7730">
        <w:t>un dialogue et d</w:t>
      </w:r>
      <w:r w:rsidR="00346F1B">
        <w:t>’</w:t>
      </w:r>
      <w:r w:rsidR="00DA7730">
        <w:t xml:space="preserve">une </w:t>
      </w:r>
      <w:r w:rsidR="00DA7730" w:rsidRPr="00DA7730">
        <w:t>coopération</w:t>
      </w:r>
      <w:r w:rsidR="00CC3C17">
        <w:t xml:space="preserve"> au sein des États parties et entre </w:t>
      </w:r>
      <w:r w:rsidR="00DA7730">
        <w:t xml:space="preserve">les États parties, le Secrétariat et les autres </w:t>
      </w:r>
      <w:r w:rsidR="00DA7730" w:rsidRPr="00DA7730">
        <w:t>parties prenantes</w:t>
      </w:r>
      <w:r w:rsidR="00DA7730">
        <w:t xml:space="preserve"> concernées. Elle serait heureuse de voir des événements parallèles ou un dialogue naître de ces rapports afin de diffuser les meilleures pratiques et les défis relevés. Cela pourrait prendre la forme d</w:t>
      </w:r>
      <w:r w:rsidR="00346F1B">
        <w:t>’</w:t>
      </w:r>
      <w:r w:rsidR="00DA7730">
        <w:t>un examen, entre homologues, des pratiques et défis ou d</w:t>
      </w:r>
      <w:r w:rsidR="00346F1B">
        <w:t>’</w:t>
      </w:r>
      <w:r w:rsidR="00DA7730">
        <w:t>un partage d</w:t>
      </w:r>
      <w:r w:rsidR="00346F1B">
        <w:t>’</w:t>
      </w:r>
      <w:r w:rsidR="00DA7730">
        <w:t>expériences pour le bénéfice de tous. La synthèse des quelques rapports soumis contenait déjà une grande richesse d</w:t>
      </w:r>
      <w:r w:rsidR="00346F1B">
        <w:t>’</w:t>
      </w:r>
      <w:r w:rsidR="00DA7730">
        <w:t xml:space="preserve">informations. </w:t>
      </w:r>
      <w:r w:rsidR="00C3629F">
        <w:t>Accroitre leur visibilité pourrait renforcer le sentiment d</w:t>
      </w:r>
      <w:r w:rsidR="00346F1B">
        <w:t>’</w:t>
      </w:r>
      <w:r w:rsidR="00C3629F">
        <w:t>urgence et l</w:t>
      </w:r>
      <w:r w:rsidR="00346F1B">
        <w:t>’</w:t>
      </w:r>
      <w:r w:rsidR="00C3629F">
        <w:t>importance des rapports des États parties, créant ainsi plus d</w:t>
      </w:r>
      <w:r w:rsidR="00346F1B">
        <w:t>’</w:t>
      </w:r>
      <w:r w:rsidR="00C3629F">
        <w:t>incitations en faveur de leur s</w:t>
      </w:r>
      <w:r w:rsidR="002B6656">
        <w:t>oumission en temps et en heure.</w:t>
      </w:r>
    </w:p>
    <w:p w14:paraId="402D27EB" w14:textId="69592D56" w:rsidR="004F4B80" w:rsidRDefault="004F4B80" w:rsidP="00AF7860">
      <w:pPr>
        <w:pStyle w:val="Orateurengris"/>
        <w:spacing w:before="120"/>
        <w:ind w:left="709" w:hanging="709"/>
      </w:pPr>
      <w:r>
        <w:t xml:space="preserve">La </w:t>
      </w:r>
      <w:r w:rsidRPr="004F4B80">
        <w:t>délégation</w:t>
      </w:r>
      <w:r>
        <w:t xml:space="preserve"> du </w:t>
      </w:r>
      <w:r w:rsidRPr="004F4B80">
        <w:rPr>
          <w:b/>
        </w:rPr>
        <w:t>Burkina Faso</w:t>
      </w:r>
      <w:r>
        <w:t xml:space="preserve"> a </w:t>
      </w:r>
      <w:r w:rsidR="00A33F33">
        <w:t xml:space="preserve">profité de </w:t>
      </w:r>
      <w:r>
        <w:t>l</w:t>
      </w:r>
      <w:r w:rsidR="00346F1B">
        <w:t>’</w:t>
      </w:r>
      <w:r>
        <w:t>occasion qui lui était offerte pour remercier l</w:t>
      </w:r>
      <w:r w:rsidR="00346F1B">
        <w:t>’</w:t>
      </w:r>
      <w:r>
        <w:t>UNESCO de son accueil, ajoutant qu</w:t>
      </w:r>
      <w:r w:rsidR="00346F1B">
        <w:t>’</w:t>
      </w:r>
      <w:r>
        <w:t xml:space="preserve">elle avait été précédemment </w:t>
      </w:r>
      <w:r w:rsidR="008A3BB3">
        <w:t>m</w:t>
      </w:r>
      <w:r w:rsidR="00A46CAD">
        <w:t>embre</w:t>
      </w:r>
      <w:r>
        <w:t xml:space="preserve"> du Comité et était actuellement en train de réaliser l</w:t>
      </w:r>
      <w:r w:rsidR="00346F1B">
        <w:t>’</w:t>
      </w:r>
      <w:r>
        <w:t>important travail d</w:t>
      </w:r>
      <w:r w:rsidR="00346F1B">
        <w:t>’</w:t>
      </w:r>
      <w:r w:rsidRPr="004F4B80">
        <w:t>inventaire</w:t>
      </w:r>
      <w:r>
        <w:t xml:space="preserve"> des éléments du </w:t>
      </w:r>
      <w:r w:rsidRPr="004F4B80">
        <w:t>patrimoine</w:t>
      </w:r>
      <w:r>
        <w:t xml:space="preserve"> </w:t>
      </w:r>
      <w:r w:rsidRPr="004F4B80">
        <w:t>culturel</w:t>
      </w:r>
      <w:r>
        <w:t>, pour lequel elle remerciait l</w:t>
      </w:r>
      <w:r w:rsidR="00346F1B">
        <w:t>’</w:t>
      </w:r>
      <w:r>
        <w:t xml:space="preserve">UNESCO. La </w:t>
      </w:r>
      <w:r w:rsidRPr="004F4B80">
        <w:t>délégation</w:t>
      </w:r>
      <w:r>
        <w:t xml:space="preserve"> </w:t>
      </w:r>
      <w:r w:rsidR="00CC3C17">
        <w:t>reconnaissait</w:t>
      </w:r>
      <w:r>
        <w:t xml:space="preserve"> que des difficultés avaient été rencontrées en raison de la situation politique fort peu fav</w:t>
      </w:r>
      <w:r w:rsidR="00A33F33">
        <w:t>orable que connaissait le</w:t>
      </w:r>
      <w:r>
        <w:t xml:space="preserve"> pays, ce qui signifiait qu</w:t>
      </w:r>
      <w:r w:rsidR="00346F1B">
        <w:t>’</w:t>
      </w:r>
      <w:r>
        <w:t>elle n</w:t>
      </w:r>
      <w:r w:rsidR="00346F1B">
        <w:t>’</w:t>
      </w:r>
      <w:r>
        <w:t>avait pu soumettre son rapport à temps. Elle remerciait néanmoins l</w:t>
      </w:r>
      <w:r w:rsidR="00346F1B">
        <w:t>’</w:t>
      </w:r>
      <w:r>
        <w:t xml:space="preserve">UNESCO pour son soutien dans la </w:t>
      </w:r>
      <w:r w:rsidRPr="004F4B80">
        <w:t>réalisation</w:t>
      </w:r>
      <w:r>
        <w:t xml:space="preserve"> de ce travail. Le pays mettait en œuvre un système de trésors humains vivants qui accompagnait les éléments du patrimoine culturel immatériel car il avait identifié plusieurs personnes disposant des connaissances et compétences nécessaires pour assurer la transmission de ces éléments à la jeune génération. La </w:t>
      </w:r>
      <w:r w:rsidRPr="004F4B80">
        <w:t>délégation</w:t>
      </w:r>
      <w:r>
        <w:t xml:space="preserve"> a conclu son </w:t>
      </w:r>
      <w:r w:rsidRPr="004F4B80">
        <w:t>intervention</w:t>
      </w:r>
      <w:r>
        <w:t xml:space="preserve"> en adressant ses salutations au nom des autorités culturelle de son pays et du ministre d</w:t>
      </w:r>
      <w:r w:rsidR="002B6656">
        <w:t>e la Culture, M.</w:t>
      </w:r>
      <w:r w:rsidR="003A7F42">
        <w:t> </w:t>
      </w:r>
      <w:r w:rsidR="002B6656">
        <w:t>Tahirou Barry.</w:t>
      </w:r>
    </w:p>
    <w:p w14:paraId="00EC52EB" w14:textId="46B33712" w:rsidR="00A33F33" w:rsidRPr="00A33F33" w:rsidRDefault="00A33F33" w:rsidP="00AF7860">
      <w:pPr>
        <w:pStyle w:val="Orateurengris"/>
        <w:spacing w:before="120"/>
        <w:ind w:left="709" w:hanging="709"/>
      </w:pPr>
      <w:r>
        <w:t xml:space="preserve">La </w:t>
      </w:r>
      <w:r w:rsidRPr="00A33F33">
        <w:t>délégation</w:t>
      </w:r>
      <w:r>
        <w:t xml:space="preserve"> de la </w:t>
      </w:r>
      <w:r w:rsidRPr="00A33F33">
        <w:rPr>
          <w:b/>
        </w:rPr>
        <w:t>Hongrie</w:t>
      </w:r>
      <w:r>
        <w:t xml:space="preserve"> a félicité les États </w:t>
      </w:r>
      <w:r w:rsidR="004F1A31">
        <w:t xml:space="preserve">parties </w:t>
      </w:r>
      <w:r>
        <w:t xml:space="preserve">qui avaient préparé des rapports. Elle était </w:t>
      </w:r>
      <w:r w:rsidRPr="00A33F33">
        <w:t>toutefois</w:t>
      </w:r>
      <w:r>
        <w:t xml:space="preserve"> consciente que de nombreux pays devaient encore soumettre leurs rapports, comme mentionné au </w:t>
      </w:r>
      <w:r w:rsidRPr="00A33F33">
        <w:t>paragraphe</w:t>
      </w:r>
      <w:r>
        <w:t xml:space="preserve"> 4 du projet de décision, certains d</w:t>
      </w:r>
      <w:r w:rsidR="00346F1B">
        <w:t>’</w:t>
      </w:r>
      <w:r>
        <w:t xml:space="preserve">entre eux </w:t>
      </w:r>
      <w:r w:rsidR="004F1A31">
        <w:t>accusant un</w:t>
      </w:r>
      <w:r>
        <w:t xml:space="preserve"> retard de plusieurs années. La </w:t>
      </w:r>
      <w:r w:rsidRPr="00A33F33">
        <w:t>délégation</w:t>
      </w:r>
      <w:r>
        <w:t xml:space="preserve"> pensait que les rapports jouai</w:t>
      </w:r>
      <w:r w:rsidR="004F1A31">
        <w:t>en</w:t>
      </w:r>
      <w:r>
        <w:t xml:space="preserve">t un rôle </w:t>
      </w:r>
      <w:r w:rsidR="004F1A31">
        <w:t xml:space="preserve">essentiel </w:t>
      </w:r>
      <w:r>
        <w:t xml:space="preserve">dans la mise en œuvre de la </w:t>
      </w:r>
      <w:r w:rsidRPr="00A33F33">
        <w:t>Convention</w:t>
      </w:r>
      <w:r>
        <w:t xml:space="preserve"> car ils pouvaient être utiles à </w:t>
      </w:r>
      <w:r w:rsidR="004F1A31">
        <w:t>d</w:t>
      </w:r>
      <w:r w:rsidR="00346F1B">
        <w:t>’</w:t>
      </w:r>
      <w:r w:rsidR="004F1A31">
        <w:t>autres pays afin de partager l</w:t>
      </w:r>
      <w:r>
        <w:t xml:space="preserve">es expériences et de permettre la </w:t>
      </w:r>
      <w:r w:rsidRPr="00A33F33">
        <w:t>coopération</w:t>
      </w:r>
      <w:r>
        <w:t xml:space="preserve"> internationale, les principaux objectifs de la </w:t>
      </w:r>
      <w:r w:rsidRPr="00A33F33">
        <w:t>Convention</w:t>
      </w:r>
      <w:r>
        <w:t xml:space="preserve">. Les connaissances glanées dans les rapports permettraient </w:t>
      </w:r>
      <w:r w:rsidRPr="00A33F33">
        <w:t>également</w:t>
      </w:r>
      <w:r>
        <w:t xml:space="preserve"> d</w:t>
      </w:r>
      <w:r w:rsidR="00346F1B">
        <w:t>’</w:t>
      </w:r>
      <w:r>
        <w:t xml:space="preserve">aider les États parties à préparer leurs propres rapports. </w:t>
      </w:r>
      <w:r w:rsidR="004F1A31">
        <w:t xml:space="preserve">Outre </w:t>
      </w:r>
      <w:r>
        <w:t>l</w:t>
      </w:r>
      <w:r w:rsidR="00346F1B">
        <w:t>’</w:t>
      </w:r>
      <w:r>
        <w:t>encouragement des États parties</w:t>
      </w:r>
      <w:r w:rsidR="004F1A31">
        <w:t xml:space="preserve"> </w:t>
      </w:r>
      <w:r>
        <w:t xml:space="preserve">à soumettre leurs rapports avant la prochaine date butoir, la </w:t>
      </w:r>
      <w:r w:rsidRPr="00A33F33">
        <w:t>délégation</w:t>
      </w:r>
      <w:r>
        <w:t xml:space="preserve"> a suggéré que le programme</w:t>
      </w:r>
      <w:r w:rsidR="004F1A31">
        <w:t xml:space="preserve"> global</w:t>
      </w:r>
      <w:r>
        <w:t xml:space="preserve"> de renforcement des capacités </w:t>
      </w:r>
      <w:r w:rsidR="004F1A31">
        <w:t>mette l</w:t>
      </w:r>
      <w:r w:rsidR="00346F1B">
        <w:t>’</w:t>
      </w:r>
      <w:r w:rsidR="004F1A31">
        <w:t xml:space="preserve">accent sur cette question, en prenant en </w:t>
      </w:r>
      <w:r w:rsidR="004F1A31" w:rsidRPr="004F1A31">
        <w:t>considération</w:t>
      </w:r>
      <w:r w:rsidR="004F1A31">
        <w:t xml:space="preserve"> les besoins respecti</w:t>
      </w:r>
      <w:r w:rsidR="002B6656">
        <w:t>fs des États parties concernés.</w:t>
      </w:r>
    </w:p>
    <w:p w14:paraId="65221983" w14:textId="10ED2A1F" w:rsidR="004F1A31" w:rsidRPr="004F1A31" w:rsidRDefault="004F1A31" w:rsidP="00AF7860">
      <w:pPr>
        <w:pStyle w:val="Orateurengris"/>
        <w:spacing w:before="120"/>
        <w:ind w:left="709" w:hanging="709"/>
      </w:pPr>
      <w:r>
        <w:t xml:space="preserve">La </w:t>
      </w:r>
      <w:r w:rsidRPr="004F1A31">
        <w:t>délégation</w:t>
      </w:r>
      <w:r>
        <w:t xml:space="preserve"> de la </w:t>
      </w:r>
      <w:r w:rsidRPr="004F1A31">
        <w:rPr>
          <w:b/>
        </w:rPr>
        <w:t>Norvège</w:t>
      </w:r>
      <w:r>
        <w:t xml:space="preserve"> a informé le Comité que son pays avait soumis son dernier rapport en 2014, ajoutant que le processus de </w:t>
      </w:r>
      <w:r w:rsidRPr="004F1A31">
        <w:t>préparation</w:t>
      </w:r>
      <w:r>
        <w:t xml:space="preserve"> du rapport était en soi très </w:t>
      </w:r>
      <w:r w:rsidR="00FC7315">
        <w:t xml:space="preserve">bénéfique </w:t>
      </w:r>
      <w:r>
        <w:t>et qu</w:t>
      </w:r>
      <w:r w:rsidR="00346F1B">
        <w:t>’</w:t>
      </w:r>
      <w:r>
        <w:t xml:space="preserve">il avait </w:t>
      </w:r>
      <w:r w:rsidR="00FC7315">
        <w:t>permis de renforcer les</w:t>
      </w:r>
      <w:r>
        <w:t xml:space="preserve"> capacités, </w:t>
      </w:r>
      <w:r w:rsidRPr="004F1A31">
        <w:t>en particulier</w:t>
      </w:r>
      <w:r>
        <w:t xml:space="preserve"> lors de </w:t>
      </w:r>
      <w:r w:rsidRPr="004F1A31">
        <w:t>l</w:t>
      </w:r>
      <w:r w:rsidR="00346F1B">
        <w:t>’</w:t>
      </w:r>
      <w:r w:rsidRPr="004F1A31">
        <w:t>élaboration</w:t>
      </w:r>
      <w:r>
        <w:t xml:space="preserve"> du rapport avec les ONG et les experts des instituts de </w:t>
      </w:r>
      <w:r w:rsidRPr="004F1A31">
        <w:t>recherche</w:t>
      </w:r>
      <w:r>
        <w:t xml:space="preserve"> du pays. La </w:t>
      </w:r>
      <w:r w:rsidRPr="004F1A31">
        <w:t>délégation</w:t>
      </w:r>
      <w:r>
        <w:t xml:space="preserve"> a, </w:t>
      </w:r>
      <w:r w:rsidRPr="004F1A31">
        <w:t>par conséquent</w:t>
      </w:r>
      <w:r>
        <w:t xml:space="preserve">, vivement recommandé aux États parties de </w:t>
      </w:r>
      <w:r w:rsidR="00FC7315">
        <w:t xml:space="preserve">tirer parti de ce processus de rapport </w:t>
      </w:r>
      <w:r>
        <w:t xml:space="preserve">pour renforcer leurs propres </w:t>
      </w:r>
      <w:r w:rsidRPr="004F1A31">
        <w:t>capacités</w:t>
      </w:r>
      <w:r w:rsidR="00FC7315">
        <w:t>.</w:t>
      </w:r>
    </w:p>
    <w:p w14:paraId="58789C89" w14:textId="1D2D24FF" w:rsidR="00CA083F" w:rsidRPr="00CA083F" w:rsidRDefault="00FC7315" w:rsidP="00AF7860">
      <w:pPr>
        <w:pStyle w:val="Orateurengris"/>
        <w:spacing w:before="120"/>
        <w:ind w:left="709" w:hanging="709"/>
      </w:pPr>
      <w:r w:rsidRPr="00FC7315">
        <w:t xml:space="preserve">La délégation de la </w:t>
      </w:r>
      <w:r w:rsidRPr="00FC7315">
        <w:rPr>
          <w:b/>
        </w:rPr>
        <w:t>Turquie</w:t>
      </w:r>
      <w:r w:rsidRPr="00FC7315">
        <w:t xml:space="preserve"> </w:t>
      </w:r>
      <w:r>
        <w:t xml:space="preserve">a remercié le Secrétariat pour son travail sur le cycle 2016 de rapports périodiques et, </w:t>
      </w:r>
      <w:r w:rsidRPr="00FC7315">
        <w:t>en particulier</w:t>
      </w:r>
      <w:r>
        <w:t>, pour l</w:t>
      </w:r>
      <w:r w:rsidR="00346F1B">
        <w:t>’</w:t>
      </w:r>
      <w:r>
        <w:t>étude approfondie de l</w:t>
      </w:r>
      <w:r w:rsidR="00346F1B">
        <w:t>’</w:t>
      </w:r>
      <w:r>
        <w:t xml:space="preserve">intégration du patrimoine culturel immatériel et de sa </w:t>
      </w:r>
      <w:r w:rsidRPr="00FC7315">
        <w:t>sauvegarde</w:t>
      </w:r>
      <w:r w:rsidR="003232B5">
        <w:t xml:space="preserve"> dans les politiques</w:t>
      </w:r>
      <w:r>
        <w:t xml:space="preserve"> culturelles</w:t>
      </w:r>
      <w:r w:rsidR="00CA083F">
        <w:t xml:space="preserve"> et les autres politiques</w:t>
      </w:r>
      <w:r>
        <w:t>. L</w:t>
      </w:r>
      <w:r w:rsidR="00346F1B">
        <w:t>’</w:t>
      </w:r>
      <w:r>
        <w:t>aperçu des rapports soumis pour le cycle 2016 constituait une analyse des expériences et défis rencontrés par les États soumissionnaires, tandis que l</w:t>
      </w:r>
      <w:r w:rsidR="00346F1B">
        <w:t>’</w:t>
      </w:r>
      <w:r>
        <w:t>étude approfondie était très utile pour saisir comment le patrimoine culturel immatériel interagissait avec les aut</w:t>
      </w:r>
      <w:r w:rsidR="00CA083F">
        <w:t>res domaines de l</w:t>
      </w:r>
      <w:r w:rsidR="00346F1B">
        <w:t>’</w:t>
      </w:r>
      <w:r w:rsidR="00CA083F">
        <w:t>action politique</w:t>
      </w:r>
      <w:r>
        <w:t xml:space="preserve"> tout en y contribuant, </w:t>
      </w:r>
      <w:r w:rsidRPr="00FC7315">
        <w:t>en particulier</w:t>
      </w:r>
      <w:r>
        <w:t xml:space="preserve"> les mesures </w:t>
      </w:r>
      <w:r w:rsidR="00CA083F">
        <w:t>politiques sur le développement durable. Compte tenu de l</w:t>
      </w:r>
      <w:r w:rsidR="00346F1B">
        <w:t>’</w:t>
      </w:r>
      <w:r w:rsidR="00CA083F">
        <w:t xml:space="preserve">intégration du nouveau chapitre sur le développement durable dans les Directives opérationnelles et du </w:t>
      </w:r>
      <w:r w:rsidR="00CA083F" w:rsidRPr="00CA083F">
        <w:t>développement</w:t>
      </w:r>
      <w:r w:rsidR="00CA083F">
        <w:t xml:space="preserve"> de l</w:t>
      </w:r>
      <w:r w:rsidR="00346F1B">
        <w:t>’</w:t>
      </w:r>
      <w:r w:rsidR="00CA083F">
        <w:t xml:space="preserve">Agenda 2030, la </w:t>
      </w:r>
      <w:r w:rsidR="00CA083F" w:rsidRPr="00CA083F">
        <w:t>délégation</w:t>
      </w:r>
      <w:r w:rsidR="00CC3C17">
        <w:t xml:space="preserve"> souhaitait</w:t>
      </w:r>
      <w:r w:rsidR="00CA083F">
        <w:t xml:space="preserve"> encourager tous les États parties à mettre en évidence la contribution du patrimoine culturel immatériel a</w:t>
      </w:r>
      <w:r w:rsidR="00CC3C17">
        <w:t>u développement durable. Elle reconnaissait</w:t>
      </w:r>
      <w:r w:rsidR="00CA083F">
        <w:t xml:space="preserve"> que la soumission des rapport</w:t>
      </w:r>
      <w:r w:rsidR="003232B5">
        <w:t>s en temps voulu était un défi,</w:t>
      </w:r>
      <w:r w:rsidR="00CA083F">
        <w:t xml:space="preserve"> seuls 6 des 37 États parties avaient </w:t>
      </w:r>
      <w:r w:rsidR="003232B5">
        <w:t>d</w:t>
      </w:r>
      <w:r w:rsidR="00346F1B">
        <w:t>’</w:t>
      </w:r>
      <w:r w:rsidR="003232B5">
        <w:t xml:space="preserve">ailleurs </w:t>
      </w:r>
      <w:r w:rsidR="00CA083F">
        <w:t>soumis leurs rapports pour le cycle 2016. Ce</w:t>
      </w:r>
      <w:r w:rsidR="003232B5">
        <w:t xml:space="preserve">la </w:t>
      </w:r>
      <w:r w:rsidR="00CA083F">
        <w:t xml:space="preserve">limitait la capacité du Comité à suivre la mise en œuvre de la </w:t>
      </w:r>
      <w:r w:rsidR="00CA083F" w:rsidRPr="00CA083F">
        <w:t>Convention</w:t>
      </w:r>
      <w:r w:rsidR="00CA083F">
        <w:t>, le privant ainsi d</w:t>
      </w:r>
      <w:r w:rsidR="00346F1B">
        <w:t>’</w:t>
      </w:r>
      <w:r w:rsidR="00CA083F">
        <w:t>une quantité considérable d</w:t>
      </w:r>
      <w:r w:rsidR="00346F1B">
        <w:t>’</w:t>
      </w:r>
      <w:r w:rsidR="00CA083F">
        <w:t>expériences, de perspectives sur les différents défis, et d</w:t>
      </w:r>
      <w:r w:rsidR="00346F1B">
        <w:t>’</w:t>
      </w:r>
      <w:r w:rsidR="00CA083F">
        <w:t xml:space="preserve">enseignements tirés dans les nombreux États parties. La </w:t>
      </w:r>
      <w:r w:rsidR="00CA083F" w:rsidRPr="00CA083F">
        <w:t>délégation</w:t>
      </w:r>
      <w:r w:rsidR="00CA083F">
        <w:t xml:space="preserve"> a félicité la </w:t>
      </w:r>
      <w:r w:rsidR="00CA083F" w:rsidRPr="00CA083F">
        <w:t>République</w:t>
      </w:r>
      <w:r w:rsidR="00CA083F">
        <w:t xml:space="preserve"> de Corée pour sa </w:t>
      </w:r>
      <w:r w:rsidR="00CC3C17">
        <w:t xml:space="preserve">contribution </w:t>
      </w:r>
      <w:r w:rsidR="00CA083F">
        <w:t>volontaire qui avait permis d</w:t>
      </w:r>
      <w:r w:rsidR="00346F1B">
        <w:t>’</w:t>
      </w:r>
      <w:r w:rsidR="00CA083F">
        <w:t>améliorer le mécanisme de rapports périodiques, et elle attendait du Secrétariat qu</w:t>
      </w:r>
      <w:r w:rsidR="00346F1B">
        <w:t>’</w:t>
      </w:r>
      <w:r w:rsidR="00CA083F">
        <w:t>il élabore un projet bien conçu, assorti de mesures efficaces, afin de renforcer le mécanisme grâce aux ressourc</w:t>
      </w:r>
      <w:r w:rsidR="002B6656">
        <w:t>es complémentaires disponibles.</w:t>
      </w:r>
    </w:p>
    <w:p w14:paraId="6A69887D" w14:textId="67F0FB90" w:rsidR="00257944" w:rsidRPr="00257944" w:rsidRDefault="003232B5" w:rsidP="00AF7860">
      <w:pPr>
        <w:pStyle w:val="Orateurengris"/>
        <w:spacing w:before="120"/>
        <w:ind w:left="709" w:hanging="709"/>
      </w:pPr>
      <w:r>
        <w:t xml:space="preserve">La </w:t>
      </w:r>
      <w:r w:rsidRPr="003232B5">
        <w:t>délégation</w:t>
      </w:r>
      <w:r>
        <w:t xml:space="preserve"> de l</w:t>
      </w:r>
      <w:r w:rsidR="00346F1B">
        <w:t>’</w:t>
      </w:r>
      <w:r w:rsidRPr="003232B5">
        <w:rPr>
          <w:b/>
        </w:rPr>
        <w:t>Autriche</w:t>
      </w:r>
      <w:r>
        <w:t xml:space="preserve"> a remercié le Secrétariat pour l</w:t>
      </w:r>
      <w:r w:rsidR="00346F1B">
        <w:t>’</w:t>
      </w:r>
      <w:r>
        <w:t>excellent aperçu des rapports, ainsi que les résumés qui présentaient une quantité d</w:t>
      </w:r>
      <w:r w:rsidR="00346F1B">
        <w:t>’</w:t>
      </w:r>
      <w:r w:rsidRPr="003232B5">
        <w:t>informations</w:t>
      </w:r>
      <w:r>
        <w:t xml:space="preserve"> sur la grande diversité d</w:t>
      </w:r>
      <w:r w:rsidR="00346F1B">
        <w:t>’</w:t>
      </w:r>
      <w:r>
        <w:t xml:space="preserve">actions entreprises </w:t>
      </w:r>
      <w:r w:rsidR="001A3CA6">
        <w:t xml:space="preserve">afin de </w:t>
      </w:r>
      <w:r>
        <w:t xml:space="preserve">réaliser des progrès dans la mise en œuvre de la </w:t>
      </w:r>
      <w:r w:rsidRPr="003232B5">
        <w:t>Convention</w:t>
      </w:r>
      <w:r>
        <w:t xml:space="preserve">. Elle a </w:t>
      </w:r>
      <w:r w:rsidRPr="003232B5">
        <w:t>également</w:t>
      </w:r>
      <w:r>
        <w:t xml:space="preserve"> salué la nouvelle </w:t>
      </w:r>
      <w:r w:rsidRPr="003232B5">
        <w:t>initiative</w:t>
      </w:r>
      <w:r>
        <w:t xml:space="preserve"> consistant à donner la parole aux États parties ayant soumis des rapports et visant à transmettre leurs expériences de la </w:t>
      </w:r>
      <w:r w:rsidRPr="003232B5">
        <w:t>préparation</w:t>
      </w:r>
      <w:r>
        <w:t xml:space="preserve"> de ces rapports tout en partageant les défis et opportunités rencontrés. De par son expérience, la </w:t>
      </w:r>
      <w:r w:rsidRPr="003232B5">
        <w:t>délégation</w:t>
      </w:r>
      <w:r>
        <w:t xml:space="preserve"> a reconnu que soumettre le rapport n</w:t>
      </w:r>
      <w:r w:rsidR="00346F1B">
        <w:t>’</w:t>
      </w:r>
      <w:r>
        <w:t>était pas une tâche aisée</w:t>
      </w:r>
      <w:r w:rsidR="00390FD1">
        <w:t xml:space="preserve"> et que cela nécessitait beaucoup de temps et d</w:t>
      </w:r>
      <w:r w:rsidR="00346F1B">
        <w:t>’</w:t>
      </w:r>
      <w:r w:rsidR="00390FD1">
        <w:t>efforts. C</w:t>
      </w:r>
      <w:r w:rsidR="00346F1B">
        <w:t>’</w:t>
      </w:r>
      <w:r w:rsidR="00390FD1">
        <w:t xml:space="preserve">était toutefois très </w:t>
      </w:r>
      <w:r w:rsidR="00D74981">
        <w:t xml:space="preserve">gratifiant </w:t>
      </w:r>
      <w:r w:rsidR="00390FD1">
        <w:t xml:space="preserve">car cela permettait de réunir un certain nombre de forces mobilisées pour la mise en œuvre de la </w:t>
      </w:r>
      <w:r w:rsidR="00390FD1" w:rsidRPr="00390FD1">
        <w:t>Convention</w:t>
      </w:r>
      <w:r w:rsidR="00390FD1">
        <w:t xml:space="preserve"> au cours des années passées et cela donnait l</w:t>
      </w:r>
      <w:r w:rsidR="00346F1B">
        <w:t>’</w:t>
      </w:r>
      <w:r w:rsidR="00390FD1" w:rsidRPr="00390FD1">
        <w:t>opportunité</w:t>
      </w:r>
      <w:r w:rsidR="001A3CA6">
        <w:t xml:space="preserve"> de partager les expériences, les défis et l</w:t>
      </w:r>
      <w:r w:rsidR="00390FD1">
        <w:t xml:space="preserve">es enseignements tirés. Les rapports avaient un rôle </w:t>
      </w:r>
      <w:r w:rsidR="001A3CA6">
        <w:t xml:space="preserve">essentiel </w:t>
      </w:r>
      <w:r w:rsidR="00390FD1">
        <w:t xml:space="preserve">de suivi pour la </w:t>
      </w:r>
      <w:r w:rsidR="00390FD1" w:rsidRPr="00390FD1">
        <w:t>Convention</w:t>
      </w:r>
      <w:r w:rsidR="00390FD1">
        <w:t xml:space="preserve">. La </w:t>
      </w:r>
      <w:r w:rsidR="00390FD1" w:rsidRPr="00390FD1">
        <w:t>délégation</w:t>
      </w:r>
      <w:r w:rsidR="00CC3C17">
        <w:t xml:space="preserve"> regrettait</w:t>
      </w:r>
      <w:r w:rsidR="00390FD1">
        <w:t xml:space="preserve"> que tant de pays, 84 pour cent, n</w:t>
      </w:r>
      <w:r w:rsidR="00346F1B">
        <w:t>’</w:t>
      </w:r>
      <w:r w:rsidR="00390FD1">
        <w:t xml:space="preserve">aient pas </w:t>
      </w:r>
      <w:r w:rsidR="00F978E2">
        <w:t xml:space="preserve">satisfait </w:t>
      </w:r>
      <w:r w:rsidR="00390FD1">
        <w:t>leur obligation d</w:t>
      </w:r>
      <w:r w:rsidR="00346F1B">
        <w:t>’</w:t>
      </w:r>
      <w:r w:rsidR="00390FD1">
        <w:t>établir un rapport. Les États parties devaient s</w:t>
      </w:r>
      <w:r w:rsidR="00346F1B">
        <w:t>’</w:t>
      </w:r>
      <w:r w:rsidR="00390FD1">
        <w:t>interroger sur les raisons de ce manquement et sur les moyens d</w:t>
      </w:r>
      <w:r w:rsidR="00346F1B">
        <w:t>’</w:t>
      </w:r>
      <w:r w:rsidR="00390FD1">
        <w:t xml:space="preserve">y remédier. Dans ce contexte, la </w:t>
      </w:r>
      <w:r w:rsidR="00390FD1" w:rsidRPr="00390FD1">
        <w:t>délégation</w:t>
      </w:r>
      <w:r w:rsidR="00390FD1">
        <w:t xml:space="preserve"> </w:t>
      </w:r>
      <w:r w:rsidR="00D74981">
        <w:t>s</w:t>
      </w:r>
      <w:r w:rsidR="00346F1B">
        <w:t>’</w:t>
      </w:r>
      <w:r w:rsidR="00D74981">
        <w:t xml:space="preserve">est félicitée </w:t>
      </w:r>
      <w:r w:rsidR="001A3CA6">
        <w:t>d</w:t>
      </w:r>
      <w:r w:rsidR="00390FD1">
        <w:t>es initiatives du Secrétariat</w:t>
      </w:r>
      <w:r w:rsidR="001A3CA6">
        <w:t xml:space="preserve"> </w:t>
      </w:r>
      <w:r w:rsidR="00390FD1">
        <w:t>visant à aider les États</w:t>
      </w:r>
      <w:r w:rsidR="00CC3C17">
        <w:t xml:space="preserve"> à satisfaire </w:t>
      </w:r>
      <w:r w:rsidR="001A3CA6">
        <w:t>leur obligation</w:t>
      </w:r>
      <w:r w:rsidR="00390FD1">
        <w:t xml:space="preserve"> de rapport, </w:t>
      </w:r>
      <w:r w:rsidR="00BF6AD2">
        <w:t xml:space="preserve">telles que </w:t>
      </w:r>
      <w:r w:rsidR="00390FD1">
        <w:t xml:space="preserve">la </w:t>
      </w:r>
      <w:hyperlink r:id="rId36" w:history="1">
        <w:r w:rsidR="00BF6AD2" w:rsidRPr="00F06254">
          <w:rPr>
            <w:rStyle w:val="Hyperlink"/>
            <w:rFonts w:eastAsia="Arial"/>
          </w:rPr>
          <w:t>page web</w:t>
        </w:r>
      </w:hyperlink>
      <w:r w:rsidR="00BF6AD2">
        <w:rPr>
          <w:rStyle w:val="Hyperlink"/>
          <w:rFonts w:eastAsia="Arial"/>
          <w:u w:val="none"/>
        </w:rPr>
        <w:t xml:space="preserve"> </w:t>
      </w:r>
      <w:r w:rsidR="00BF6AD2">
        <w:rPr>
          <w:rStyle w:val="Hyperlink"/>
          <w:rFonts w:eastAsia="Arial"/>
          <w:color w:val="auto"/>
          <w:u w:val="none"/>
        </w:rPr>
        <w:t>consacrée aux rapports périodiques, les courriers de rappel et les documents d</w:t>
      </w:r>
      <w:r w:rsidR="00346F1B">
        <w:rPr>
          <w:rStyle w:val="Hyperlink"/>
          <w:rFonts w:eastAsia="Arial"/>
          <w:color w:val="auto"/>
          <w:u w:val="none"/>
        </w:rPr>
        <w:t>’</w:t>
      </w:r>
      <w:r w:rsidR="00BF6AD2">
        <w:rPr>
          <w:rStyle w:val="Hyperlink"/>
          <w:rFonts w:eastAsia="Arial"/>
          <w:color w:val="auto"/>
          <w:u w:val="none"/>
        </w:rPr>
        <w:t xml:space="preserve">orientation. La </w:t>
      </w:r>
      <w:r w:rsidR="00BF6AD2" w:rsidRPr="00BF6AD2">
        <w:rPr>
          <w:rStyle w:val="Hyperlink"/>
          <w:rFonts w:eastAsia="Arial"/>
          <w:color w:val="auto"/>
          <w:u w:val="none"/>
        </w:rPr>
        <w:t>délégation</w:t>
      </w:r>
      <w:r w:rsidR="00BF6AD2">
        <w:rPr>
          <w:rStyle w:val="Hyperlink"/>
          <w:rFonts w:eastAsia="Arial"/>
          <w:color w:val="auto"/>
          <w:u w:val="none"/>
        </w:rPr>
        <w:t xml:space="preserve"> a remercié la </w:t>
      </w:r>
      <w:r w:rsidR="00BF6AD2" w:rsidRPr="00BF6AD2">
        <w:rPr>
          <w:rStyle w:val="Hyperlink"/>
          <w:rFonts w:eastAsia="Arial"/>
          <w:color w:val="auto"/>
          <w:u w:val="none"/>
        </w:rPr>
        <w:t>République</w:t>
      </w:r>
      <w:r w:rsidR="00BF6AD2">
        <w:rPr>
          <w:rStyle w:val="Hyperlink"/>
          <w:rFonts w:eastAsia="Arial"/>
          <w:color w:val="auto"/>
          <w:u w:val="none"/>
        </w:rPr>
        <w:t xml:space="preserve"> de Corée pour sa généreuse </w:t>
      </w:r>
      <w:r w:rsidR="00BF6AD2" w:rsidRPr="00BF6AD2">
        <w:rPr>
          <w:rStyle w:val="Hyperlink"/>
          <w:rFonts w:eastAsia="Arial"/>
          <w:color w:val="auto"/>
          <w:u w:val="none"/>
        </w:rPr>
        <w:t xml:space="preserve">contribution </w:t>
      </w:r>
      <w:r w:rsidR="00BF6AD2">
        <w:rPr>
          <w:rStyle w:val="Hyperlink"/>
          <w:rFonts w:eastAsia="Arial"/>
          <w:color w:val="auto"/>
          <w:u w:val="none"/>
        </w:rPr>
        <w:t>au Fonds du PCI permettant d</w:t>
      </w:r>
      <w:r w:rsidR="00346F1B">
        <w:rPr>
          <w:rStyle w:val="Hyperlink"/>
          <w:rFonts w:eastAsia="Arial"/>
          <w:color w:val="auto"/>
          <w:u w:val="none"/>
        </w:rPr>
        <w:t>’</w:t>
      </w:r>
      <w:r w:rsidR="00BF6AD2">
        <w:rPr>
          <w:rStyle w:val="Hyperlink"/>
          <w:rFonts w:eastAsia="Arial"/>
          <w:color w:val="auto"/>
          <w:u w:val="none"/>
        </w:rPr>
        <w:t>améliorer le mécanisme de rapports périodiques. Par ailleurs, elle voyait dans les résumés des rapports périodiques d</w:t>
      </w:r>
      <w:r w:rsidR="00346F1B">
        <w:rPr>
          <w:rStyle w:val="Hyperlink"/>
          <w:rFonts w:eastAsia="Arial"/>
          <w:color w:val="auto"/>
          <w:u w:val="none"/>
        </w:rPr>
        <w:t>’</w:t>
      </w:r>
      <w:r w:rsidR="00BF6AD2">
        <w:rPr>
          <w:rStyle w:val="Hyperlink"/>
          <w:rFonts w:eastAsia="Arial"/>
          <w:color w:val="auto"/>
          <w:u w:val="none"/>
        </w:rPr>
        <w:t>excellents outils qui pouvaient même encourager les autres États parties à s</w:t>
      </w:r>
      <w:r w:rsidR="00346F1B">
        <w:rPr>
          <w:rStyle w:val="Hyperlink"/>
          <w:rFonts w:eastAsia="Arial"/>
          <w:color w:val="auto"/>
          <w:u w:val="none"/>
        </w:rPr>
        <w:t>’</w:t>
      </w:r>
      <w:r w:rsidR="00BF6AD2">
        <w:rPr>
          <w:rStyle w:val="Hyperlink"/>
          <w:rFonts w:eastAsia="Arial"/>
          <w:color w:val="auto"/>
          <w:u w:val="none"/>
        </w:rPr>
        <w:t xml:space="preserve">atteler à la tâche. </w:t>
      </w:r>
      <w:r w:rsidR="00BF6AD2" w:rsidRPr="00BF6AD2">
        <w:rPr>
          <w:rStyle w:val="Hyperlink"/>
          <w:rFonts w:eastAsia="Arial"/>
          <w:color w:val="auto"/>
          <w:u w:val="none"/>
        </w:rPr>
        <w:t>Toutefois</w:t>
      </w:r>
      <w:r w:rsidR="00BF6AD2">
        <w:rPr>
          <w:rStyle w:val="Hyperlink"/>
          <w:rFonts w:eastAsia="Arial"/>
          <w:color w:val="auto"/>
          <w:u w:val="none"/>
        </w:rPr>
        <w:t xml:space="preserve">, la </w:t>
      </w:r>
      <w:r w:rsidR="00BF6AD2" w:rsidRPr="00BF6AD2">
        <w:rPr>
          <w:rStyle w:val="Hyperlink"/>
          <w:rFonts w:eastAsia="Arial"/>
          <w:color w:val="auto"/>
          <w:u w:val="none"/>
        </w:rPr>
        <w:t>délégation</w:t>
      </w:r>
      <w:r w:rsidR="00BF6AD2">
        <w:rPr>
          <w:rStyle w:val="Hyperlink"/>
          <w:rFonts w:eastAsia="Arial"/>
          <w:color w:val="auto"/>
          <w:u w:val="none"/>
        </w:rPr>
        <w:t xml:space="preserve"> avait le sentiment qu</w:t>
      </w:r>
      <w:r w:rsidR="00346F1B">
        <w:rPr>
          <w:rStyle w:val="Hyperlink"/>
          <w:rFonts w:eastAsia="Arial"/>
          <w:color w:val="auto"/>
          <w:u w:val="none"/>
        </w:rPr>
        <w:t>’</w:t>
      </w:r>
      <w:r w:rsidR="00BF6AD2">
        <w:rPr>
          <w:rStyle w:val="Hyperlink"/>
          <w:rFonts w:eastAsia="Arial"/>
          <w:color w:val="auto"/>
          <w:u w:val="none"/>
        </w:rPr>
        <w:t>il était nécessaire de mettre en place des mesures destinées à renforcer la visibilité des nombreuses activités</w:t>
      </w:r>
      <w:r w:rsidR="001A3CA6">
        <w:rPr>
          <w:rStyle w:val="Hyperlink"/>
          <w:rFonts w:eastAsia="Arial"/>
          <w:color w:val="auto"/>
          <w:u w:val="none"/>
        </w:rPr>
        <w:t xml:space="preserve"> entreprises</w:t>
      </w:r>
      <w:r w:rsidR="00BF6AD2">
        <w:rPr>
          <w:rStyle w:val="Hyperlink"/>
          <w:rFonts w:eastAsia="Arial"/>
          <w:color w:val="auto"/>
          <w:u w:val="none"/>
        </w:rPr>
        <w:t xml:space="preserve">. Le Secrétariat avait rappelé au Comité que le cadre global de résultats pourrait </w:t>
      </w:r>
      <w:r w:rsidR="00BF6AD2" w:rsidRPr="00BF6AD2">
        <w:rPr>
          <w:rStyle w:val="Hyperlink"/>
          <w:rFonts w:eastAsia="Arial"/>
          <w:color w:val="auto"/>
          <w:u w:val="none"/>
        </w:rPr>
        <w:t>peut-être</w:t>
      </w:r>
      <w:r w:rsidR="00BF6AD2">
        <w:rPr>
          <w:rStyle w:val="Hyperlink"/>
          <w:rFonts w:eastAsia="Arial"/>
          <w:color w:val="auto"/>
          <w:u w:val="none"/>
        </w:rPr>
        <w:t xml:space="preserve"> avoir une influence sur le mécanisme de rapports périodiques. Dans ce contexte, la </w:t>
      </w:r>
      <w:r w:rsidR="00BF6AD2" w:rsidRPr="00BF6AD2">
        <w:rPr>
          <w:rStyle w:val="Hyperlink"/>
          <w:rFonts w:eastAsia="Arial"/>
          <w:color w:val="auto"/>
          <w:u w:val="none"/>
        </w:rPr>
        <w:t>délégation</w:t>
      </w:r>
      <w:r w:rsidR="00BF6AD2">
        <w:rPr>
          <w:rStyle w:val="Hyperlink"/>
          <w:rFonts w:eastAsia="Arial"/>
          <w:color w:val="auto"/>
          <w:u w:val="none"/>
        </w:rPr>
        <w:t xml:space="preserve"> a attiré l</w:t>
      </w:r>
      <w:r w:rsidR="00346F1B">
        <w:rPr>
          <w:rStyle w:val="Hyperlink"/>
          <w:rFonts w:eastAsia="Arial"/>
          <w:color w:val="auto"/>
          <w:u w:val="none"/>
        </w:rPr>
        <w:t>’</w:t>
      </w:r>
      <w:r w:rsidR="00BF6AD2">
        <w:rPr>
          <w:rStyle w:val="Hyperlink"/>
          <w:rFonts w:eastAsia="Arial"/>
          <w:color w:val="auto"/>
          <w:u w:val="none"/>
        </w:rPr>
        <w:t xml:space="preserve">attention du Comité sur une activité très réussie de la </w:t>
      </w:r>
      <w:r w:rsidR="00BF6AD2" w:rsidRPr="00BF6AD2">
        <w:rPr>
          <w:rStyle w:val="Hyperlink"/>
          <w:rFonts w:eastAsia="Arial"/>
          <w:color w:val="auto"/>
          <w:u w:val="none"/>
        </w:rPr>
        <w:t>Convention</w:t>
      </w:r>
      <w:r w:rsidR="00BF6AD2">
        <w:rPr>
          <w:rStyle w:val="Hyperlink"/>
          <w:rFonts w:eastAsia="Arial"/>
          <w:color w:val="auto"/>
          <w:u w:val="none"/>
        </w:rPr>
        <w:t xml:space="preserve"> de 2005</w:t>
      </w:r>
      <w:r w:rsidR="00AE468E">
        <w:rPr>
          <w:rStyle w:val="Hyperlink"/>
          <w:rFonts w:eastAsia="Arial"/>
          <w:color w:val="auto"/>
          <w:u w:val="none"/>
        </w:rPr>
        <w:t xml:space="preserve"> sur la diversité des expressions culturelles</w:t>
      </w:r>
      <w:r w:rsidR="00BF6AD2">
        <w:rPr>
          <w:rStyle w:val="Hyperlink"/>
          <w:rFonts w:eastAsia="Arial"/>
          <w:color w:val="auto"/>
          <w:u w:val="none"/>
        </w:rPr>
        <w:t xml:space="preserve">, le rapport </w:t>
      </w:r>
      <w:r w:rsidR="00AE468E">
        <w:rPr>
          <w:rStyle w:val="Hyperlink"/>
          <w:rFonts w:eastAsia="Arial"/>
          <w:color w:val="auto"/>
          <w:u w:val="none"/>
        </w:rPr>
        <w:t xml:space="preserve">global </w:t>
      </w:r>
      <w:r w:rsidR="00BF6AD2">
        <w:rPr>
          <w:rStyle w:val="Hyperlink"/>
          <w:rFonts w:eastAsia="Arial"/>
          <w:color w:val="auto"/>
          <w:u w:val="none"/>
        </w:rPr>
        <w:t xml:space="preserve">2015 </w:t>
      </w:r>
      <w:hyperlink r:id="rId37" w:history="1">
        <w:r w:rsidR="00AE468E">
          <w:rPr>
            <w:rStyle w:val="Hyperlink"/>
            <w:rFonts w:eastAsia="Arial"/>
          </w:rPr>
          <w:t>Repenser les politiques culturelles</w:t>
        </w:r>
      </w:hyperlink>
      <w:r w:rsidR="00AE468E">
        <w:rPr>
          <w:rStyle w:val="Hyperlink"/>
          <w:rFonts w:eastAsia="Arial"/>
          <w:color w:val="auto"/>
          <w:u w:val="none"/>
        </w:rPr>
        <w:t xml:space="preserve"> qui suivait les progrès réalisés dans la mise en œuvre de la </w:t>
      </w:r>
      <w:r w:rsidR="00AE468E" w:rsidRPr="00AE468E">
        <w:rPr>
          <w:rStyle w:val="Hyperlink"/>
          <w:rFonts w:eastAsia="Arial"/>
          <w:color w:val="auto"/>
          <w:u w:val="none"/>
        </w:rPr>
        <w:t>Convention</w:t>
      </w:r>
      <w:r w:rsidR="00AE468E">
        <w:rPr>
          <w:rStyle w:val="Hyperlink"/>
          <w:rFonts w:eastAsia="Arial"/>
          <w:color w:val="auto"/>
          <w:u w:val="none"/>
        </w:rPr>
        <w:t xml:space="preserve"> et de ses objectifs. Le rapport analysait les tendances</w:t>
      </w:r>
      <w:r w:rsidR="00D74981">
        <w:rPr>
          <w:rStyle w:val="Hyperlink"/>
          <w:rFonts w:eastAsia="Arial"/>
          <w:color w:val="auto"/>
          <w:u w:val="none"/>
        </w:rPr>
        <w:t xml:space="preserve"> générales et</w:t>
      </w:r>
      <w:r w:rsidR="00AE468E">
        <w:rPr>
          <w:rStyle w:val="Hyperlink"/>
          <w:rFonts w:eastAsia="Arial"/>
          <w:color w:val="auto"/>
          <w:u w:val="none"/>
        </w:rPr>
        <w:t xml:space="preserve"> les évolutions des défis auxquels étaient confrontés tous les acteurs politiques concernés, et il donnait des exemples de politiques et de mesures novatrices qui répondaient aux problèmes</w:t>
      </w:r>
      <w:r w:rsidR="001A3CA6">
        <w:rPr>
          <w:rStyle w:val="Hyperlink"/>
          <w:rFonts w:eastAsia="Arial"/>
          <w:color w:val="auto"/>
          <w:u w:val="none"/>
        </w:rPr>
        <w:t xml:space="preserve"> rencontrés</w:t>
      </w:r>
      <w:r w:rsidR="00AE468E">
        <w:rPr>
          <w:rStyle w:val="Hyperlink"/>
          <w:rFonts w:eastAsia="Arial"/>
          <w:color w:val="auto"/>
          <w:u w:val="none"/>
        </w:rPr>
        <w:t>. Compte tenu du grand nombre d</w:t>
      </w:r>
      <w:r w:rsidR="00346F1B">
        <w:rPr>
          <w:rStyle w:val="Hyperlink"/>
          <w:rFonts w:eastAsia="Arial"/>
          <w:color w:val="auto"/>
          <w:u w:val="none"/>
        </w:rPr>
        <w:t>’</w:t>
      </w:r>
      <w:r w:rsidR="00AE468E" w:rsidRPr="00AE468E">
        <w:rPr>
          <w:rStyle w:val="Hyperlink"/>
          <w:rFonts w:eastAsia="Arial"/>
          <w:color w:val="auto"/>
          <w:u w:val="none"/>
        </w:rPr>
        <w:t>informations</w:t>
      </w:r>
      <w:r w:rsidR="00AE468E">
        <w:rPr>
          <w:rStyle w:val="Hyperlink"/>
          <w:rFonts w:eastAsia="Arial"/>
          <w:color w:val="auto"/>
          <w:u w:val="none"/>
        </w:rPr>
        <w:t xml:space="preserve"> recueillies au cours des six cycles de rapports, la </w:t>
      </w:r>
      <w:r w:rsidR="00AE468E" w:rsidRPr="00AE468E">
        <w:rPr>
          <w:rStyle w:val="Hyperlink"/>
          <w:rFonts w:eastAsia="Arial"/>
          <w:color w:val="auto"/>
          <w:u w:val="none"/>
        </w:rPr>
        <w:t>délégation</w:t>
      </w:r>
      <w:r w:rsidR="00AE468E">
        <w:rPr>
          <w:rStyle w:val="Hyperlink"/>
          <w:rFonts w:eastAsia="Arial"/>
          <w:color w:val="auto"/>
          <w:u w:val="none"/>
        </w:rPr>
        <w:t xml:space="preserve"> se demandait si un rapport global de suivi pourrait être rédigé sur la mise en œuvre de la </w:t>
      </w:r>
      <w:r w:rsidR="00AE468E" w:rsidRPr="00AE468E">
        <w:rPr>
          <w:rStyle w:val="Hyperlink"/>
          <w:rFonts w:eastAsia="Arial"/>
          <w:color w:val="auto"/>
          <w:u w:val="none"/>
        </w:rPr>
        <w:t>Convention</w:t>
      </w:r>
      <w:r w:rsidR="00AE468E">
        <w:rPr>
          <w:rStyle w:val="Hyperlink"/>
          <w:rFonts w:eastAsia="Arial"/>
          <w:color w:val="auto"/>
          <w:u w:val="none"/>
        </w:rPr>
        <w:t xml:space="preserve"> de 2003. La </w:t>
      </w:r>
      <w:r w:rsidR="00AE468E" w:rsidRPr="00AE468E">
        <w:rPr>
          <w:rStyle w:val="Hyperlink"/>
          <w:rFonts w:eastAsia="Arial"/>
          <w:color w:val="auto"/>
          <w:u w:val="none"/>
        </w:rPr>
        <w:t>délégation</w:t>
      </w:r>
      <w:r w:rsidR="00AE468E">
        <w:rPr>
          <w:rStyle w:val="Hyperlink"/>
          <w:rFonts w:eastAsia="Arial"/>
          <w:color w:val="auto"/>
          <w:u w:val="none"/>
        </w:rPr>
        <w:t xml:space="preserve"> </w:t>
      </w:r>
      <w:r w:rsidR="00A14C64">
        <w:rPr>
          <w:rStyle w:val="Hyperlink"/>
          <w:rFonts w:eastAsia="Arial"/>
          <w:color w:val="auto"/>
          <w:u w:val="none"/>
        </w:rPr>
        <w:t xml:space="preserve">a </w:t>
      </w:r>
      <w:r w:rsidR="00AE468E">
        <w:rPr>
          <w:rStyle w:val="Hyperlink"/>
          <w:rFonts w:eastAsia="Arial"/>
          <w:color w:val="auto"/>
          <w:u w:val="none"/>
        </w:rPr>
        <w:t>fait remarquer que le Comité</w:t>
      </w:r>
      <w:r w:rsidR="00AE468E">
        <w:rPr>
          <w:rStyle w:val="Hyperlink"/>
          <w:color w:val="auto"/>
          <w:u w:val="none"/>
        </w:rPr>
        <w:t xml:space="preserve"> avait accès à : i) un certain nombre de pays disposant d</w:t>
      </w:r>
      <w:r w:rsidR="00346F1B">
        <w:rPr>
          <w:rStyle w:val="Hyperlink"/>
          <w:color w:val="auto"/>
          <w:u w:val="none"/>
        </w:rPr>
        <w:t>’</w:t>
      </w:r>
      <w:r w:rsidR="00AE468E">
        <w:rPr>
          <w:rStyle w:val="Hyperlink"/>
          <w:color w:val="auto"/>
          <w:u w:val="none"/>
        </w:rPr>
        <w:t xml:space="preserve">un cadre institutionnel pour la </w:t>
      </w:r>
      <w:r w:rsidR="00AE468E" w:rsidRPr="00AE468E">
        <w:rPr>
          <w:rStyle w:val="Hyperlink"/>
          <w:color w:val="auto"/>
          <w:u w:val="none"/>
        </w:rPr>
        <w:t>sauvegarde</w:t>
      </w:r>
      <w:r w:rsidR="00AE468E">
        <w:rPr>
          <w:rStyle w:val="Hyperlink"/>
          <w:color w:val="auto"/>
          <w:u w:val="none"/>
        </w:rPr>
        <w:t xml:space="preserve"> du patrimoine culturel immatériel ; ii) des </w:t>
      </w:r>
      <w:r w:rsidR="00AE468E" w:rsidRPr="00AE468E">
        <w:rPr>
          <w:rStyle w:val="Hyperlink"/>
          <w:color w:val="auto"/>
          <w:u w:val="none"/>
        </w:rPr>
        <w:t>informations</w:t>
      </w:r>
      <w:r w:rsidR="00AE468E">
        <w:rPr>
          <w:rStyle w:val="Hyperlink"/>
          <w:color w:val="auto"/>
          <w:u w:val="none"/>
        </w:rPr>
        <w:t xml:space="preserve"> </w:t>
      </w:r>
      <w:r w:rsidR="00257944">
        <w:rPr>
          <w:rStyle w:val="Hyperlink"/>
          <w:color w:val="auto"/>
          <w:u w:val="none"/>
        </w:rPr>
        <w:t xml:space="preserve">très détaillées sur la </w:t>
      </w:r>
      <w:r w:rsidR="00257944" w:rsidRPr="00257944">
        <w:rPr>
          <w:rStyle w:val="Hyperlink"/>
          <w:color w:val="auto"/>
          <w:u w:val="none"/>
        </w:rPr>
        <w:t>réalisation</w:t>
      </w:r>
      <w:r w:rsidR="00257944">
        <w:rPr>
          <w:rStyle w:val="Hyperlink"/>
          <w:color w:val="auto"/>
          <w:u w:val="none"/>
        </w:rPr>
        <w:t xml:space="preserve"> d</w:t>
      </w:r>
      <w:r w:rsidR="00346F1B">
        <w:rPr>
          <w:rStyle w:val="Hyperlink"/>
          <w:color w:val="auto"/>
          <w:u w:val="none"/>
        </w:rPr>
        <w:t>’</w:t>
      </w:r>
      <w:r w:rsidR="00257944">
        <w:rPr>
          <w:rStyle w:val="Hyperlink"/>
          <w:color w:val="auto"/>
          <w:u w:val="none"/>
        </w:rPr>
        <w:t xml:space="preserve">inventaires, les mesures de sauvegarde et la </w:t>
      </w:r>
      <w:r w:rsidR="00257944" w:rsidRPr="00257944">
        <w:rPr>
          <w:rStyle w:val="Hyperlink"/>
          <w:color w:val="auto"/>
          <w:u w:val="none"/>
        </w:rPr>
        <w:t>coopération</w:t>
      </w:r>
      <w:r w:rsidR="00257944">
        <w:rPr>
          <w:rStyle w:val="Hyperlink"/>
          <w:color w:val="auto"/>
          <w:u w:val="none"/>
        </w:rPr>
        <w:t xml:space="preserve"> </w:t>
      </w:r>
      <w:r w:rsidR="00257944" w:rsidRPr="00257944">
        <w:rPr>
          <w:rStyle w:val="Hyperlink"/>
          <w:color w:val="auto"/>
          <w:u w:val="none"/>
        </w:rPr>
        <w:t>internationale</w:t>
      </w:r>
      <w:r w:rsidR="00257944">
        <w:rPr>
          <w:rStyle w:val="Hyperlink"/>
          <w:color w:val="auto"/>
          <w:u w:val="none"/>
        </w:rPr>
        <w:t> ; iii) un certain nombre de domaines d</w:t>
      </w:r>
      <w:r w:rsidR="00346F1B">
        <w:rPr>
          <w:rStyle w:val="Hyperlink"/>
          <w:color w:val="auto"/>
          <w:u w:val="none"/>
        </w:rPr>
        <w:t>’</w:t>
      </w:r>
      <w:r w:rsidR="00257944">
        <w:rPr>
          <w:rStyle w:val="Hyperlink"/>
          <w:color w:val="auto"/>
          <w:u w:val="none"/>
        </w:rPr>
        <w:t>action politique auxquels le patrimoine culturel immatériel</w:t>
      </w:r>
      <w:r w:rsidR="00A14C64">
        <w:rPr>
          <w:rStyle w:val="Hyperlink"/>
          <w:color w:val="auto"/>
          <w:u w:val="none"/>
        </w:rPr>
        <w:t xml:space="preserve"> contribuait</w:t>
      </w:r>
      <w:r w:rsidR="00257944">
        <w:rPr>
          <w:rStyle w:val="Hyperlink"/>
          <w:color w:val="auto"/>
          <w:u w:val="none"/>
        </w:rPr>
        <w:t xml:space="preserve">, comme le développement durable, le </w:t>
      </w:r>
      <w:r w:rsidR="00257944" w:rsidRPr="00257944">
        <w:rPr>
          <w:rStyle w:val="Hyperlink"/>
          <w:color w:val="auto"/>
          <w:u w:val="none"/>
        </w:rPr>
        <w:t>développement</w:t>
      </w:r>
      <w:r w:rsidR="00257944">
        <w:rPr>
          <w:rStyle w:val="Hyperlink"/>
          <w:color w:val="auto"/>
          <w:u w:val="none"/>
        </w:rPr>
        <w:t xml:space="preserve"> </w:t>
      </w:r>
      <w:r w:rsidR="00257944" w:rsidRPr="00257944">
        <w:rPr>
          <w:rStyle w:val="Hyperlink"/>
          <w:color w:val="auto"/>
          <w:u w:val="none"/>
        </w:rPr>
        <w:t>économique</w:t>
      </w:r>
      <w:r w:rsidR="00257944">
        <w:rPr>
          <w:rStyle w:val="Hyperlink"/>
          <w:color w:val="auto"/>
          <w:u w:val="none"/>
        </w:rPr>
        <w:t xml:space="preserve"> et rural, le tourisme, le </w:t>
      </w:r>
      <w:r w:rsidR="00257944" w:rsidRPr="00257944">
        <w:rPr>
          <w:rStyle w:val="Hyperlink"/>
          <w:color w:val="auto"/>
          <w:u w:val="none"/>
        </w:rPr>
        <w:t>développement</w:t>
      </w:r>
      <w:r w:rsidR="00257944">
        <w:rPr>
          <w:rStyle w:val="Hyperlink"/>
          <w:color w:val="auto"/>
          <w:u w:val="none"/>
        </w:rPr>
        <w:t xml:space="preserve"> social et communautaire, la </w:t>
      </w:r>
      <w:r w:rsidR="00257944" w:rsidRPr="00257944">
        <w:rPr>
          <w:rStyle w:val="Hyperlink"/>
          <w:color w:val="auto"/>
          <w:u w:val="none"/>
        </w:rPr>
        <w:t>résolution</w:t>
      </w:r>
      <w:r w:rsidR="00257944">
        <w:rPr>
          <w:rStyle w:val="Hyperlink"/>
          <w:color w:val="auto"/>
          <w:u w:val="none"/>
        </w:rPr>
        <w:t xml:space="preserve"> des conflits sociaux et la création de l</w:t>
      </w:r>
      <w:r w:rsidR="00346F1B">
        <w:rPr>
          <w:rStyle w:val="Hyperlink"/>
          <w:color w:val="auto"/>
          <w:u w:val="none"/>
        </w:rPr>
        <w:t>’</w:t>
      </w:r>
      <w:r w:rsidR="00257944">
        <w:rPr>
          <w:rStyle w:val="Hyperlink"/>
          <w:color w:val="auto"/>
          <w:u w:val="none"/>
        </w:rPr>
        <w:t>harmonie sociale, pour n</w:t>
      </w:r>
      <w:r w:rsidR="00346F1B">
        <w:rPr>
          <w:rStyle w:val="Hyperlink"/>
          <w:color w:val="auto"/>
          <w:u w:val="none"/>
        </w:rPr>
        <w:t>’</w:t>
      </w:r>
      <w:r w:rsidR="00257944">
        <w:rPr>
          <w:rStyle w:val="Hyperlink"/>
          <w:color w:val="auto"/>
          <w:u w:val="none"/>
        </w:rPr>
        <w:t xml:space="preserve">en citer que </w:t>
      </w:r>
      <w:r w:rsidR="003A7F42">
        <w:rPr>
          <w:rStyle w:val="Hyperlink"/>
          <w:color w:val="auto"/>
          <w:u w:val="none"/>
        </w:rPr>
        <w:t>quelques-uns</w:t>
      </w:r>
      <w:r w:rsidR="00257944">
        <w:rPr>
          <w:rStyle w:val="Hyperlink"/>
          <w:color w:val="auto"/>
          <w:u w:val="none"/>
        </w:rPr>
        <w:t xml:space="preserve"> ; </w:t>
      </w:r>
      <w:r w:rsidR="00D74981">
        <w:rPr>
          <w:rStyle w:val="Hyperlink"/>
          <w:color w:val="auto"/>
          <w:u w:val="none"/>
        </w:rPr>
        <w:t>iv) des rapports sur les éléments inscrits</w:t>
      </w:r>
      <w:r w:rsidR="001A3CA6">
        <w:rPr>
          <w:rStyle w:val="Hyperlink"/>
          <w:color w:val="auto"/>
          <w:u w:val="none"/>
        </w:rPr>
        <w:t> ;</w:t>
      </w:r>
      <w:r w:rsidR="00D74981">
        <w:rPr>
          <w:rStyle w:val="Hyperlink"/>
          <w:color w:val="auto"/>
          <w:u w:val="none"/>
        </w:rPr>
        <w:t xml:space="preserve"> </w:t>
      </w:r>
      <w:r w:rsidR="00257944">
        <w:rPr>
          <w:rStyle w:val="Hyperlink"/>
          <w:color w:val="auto"/>
          <w:u w:val="none"/>
        </w:rPr>
        <w:t xml:space="preserve">et </w:t>
      </w:r>
      <w:r w:rsidR="00257944" w:rsidRPr="00113365">
        <w:rPr>
          <w:rStyle w:val="Hyperlink"/>
          <w:color w:val="auto"/>
          <w:u w:val="none"/>
        </w:rPr>
        <w:t>iv)</w:t>
      </w:r>
      <w:r w:rsidR="00257944">
        <w:rPr>
          <w:rStyle w:val="Hyperlink"/>
          <w:color w:val="auto"/>
          <w:u w:val="none"/>
        </w:rPr>
        <w:t xml:space="preserve"> des </w:t>
      </w:r>
      <w:r w:rsidR="00257944" w:rsidRPr="00257944">
        <w:rPr>
          <w:rStyle w:val="Hyperlink"/>
          <w:color w:val="auto"/>
          <w:u w:val="none"/>
        </w:rPr>
        <w:t>informations</w:t>
      </w:r>
      <w:r w:rsidR="00257944">
        <w:rPr>
          <w:rStyle w:val="Hyperlink"/>
          <w:color w:val="auto"/>
          <w:u w:val="none"/>
        </w:rPr>
        <w:t xml:space="preserve"> sur l</w:t>
      </w:r>
      <w:r w:rsidR="00346F1B">
        <w:rPr>
          <w:rStyle w:val="Hyperlink"/>
          <w:color w:val="auto"/>
          <w:u w:val="none"/>
        </w:rPr>
        <w:t>’</w:t>
      </w:r>
      <w:r w:rsidR="00257944" w:rsidRPr="00257944">
        <w:rPr>
          <w:rStyle w:val="Hyperlink"/>
          <w:color w:val="auto"/>
          <w:u w:val="none"/>
        </w:rPr>
        <w:t>utilisation</w:t>
      </w:r>
      <w:r w:rsidR="00257944">
        <w:rPr>
          <w:rStyle w:val="Hyperlink"/>
          <w:color w:val="auto"/>
          <w:u w:val="none"/>
        </w:rPr>
        <w:t xml:space="preserve"> de l</w:t>
      </w:r>
      <w:r w:rsidR="00346F1B">
        <w:rPr>
          <w:rStyle w:val="Hyperlink"/>
          <w:color w:val="auto"/>
          <w:u w:val="none"/>
        </w:rPr>
        <w:t>’</w:t>
      </w:r>
      <w:r w:rsidR="00257944">
        <w:rPr>
          <w:rStyle w:val="Hyperlink"/>
          <w:color w:val="auto"/>
          <w:u w:val="none"/>
        </w:rPr>
        <w:t>assistance internationale. Cette richesse d</w:t>
      </w:r>
      <w:r w:rsidR="00346F1B">
        <w:rPr>
          <w:rStyle w:val="Hyperlink"/>
          <w:color w:val="auto"/>
          <w:u w:val="none"/>
        </w:rPr>
        <w:t>’</w:t>
      </w:r>
      <w:r w:rsidR="00257944" w:rsidRPr="00257944">
        <w:rPr>
          <w:rStyle w:val="Hyperlink"/>
          <w:color w:val="auto"/>
          <w:u w:val="none"/>
        </w:rPr>
        <w:t>informations</w:t>
      </w:r>
      <w:r w:rsidR="00257944">
        <w:rPr>
          <w:rStyle w:val="Hyperlink"/>
          <w:color w:val="auto"/>
          <w:u w:val="none"/>
        </w:rPr>
        <w:t xml:space="preserve"> pouvait fournir un bon aperçu de la mise en œuvre de l</w:t>
      </w:r>
      <w:r w:rsidR="00346F1B">
        <w:rPr>
          <w:rStyle w:val="Hyperlink"/>
          <w:color w:val="auto"/>
          <w:u w:val="none"/>
        </w:rPr>
        <w:t>’</w:t>
      </w:r>
      <w:r w:rsidR="00257944">
        <w:rPr>
          <w:rStyle w:val="Hyperlink"/>
          <w:color w:val="auto"/>
          <w:u w:val="none"/>
        </w:rPr>
        <w:t>une des Conventions de l</w:t>
      </w:r>
      <w:r w:rsidR="00346F1B">
        <w:rPr>
          <w:rStyle w:val="Hyperlink"/>
          <w:color w:val="auto"/>
          <w:u w:val="none"/>
        </w:rPr>
        <w:t>’</w:t>
      </w:r>
      <w:r w:rsidR="00257944">
        <w:rPr>
          <w:rStyle w:val="Hyperlink"/>
          <w:color w:val="auto"/>
          <w:u w:val="none"/>
        </w:rPr>
        <w:t xml:space="preserve">UNESCO les plus couronnées de succès, aucune autre </w:t>
      </w:r>
      <w:r w:rsidR="00257944" w:rsidRPr="00257944">
        <w:rPr>
          <w:rStyle w:val="Hyperlink"/>
          <w:color w:val="auto"/>
          <w:u w:val="none"/>
        </w:rPr>
        <w:t>Convention</w:t>
      </w:r>
      <w:r w:rsidR="00A14C64">
        <w:rPr>
          <w:rStyle w:val="Hyperlink"/>
          <w:color w:val="auto"/>
          <w:u w:val="none"/>
        </w:rPr>
        <w:t xml:space="preserve"> n</w:t>
      </w:r>
      <w:r w:rsidR="00346F1B">
        <w:rPr>
          <w:rStyle w:val="Hyperlink"/>
          <w:color w:val="auto"/>
          <w:u w:val="none"/>
        </w:rPr>
        <w:t>’</w:t>
      </w:r>
      <w:r w:rsidR="00A14C64">
        <w:rPr>
          <w:rStyle w:val="Hyperlink"/>
          <w:color w:val="auto"/>
          <w:u w:val="none"/>
        </w:rPr>
        <w:t>ayant</w:t>
      </w:r>
      <w:r w:rsidR="00257944">
        <w:rPr>
          <w:rStyle w:val="Hyperlink"/>
          <w:color w:val="auto"/>
          <w:u w:val="none"/>
        </w:rPr>
        <w:t xml:space="preserve"> vu la </w:t>
      </w:r>
      <w:r w:rsidR="00257944" w:rsidRPr="00257944">
        <w:rPr>
          <w:rStyle w:val="Hyperlink"/>
          <w:color w:val="auto"/>
          <w:u w:val="none"/>
        </w:rPr>
        <w:t>ratification</w:t>
      </w:r>
      <w:r w:rsidR="00257944">
        <w:rPr>
          <w:rStyle w:val="Hyperlink"/>
          <w:color w:val="auto"/>
          <w:u w:val="none"/>
        </w:rPr>
        <w:t xml:space="preserve"> de 171 États parties en 13 années. La </w:t>
      </w:r>
      <w:r w:rsidR="00257944" w:rsidRPr="00257944">
        <w:rPr>
          <w:rStyle w:val="Hyperlink"/>
          <w:color w:val="auto"/>
          <w:u w:val="none"/>
        </w:rPr>
        <w:t>délégation</w:t>
      </w:r>
      <w:r w:rsidR="00257944">
        <w:rPr>
          <w:rStyle w:val="Hyperlink"/>
          <w:color w:val="auto"/>
          <w:u w:val="none"/>
        </w:rPr>
        <w:t xml:space="preserve"> a suggéré que le </w:t>
      </w:r>
      <w:r w:rsidR="00257944" w:rsidRPr="00257944">
        <w:rPr>
          <w:rStyle w:val="Hyperlink"/>
          <w:color w:val="auto"/>
          <w:u w:val="none"/>
        </w:rPr>
        <w:t>financement</w:t>
      </w:r>
      <w:r w:rsidR="00257944">
        <w:rPr>
          <w:rStyle w:val="Hyperlink"/>
          <w:color w:val="auto"/>
          <w:u w:val="none"/>
        </w:rPr>
        <w:t xml:space="preserve"> de cette </w:t>
      </w:r>
      <w:r w:rsidR="00257944" w:rsidRPr="00257944">
        <w:rPr>
          <w:rStyle w:val="Hyperlink"/>
          <w:color w:val="auto"/>
          <w:u w:val="none"/>
        </w:rPr>
        <w:t>initiative</w:t>
      </w:r>
      <w:r w:rsidR="00257944">
        <w:rPr>
          <w:rStyle w:val="Hyperlink"/>
          <w:color w:val="auto"/>
          <w:u w:val="none"/>
        </w:rPr>
        <w:t xml:space="preserve"> puisse provenir du Fonds du PCI au </w:t>
      </w:r>
      <w:r w:rsidR="002B6656">
        <w:rPr>
          <w:rStyle w:val="Hyperlink"/>
          <w:color w:val="auto"/>
          <w:u w:val="none"/>
        </w:rPr>
        <w:t>titre de la ligne budgétaire 3.</w:t>
      </w:r>
    </w:p>
    <w:p w14:paraId="633580B3" w14:textId="36BBD260" w:rsidR="002F78FB" w:rsidRPr="002F78FB" w:rsidRDefault="002F78FB" w:rsidP="00AF7860">
      <w:pPr>
        <w:pStyle w:val="Orateurengris"/>
        <w:spacing w:before="120"/>
        <w:ind w:left="709" w:hanging="709"/>
      </w:pPr>
      <w:r w:rsidRPr="002F78FB">
        <w:t>La délégation de l</w:t>
      </w:r>
      <w:r w:rsidR="00346F1B">
        <w:t>’</w:t>
      </w:r>
      <w:r w:rsidRPr="002F78FB">
        <w:rPr>
          <w:b/>
        </w:rPr>
        <w:t>Inde</w:t>
      </w:r>
      <w:r>
        <w:t xml:space="preserve"> a félicité le Secrétariat pour son excellent travail d</w:t>
      </w:r>
      <w:r w:rsidR="00346F1B">
        <w:t>’</w:t>
      </w:r>
      <w:r>
        <w:t xml:space="preserve">analyse des six rapports périodiques. Elle a </w:t>
      </w:r>
      <w:r w:rsidRPr="002F78FB">
        <w:t>également</w:t>
      </w:r>
      <w:r>
        <w:t xml:space="preserve"> </w:t>
      </w:r>
      <w:r w:rsidR="00B8270D">
        <w:t xml:space="preserve">félicité </w:t>
      </w:r>
      <w:r>
        <w:t>le Secrétariat d</w:t>
      </w:r>
      <w:r w:rsidR="00346F1B">
        <w:t>’</w:t>
      </w:r>
      <w:r>
        <w:t xml:space="preserve">envoyer des </w:t>
      </w:r>
      <w:r w:rsidR="00B8270D">
        <w:t xml:space="preserve">courriers de rappel, de mettre à disposition un outil en ligne sur les rapports périodiques destiné à suivre les progrès réalisés par chaque </w:t>
      </w:r>
      <w:r w:rsidR="00B8270D" w:rsidRPr="00B8270D">
        <w:t>État partie</w:t>
      </w:r>
      <w:r w:rsidR="00B8270D">
        <w:t xml:space="preserve">, ainsi que des </w:t>
      </w:r>
      <w:r w:rsidR="00B8270D" w:rsidRPr="00B8270D">
        <w:t>orientations</w:t>
      </w:r>
      <w:r w:rsidR="00B8270D">
        <w:t xml:space="preserve"> additionnelles pour compléter le </w:t>
      </w:r>
      <w:r w:rsidR="00B8270D" w:rsidRPr="00B8270D">
        <w:t>formulaire</w:t>
      </w:r>
      <w:r w:rsidR="00B8270D">
        <w:t xml:space="preserve"> ICH-10 qui était en cours d</w:t>
      </w:r>
      <w:r w:rsidR="00346F1B">
        <w:t>’</w:t>
      </w:r>
      <w:r w:rsidR="00B8270D">
        <w:t xml:space="preserve">actualisation. Elle a </w:t>
      </w:r>
      <w:r w:rsidR="00B8270D" w:rsidRPr="00B8270D">
        <w:t>néanmoins</w:t>
      </w:r>
      <w:r w:rsidR="00B8270D">
        <w:t xml:space="preserve"> exprimé des inquiétudes quant au grand nombre de rapports en retard, avec 84 pour cent des rapports toujours en attente. Les rapports périodiques rendaient plus aisée l</w:t>
      </w:r>
      <w:r w:rsidR="00346F1B">
        <w:t>’</w:t>
      </w:r>
      <w:r w:rsidR="00B8270D" w:rsidRPr="00B8270D">
        <w:t>évaluation</w:t>
      </w:r>
      <w:r w:rsidR="00F627CE">
        <w:t xml:space="preserve"> de la mise en œuvre de la </w:t>
      </w:r>
      <w:r w:rsidR="00F627CE" w:rsidRPr="00F627CE">
        <w:t>Convention</w:t>
      </w:r>
      <w:r w:rsidR="00F627CE">
        <w:t xml:space="preserve"> au niveau national et permettait un partage des meilleures pratiques. La </w:t>
      </w:r>
      <w:r w:rsidR="00F627CE" w:rsidRPr="00F627CE">
        <w:t>délégation</w:t>
      </w:r>
      <w:r w:rsidR="00F627CE">
        <w:t xml:space="preserve"> a reconnu qu</w:t>
      </w:r>
      <w:r w:rsidR="00346F1B">
        <w:t>’</w:t>
      </w:r>
      <w:r w:rsidR="00F627CE">
        <w:t>il était nécessaire de mettre en place un renforcement des capacités dans le domaine de la soumission des rapports, et elle s</w:t>
      </w:r>
      <w:r w:rsidR="00346F1B">
        <w:t>’</w:t>
      </w:r>
      <w:r w:rsidR="00F627CE">
        <w:t>est félicitée de l</w:t>
      </w:r>
      <w:r w:rsidR="00346F1B">
        <w:t>’</w:t>
      </w:r>
      <w:r w:rsidR="00F627CE">
        <w:t>offre de 300</w:t>
      </w:r>
      <w:r w:rsidR="00346F1B">
        <w:t> 000</w:t>
      </w:r>
      <w:r w:rsidR="00F627CE">
        <w:t xml:space="preserve"> </w:t>
      </w:r>
      <w:r w:rsidR="00F627CE" w:rsidRPr="00F627CE">
        <w:t>dollars des États-Unis</w:t>
      </w:r>
      <w:r w:rsidR="00F627CE">
        <w:t xml:space="preserve"> de la </w:t>
      </w:r>
      <w:r w:rsidR="00F627CE" w:rsidRPr="00F627CE">
        <w:t>République</w:t>
      </w:r>
      <w:r w:rsidR="00F627CE">
        <w:t xml:space="preserve"> de Corée destinée à améliorer le méc</w:t>
      </w:r>
      <w:r w:rsidR="002B6656">
        <w:t>anisme de rapports périodiques.</w:t>
      </w:r>
    </w:p>
    <w:p w14:paraId="14BB3186" w14:textId="61DA96AA" w:rsidR="006532B9" w:rsidRDefault="006532B9" w:rsidP="00AF7860">
      <w:pPr>
        <w:pStyle w:val="Orateurengris"/>
        <w:spacing w:before="120"/>
        <w:ind w:left="709" w:hanging="709"/>
      </w:pPr>
      <w:r>
        <w:t xml:space="preserve">La </w:t>
      </w:r>
      <w:r w:rsidRPr="006532B9">
        <w:t>délégation</w:t>
      </w:r>
      <w:r w:rsidR="00EF491F">
        <w:t xml:space="preserve"> de la Côte d</w:t>
      </w:r>
      <w:r w:rsidR="00346F1B">
        <w:t>’</w:t>
      </w:r>
      <w:r w:rsidR="00EF491F">
        <w:t xml:space="preserve">Ivoire </w:t>
      </w:r>
      <w:r>
        <w:t>r</w:t>
      </w:r>
      <w:r w:rsidR="00EF491F">
        <w:t>egrettait</w:t>
      </w:r>
      <w:r>
        <w:t xml:space="preserve"> que les rapports périodiques soient </w:t>
      </w:r>
      <w:r w:rsidR="00EF491F">
        <w:t>ren</w:t>
      </w:r>
      <w:r w:rsidR="007A3AD6">
        <w:t>dus très en re</w:t>
      </w:r>
      <w:r>
        <w:t>t</w:t>
      </w:r>
      <w:r w:rsidR="007A3AD6">
        <w:t>a</w:t>
      </w:r>
      <w:r>
        <w:t>rd et que 84 pour cent des États qui étaient censés soumet</w:t>
      </w:r>
      <w:r w:rsidR="007A3AD6">
        <w:t>tre des rapports ne l</w:t>
      </w:r>
      <w:r w:rsidR="00346F1B">
        <w:t>’</w:t>
      </w:r>
      <w:r w:rsidR="007A3AD6">
        <w:t>aient pas encore fait. C</w:t>
      </w:r>
      <w:r w:rsidR="00346F1B">
        <w:t>’</w:t>
      </w:r>
      <w:r w:rsidR="007A3AD6">
        <w:t xml:space="preserve">était préoccupant car cela engageait le futur de la </w:t>
      </w:r>
      <w:r w:rsidR="007A3AD6" w:rsidRPr="007A3AD6">
        <w:t>Convention</w:t>
      </w:r>
      <w:r w:rsidR="007A3AD6">
        <w:t xml:space="preserve">. La </w:t>
      </w:r>
      <w:r w:rsidR="007A3AD6" w:rsidRPr="007A3AD6">
        <w:t>délégation</w:t>
      </w:r>
      <w:r w:rsidR="007A3AD6">
        <w:t xml:space="preserve"> a demandé au Secrétariat de quelle façon il entendait renverser cette te</w:t>
      </w:r>
      <w:r w:rsidR="00EF491F">
        <w:t>ndance et si le problème résidai</w:t>
      </w:r>
      <w:r w:rsidR="007A3AD6">
        <w:t>t dans le renforcement des capacités. Dev</w:t>
      </w:r>
      <w:r w:rsidR="00EF491F">
        <w:t>r</w:t>
      </w:r>
      <w:r w:rsidR="007A3AD6">
        <w:t xml:space="preserve">ait-on forcer les États parties à soumettre des rapports, et si oui, </w:t>
      </w:r>
      <w:r w:rsidR="00EF491F">
        <w:t>comment cela pourr</w:t>
      </w:r>
      <w:r w:rsidR="002B6656">
        <w:t>ait-il être mis en pratique ?</w:t>
      </w:r>
    </w:p>
    <w:p w14:paraId="074D3512" w14:textId="483E2690" w:rsidR="007A3AD6" w:rsidRDefault="007A3AD6" w:rsidP="00AF7860">
      <w:pPr>
        <w:pStyle w:val="Orateurengris"/>
        <w:spacing w:before="120"/>
        <w:ind w:left="709" w:hanging="709"/>
      </w:pPr>
      <w:r>
        <w:t xml:space="preserve">Le </w:t>
      </w:r>
      <w:r w:rsidRPr="007A3AD6">
        <w:rPr>
          <w:b/>
        </w:rPr>
        <w:t>Président</w:t>
      </w:r>
      <w:r>
        <w:t xml:space="preserve"> a donné la parole au Secrétaire avant l</w:t>
      </w:r>
      <w:r w:rsidR="00346F1B">
        <w:t>’</w:t>
      </w:r>
      <w:r>
        <w:t xml:space="preserve">adoption de la </w:t>
      </w:r>
      <w:r w:rsidRPr="007A3AD6">
        <w:t>décision</w:t>
      </w:r>
      <w:r w:rsidR="002B6656">
        <w:t>.</w:t>
      </w:r>
    </w:p>
    <w:p w14:paraId="3039BB57" w14:textId="58C8BC6B" w:rsidR="00604CAB" w:rsidRPr="00604CAB" w:rsidRDefault="007A3AD6" w:rsidP="00AF7860">
      <w:pPr>
        <w:pStyle w:val="Orateurengris"/>
        <w:tabs>
          <w:tab w:val="left" w:pos="5812"/>
        </w:tabs>
        <w:spacing w:before="120"/>
        <w:ind w:left="709" w:hanging="709"/>
      </w:pPr>
      <w:r>
        <w:t xml:space="preserve">Après avoir remercié les intervenants, le </w:t>
      </w:r>
      <w:r w:rsidRPr="00F5431F">
        <w:rPr>
          <w:b/>
        </w:rPr>
        <w:t>Secrétaire</w:t>
      </w:r>
      <w:r>
        <w:t xml:space="preserve"> a convenu que le mécanisme de rapports périodiques ne fonctionnait pas. S</w:t>
      </w:r>
      <w:r w:rsidR="00346F1B">
        <w:t>’</w:t>
      </w:r>
      <w:r>
        <w:t xml:space="preserve">agissant du rapport global, le </w:t>
      </w:r>
      <w:r w:rsidRPr="007A3AD6">
        <w:t>Secrétaire</w:t>
      </w:r>
      <w:r>
        <w:t xml:space="preserve"> s</w:t>
      </w:r>
      <w:r w:rsidR="00346F1B">
        <w:t>’</w:t>
      </w:r>
      <w:r>
        <w:t>est demandé comment on pouvait le considérer comme global alors que seul 16 pour cent des États parties</w:t>
      </w:r>
      <w:r w:rsidR="00F5431F">
        <w:t xml:space="preserve"> avait soumis des rapports, et ce, bien qu</w:t>
      </w:r>
      <w:r w:rsidR="00346F1B">
        <w:t>’</w:t>
      </w:r>
      <w:r w:rsidR="00F5431F">
        <w:t>il s</w:t>
      </w:r>
      <w:r w:rsidR="00346F1B">
        <w:t>’</w:t>
      </w:r>
      <w:r w:rsidR="00F5431F">
        <w:t>agisse clairement d</w:t>
      </w:r>
      <w:r w:rsidR="00346F1B">
        <w:t>’</w:t>
      </w:r>
      <w:r w:rsidR="00F5431F">
        <w:t xml:space="preserve">une merveilleuse idée qui serait une belle réalisation pour la </w:t>
      </w:r>
      <w:r w:rsidR="00F5431F" w:rsidRPr="00F5431F">
        <w:t>Convention</w:t>
      </w:r>
      <w:r w:rsidR="00F5431F">
        <w:t>. La question posée par la Côte d</w:t>
      </w:r>
      <w:r w:rsidR="00346F1B">
        <w:t>’</w:t>
      </w:r>
      <w:r w:rsidR="00F5431F">
        <w:t xml:space="preserve">Ivoire </w:t>
      </w:r>
      <w:r w:rsidR="003D3404">
        <w:t xml:space="preserve">était importante car elle </w:t>
      </w:r>
      <w:r w:rsidR="00EF491F">
        <w:t>s</w:t>
      </w:r>
      <w:r w:rsidR="00346F1B">
        <w:t>’</w:t>
      </w:r>
      <w:r w:rsidR="00EF491F">
        <w:t xml:space="preserve">interrogeait sur ce </w:t>
      </w:r>
      <w:r w:rsidR="003A6355">
        <w:t>qui pourrait être fait. Le</w:t>
      </w:r>
      <w:r w:rsidR="00F5431F">
        <w:t xml:space="preserve"> </w:t>
      </w:r>
      <w:r w:rsidR="00F5431F" w:rsidRPr="00F5431F">
        <w:t>Secrétaire</w:t>
      </w:r>
      <w:r w:rsidR="00F5431F">
        <w:t xml:space="preserve"> a rappelé au Comité que c</w:t>
      </w:r>
      <w:r w:rsidR="00346F1B">
        <w:t>’</w:t>
      </w:r>
      <w:r w:rsidR="00F5431F">
        <w:t>était une</w:t>
      </w:r>
      <w:r w:rsidR="00604CAB">
        <w:t xml:space="preserve"> </w:t>
      </w:r>
      <w:r w:rsidR="00F5431F" w:rsidRPr="00604CAB">
        <w:t>prérogative de l</w:t>
      </w:r>
      <w:r w:rsidR="00346F1B">
        <w:t>’</w:t>
      </w:r>
      <w:r w:rsidR="00F5431F" w:rsidRPr="00604CAB">
        <w:t>État de soumettre les rapports, conformément à la décision prise lors de la dernière réunion du Comité qui encour</w:t>
      </w:r>
      <w:r w:rsidR="00F978E2">
        <w:t xml:space="preserve">ageait les États à satisfaire </w:t>
      </w:r>
      <w:r w:rsidR="00F5431F" w:rsidRPr="00604CAB">
        <w:t xml:space="preserve">leurs obligations avant de </w:t>
      </w:r>
      <w:r w:rsidR="003D3404">
        <w:t>présenter des</w:t>
      </w:r>
      <w:r w:rsidR="00D76445" w:rsidRPr="00604CAB">
        <w:t xml:space="preserve"> candidature</w:t>
      </w:r>
      <w:r w:rsidR="003D3404">
        <w:t>s</w:t>
      </w:r>
      <w:r w:rsidR="00D76445" w:rsidRPr="00604CAB">
        <w:t xml:space="preserve"> </w:t>
      </w:r>
      <w:r w:rsidR="00F5431F" w:rsidRPr="00604CAB">
        <w:t xml:space="preserve">aux Listes. </w:t>
      </w:r>
      <w:r w:rsidR="00D76445" w:rsidRPr="00604CAB">
        <w:t xml:space="preserve">Une des approches </w:t>
      </w:r>
      <w:r w:rsidR="003D3404">
        <w:t xml:space="preserve">envisageables </w:t>
      </w:r>
      <w:r w:rsidR="00D76445" w:rsidRPr="00604CAB">
        <w:t>serait de demander au Comité s</w:t>
      </w:r>
      <w:r w:rsidR="00346F1B">
        <w:t>’</w:t>
      </w:r>
      <w:r w:rsidR="00D76445" w:rsidRPr="00604CAB">
        <w:t>il souhaitait renforcer cette règle. Toutefois</w:t>
      </w:r>
      <w:r w:rsidR="003D3404">
        <w:t>, l</w:t>
      </w:r>
      <w:r w:rsidR="00346F1B">
        <w:t>’</w:t>
      </w:r>
      <w:r w:rsidR="003D3404">
        <w:t xml:space="preserve">offre </w:t>
      </w:r>
      <w:r w:rsidR="00D76445" w:rsidRPr="00604CAB">
        <w:t>de la République de Corée était très intéressante et permettait une réflexion sur la façon dont les rapports pourraient donner plus de visibilité au travail des États parties. Ainsi</w:t>
      </w:r>
      <w:r w:rsidR="003D3404">
        <w:t>, comme souligné</w:t>
      </w:r>
      <w:r w:rsidR="00D76445" w:rsidRPr="00604CAB">
        <w:t xml:space="preserve"> par la Norvège, le mécanisme de ra</w:t>
      </w:r>
      <w:r w:rsidR="003D3404">
        <w:t>pports ne devait pas être consi</w:t>
      </w:r>
      <w:r w:rsidR="00D76445" w:rsidRPr="00604CAB">
        <w:t>déré com</w:t>
      </w:r>
      <w:r w:rsidR="00EF491F">
        <w:t>m</w:t>
      </w:r>
      <w:r w:rsidR="00D76445" w:rsidRPr="00604CAB">
        <w:t>e une simple obligation mais comme une opportunité de mieux saisir le statut du PCI dans un pays. Le Secrétaire a rappelé au Comité que l</w:t>
      </w:r>
      <w:r w:rsidR="00346F1B">
        <w:t>’</w:t>
      </w:r>
      <w:r w:rsidR="00D76445" w:rsidRPr="00604CAB">
        <w:t>impact réel de la Convention ne se mesurait pas pendant les réunions internationales mais au sein des communautés, et que le mécanisme de rapports périodiques</w:t>
      </w:r>
      <w:r w:rsidR="00860AFA">
        <w:t xml:space="preserve"> permettait d</w:t>
      </w:r>
      <w:r w:rsidR="00346F1B">
        <w:t>’</w:t>
      </w:r>
      <w:r w:rsidR="00860AFA">
        <w:t>illustrer cette réalité</w:t>
      </w:r>
      <w:r w:rsidR="00D76445" w:rsidRPr="00604CAB">
        <w:t>. Le Secrétariat</w:t>
      </w:r>
      <w:r w:rsidR="00860AFA">
        <w:t xml:space="preserve"> serait ravi d</w:t>
      </w:r>
      <w:r w:rsidR="00346F1B">
        <w:t>’</w:t>
      </w:r>
      <w:r w:rsidR="00860AFA">
        <w:t>étudier</w:t>
      </w:r>
      <w:r w:rsidR="00D76445" w:rsidRPr="00604CAB">
        <w:t xml:space="preserve"> plus avant </w:t>
      </w:r>
      <w:r w:rsidR="007B13D8" w:rsidRPr="00604CAB">
        <w:t>l</w:t>
      </w:r>
      <w:r w:rsidR="00D76445" w:rsidRPr="00604CAB">
        <w:t>es multiples façons d</w:t>
      </w:r>
      <w:r w:rsidR="00346F1B">
        <w:t>’</w:t>
      </w:r>
      <w:r w:rsidR="00D76445" w:rsidRPr="00604CAB">
        <w:t>améliorer le mécanisme de rapports périodiques</w:t>
      </w:r>
      <w:r w:rsidR="007B13D8" w:rsidRPr="00604CAB">
        <w:t>. Une suggestion était d</w:t>
      </w:r>
      <w:r w:rsidR="00346F1B">
        <w:t>’</w:t>
      </w:r>
      <w:r w:rsidR="007B13D8" w:rsidRPr="00604CAB">
        <w:t xml:space="preserve">intégrer le mécanisme dans les </w:t>
      </w:r>
      <w:r w:rsidR="00860AFA">
        <w:t xml:space="preserve">thèmes </w:t>
      </w:r>
      <w:r w:rsidR="007B13D8" w:rsidRPr="00604CAB">
        <w:t>du programm</w:t>
      </w:r>
      <w:r w:rsidR="00EF491F">
        <w:t>e de renforcement des capacités. C</w:t>
      </w:r>
      <w:r w:rsidR="007B13D8" w:rsidRPr="00604CAB">
        <w:t>ela était certes réalisable mais les États parties devaient également voir dans le mécanisme une opportunité de rendre leur travail public</w:t>
      </w:r>
      <w:r w:rsidR="00604CAB" w:rsidRPr="00604CAB">
        <w:t>, ce qui constituait égale</w:t>
      </w:r>
      <w:r w:rsidR="00EF491F">
        <w:t>ment une occasion d</w:t>
      </w:r>
      <w:r w:rsidR="00346F1B">
        <w:t>’</w:t>
      </w:r>
      <w:r w:rsidR="00EF491F">
        <w:t>apprendre</w:t>
      </w:r>
      <w:r w:rsidR="00604CAB" w:rsidRPr="00604CAB">
        <w:t>. Le Secrétaire était disposé à débattre et à étudier toutes les possibilités, il a ajouté que l</w:t>
      </w:r>
      <w:r w:rsidR="00346F1B">
        <w:t>’</w:t>
      </w:r>
      <w:r w:rsidR="00604CAB" w:rsidRPr="00604CAB">
        <w:t>idée d</w:t>
      </w:r>
      <w:r w:rsidR="00346F1B">
        <w:t>’</w:t>
      </w:r>
      <w:r w:rsidR="00604CAB" w:rsidRPr="00604CAB">
        <w:t xml:space="preserve">un rapport global serait excellente si le rapport était véritablement global. Le Secrétariat réfléchirait néanmoins à la question et proposerait des idées au Comité sur les possibilités </w:t>
      </w:r>
      <w:r w:rsidR="002B6656">
        <w:t>d</w:t>
      </w:r>
      <w:r w:rsidR="00346F1B">
        <w:t>’</w:t>
      </w:r>
      <w:r w:rsidR="002B6656">
        <w:t>amélioration de ce mécanisme.</w:t>
      </w:r>
    </w:p>
    <w:p w14:paraId="2829E7E9" w14:textId="2C33477D" w:rsidR="00860AFA" w:rsidRDefault="00860AFA" w:rsidP="00AF7860">
      <w:pPr>
        <w:pStyle w:val="Orateurengris"/>
        <w:spacing w:before="120"/>
        <w:ind w:left="709" w:hanging="709"/>
      </w:pPr>
      <w:r>
        <w:t>En l</w:t>
      </w:r>
      <w:r w:rsidR="00346F1B">
        <w:t>’</w:t>
      </w:r>
      <w:r>
        <w:t>absence d</w:t>
      </w:r>
      <w:r w:rsidR="00346F1B">
        <w:t>’</w:t>
      </w:r>
      <w:r>
        <w:t xml:space="preserve">autres commentaires, le </w:t>
      </w:r>
      <w:r w:rsidRPr="00860AFA">
        <w:rPr>
          <w:b/>
        </w:rPr>
        <w:t>Président</w:t>
      </w:r>
      <w:r>
        <w:t xml:space="preserve"> est passé à l</w:t>
      </w:r>
      <w:r w:rsidR="00346F1B">
        <w:t>’</w:t>
      </w:r>
      <w:r>
        <w:t xml:space="preserve">adoption de la décision </w:t>
      </w:r>
      <w:r w:rsidRPr="00860AFA">
        <w:t>paragraphe</w:t>
      </w:r>
      <w:r>
        <w:t xml:space="preserve"> par </w:t>
      </w:r>
      <w:r w:rsidRPr="00860AFA">
        <w:t>paragraphe</w:t>
      </w:r>
      <w:r>
        <w:t>, en prenant note d</w:t>
      </w:r>
      <w:r w:rsidR="00346F1B">
        <w:t>’’</w:t>
      </w:r>
      <w:r>
        <w:t xml:space="preserve">un </w:t>
      </w:r>
      <w:r w:rsidRPr="00860AFA">
        <w:t>amendement</w:t>
      </w:r>
      <w:r>
        <w:t xml:space="preserve"> au </w:t>
      </w:r>
      <w:r w:rsidRPr="00860AFA">
        <w:t>paragraphe</w:t>
      </w:r>
      <w:r>
        <w:t xml:space="preserve"> 1 proposé par la Turquie [afin de faire référ</w:t>
      </w:r>
      <w:r w:rsidR="002B6656">
        <w:t>ence au document de travail 6].</w:t>
      </w:r>
    </w:p>
    <w:p w14:paraId="150EA888" w14:textId="229D3DFA" w:rsidR="00860AFA" w:rsidRDefault="00860AFA" w:rsidP="00AF7860">
      <w:pPr>
        <w:pStyle w:val="Orateurengris"/>
        <w:spacing w:before="120"/>
        <w:ind w:left="709" w:hanging="709"/>
      </w:pPr>
      <w:r>
        <w:t xml:space="preserve">La </w:t>
      </w:r>
      <w:r w:rsidRPr="00860AFA">
        <w:t>délégation</w:t>
      </w:r>
      <w:r>
        <w:t xml:space="preserve"> de la </w:t>
      </w:r>
      <w:r w:rsidRPr="00276FDE">
        <w:rPr>
          <w:b/>
        </w:rPr>
        <w:t>Turquie</w:t>
      </w:r>
      <w:r>
        <w:t xml:space="preserve"> a expliqué qu</w:t>
      </w:r>
      <w:r w:rsidR="00346F1B">
        <w:t>’</w:t>
      </w:r>
      <w:r>
        <w:t xml:space="preserve">elle avait proposé cet </w:t>
      </w:r>
      <w:r w:rsidRPr="00860AFA">
        <w:t>amendement</w:t>
      </w:r>
      <w:r>
        <w:t xml:space="preserve"> au </w:t>
      </w:r>
      <w:r w:rsidRPr="00860AFA">
        <w:t>paragraphe</w:t>
      </w:r>
      <w:r>
        <w:t xml:space="preserve"> 1 car elle avait </w:t>
      </w:r>
      <w:r w:rsidRPr="00860AFA">
        <w:t>également</w:t>
      </w:r>
      <w:r>
        <w:t xml:space="preserve"> proposé un </w:t>
      </w:r>
      <w:r w:rsidRPr="00860AFA">
        <w:t>amendement</w:t>
      </w:r>
      <w:r>
        <w:t xml:space="preserve"> au </w:t>
      </w:r>
      <w:r w:rsidRPr="00860AFA">
        <w:t>paragraphe</w:t>
      </w:r>
      <w:r>
        <w:t xml:space="preserve"> 5 bis [nouveau </w:t>
      </w:r>
      <w:r w:rsidRPr="00860AFA">
        <w:t>paragraphe</w:t>
      </w:r>
      <w:r>
        <w:t xml:space="preserve"> 6] dans lequel le Comité remerciait la </w:t>
      </w:r>
      <w:r w:rsidRPr="00860AFA">
        <w:t>République</w:t>
      </w:r>
      <w:r w:rsidR="00276FDE">
        <w:t xml:space="preserve"> de Corée de sa génére</w:t>
      </w:r>
      <w:r>
        <w:t>use offre</w:t>
      </w:r>
      <w:r w:rsidR="00276FDE">
        <w:t>, et qu</w:t>
      </w:r>
      <w:r w:rsidR="00346F1B">
        <w:t>’</w:t>
      </w:r>
      <w:r w:rsidR="00276FDE">
        <w:t>elle souhaitait donc faire référence à la décision 6.</w:t>
      </w:r>
    </w:p>
    <w:p w14:paraId="184E8213" w14:textId="643AF23E" w:rsidR="00276FDE" w:rsidRPr="00276FDE" w:rsidRDefault="00276FDE" w:rsidP="00AF7860">
      <w:pPr>
        <w:pStyle w:val="Orateurengris"/>
        <w:spacing w:before="120"/>
        <w:ind w:left="709" w:hanging="709"/>
      </w:pPr>
      <w:r>
        <w:t>En l</w:t>
      </w:r>
      <w:r w:rsidR="00346F1B">
        <w:t>’</w:t>
      </w:r>
      <w:r>
        <w:t>absence d</w:t>
      </w:r>
      <w:r w:rsidR="00346F1B">
        <w:t>’</w:t>
      </w:r>
      <w:r w:rsidRPr="00276FDE">
        <w:t>objections</w:t>
      </w:r>
      <w:r>
        <w:t xml:space="preserve">, le </w:t>
      </w:r>
      <w:r w:rsidRPr="00276FDE">
        <w:rPr>
          <w:b/>
        </w:rPr>
        <w:t>Président</w:t>
      </w:r>
      <w:r>
        <w:t xml:space="preserve"> a déclaré le </w:t>
      </w:r>
      <w:r w:rsidRPr="00276FDE">
        <w:t>paragraphe</w:t>
      </w:r>
      <w:r>
        <w:t xml:space="preserve"> 1 adopté tel qu</w:t>
      </w:r>
      <w:r w:rsidR="00346F1B">
        <w:t>’</w:t>
      </w:r>
      <w:r>
        <w:t xml:space="preserve">amendé. Les </w:t>
      </w:r>
      <w:r w:rsidRPr="00276FDE">
        <w:t>p</w:t>
      </w:r>
      <w:r>
        <w:t xml:space="preserve">aragraphes 2 à 4 ont été </w:t>
      </w:r>
      <w:r w:rsidR="008052AC">
        <w:t>dûment</w:t>
      </w:r>
      <w:r>
        <w:t xml:space="preserve"> adoptés. Le </w:t>
      </w:r>
      <w:r w:rsidRPr="00276FDE">
        <w:t>paragraphe</w:t>
      </w:r>
      <w:r>
        <w:t xml:space="preserve"> 5 a été adopté tel q</w:t>
      </w:r>
      <w:r w:rsidR="00EF491F">
        <w:t>ue</w:t>
      </w:r>
      <w:r>
        <w:t xml:space="preserve"> rédigé</w:t>
      </w:r>
      <w:r w:rsidR="00EF491F">
        <w:t xml:space="preserve"> à l</w:t>
      </w:r>
      <w:r w:rsidR="00346F1B">
        <w:t>’</w:t>
      </w:r>
      <w:r w:rsidR="00EF491F">
        <w:t>origine</w:t>
      </w:r>
      <w:r>
        <w:t>. L</w:t>
      </w:r>
      <w:r w:rsidR="00346F1B">
        <w:t>’</w:t>
      </w:r>
      <w:r w:rsidRPr="00276FDE">
        <w:t>amendement</w:t>
      </w:r>
      <w:r>
        <w:t xml:space="preserve"> proposé par la Turquie apparaissait sous la forme d</w:t>
      </w:r>
      <w:r w:rsidR="00346F1B">
        <w:t>’</w:t>
      </w:r>
      <w:r>
        <w:t xml:space="preserve">un nouveau </w:t>
      </w:r>
      <w:r w:rsidRPr="00276FDE">
        <w:t>paragraphe</w:t>
      </w:r>
      <w:r>
        <w:t xml:space="preserve"> 6 ainsi rédigé : « </w:t>
      </w:r>
      <w:r w:rsidRPr="00276FDE">
        <w:rPr>
          <w:u w:val="single"/>
        </w:rPr>
        <w:t>Accueille avec satisfaction</w:t>
      </w:r>
      <w:r>
        <w:t xml:space="preserve"> l</w:t>
      </w:r>
      <w:r w:rsidR="00346F1B">
        <w:t>’</w:t>
      </w:r>
      <w:r>
        <w:t xml:space="preserve">offre généreuse de la </w:t>
      </w:r>
      <w:r w:rsidRPr="00276FDE">
        <w:t>République</w:t>
      </w:r>
      <w:r>
        <w:t xml:space="preserve"> de Corée de contribuer au Fonds du patrimoine culturel immatériel afin d</w:t>
      </w:r>
      <w:r w:rsidR="00346F1B">
        <w:t>’</w:t>
      </w:r>
      <w:r>
        <w:t xml:space="preserve">aider le Secrétariat à améliorer le </w:t>
      </w:r>
      <w:r w:rsidRPr="00276FDE">
        <w:t>mécanisme</w:t>
      </w:r>
      <w:r>
        <w:t xml:space="preserve"> de rapports périodiques de la </w:t>
      </w:r>
      <w:r w:rsidRPr="00276FDE">
        <w:t>Convention</w:t>
      </w:r>
      <w:r>
        <w:t xml:space="preserve">, et </w:t>
      </w:r>
      <w:r w:rsidRPr="00276FDE">
        <w:rPr>
          <w:u w:val="single"/>
        </w:rPr>
        <w:t>demande</w:t>
      </w:r>
      <w:r>
        <w:t xml:space="preserve"> au Secrétariat de prendre des mesures pour renforcer la visibilité et la mise en œuvre de ce </w:t>
      </w:r>
      <w:r w:rsidRPr="00276FDE">
        <w:t>mécanisme</w:t>
      </w:r>
      <w:r>
        <w:t xml:space="preserve"> et d</w:t>
      </w:r>
      <w:r w:rsidR="00346F1B">
        <w:t>’</w:t>
      </w:r>
      <w:r>
        <w:t>en faire r</w:t>
      </w:r>
      <w:r w:rsidR="002B6656">
        <w:t>apport à sa douzième session ».</w:t>
      </w:r>
    </w:p>
    <w:p w14:paraId="7FDA0B9A" w14:textId="22EFB49B" w:rsidR="004F236F" w:rsidRDefault="008B7405" w:rsidP="00AF7860">
      <w:pPr>
        <w:pStyle w:val="Orateurengris"/>
        <w:spacing w:before="120"/>
        <w:ind w:left="709" w:hanging="709"/>
      </w:pPr>
      <w:r>
        <w:t xml:space="preserve">La </w:t>
      </w:r>
      <w:r w:rsidRPr="008B7405">
        <w:t>délégation</w:t>
      </w:r>
      <w:r>
        <w:t xml:space="preserve"> de la </w:t>
      </w:r>
      <w:r w:rsidRPr="008B7405">
        <w:rPr>
          <w:b/>
        </w:rPr>
        <w:t>Hongrie</w:t>
      </w:r>
      <w:r>
        <w:t xml:space="preserve"> a félicité le Président pour sa conduite de la réunion. </w:t>
      </w:r>
      <w:r w:rsidR="00EF491F">
        <w:t>Elle s</w:t>
      </w:r>
      <w:r w:rsidR="00346F1B">
        <w:t>’</w:t>
      </w:r>
      <w:r w:rsidR="00EF491F">
        <w:t>interrogeait</w:t>
      </w:r>
      <w:r w:rsidR="003418D4">
        <w:t xml:space="preserve"> sur la seconde partie du </w:t>
      </w:r>
      <w:r w:rsidR="003418D4" w:rsidRPr="003418D4">
        <w:t>paragraphe</w:t>
      </w:r>
      <w:r w:rsidR="003418D4">
        <w:t xml:space="preserve"> ajoutant que l</w:t>
      </w:r>
      <w:r w:rsidR="00346F1B">
        <w:t>’</w:t>
      </w:r>
      <w:r w:rsidR="003418D4">
        <w:t xml:space="preserve">exercice global de renforcement des capacités pourrait </w:t>
      </w:r>
      <w:r w:rsidR="003418D4" w:rsidRPr="003418D4">
        <w:t>peut-être</w:t>
      </w:r>
      <w:r w:rsidR="003418D4">
        <w:t xml:space="preserve"> être envisagé comme un possible </w:t>
      </w:r>
      <w:r w:rsidR="003418D4" w:rsidRPr="003418D4">
        <w:t>mécanisme</w:t>
      </w:r>
      <w:r w:rsidR="003418D4">
        <w:t xml:space="preserve"> de mise en évidence de l</w:t>
      </w:r>
      <w:r w:rsidR="00346F1B">
        <w:t>’</w:t>
      </w:r>
      <w:r w:rsidR="003418D4">
        <w:t xml:space="preserve">importance des rapports. La </w:t>
      </w:r>
      <w:r w:rsidR="003418D4" w:rsidRPr="003418D4">
        <w:t>délégation</w:t>
      </w:r>
      <w:r w:rsidR="003418D4">
        <w:t xml:space="preserve"> se demandait si cela </w:t>
      </w:r>
      <w:r w:rsidR="00FC7430">
        <w:t xml:space="preserve">était implicite dans les mesures que le Secrétariat pourrait prendre pour renforcer la visibilité et la mise en œuvre du mécanisme. À défaut, la </w:t>
      </w:r>
      <w:r w:rsidR="00FC7430" w:rsidRPr="00FC7430">
        <w:t>délégation</w:t>
      </w:r>
      <w:r w:rsidR="00FC7430">
        <w:t xml:space="preserve"> souhaitait </w:t>
      </w:r>
      <w:r w:rsidR="002B6656">
        <w:t>proposer une phrase à ce sujet.</w:t>
      </w:r>
    </w:p>
    <w:p w14:paraId="67D9C504" w14:textId="086F7320" w:rsidR="00FC7430" w:rsidRDefault="00FC7430" w:rsidP="00AF7860">
      <w:pPr>
        <w:pStyle w:val="Orateurengris"/>
        <w:spacing w:before="120"/>
        <w:ind w:left="709" w:hanging="709"/>
      </w:pPr>
      <w:r>
        <w:t xml:space="preserve">Le </w:t>
      </w:r>
      <w:r w:rsidRPr="00FC7430">
        <w:rPr>
          <w:b/>
        </w:rPr>
        <w:t>Président</w:t>
      </w:r>
      <w:r>
        <w:t xml:space="preserve"> a demandé des éclaircissements au Secr</w:t>
      </w:r>
      <w:r w:rsidR="002B6656">
        <w:t>étariat.</w:t>
      </w:r>
    </w:p>
    <w:p w14:paraId="5359862C" w14:textId="5B7C3565" w:rsidR="00BB3FDE" w:rsidRPr="00BB3FDE" w:rsidRDefault="00FC7430" w:rsidP="00AF7860">
      <w:pPr>
        <w:pStyle w:val="Orateurengris"/>
        <w:spacing w:before="120"/>
        <w:ind w:left="709" w:hanging="709"/>
      </w:pPr>
      <w:r w:rsidRPr="00FC7430">
        <w:t xml:space="preserve">Le </w:t>
      </w:r>
      <w:r w:rsidRPr="00FC7430">
        <w:rPr>
          <w:b/>
        </w:rPr>
        <w:t>Secrétaire</w:t>
      </w:r>
      <w:r w:rsidRPr="00FC7430">
        <w:t xml:space="preserve"> a expliqué </w:t>
      </w:r>
      <w:r>
        <w:t xml:space="preserve">que le programme de renforcement des capacités pourrait potentiellement être utilisé à cette fin mais pas nécessairement. Il a dit comprendre la </w:t>
      </w:r>
      <w:r w:rsidR="00B61C96">
        <w:t>demande de</w:t>
      </w:r>
      <w:r>
        <w:t xml:space="preserve"> renforcement des capacités mais le Secrétariat organisait déjà un renforcement des capacités pour la soumission des rapports périodiques </w:t>
      </w:r>
      <w:r w:rsidR="00B61C96">
        <w:t xml:space="preserve">mais pas spécifiquement avec cette </w:t>
      </w:r>
      <w:r w:rsidR="00B61C96" w:rsidRPr="00B61C96">
        <w:t xml:space="preserve">contribution </w:t>
      </w:r>
      <w:r w:rsidR="00B61C96">
        <w:t xml:space="preserve">de la </w:t>
      </w:r>
      <w:r w:rsidR="00B61C96" w:rsidRPr="00B61C96">
        <w:t>République</w:t>
      </w:r>
      <w:r w:rsidR="00B61C96">
        <w:t xml:space="preserve"> de Corée</w:t>
      </w:r>
      <w:r w:rsidR="00BB3FDE">
        <w:t xml:space="preserve">. Le </w:t>
      </w:r>
      <w:r w:rsidR="00BB3FDE" w:rsidRPr="00BB3FDE">
        <w:t>Secrétaire</w:t>
      </w:r>
      <w:r w:rsidR="00B61C96">
        <w:t xml:space="preserve"> </w:t>
      </w:r>
      <w:r w:rsidR="00EF491F">
        <w:t>estimait</w:t>
      </w:r>
      <w:r w:rsidR="00B61C96">
        <w:t xml:space="preserve"> </w:t>
      </w:r>
      <w:r w:rsidR="00BB3FDE">
        <w:t xml:space="preserve">que cet </w:t>
      </w:r>
      <w:r w:rsidR="00BB3FDE" w:rsidRPr="00BB3FDE">
        <w:t>amendement</w:t>
      </w:r>
      <w:r w:rsidR="00BB3FDE">
        <w:t xml:space="preserve"> n</w:t>
      </w:r>
      <w:r w:rsidR="00346F1B">
        <w:t>’</w:t>
      </w:r>
      <w:r w:rsidR="00BB3FDE">
        <w:t xml:space="preserve">était pas opportun dans cette décision car il existait déjà un </w:t>
      </w:r>
      <w:r w:rsidR="00BB3FDE" w:rsidRPr="00BB3FDE">
        <w:t>financement</w:t>
      </w:r>
      <w:r w:rsidR="00BB3FDE">
        <w:t xml:space="preserve"> pour le </w:t>
      </w:r>
      <w:r w:rsidR="00BB3FDE" w:rsidRPr="00BB3FDE">
        <w:t>programme</w:t>
      </w:r>
      <w:r w:rsidR="00BB3FDE">
        <w:t xml:space="preserve"> de renforcement des capacités</w:t>
      </w:r>
      <w:r w:rsidR="00B61C96">
        <w:t xml:space="preserve"> </w:t>
      </w:r>
      <w:r w:rsidR="00BB3FDE">
        <w:t>et l</w:t>
      </w:r>
      <w:r w:rsidR="00346F1B">
        <w:t>’</w:t>
      </w:r>
      <w:r w:rsidR="00BB3FDE" w:rsidRPr="00BB3FDE">
        <w:t>élaboration</w:t>
      </w:r>
      <w:r w:rsidR="00BB3FDE">
        <w:t xml:space="preserve"> de matériels pédagogiques. Bien que la somme offerte par la </w:t>
      </w:r>
      <w:r w:rsidR="00BB3FDE" w:rsidRPr="00BB3FDE">
        <w:t>République</w:t>
      </w:r>
      <w:r w:rsidR="00BB3FDE">
        <w:t xml:space="preserve"> de Corée soit conséquente, elle ne serait pas suffisante pour la mise en place d</w:t>
      </w:r>
      <w:r w:rsidR="00346F1B">
        <w:t>’</w:t>
      </w:r>
      <w:r w:rsidR="00BB3FDE">
        <w:t>un mécanisme « visibilité plus renforcement des capacités », et on courait le risque qu</w:t>
      </w:r>
      <w:r w:rsidR="00346F1B">
        <w:t>’</w:t>
      </w:r>
      <w:r w:rsidR="00BB3FDE">
        <w:t xml:space="preserve">il ne soit pas correctement mis en œuvre. Il semblait donc que la </w:t>
      </w:r>
      <w:r w:rsidR="00BB3FDE" w:rsidRPr="00BB3FDE">
        <w:t xml:space="preserve">proposition </w:t>
      </w:r>
      <w:r w:rsidR="00BB3FDE">
        <w:t>de la Hongrie soit plus appropriée au programme global</w:t>
      </w:r>
      <w:r w:rsidR="002B6656">
        <w:t xml:space="preserve"> de renforcement des capacités.</w:t>
      </w:r>
    </w:p>
    <w:p w14:paraId="57D638EA" w14:textId="317DC7F8" w:rsidR="00B61C96" w:rsidRPr="00B61C96" w:rsidRDefault="00B61C96" w:rsidP="00AF7860">
      <w:pPr>
        <w:pStyle w:val="Orateurengris"/>
        <w:spacing w:before="120"/>
        <w:ind w:left="709" w:hanging="709"/>
      </w:pPr>
      <w:r w:rsidRPr="00B61C96">
        <w:t>La délégation</w:t>
      </w:r>
      <w:r>
        <w:t xml:space="preserve"> d</w:t>
      </w:r>
      <w:r w:rsidRPr="00B61C96">
        <w:t>e</w:t>
      </w:r>
      <w:r>
        <w:t xml:space="preserve"> </w:t>
      </w:r>
      <w:r w:rsidRPr="00B61C96">
        <w:t xml:space="preserve">la </w:t>
      </w:r>
      <w:r w:rsidRPr="00B61C96">
        <w:rPr>
          <w:b/>
        </w:rPr>
        <w:t>Hongrie</w:t>
      </w:r>
      <w:r w:rsidRPr="00B61C96">
        <w:t xml:space="preserve"> s</w:t>
      </w:r>
      <w:r w:rsidR="00346F1B">
        <w:t>’</w:t>
      </w:r>
      <w:r w:rsidRPr="00B61C96">
        <w:t>est</w:t>
      </w:r>
      <w:r w:rsidR="002B6656">
        <w:t xml:space="preserve"> dite satisfaite de la réponse.</w:t>
      </w:r>
    </w:p>
    <w:p w14:paraId="0BDF3940" w14:textId="7FBCF361" w:rsidR="00B61C96" w:rsidRDefault="00B61C96" w:rsidP="00AF7860">
      <w:pPr>
        <w:pStyle w:val="Orateurengris"/>
        <w:spacing w:before="120"/>
        <w:ind w:left="709" w:hanging="709"/>
      </w:pPr>
      <w:r>
        <w:t xml:space="preserve">Le </w:t>
      </w:r>
      <w:r w:rsidRPr="00B61C96">
        <w:rPr>
          <w:b/>
        </w:rPr>
        <w:t>Président</w:t>
      </w:r>
      <w:r>
        <w:t xml:space="preserve"> a déclaré le </w:t>
      </w:r>
      <w:r w:rsidRPr="00B61C96">
        <w:t>paragraphe</w:t>
      </w:r>
      <w:r w:rsidR="002B6656">
        <w:t xml:space="preserve"> 7 adopté.</w:t>
      </w:r>
    </w:p>
    <w:p w14:paraId="030D7075" w14:textId="36CA2EFC" w:rsidR="00B61C96" w:rsidRPr="00B61C96" w:rsidRDefault="00B61C96" w:rsidP="00AF7860">
      <w:pPr>
        <w:pStyle w:val="Orateurengris"/>
        <w:spacing w:before="120"/>
        <w:ind w:left="709" w:hanging="709"/>
      </w:pPr>
      <w:r w:rsidRPr="00B61C96">
        <w:t>La délégation</w:t>
      </w:r>
      <w:r>
        <w:t xml:space="preserve"> d</w:t>
      </w:r>
      <w:r w:rsidRPr="00B61C96">
        <w:t>e</w:t>
      </w:r>
      <w:r>
        <w:t xml:space="preserve"> </w:t>
      </w:r>
      <w:r w:rsidRPr="00B61C96">
        <w:t>l</w:t>
      </w:r>
      <w:r w:rsidR="00346F1B">
        <w:t>’</w:t>
      </w:r>
      <w:r w:rsidRPr="00B61C96">
        <w:rPr>
          <w:b/>
        </w:rPr>
        <w:t>Autriche</w:t>
      </w:r>
      <w:r w:rsidRPr="00B61C96">
        <w:t xml:space="preserve"> </w:t>
      </w:r>
      <w:r>
        <w:t>a fait référence au nouveau chapitre des Directives opérationnelle</w:t>
      </w:r>
      <w:r w:rsidR="00EF491F">
        <w:t>s sur le développement durable. Elle se demandait</w:t>
      </w:r>
      <w:r>
        <w:t xml:space="preserve"> si le chapitre 8 pourrait s</w:t>
      </w:r>
      <w:r w:rsidR="00346F1B">
        <w:t>’</w:t>
      </w:r>
      <w:r>
        <w:t>en faire l</w:t>
      </w:r>
      <w:r w:rsidR="00346F1B">
        <w:t>’</w:t>
      </w:r>
      <w:r>
        <w:t xml:space="preserve">écho. Elle a souligné que la Turquie y avait fait référence dans son </w:t>
      </w:r>
      <w:r w:rsidRPr="00B61C96">
        <w:t>amendement</w:t>
      </w:r>
      <w:r>
        <w:t xml:space="preserve"> au </w:t>
      </w:r>
      <w:r w:rsidRPr="00B61C96">
        <w:t>paragraphe</w:t>
      </w:r>
      <w:r>
        <w:t xml:space="preserve"> 9 bis [nouveau </w:t>
      </w:r>
      <w:r w:rsidRPr="00B61C96">
        <w:t>paragraphe</w:t>
      </w:r>
      <w:r w:rsidR="00EF491F">
        <w:t xml:space="preserve"> 11] et elle proposait donc </w:t>
      </w:r>
      <w:r w:rsidR="005C7073">
        <w:t>d</w:t>
      </w:r>
      <w:r w:rsidR="00346F1B">
        <w:t>’</w:t>
      </w:r>
      <w:r w:rsidR="005C7073">
        <w:t>insérer « notamment de</w:t>
      </w:r>
      <w:r>
        <w:t xml:space="preserve"> développement durable » après « au</w:t>
      </w:r>
      <w:r w:rsidR="005C7073">
        <w:t>tres politiques » afin d</w:t>
      </w:r>
      <w:r w:rsidR="00346F1B">
        <w:t>’</w:t>
      </w:r>
      <w:r>
        <w:t>accentuer davant</w:t>
      </w:r>
      <w:r w:rsidR="002B6656">
        <w:t>age ce fait important.</w:t>
      </w:r>
    </w:p>
    <w:p w14:paraId="3F61B510" w14:textId="68B99F25" w:rsidR="005C7073" w:rsidRDefault="005C7073" w:rsidP="00AF7860">
      <w:pPr>
        <w:pStyle w:val="Orateurengris"/>
        <w:spacing w:before="120"/>
        <w:ind w:left="709" w:hanging="709"/>
      </w:pPr>
      <w:r>
        <w:t xml:space="preserve">La </w:t>
      </w:r>
      <w:r w:rsidRPr="005C7073">
        <w:t>délégation</w:t>
      </w:r>
      <w:r>
        <w:t xml:space="preserve"> de la </w:t>
      </w:r>
      <w:r w:rsidRPr="005C7073">
        <w:rPr>
          <w:b/>
        </w:rPr>
        <w:t>Turquie</w:t>
      </w:r>
      <w:r>
        <w:t xml:space="preserve"> a précisé que c</w:t>
      </w:r>
      <w:r w:rsidR="00346F1B">
        <w:t>’</w:t>
      </w:r>
      <w:r>
        <w:t xml:space="preserve">était la raison pour laquelle elle avait proposé son </w:t>
      </w:r>
      <w:r w:rsidRPr="005C7073">
        <w:t>amendement</w:t>
      </w:r>
      <w:r>
        <w:t xml:space="preserve"> mais elle ne voyait pas d</w:t>
      </w:r>
      <w:r w:rsidR="00346F1B">
        <w:t>’</w:t>
      </w:r>
      <w:r>
        <w:t xml:space="preserve">objection à la </w:t>
      </w:r>
      <w:r w:rsidRPr="005C7073">
        <w:t xml:space="preserve">proposition </w:t>
      </w:r>
      <w:r w:rsidR="002B6656">
        <w:t>de l</w:t>
      </w:r>
      <w:r w:rsidR="00346F1B">
        <w:t>’</w:t>
      </w:r>
      <w:r w:rsidR="002B6656">
        <w:t>Autriche.</w:t>
      </w:r>
    </w:p>
    <w:p w14:paraId="3E1360D9" w14:textId="01B9BC16" w:rsidR="005C7073" w:rsidRPr="005C7073" w:rsidRDefault="005C7073" w:rsidP="00AF7860">
      <w:pPr>
        <w:pStyle w:val="Orateurengris"/>
        <w:spacing w:before="120"/>
        <w:ind w:left="709" w:hanging="709"/>
      </w:pPr>
      <w:r>
        <w:t>En l</w:t>
      </w:r>
      <w:r w:rsidR="00346F1B">
        <w:t>’</w:t>
      </w:r>
      <w:r>
        <w:t>absence d</w:t>
      </w:r>
      <w:r w:rsidR="00346F1B">
        <w:t>’</w:t>
      </w:r>
      <w:r>
        <w:t xml:space="preserve">objections, le </w:t>
      </w:r>
      <w:r w:rsidRPr="005C7073">
        <w:rPr>
          <w:b/>
        </w:rPr>
        <w:t>Président</w:t>
      </w:r>
      <w:r>
        <w:t xml:space="preserve"> a déclaré le </w:t>
      </w:r>
      <w:r w:rsidRPr="005C7073">
        <w:t>paragraphe</w:t>
      </w:r>
      <w:r>
        <w:t xml:space="preserve"> 8 adopté tel qu</w:t>
      </w:r>
      <w:r w:rsidR="00346F1B">
        <w:t>’</w:t>
      </w:r>
      <w:r>
        <w:t xml:space="preserve">amendé. Les paragraphes 9 et 10 ont </w:t>
      </w:r>
      <w:r w:rsidRPr="005C7073">
        <w:t>également</w:t>
      </w:r>
      <w:r>
        <w:t xml:space="preserve"> été </w:t>
      </w:r>
      <w:r w:rsidR="008052AC">
        <w:t>dûment</w:t>
      </w:r>
      <w:r>
        <w:t xml:space="preserve"> adoptés tels que proposés. L</w:t>
      </w:r>
      <w:r w:rsidR="00346F1B">
        <w:t>’</w:t>
      </w:r>
      <w:r w:rsidRPr="005C7073">
        <w:t>amendement</w:t>
      </w:r>
      <w:r>
        <w:t xml:space="preserve"> de la Turquie est devenu un nouveau </w:t>
      </w:r>
      <w:r w:rsidRPr="005C7073">
        <w:t>paragraphe</w:t>
      </w:r>
      <w:r>
        <w:t xml:space="preserve"> 11 ainsi rédigé : « </w:t>
      </w:r>
      <w:r w:rsidRPr="005C7073">
        <w:rPr>
          <w:u w:val="single"/>
        </w:rPr>
        <w:t>Encourage</w:t>
      </w:r>
      <w:r>
        <w:t xml:space="preserve"> les États parties à souligner, dans leurs rapports périodiques, la </w:t>
      </w:r>
      <w:r w:rsidRPr="005C7073">
        <w:t xml:space="preserve">contribution </w:t>
      </w:r>
      <w:r>
        <w:t>des mesures de politique au niveau national c</w:t>
      </w:r>
      <w:r w:rsidRPr="005C7073">
        <w:t>oncernant</w:t>
      </w:r>
      <w:r>
        <w:t xml:space="preserve"> la </w:t>
      </w:r>
      <w:r w:rsidRPr="005C7073">
        <w:t>sauvegarde</w:t>
      </w:r>
      <w:r>
        <w:t xml:space="preserve"> du patrimoine culturel immatériel au développement durable, </w:t>
      </w:r>
      <w:r w:rsidRPr="005C7073">
        <w:t>en particulier</w:t>
      </w:r>
      <w:r>
        <w:t xml:space="preserve"> dans le contexte du rôle de la culture dans la </w:t>
      </w:r>
      <w:r w:rsidRPr="005C7073">
        <w:t>réalisation</w:t>
      </w:r>
      <w:r>
        <w:t xml:space="preserve"> des Objectifs de développement durable ». En l</w:t>
      </w:r>
      <w:r w:rsidR="00346F1B">
        <w:t>’</w:t>
      </w:r>
      <w:r>
        <w:t>absence d</w:t>
      </w:r>
      <w:r w:rsidR="00346F1B">
        <w:t>’</w:t>
      </w:r>
      <w:r>
        <w:t xml:space="preserve">objections, le nouveau </w:t>
      </w:r>
      <w:r w:rsidRPr="005C7073">
        <w:t>paragraphe</w:t>
      </w:r>
      <w:r>
        <w:t xml:space="preserve"> 11 a été </w:t>
      </w:r>
      <w:r w:rsidR="008052AC">
        <w:t>dûment</w:t>
      </w:r>
      <w:r>
        <w:t xml:space="preserve"> adopté. Le Président a pris note d</w:t>
      </w:r>
      <w:r w:rsidR="00346F1B">
        <w:t>’</w:t>
      </w:r>
      <w:r>
        <w:t xml:space="preserve">un </w:t>
      </w:r>
      <w:r w:rsidRPr="005C7073">
        <w:t>amendement</w:t>
      </w:r>
      <w:r>
        <w:t>, proposé par la Côte d</w:t>
      </w:r>
      <w:r w:rsidR="00346F1B">
        <w:t>’</w:t>
      </w:r>
      <w:r>
        <w:t xml:space="preserve">Ivoire, à un nouveau </w:t>
      </w:r>
      <w:r w:rsidRPr="005C7073">
        <w:t>paragraphe</w:t>
      </w:r>
      <w:r w:rsidR="002B6656">
        <w:t xml:space="preserve"> 12.</w:t>
      </w:r>
    </w:p>
    <w:p w14:paraId="09773305" w14:textId="0D98C16E" w:rsidR="005C7073" w:rsidRPr="005C7073" w:rsidRDefault="005C7073" w:rsidP="00AF7860">
      <w:pPr>
        <w:pStyle w:val="Orateurengris"/>
        <w:spacing w:before="120"/>
        <w:ind w:left="709" w:hanging="709"/>
      </w:pPr>
      <w:r w:rsidRPr="005C7073">
        <w:t xml:space="preserve">La délégation de la </w:t>
      </w:r>
      <w:r w:rsidRPr="007719A7">
        <w:rPr>
          <w:b/>
        </w:rPr>
        <w:t>Côte d</w:t>
      </w:r>
      <w:r w:rsidR="00346F1B">
        <w:rPr>
          <w:b/>
        </w:rPr>
        <w:t>’</w:t>
      </w:r>
      <w:r w:rsidRPr="007719A7">
        <w:rPr>
          <w:b/>
        </w:rPr>
        <w:t>Ivoire</w:t>
      </w:r>
      <w:r>
        <w:t xml:space="preserve"> a expliqué que cet </w:t>
      </w:r>
      <w:r w:rsidRPr="005C7073">
        <w:t>amendement</w:t>
      </w:r>
      <w:r>
        <w:t xml:space="preserve"> complèterait l</w:t>
      </w:r>
      <w:r w:rsidR="00346F1B">
        <w:t>’</w:t>
      </w:r>
      <w:r>
        <w:t xml:space="preserve">ancien </w:t>
      </w:r>
      <w:r w:rsidRPr="005C7073">
        <w:t>paragraphe</w:t>
      </w:r>
      <w:r>
        <w:t xml:space="preserve"> 11 [</w:t>
      </w:r>
      <w:r w:rsidRPr="005C7073">
        <w:t>désormais</w:t>
      </w:r>
      <w:r>
        <w:t xml:space="preserve"> </w:t>
      </w:r>
      <w:r w:rsidRPr="005C7073">
        <w:t>paragraphe</w:t>
      </w:r>
      <w:r>
        <w:t xml:space="preserve"> 13], avec l</w:t>
      </w:r>
      <w:r w:rsidR="00346F1B">
        <w:t>’</w:t>
      </w:r>
      <w:r>
        <w:t xml:space="preserve">ajout, dans la </w:t>
      </w:r>
      <w:r w:rsidR="007719A7">
        <w:t>dernière</w:t>
      </w:r>
      <w:r>
        <w:t xml:space="preserve"> partie de la phrase des </w:t>
      </w:r>
      <w:r w:rsidR="007719A7">
        <w:t xml:space="preserve">termes suivants : « et </w:t>
      </w:r>
      <w:r w:rsidR="007719A7" w:rsidRPr="007719A7">
        <w:rPr>
          <w:u w:val="single"/>
        </w:rPr>
        <w:t>demande</w:t>
      </w:r>
      <w:r w:rsidR="007719A7">
        <w:t xml:space="preserve"> à l</w:t>
      </w:r>
      <w:r w:rsidR="00346F1B">
        <w:t>’</w:t>
      </w:r>
      <w:r w:rsidR="007719A7">
        <w:t>Assemblée générale de prendre la décision qui s</w:t>
      </w:r>
      <w:r w:rsidR="00346F1B">
        <w:t>’</w:t>
      </w:r>
      <w:r w:rsidR="007719A7">
        <w:t>impose quant à la non production et au retard de production d</w:t>
      </w:r>
      <w:r w:rsidR="002B6656">
        <w:t>es rapports périodiques ».</w:t>
      </w:r>
    </w:p>
    <w:p w14:paraId="3D13BED8" w14:textId="169136F1" w:rsidR="00AB45E1" w:rsidRPr="000A6378" w:rsidRDefault="007719A7" w:rsidP="00AF7860">
      <w:pPr>
        <w:pStyle w:val="Orateurengris"/>
        <w:spacing w:before="120"/>
        <w:ind w:left="709" w:hanging="709"/>
      </w:pPr>
      <w:r w:rsidRPr="007719A7">
        <w:t xml:space="preserve">Le </w:t>
      </w:r>
      <w:r w:rsidRPr="007719A7">
        <w:rPr>
          <w:b/>
        </w:rPr>
        <w:t>Président</w:t>
      </w:r>
      <w:r w:rsidRPr="007719A7">
        <w:t xml:space="preserve"> </w:t>
      </w:r>
      <w:r>
        <w:t xml:space="preserve">a pris note du </w:t>
      </w:r>
      <w:r w:rsidRPr="007719A7">
        <w:t>changement</w:t>
      </w:r>
      <w:r>
        <w:t xml:space="preserve"> de numérotation des paragraphes, avec l</w:t>
      </w:r>
      <w:r w:rsidR="00346F1B">
        <w:t>’</w:t>
      </w:r>
      <w:r w:rsidRPr="007719A7">
        <w:t>amendement</w:t>
      </w:r>
      <w:r>
        <w:t xml:space="preserve"> de la Côte d</w:t>
      </w:r>
      <w:r w:rsidR="00346F1B">
        <w:t>’</w:t>
      </w:r>
      <w:r>
        <w:t xml:space="preserve">Ivoire porté au nouveau </w:t>
      </w:r>
      <w:r w:rsidRPr="007719A7">
        <w:t>paragraphe</w:t>
      </w:r>
      <w:r>
        <w:t xml:space="preserve"> 13. En l</w:t>
      </w:r>
      <w:r w:rsidR="00346F1B">
        <w:t>’</w:t>
      </w:r>
      <w:r>
        <w:t>absence d</w:t>
      </w:r>
      <w:r w:rsidR="00346F1B">
        <w:t>’</w:t>
      </w:r>
      <w:r w:rsidRPr="007719A7">
        <w:t>objections</w:t>
      </w:r>
      <w:r>
        <w:t xml:space="preserve"> aux paragraphes 12 et 13, ils ont été </w:t>
      </w:r>
      <w:r w:rsidR="008052AC">
        <w:t>dûment</w:t>
      </w:r>
      <w:r>
        <w:t xml:space="preserve"> amendés. Le Président est passé à l</w:t>
      </w:r>
      <w:r w:rsidR="00346F1B">
        <w:t>’</w:t>
      </w:r>
      <w:r>
        <w:t xml:space="preserve">adoption de la décision dans son </w:t>
      </w:r>
      <w:r w:rsidRPr="007719A7">
        <w:t>ensemble</w:t>
      </w:r>
      <w:r>
        <w:t xml:space="preserve"> et, en l</w:t>
      </w:r>
      <w:r w:rsidR="00346F1B">
        <w:t>’</w:t>
      </w:r>
      <w:r>
        <w:t>absence d</w:t>
      </w:r>
      <w:r w:rsidR="00346F1B">
        <w:t>’</w:t>
      </w:r>
      <w:r>
        <w:t xml:space="preserve">autres commentaires ou objections, le </w:t>
      </w:r>
      <w:r w:rsidRPr="007719A7">
        <w:rPr>
          <w:b/>
        </w:rPr>
        <w:t>Président a déclaré la décision 11.COM 9.a adoptée</w:t>
      </w:r>
      <w:r w:rsidR="002B6656">
        <w:t>.</w:t>
      </w:r>
    </w:p>
    <w:p w14:paraId="37E8AB7B" w14:textId="7074FF70" w:rsidR="00AB45E1" w:rsidRPr="007719A7" w:rsidRDefault="007719A7" w:rsidP="002B4948">
      <w:pPr>
        <w:pStyle w:val="Marge"/>
        <w:keepNext/>
        <w:tabs>
          <w:tab w:val="clear" w:pos="567"/>
          <w:tab w:val="left" w:pos="709"/>
          <w:tab w:val="left" w:pos="1418"/>
          <w:tab w:val="left" w:pos="2126"/>
          <w:tab w:val="left" w:pos="2835"/>
        </w:tabs>
        <w:spacing w:before="360" w:after="60"/>
        <w:ind w:left="567" w:hanging="567"/>
        <w:jc w:val="left"/>
        <w:outlineLvl w:val="0"/>
        <w:rPr>
          <w:rFonts w:eastAsia="Cambria" w:cs="Arial"/>
          <w:b/>
          <w:szCs w:val="22"/>
          <w:highlight w:val="cyan"/>
          <w:u w:val="single"/>
        </w:rPr>
      </w:pPr>
      <w:bookmarkStart w:id="8" w:name="Item9b"/>
      <w:r>
        <w:rPr>
          <w:rFonts w:eastAsia="Cambria" w:cs="Arial"/>
          <w:b/>
          <w:szCs w:val="22"/>
          <w:u w:val="single"/>
        </w:rPr>
        <w:t>POINT 9.b</w:t>
      </w:r>
      <w:r w:rsidRPr="007719A7">
        <w:rPr>
          <w:rFonts w:eastAsia="Cambria" w:cs="Arial"/>
          <w:b/>
          <w:szCs w:val="22"/>
          <w:u w:val="single"/>
        </w:rPr>
        <w:t xml:space="preserve"> DE L</w:t>
      </w:r>
      <w:r w:rsidR="00346F1B">
        <w:rPr>
          <w:rFonts w:eastAsia="Cambria" w:cs="Arial"/>
          <w:b/>
          <w:szCs w:val="22"/>
          <w:u w:val="single"/>
        </w:rPr>
        <w:t>’</w:t>
      </w:r>
      <w:r w:rsidRPr="007719A7">
        <w:rPr>
          <w:rFonts w:eastAsia="Cambria" w:cs="Arial"/>
          <w:b/>
          <w:szCs w:val="22"/>
          <w:u w:val="single"/>
        </w:rPr>
        <w:t>ORDRE DU JOUR :</w:t>
      </w:r>
    </w:p>
    <w:bookmarkEnd w:id="8"/>
    <w:p w14:paraId="398D328B" w14:textId="4D348CAB" w:rsidR="00AB45E1" w:rsidRPr="002B6656" w:rsidRDefault="007719A7" w:rsidP="002B4948">
      <w:pPr>
        <w:pStyle w:val="Marge"/>
        <w:keepNext/>
        <w:tabs>
          <w:tab w:val="clear" w:pos="567"/>
          <w:tab w:val="left" w:pos="709"/>
          <w:tab w:val="left" w:pos="1418"/>
          <w:tab w:val="left" w:pos="2126"/>
          <w:tab w:val="left" w:pos="2835"/>
        </w:tabs>
        <w:spacing w:after="120"/>
        <w:jc w:val="left"/>
        <w:outlineLvl w:val="0"/>
        <w:rPr>
          <w:rFonts w:eastAsiaTheme="minorEastAsia" w:cs="Arial"/>
          <w:b/>
          <w:color w:val="323133"/>
          <w:szCs w:val="22"/>
          <w:lang w:eastAsia="ja-JP"/>
        </w:rPr>
      </w:pPr>
      <w:r>
        <w:rPr>
          <w:rFonts w:eastAsiaTheme="minorEastAsia" w:cs="Arial"/>
          <w:b/>
          <w:color w:val="323133"/>
          <w:szCs w:val="22"/>
          <w:lang w:eastAsia="ja-JP"/>
        </w:rPr>
        <w:t>EXAMEN DES RAPPORTS DES ÉTATS PARTIES SUR L</w:t>
      </w:r>
      <w:r w:rsidR="00346F1B">
        <w:rPr>
          <w:rFonts w:eastAsiaTheme="minorEastAsia" w:cs="Arial"/>
          <w:b/>
          <w:color w:val="323133"/>
          <w:szCs w:val="22"/>
          <w:lang w:eastAsia="ja-JP"/>
        </w:rPr>
        <w:t>’</w:t>
      </w:r>
      <w:r>
        <w:rPr>
          <w:rFonts w:eastAsiaTheme="minorEastAsia" w:cs="Arial"/>
          <w:b/>
          <w:color w:val="323133"/>
          <w:szCs w:val="22"/>
          <w:lang w:eastAsia="ja-JP"/>
        </w:rPr>
        <w:t>ÉTAT ACTUEL D</w:t>
      </w:r>
      <w:r w:rsidR="00346F1B">
        <w:rPr>
          <w:rFonts w:eastAsiaTheme="minorEastAsia" w:cs="Arial"/>
          <w:b/>
          <w:color w:val="323133"/>
          <w:szCs w:val="22"/>
          <w:lang w:eastAsia="ja-JP"/>
        </w:rPr>
        <w:t>’</w:t>
      </w:r>
      <w:r>
        <w:rPr>
          <w:rFonts w:eastAsiaTheme="minorEastAsia" w:cs="Arial"/>
          <w:b/>
          <w:color w:val="323133"/>
          <w:szCs w:val="22"/>
          <w:lang w:eastAsia="ja-JP"/>
        </w:rPr>
        <w:t>ÉLÉMENTS INSCRITS SUR LA LISTE DU PATRIMOINE CULTUREL IMMATÉRIEL NÉC</w:t>
      </w:r>
      <w:r w:rsidR="002B6656">
        <w:rPr>
          <w:rFonts w:eastAsiaTheme="minorEastAsia" w:cs="Arial"/>
          <w:b/>
          <w:color w:val="323133"/>
          <w:szCs w:val="22"/>
          <w:lang w:eastAsia="ja-JP"/>
        </w:rPr>
        <w:t>ESSITANT UNE SAUVEGARDE URGENTE</w:t>
      </w:r>
    </w:p>
    <w:p w14:paraId="603731DA" w14:textId="7734C017" w:rsidR="00FF32CD" w:rsidRPr="007719A7" w:rsidRDefault="00AB45E1" w:rsidP="00EA3015">
      <w:pPr>
        <w:pStyle w:val="NormalWeb"/>
        <w:keepNext/>
        <w:tabs>
          <w:tab w:val="left" w:pos="709"/>
          <w:tab w:val="left" w:pos="1418"/>
          <w:tab w:val="left" w:pos="2126"/>
          <w:tab w:val="left" w:pos="2835"/>
        </w:tabs>
        <w:spacing w:before="0" w:beforeAutospacing="0" w:after="0" w:afterAutospacing="0"/>
        <w:ind w:left="709" w:hanging="709"/>
        <w:rPr>
          <w:rFonts w:ascii="Arial" w:hAnsi="Arial" w:cs="Arial"/>
          <w:i/>
          <w:sz w:val="22"/>
          <w:szCs w:val="22"/>
          <w:lang w:val="fr-FR"/>
        </w:rPr>
      </w:pPr>
      <w:r w:rsidRPr="007719A7">
        <w:rPr>
          <w:rFonts w:ascii="Arial" w:hAnsi="Arial" w:cs="Arial"/>
          <w:b/>
          <w:sz w:val="22"/>
          <w:szCs w:val="22"/>
          <w:lang w:val="fr-FR"/>
        </w:rPr>
        <w:tab/>
      </w:r>
      <w:r w:rsidR="00FF32CD" w:rsidRPr="007719A7">
        <w:rPr>
          <w:rFonts w:ascii="Arial" w:hAnsi="Arial" w:cs="Arial"/>
          <w:b/>
          <w:sz w:val="22"/>
          <w:szCs w:val="22"/>
          <w:lang w:val="fr-FR"/>
        </w:rPr>
        <w:t>Document</w:t>
      </w:r>
      <w:r w:rsidR="00FF32CD" w:rsidRPr="007719A7">
        <w:rPr>
          <w:rFonts w:ascii="Arial" w:hAnsi="Arial" w:cs="Arial"/>
          <w:b/>
          <w:sz w:val="22"/>
          <w:szCs w:val="22"/>
          <w:lang w:val="fr-FR"/>
        </w:rPr>
        <w:tab/>
      </w:r>
      <w:hyperlink r:id="rId38" w:history="1">
        <w:r w:rsidR="00BE15EE" w:rsidRPr="007719A7">
          <w:rPr>
            <w:rStyle w:val="Hyperlink"/>
            <w:rFonts w:ascii="Arial" w:hAnsi="Arial" w:cs="Arial"/>
            <w:i/>
            <w:sz w:val="22"/>
            <w:szCs w:val="22"/>
            <w:lang w:val="fr-FR"/>
          </w:rPr>
          <w:t>ITH/16/11.COM/9.b</w:t>
        </w:r>
      </w:hyperlink>
    </w:p>
    <w:p w14:paraId="60DB9FD4" w14:textId="3B150827" w:rsidR="00AB45E1" w:rsidRPr="007719A7" w:rsidRDefault="00AB45E1" w:rsidP="00EA3015">
      <w:pPr>
        <w:keepNext/>
        <w:tabs>
          <w:tab w:val="left" w:pos="709"/>
          <w:tab w:val="left" w:pos="1418"/>
          <w:tab w:val="left" w:pos="2126"/>
          <w:tab w:val="left" w:pos="2835"/>
        </w:tabs>
        <w:spacing w:after="120"/>
        <w:ind w:left="709" w:hanging="709"/>
        <w:rPr>
          <w:rFonts w:ascii="Arial" w:hAnsi="Arial" w:cs="Arial"/>
          <w:i/>
          <w:sz w:val="22"/>
          <w:szCs w:val="22"/>
          <w:lang w:eastAsia="en-US"/>
        </w:rPr>
      </w:pPr>
      <w:r w:rsidRPr="007719A7">
        <w:rPr>
          <w:rFonts w:ascii="Arial" w:hAnsi="Arial" w:cs="Arial"/>
          <w:b/>
          <w:sz w:val="22"/>
          <w:szCs w:val="22"/>
          <w:lang w:eastAsia="en-US"/>
        </w:rPr>
        <w:tab/>
      </w:r>
      <w:r w:rsidR="007719A7">
        <w:rPr>
          <w:rFonts w:ascii="Arial" w:hAnsi="Arial" w:cs="Arial"/>
          <w:b/>
          <w:sz w:val="22"/>
          <w:szCs w:val="22"/>
          <w:lang w:eastAsia="en-US"/>
        </w:rPr>
        <w:t>Dé</w:t>
      </w:r>
      <w:r w:rsidR="00FF32CD" w:rsidRPr="007719A7">
        <w:rPr>
          <w:rFonts w:ascii="Arial" w:hAnsi="Arial" w:cs="Arial"/>
          <w:b/>
          <w:sz w:val="22"/>
          <w:szCs w:val="22"/>
          <w:lang w:eastAsia="en-US"/>
        </w:rPr>
        <w:t>cision</w:t>
      </w:r>
      <w:r w:rsidR="00FF32CD" w:rsidRPr="007719A7">
        <w:rPr>
          <w:rFonts w:ascii="Arial" w:hAnsi="Arial" w:cs="Arial"/>
          <w:b/>
          <w:sz w:val="22"/>
          <w:szCs w:val="22"/>
        </w:rPr>
        <w:tab/>
      </w:r>
      <w:r w:rsidR="00BE15EE" w:rsidRPr="007719A7">
        <w:rPr>
          <w:rFonts w:ascii="Arial" w:hAnsi="Arial" w:cs="Arial"/>
          <w:i/>
          <w:sz w:val="22"/>
          <w:szCs w:val="22"/>
          <w:lang w:eastAsia="en-US"/>
        </w:rPr>
        <w:t>11.COM 9.b</w:t>
      </w:r>
    </w:p>
    <w:p w14:paraId="75092A8A" w14:textId="7B1476D2" w:rsidR="007719A7" w:rsidRDefault="007719A7" w:rsidP="00AF7860">
      <w:pPr>
        <w:pStyle w:val="Orateurengris"/>
        <w:spacing w:before="120"/>
        <w:ind w:left="709" w:hanging="709"/>
      </w:pPr>
      <w:r>
        <w:t xml:space="preserve">Le </w:t>
      </w:r>
      <w:r w:rsidRPr="007719A7">
        <w:rPr>
          <w:b/>
        </w:rPr>
        <w:t>Président</w:t>
      </w:r>
      <w:r>
        <w:t xml:space="preserve"> est passé à l</w:t>
      </w:r>
      <w:r w:rsidR="00346F1B">
        <w:t>’</w:t>
      </w:r>
      <w:r>
        <w:t>examen du point 9.b de l</w:t>
      </w:r>
      <w:r w:rsidR="00346F1B">
        <w:t>’</w:t>
      </w:r>
      <w:r w:rsidRPr="007719A7">
        <w:t>ordre du jour</w:t>
      </w:r>
      <w:r>
        <w:t>.</w:t>
      </w:r>
    </w:p>
    <w:p w14:paraId="0F7BC426" w14:textId="5CD79E6B" w:rsidR="007719A7" w:rsidRDefault="00206F6D" w:rsidP="00AF7860">
      <w:pPr>
        <w:pStyle w:val="Orateurengris"/>
        <w:spacing w:before="120"/>
        <w:ind w:left="709" w:hanging="709"/>
      </w:pPr>
      <w:r>
        <w:t xml:space="preserve">Le </w:t>
      </w:r>
      <w:r w:rsidRPr="00683800">
        <w:rPr>
          <w:b/>
        </w:rPr>
        <w:t>Secrétaire</w:t>
      </w:r>
      <w:r w:rsidR="00683800">
        <w:t xml:space="preserve"> a expliqué qu</w:t>
      </w:r>
      <w:r w:rsidR="00346F1B">
        <w:t>’</w:t>
      </w:r>
      <w:r w:rsidR="00683800">
        <w:t xml:space="preserve">il incombait </w:t>
      </w:r>
      <w:r>
        <w:t>au Comité d</w:t>
      </w:r>
      <w:r w:rsidR="00346F1B">
        <w:t>’</w:t>
      </w:r>
      <w:r>
        <w:t xml:space="preserve">examiner les six rapports soumis par des États parties </w:t>
      </w:r>
      <w:r w:rsidR="00683800">
        <w:t xml:space="preserve">(cf. tableau du </w:t>
      </w:r>
      <w:r w:rsidR="00683800" w:rsidRPr="00683800">
        <w:t>paragraphe</w:t>
      </w:r>
      <w:r w:rsidR="00683800">
        <w:t xml:space="preserve"> 6 du document de travail) </w:t>
      </w:r>
      <w:r>
        <w:t xml:space="preserve">sur des éléments inscrits sur la Liste de sauvegarde urgente </w:t>
      </w:r>
      <w:r w:rsidR="00683800">
        <w:t>et de présenter un résumé de ces rapports à l</w:t>
      </w:r>
      <w:r w:rsidR="00346F1B">
        <w:t>’</w:t>
      </w:r>
      <w:r w:rsidR="00683800">
        <w:t xml:space="preserve">Assemblée générale. Le tableau du </w:t>
      </w:r>
      <w:r w:rsidR="00683800" w:rsidRPr="00683800">
        <w:t>paragraphe</w:t>
      </w:r>
      <w:r w:rsidR="00683800">
        <w:t xml:space="preserve"> 5 </w:t>
      </w:r>
      <w:r w:rsidR="001F6212">
        <w:t>établissait la liste d</w:t>
      </w:r>
      <w:r w:rsidR="00683800">
        <w:t>es 11 rapports attendus entre 2013 et 2015 qui n</w:t>
      </w:r>
      <w:r w:rsidR="00346F1B">
        <w:t>’</w:t>
      </w:r>
      <w:r w:rsidR="00683800">
        <w:t>avaient pas encore été soumis à l</w:t>
      </w:r>
      <w:r w:rsidR="00346F1B">
        <w:t>’</w:t>
      </w:r>
      <w:r w:rsidR="00683800">
        <w:t xml:space="preserve">examen du Comité. </w:t>
      </w:r>
      <w:r w:rsidR="001F6212">
        <w:t xml:space="preserve">Il a été précisé que la Chine avait soumis ses sept rapports en retard en mai 2016 et le Pérou avait </w:t>
      </w:r>
      <w:r w:rsidR="001F6212" w:rsidRPr="001F6212">
        <w:t>également</w:t>
      </w:r>
      <w:r w:rsidR="001F6212">
        <w:t xml:space="preserve"> </w:t>
      </w:r>
      <w:r w:rsidR="00CF6127">
        <w:t xml:space="preserve">soumis </w:t>
      </w:r>
      <w:r w:rsidR="001F6212">
        <w:t>son rapport en octobre 2016. Le Comité les examinerait en 2017 avec, espérons-le, ceux du Brésil, de l</w:t>
      </w:r>
      <w:r w:rsidR="00346F1B">
        <w:t>’</w:t>
      </w:r>
      <w:r w:rsidR="001F6212" w:rsidRPr="001F6212">
        <w:t>Indonésie</w:t>
      </w:r>
      <w:r w:rsidR="001F6212">
        <w:t xml:space="preserve"> et de la Ma</w:t>
      </w:r>
      <w:r w:rsidR="00CF6127">
        <w:t>uritanie, qui accusaient un</w:t>
      </w:r>
      <w:r w:rsidR="001F6212">
        <w:t xml:space="preserve"> retard d</w:t>
      </w:r>
      <w:r w:rsidR="00346F1B">
        <w:t>’</w:t>
      </w:r>
      <w:r w:rsidR="001F6212">
        <w:t xml:space="preserve">un an. Le document de travail comprenait les évaluations des six rapports. Comme à son habitude, </w:t>
      </w:r>
      <w:r w:rsidR="004865C9">
        <w:t xml:space="preserve">pour chaque rapport, </w:t>
      </w:r>
      <w:r w:rsidR="001F6212">
        <w:t>le Secrétariat</w:t>
      </w:r>
      <w:r w:rsidR="004865C9">
        <w:t xml:space="preserve"> analysait et r</w:t>
      </w:r>
      <w:r w:rsidR="001F6212">
        <w:t xml:space="preserve">ésumait les </w:t>
      </w:r>
      <w:r w:rsidR="001F6212" w:rsidRPr="001F6212">
        <w:t>informations</w:t>
      </w:r>
      <w:r w:rsidR="001F6212">
        <w:t xml:space="preserve"> sur l</w:t>
      </w:r>
      <w:r w:rsidR="00346F1B">
        <w:t>’</w:t>
      </w:r>
      <w:r w:rsidR="001F6212" w:rsidRPr="001F6212">
        <w:t>efficacité</w:t>
      </w:r>
      <w:r w:rsidR="001F6212">
        <w:t xml:space="preserve"> des activités de sauvegarde, sur la </w:t>
      </w:r>
      <w:r w:rsidR="001F6212" w:rsidRPr="001F6212">
        <w:t>participation</w:t>
      </w:r>
      <w:r w:rsidR="001F6212">
        <w:t xml:space="preserve"> des </w:t>
      </w:r>
      <w:r w:rsidR="001F6212" w:rsidRPr="001F6212">
        <w:t>communauté</w:t>
      </w:r>
      <w:r w:rsidR="004865C9">
        <w:t>s</w:t>
      </w:r>
      <w:r w:rsidR="001F6212">
        <w:t xml:space="preserve"> à la mise en œuvre du plan de sauvegarde</w:t>
      </w:r>
      <w:r w:rsidR="004865C9">
        <w:t xml:space="preserve"> et de l</w:t>
      </w:r>
      <w:r w:rsidR="00346F1B">
        <w:t>’</w:t>
      </w:r>
      <w:r w:rsidR="004865C9">
        <w:t>exercice de rapport</w:t>
      </w:r>
      <w:r w:rsidR="001F6212">
        <w:t xml:space="preserve">, ainsi que sur la </w:t>
      </w:r>
      <w:r w:rsidR="001F6212" w:rsidRPr="001F6212">
        <w:t>viabilité</w:t>
      </w:r>
      <w:r w:rsidR="004865C9">
        <w:t xml:space="preserve"> et les risques encourus par l</w:t>
      </w:r>
      <w:r w:rsidR="00346F1B">
        <w:t>’</w:t>
      </w:r>
      <w:r w:rsidR="001F6212" w:rsidRPr="001F6212">
        <w:t>élément</w:t>
      </w:r>
      <w:r w:rsidR="001F6212">
        <w:t xml:space="preserve"> inscrit. Un projet de décision pour chacun des six rapports était proposé. Enfin, le </w:t>
      </w:r>
      <w:r w:rsidR="001F6212" w:rsidRPr="001F6212">
        <w:t>Secrétaire</w:t>
      </w:r>
      <w:r w:rsidR="001F6212">
        <w:t xml:space="preserve"> a informé le Comité que le Viet Nam avait soumis son rapport sur </w:t>
      </w:r>
      <w:r w:rsidR="00CF6127">
        <w:t xml:space="preserve">la Liste de sauvegarde urgente et notamment sur </w:t>
      </w:r>
      <w:r w:rsidR="003A7F42">
        <w:t>l’état</w:t>
      </w:r>
      <w:r w:rsidR="001F6212">
        <w:t xml:space="preserve"> actuel de l</w:t>
      </w:r>
      <w:r w:rsidR="00346F1B">
        <w:t>’</w:t>
      </w:r>
      <w:r w:rsidR="004865C9">
        <w:t>élément « L</w:t>
      </w:r>
      <w:r w:rsidR="00CF6127">
        <w:t xml:space="preserve">e chant </w:t>
      </w:r>
      <w:r w:rsidR="001F6212">
        <w:t>Xoan de la P</w:t>
      </w:r>
      <w:r w:rsidR="001F6212" w:rsidRPr="001F6212">
        <w:t>rovince de</w:t>
      </w:r>
      <w:r w:rsidR="001F6212">
        <w:t xml:space="preserve"> Ph</w:t>
      </w:r>
      <w:r w:rsidR="00CF6127">
        <w:t xml:space="preserve">ú </w:t>
      </w:r>
      <w:r w:rsidR="00CF6127" w:rsidRPr="000A6378">
        <w:t>Thọ</w:t>
      </w:r>
      <w:r w:rsidR="00CF6127">
        <w:t> ». T</w:t>
      </w:r>
      <w:r w:rsidR="00CF6127" w:rsidRPr="00CF6127">
        <w:t>outefois</w:t>
      </w:r>
      <w:r w:rsidR="00CF6127">
        <w:t xml:space="preserve">, </w:t>
      </w:r>
      <w:r w:rsidR="00CF6127" w:rsidRPr="00CF6127">
        <w:t>conformément</w:t>
      </w:r>
      <w:r w:rsidR="00CF6127">
        <w:t xml:space="preserve"> à la </w:t>
      </w:r>
      <w:r w:rsidR="00CF6127" w:rsidRPr="00CF6127">
        <w:t>décision</w:t>
      </w:r>
      <w:r w:rsidR="00CF6127">
        <w:t xml:space="preserve"> 10.COM 19, celui-ci serait examiné à la douzième session du Comité en 2017 </w:t>
      </w:r>
      <w:r w:rsidR="004865C9">
        <w:t xml:space="preserve">parallèlement à </w:t>
      </w:r>
      <w:r w:rsidR="00CF6127">
        <w:t xml:space="preserve">une nouvelle </w:t>
      </w:r>
      <w:r w:rsidR="00CF6127" w:rsidRPr="00CF6127">
        <w:t>candidature</w:t>
      </w:r>
      <w:r w:rsidR="00CF6127">
        <w:t xml:space="preserve"> du même élément pour un possible transfe</w:t>
      </w:r>
      <w:r w:rsidR="00EA3015">
        <w:t>rt sur la Liste représentative.</w:t>
      </w:r>
    </w:p>
    <w:p w14:paraId="0AD1AF9A" w14:textId="096118BB" w:rsidR="004865C9" w:rsidRDefault="004865C9" w:rsidP="00AF7860">
      <w:pPr>
        <w:pStyle w:val="Orateurengris"/>
        <w:spacing w:before="120"/>
        <w:ind w:left="709" w:hanging="709"/>
      </w:pPr>
      <w:r>
        <w:t xml:space="preserve">Le </w:t>
      </w:r>
      <w:r w:rsidRPr="004865C9">
        <w:rPr>
          <w:b/>
        </w:rPr>
        <w:t>Président</w:t>
      </w:r>
      <w:r>
        <w:t xml:space="preserve"> a précisé que certains des États qui avaient soumis un rapport au c</w:t>
      </w:r>
      <w:r w:rsidR="006A37E0">
        <w:t>ours de ce</w:t>
      </w:r>
      <w:r>
        <w:t xml:space="preserve"> cycle, à savoir la France, la </w:t>
      </w:r>
      <w:r w:rsidRPr="004865C9">
        <w:t>République</w:t>
      </w:r>
      <w:r>
        <w:t xml:space="preserve"> islamique d</w:t>
      </w:r>
      <w:r w:rsidR="00346F1B">
        <w:t>’</w:t>
      </w:r>
      <w:r>
        <w:t xml:space="preserve">Iran et la Mongolie, souhaitaient partager leurs expériences de la </w:t>
      </w:r>
      <w:r w:rsidRPr="004865C9">
        <w:t>préparation</w:t>
      </w:r>
      <w:r>
        <w:t xml:space="preserve"> du rapport, ainsi que les défis et opportunités liés à l</w:t>
      </w:r>
      <w:r w:rsidR="00346F1B">
        <w:t>’</w:t>
      </w:r>
      <w:r w:rsidRPr="004865C9">
        <w:t>inscription</w:t>
      </w:r>
      <w:r>
        <w:t xml:space="preserve"> de ces éléments sur la Liste de sauvegarde urgente et à la mise en œuvre des plans de sauvegarde correspondants. La parole leur serait donnée après l</w:t>
      </w:r>
      <w:r w:rsidR="00346F1B">
        <w:t>’</w:t>
      </w:r>
      <w:r>
        <w:t>adoption des décisions individue</w:t>
      </w:r>
      <w:r w:rsidR="006A37E0">
        <w:t xml:space="preserve">lles concernant leurs rapports, comme pour les autres États ayant soumis des rapports. Aucun </w:t>
      </w:r>
      <w:r w:rsidR="006A37E0" w:rsidRPr="006A37E0">
        <w:t>État partie</w:t>
      </w:r>
      <w:r w:rsidR="006A37E0">
        <w:t xml:space="preserve"> ne souhaitant prendre la parole à ce stade des débats, le Président est passé à l</w:t>
      </w:r>
      <w:r w:rsidR="00346F1B">
        <w:t>’</w:t>
      </w:r>
      <w:r w:rsidR="006A37E0">
        <w:t>examen du premier des six rapports</w:t>
      </w:r>
      <w:r w:rsidR="006C66C6">
        <w:t>,</w:t>
      </w:r>
      <w:r w:rsidR="006A37E0">
        <w:t xml:space="preserve"> soumis par la </w:t>
      </w:r>
      <w:r w:rsidR="006A37E0" w:rsidRPr="006A37E0">
        <w:rPr>
          <w:b/>
        </w:rPr>
        <w:t>France</w:t>
      </w:r>
      <w:r w:rsidR="006A37E0">
        <w:t xml:space="preserve"> sur « </w:t>
      </w:r>
      <w:r w:rsidR="006A37E0" w:rsidRPr="006A37E0">
        <w:rPr>
          <w:b/>
        </w:rPr>
        <w:t>Le Cantu in paghjella profane et liturgique de Corse de tradition orale</w:t>
      </w:r>
      <w:r w:rsidR="006A37E0">
        <w:t> ».</w:t>
      </w:r>
    </w:p>
    <w:p w14:paraId="22B73604" w14:textId="7E9631E6" w:rsidR="00B055A0" w:rsidRPr="00B055A0" w:rsidRDefault="006A37E0" w:rsidP="00AF7860">
      <w:pPr>
        <w:pStyle w:val="Orateurengris"/>
        <w:spacing w:before="120"/>
        <w:ind w:left="709" w:hanging="709"/>
      </w:pPr>
      <w:r w:rsidRPr="006A37E0">
        <w:t xml:space="preserve">Le </w:t>
      </w:r>
      <w:r w:rsidRPr="006A37E0">
        <w:rPr>
          <w:b/>
        </w:rPr>
        <w:t>Secrétaire</w:t>
      </w:r>
      <w:r w:rsidRPr="006A37E0">
        <w:t xml:space="preserve"> est passé à l</w:t>
      </w:r>
      <w:r w:rsidR="00346F1B">
        <w:t>’</w:t>
      </w:r>
      <w:r>
        <w:t>examen des projets de décision. Il a expliqué que, pour chaque élément, des paragraphes standard, ainsi que des paragraphes spécifiques, abordaient les besoins, saluaient les réalisations et soulignaient les défis à relever. S</w:t>
      </w:r>
      <w:r w:rsidR="00346F1B">
        <w:t>’</w:t>
      </w:r>
      <w:r>
        <w:t xml:space="preserve">agissant de la France, dans le </w:t>
      </w:r>
      <w:r w:rsidRPr="006A37E0">
        <w:t>paragraphe</w:t>
      </w:r>
      <w:r>
        <w:t xml:space="preserve"> 4, il était proposé de prendre note des efforts soutenus entrepris pour sauvegarder cet élément inscrit en 2009, </w:t>
      </w:r>
      <w:r w:rsidRPr="006A37E0">
        <w:t>en particulier</w:t>
      </w:r>
      <w:r w:rsidR="00B055A0">
        <w:t xml:space="preserve"> au moyen de l</w:t>
      </w:r>
      <w:r w:rsidR="00346F1B">
        <w:t>’</w:t>
      </w:r>
      <w:r w:rsidR="00B055A0" w:rsidRPr="00B055A0">
        <w:t>enregistrement</w:t>
      </w:r>
      <w:r w:rsidR="00B055A0">
        <w:t xml:space="preserve"> sonore systématique et de la transmission, notamment aux enfants en âge scolaire, de l</w:t>
      </w:r>
      <w:r w:rsidR="00346F1B">
        <w:t>’</w:t>
      </w:r>
      <w:r w:rsidR="00B055A0" w:rsidRPr="00B055A0">
        <w:t>élément</w:t>
      </w:r>
      <w:r w:rsidR="00B055A0">
        <w:t xml:space="preserve"> par les détenteurs. Le </w:t>
      </w:r>
      <w:r w:rsidR="00B055A0" w:rsidRPr="00B055A0">
        <w:t>paragraphe</w:t>
      </w:r>
      <w:r w:rsidR="00B055A0">
        <w:t xml:space="preserve"> 5 encourageait l</w:t>
      </w:r>
      <w:r w:rsidR="00346F1B">
        <w:t>’</w:t>
      </w:r>
      <w:r w:rsidR="00B055A0">
        <w:t>État à juguler les menaces en cours en poursuivant le programme d</w:t>
      </w:r>
      <w:r w:rsidR="00346F1B">
        <w:t>’</w:t>
      </w:r>
      <w:r w:rsidR="00B055A0" w:rsidRPr="00B055A0">
        <w:t>enregistrement</w:t>
      </w:r>
      <w:r w:rsidR="00B055A0">
        <w:t xml:space="preserve"> sonore des chants, en renforçant leur </w:t>
      </w:r>
      <w:r w:rsidR="00B055A0" w:rsidRPr="00B055A0">
        <w:t xml:space="preserve">transmission </w:t>
      </w:r>
      <w:r w:rsidR="00B055A0">
        <w:t>au moyen d</w:t>
      </w:r>
      <w:r w:rsidR="00346F1B">
        <w:t>’</w:t>
      </w:r>
      <w:r w:rsidR="00B055A0">
        <w:t xml:space="preserve">ateliers de formation, et en cherchant des </w:t>
      </w:r>
      <w:r w:rsidR="004D314F">
        <w:t>occasions propices à la</w:t>
      </w:r>
      <w:r w:rsidR="00B055A0">
        <w:t xml:space="preserve"> représen</w:t>
      </w:r>
      <w:r w:rsidR="004D314F">
        <w:t xml:space="preserve">tation de </w:t>
      </w:r>
      <w:r w:rsidR="00B055A0">
        <w:t>l</w:t>
      </w:r>
      <w:r w:rsidR="00346F1B">
        <w:t>’</w:t>
      </w:r>
      <w:r w:rsidR="00B055A0">
        <w:t>élément sous sa forme tradition</w:t>
      </w:r>
      <w:r w:rsidR="008F6DF3">
        <w:t>n</w:t>
      </w:r>
      <w:r w:rsidR="00D04365">
        <w:t>elle. Enfin, le Comité pourrait</w:t>
      </w:r>
      <w:r w:rsidR="008F6DF3">
        <w:t xml:space="preserve"> </w:t>
      </w:r>
      <w:r w:rsidR="00B055A0">
        <w:t xml:space="preserve">souhaiter encourager </w:t>
      </w:r>
      <w:r w:rsidR="00B055A0" w:rsidRPr="00B055A0">
        <w:t>l</w:t>
      </w:r>
      <w:r w:rsidR="00346F1B">
        <w:t>’</w:t>
      </w:r>
      <w:r w:rsidR="00B055A0" w:rsidRPr="00B055A0">
        <w:t>État partie</w:t>
      </w:r>
      <w:r w:rsidR="00B055A0">
        <w:t xml:space="preserve"> à poursuivre sa </w:t>
      </w:r>
      <w:r w:rsidR="00B055A0" w:rsidRPr="00B055A0">
        <w:t>coopération</w:t>
      </w:r>
      <w:r w:rsidR="00B055A0">
        <w:t xml:space="preserve"> avec l</w:t>
      </w:r>
      <w:r w:rsidR="00346F1B">
        <w:t>’</w:t>
      </w:r>
      <w:r w:rsidR="00B055A0">
        <w:t>Association « Cantu in paghjella » et la Collectivité territoriale de Corse afin de sauvegarder l</w:t>
      </w:r>
      <w:r w:rsidR="00346F1B">
        <w:t>’</w:t>
      </w:r>
      <w:r w:rsidR="00B055A0" w:rsidRPr="00B055A0">
        <w:t>élément</w:t>
      </w:r>
      <w:r w:rsidR="004D314F">
        <w:t>,</w:t>
      </w:r>
      <w:r w:rsidR="00B055A0">
        <w:t xml:space="preserve"> et à fournir un soutien adéquat pour développer </w:t>
      </w:r>
      <w:r w:rsidR="004D314F">
        <w:t xml:space="preserve">les </w:t>
      </w:r>
      <w:r w:rsidR="004D314F" w:rsidRPr="004D314F">
        <w:t>activités</w:t>
      </w:r>
      <w:r w:rsidR="00EA3015">
        <w:t xml:space="preserve"> de transmission.</w:t>
      </w:r>
    </w:p>
    <w:p w14:paraId="4CC63B7D" w14:textId="442F9864" w:rsidR="004D314F" w:rsidRPr="004D314F" w:rsidRDefault="004D314F" w:rsidP="00AF7860">
      <w:pPr>
        <w:pStyle w:val="Orateurengris"/>
        <w:spacing w:before="120"/>
        <w:ind w:left="709" w:hanging="709"/>
      </w:pPr>
      <w:r w:rsidRPr="004D314F">
        <w:t xml:space="preserve">Le </w:t>
      </w:r>
      <w:r w:rsidRPr="004D314F">
        <w:rPr>
          <w:b/>
        </w:rPr>
        <w:t>Président</w:t>
      </w:r>
      <w:r w:rsidRPr="004D314F">
        <w:t xml:space="preserve"> est ensuite passé </w:t>
      </w:r>
      <w:r>
        <w:t>à la décision 11.COM 9.b.1, telle que présentée à l</w:t>
      </w:r>
      <w:r w:rsidR="00346F1B">
        <w:t>’</w:t>
      </w:r>
      <w:r>
        <w:t>écran. En l</w:t>
      </w:r>
      <w:r w:rsidR="00346F1B">
        <w:t>’</w:t>
      </w:r>
      <w:r>
        <w:t>absence de commentaires ou d</w:t>
      </w:r>
      <w:r w:rsidR="00346F1B">
        <w:t>’</w:t>
      </w:r>
      <w:r>
        <w:t xml:space="preserve">amendements, il </w:t>
      </w:r>
      <w:r w:rsidRPr="004D314F">
        <w:rPr>
          <w:b/>
        </w:rPr>
        <w:t>a déclaré la décision 11.COM 9.b.1 adoptée</w:t>
      </w:r>
      <w:r w:rsidR="00EA3015">
        <w:t>.</w:t>
      </w:r>
    </w:p>
    <w:p w14:paraId="23A339BD" w14:textId="2E7D3DB4" w:rsidR="004D314F" w:rsidRPr="00EA13CC" w:rsidRDefault="00EA13CC" w:rsidP="00AF7860">
      <w:pPr>
        <w:pStyle w:val="Orateurengris"/>
        <w:spacing w:before="120"/>
        <w:ind w:left="709" w:hanging="709"/>
      </w:pPr>
      <w:r w:rsidRPr="00EA13CC">
        <w:t xml:space="preserve">La délégation de la </w:t>
      </w:r>
      <w:r w:rsidRPr="00000A3D">
        <w:rPr>
          <w:b/>
        </w:rPr>
        <w:t>France</w:t>
      </w:r>
      <w:r w:rsidRPr="00EA13CC">
        <w:t xml:space="preserve"> </w:t>
      </w:r>
      <w:r w:rsidR="00000A3D">
        <w:t xml:space="preserve">a chaleureusement remercié le pays hôte pour son accueil, ajoutant que son rapport périodique avait été établi en étroite </w:t>
      </w:r>
      <w:r w:rsidR="00000A3D" w:rsidRPr="00000A3D">
        <w:t>collaboration</w:t>
      </w:r>
      <w:r w:rsidR="00266BD2">
        <w:t xml:space="preserve"> avec les praticiens, </w:t>
      </w:r>
      <w:r w:rsidR="00000A3D" w:rsidRPr="00000A3D">
        <w:t>en particulier</w:t>
      </w:r>
      <w:r w:rsidR="00000A3D">
        <w:t xml:space="preserve"> l</w:t>
      </w:r>
      <w:r w:rsidR="00346F1B">
        <w:t>’</w:t>
      </w:r>
      <w:r w:rsidR="00000A3D" w:rsidRPr="00000A3D">
        <w:t>association</w:t>
      </w:r>
      <w:r w:rsidR="00000A3D">
        <w:t xml:space="preserve"> « Cantu in paghjella », pierre angulaire de la pratique continue de l</w:t>
      </w:r>
      <w:r w:rsidR="00346F1B">
        <w:t>’</w:t>
      </w:r>
      <w:r w:rsidR="00000A3D" w:rsidRPr="00000A3D">
        <w:t>élément</w:t>
      </w:r>
      <w:r w:rsidR="00EC2632">
        <w:t xml:space="preserve"> en Corse. Le</w:t>
      </w:r>
      <w:r w:rsidR="00266BD2">
        <w:t xml:space="preserve"> ra</w:t>
      </w:r>
      <w:r w:rsidR="00000A3D">
        <w:t xml:space="preserve">pport était basé sur la </w:t>
      </w:r>
      <w:r w:rsidR="00000A3D" w:rsidRPr="00000A3D">
        <w:t>communauté</w:t>
      </w:r>
      <w:r w:rsidR="00000A3D">
        <w:t xml:space="preserve"> des praticiens qui transmett</w:t>
      </w:r>
      <w:r w:rsidR="00266BD2">
        <w:t>ai</w:t>
      </w:r>
      <w:r w:rsidR="00000A3D">
        <w:t xml:space="preserve">ent la pratique aux </w:t>
      </w:r>
      <w:r w:rsidR="00A46CAD">
        <w:t>membres</w:t>
      </w:r>
      <w:r w:rsidR="00000A3D">
        <w:t xml:space="preserve"> de la jeune génération</w:t>
      </w:r>
      <w:r w:rsidR="00BD1392">
        <w:t xml:space="preserve"> appelés « paghjelli ». Le rapport décrivait quelques uns des enseignements tirés. </w:t>
      </w:r>
      <w:r w:rsidR="00266BD2">
        <w:t>Il était p</w:t>
      </w:r>
      <w:r w:rsidR="00BD1392" w:rsidRPr="00BD1392">
        <w:t>ar exemple</w:t>
      </w:r>
      <w:r w:rsidR="00BD1392">
        <w:t xml:space="preserve"> précisé que la population avait font montre d</w:t>
      </w:r>
      <w:r w:rsidR="00346F1B">
        <w:t>’</w:t>
      </w:r>
      <w:r w:rsidR="00BD1392">
        <w:t xml:space="preserve">un enthousiasme partagé pour cet élément du </w:t>
      </w:r>
      <w:r w:rsidR="00BD1392" w:rsidRPr="00BD1392">
        <w:t>patrimoine</w:t>
      </w:r>
      <w:r w:rsidR="00BD1392">
        <w:t xml:space="preserve"> quand elle avait pris conscience de sa richesse mais </w:t>
      </w:r>
      <w:r w:rsidR="00BD1392" w:rsidRPr="00BD1392">
        <w:t>également</w:t>
      </w:r>
      <w:r w:rsidR="00BD1392">
        <w:t xml:space="preserve"> de sa grande </w:t>
      </w:r>
      <w:r w:rsidR="00BD1392" w:rsidRPr="00BD1392">
        <w:t>vulnérabilité</w:t>
      </w:r>
      <w:r w:rsidR="00BD1392">
        <w:t xml:space="preserve">. Les chanteurs, qui étaient bénévoles, devaient mettre de </w:t>
      </w:r>
      <w:r w:rsidR="00A31001">
        <w:t>côté</w:t>
      </w:r>
      <w:r w:rsidR="00BD1392">
        <w:t xml:space="preserve"> leurs carrières professionnelles pour pratiquer le cantu</w:t>
      </w:r>
      <w:r w:rsidR="00266BD2">
        <w:t>,</w:t>
      </w:r>
      <w:r w:rsidR="00BD1392">
        <w:t xml:space="preserve"> ce qui avait pour conséquence une </w:t>
      </w:r>
      <w:r w:rsidR="00BD1392" w:rsidRPr="00BD1392">
        <w:t>participation</w:t>
      </w:r>
      <w:r w:rsidR="00BD1392">
        <w:t xml:space="preserve"> restreinte. Afin de surmonter cette difficulté, le </w:t>
      </w:r>
      <w:r w:rsidR="00BD1392" w:rsidRPr="00BD1392">
        <w:t>ministère</w:t>
      </w:r>
      <w:r w:rsidR="00BD1392">
        <w:t xml:space="preserve"> français de la Culture avait alloué la somme de 45</w:t>
      </w:r>
      <w:r w:rsidR="00346F1B">
        <w:t> 000</w:t>
      </w:r>
      <w:r w:rsidR="00BD1392">
        <w:t xml:space="preserve"> euros par an pour indemniser les chanteurs et pour participer à la promotion de la formation qui permettrait d</w:t>
      </w:r>
      <w:r w:rsidR="00346F1B">
        <w:t>’</w:t>
      </w:r>
      <w:r w:rsidR="00BD1392">
        <w:t>accroitre le nombre d</w:t>
      </w:r>
      <w:r w:rsidR="00346F1B">
        <w:t>’</w:t>
      </w:r>
      <w:r w:rsidR="00BD1392">
        <w:t>apprentis chanteurs, et ainsi la capacité d</w:t>
      </w:r>
      <w:r w:rsidR="00346F1B">
        <w:t>’</w:t>
      </w:r>
      <w:r w:rsidR="00BD1392">
        <w:t>en former ensuite d</w:t>
      </w:r>
      <w:r w:rsidR="00346F1B">
        <w:t>’</w:t>
      </w:r>
      <w:r w:rsidR="00BD1392">
        <w:t xml:space="preserve">autres. </w:t>
      </w:r>
      <w:r w:rsidR="005B3F65">
        <w:t>La pratique bénéficiait à deux groupes distincts : les adultes et les étudiants. Les adultes étaient formés dans le cadre d</w:t>
      </w:r>
      <w:r w:rsidR="00346F1B">
        <w:t>’</w:t>
      </w:r>
      <w:r w:rsidR="005B3F65">
        <w:t xml:space="preserve">ateliers ou de veillées traditionnelles tandis que les écoliers recevaient un </w:t>
      </w:r>
      <w:r w:rsidR="005B3F65" w:rsidRPr="005B3F65">
        <w:t>enseignement</w:t>
      </w:r>
      <w:r w:rsidR="005B3F65">
        <w:t xml:space="preserve"> dans des classes bilingues français-corse. L</w:t>
      </w:r>
      <w:r w:rsidR="00346F1B">
        <w:t>’</w:t>
      </w:r>
      <w:r w:rsidR="005B3F65" w:rsidRPr="005B3F65">
        <w:t>initiative</w:t>
      </w:r>
      <w:r w:rsidR="005B3F65">
        <w:t xml:space="preserve"> avait débuté en septembre 2015 et avait produit d</w:t>
      </w:r>
      <w:r w:rsidR="00346F1B">
        <w:t>’</w:t>
      </w:r>
      <w:r w:rsidR="005B3F65">
        <w:t>excellents résultats qui se perpétuaient jusqu</w:t>
      </w:r>
      <w:r w:rsidR="00346F1B">
        <w:t>’</w:t>
      </w:r>
      <w:r w:rsidR="005B3F65">
        <w:t>alors. Enfin, le recueil et l</w:t>
      </w:r>
      <w:r w:rsidR="00346F1B">
        <w:t>’</w:t>
      </w:r>
      <w:r w:rsidR="005B3F65" w:rsidRPr="005B3F65">
        <w:t>enregistrement</w:t>
      </w:r>
      <w:r w:rsidR="005B3F65">
        <w:t xml:space="preserve"> sonore des chants avaient été organisés de façon plus systématique lors de messes et de veillées, et, grâce à la mise à disposition du </w:t>
      </w:r>
      <w:r w:rsidR="005B3F65" w:rsidRPr="005B3F65">
        <w:t>financement</w:t>
      </w:r>
      <w:r w:rsidR="005B3F65">
        <w:t xml:space="preserve">, le public était </w:t>
      </w:r>
      <w:r w:rsidR="005B3F65" w:rsidRPr="005B3F65">
        <w:t>désormais</w:t>
      </w:r>
      <w:r w:rsidR="005B3F65">
        <w:t xml:space="preserve"> à même de découvrir </w:t>
      </w:r>
      <w:r w:rsidR="00266BD2">
        <w:t>la pratique du cantu et de ses interprétations. En conclusion, il apparaissait comme évident que l</w:t>
      </w:r>
      <w:r w:rsidR="00346F1B">
        <w:t>’</w:t>
      </w:r>
      <w:r w:rsidR="00266BD2" w:rsidRPr="00266BD2">
        <w:t>inscription</w:t>
      </w:r>
      <w:r w:rsidR="00266BD2">
        <w:t xml:space="preserve"> sur la Liste de sauvegarde urgente avait permis de créer une réelle dynamique autour de laquelle la pratique était sauvegardée, protégée et transmise, un tel niveau n</w:t>
      </w:r>
      <w:r w:rsidR="00346F1B">
        <w:t>’</w:t>
      </w:r>
      <w:r w:rsidR="00266BD2">
        <w:t xml:space="preserve">aurait pu être atteint sans cette </w:t>
      </w:r>
      <w:r w:rsidR="00266BD2" w:rsidRPr="00266BD2">
        <w:t>inscription</w:t>
      </w:r>
      <w:r w:rsidR="00266BD2">
        <w:t xml:space="preserve">. En outre, la </w:t>
      </w:r>
      <w:r w:rsidR="00266BD2" w:rsidRPr="00266BD2">
        <w:t>préparation</w:t>
      </w:r>
      <w:r w:rsidR="00266BD2">
        <w:t xml:space="preserve"> du rapport périodique avait donné à la </w:t>
      </w:r>
      <w:r w:rsidR="00266BD2" w:rsidRPr="00266BD2">
        <w:t>délégation</w:t>
      </w:r>
      <w:r w:rsidR="00266BD2">
        <w:t xml:space="preserve"> une excellente occasion de faire l</w:t>
      </w:r>
      <w:r w:rsidR="00346F1B">
        <w:t>’</w:t>
      </w:r>
      <w:r w:rsidR="00266BD2" w:rsidRPr="00266BD2">
        <w:t>inventaire</w:t>
      </w:r>
      <w:r w:rsidR="00266BD2">
        <w:t xml:space="preserve"> des mesures mises en œuvre et de leur </w:t>
      </w:r>
      <w:r w:rsidR="00266BD2" w:rsidRPr="00266BD2">
        <w:t>efficacité</w:t>
      </w:r>
      <w:r w:rsidR="00EA3015">
        <w:t>.</w:t>
      </w:r>
    </w:p>
    <w:p w14:paraId="4DD136AF" w14:textId="5B74787E" w:rsidR="006E3E6E" w:rsidRPr="006E3E6E" w:rsidRDefault="006E3E6E" w:rsidP="00AF7860">
      <w:pPr>
        <w:pStyle w:val="Orateurengris"/>
        <w:spacing w:before="120"/>
        <w:ind w:left="709" w:hanging="709"/>
      </w:pPr>
      <w:r w:rsidRPr="006E3E6E">
        <w:t xml:space="preserve">Après avoir remercié </w:t>
      </w:r>
      <w:r>
        <w:t xml:space="preserve">la France, le </w:t>
      </w:r>
      <w:r w:rsidRPr="006E3E6E">
        <w:rPr>
          <w:b/>
        </w:rPr>
        <w:t>Président</w:t>
      </w:r>
      <w:r>
        <w:t xml:space="preserve"> est ensuite passé à l</w:t>
      </w:r>
      <w:r w:rsidR="00346F1B">
        <w:t>’</w:t>
      </w:r>
      <w:r>
        <w:t xml:space="preserve">examen du deuxième rapport soumis par la </w:t>
      </w:r>
      <w:r w:rsidRPr="006E3E6E">
        <w:t>République</w:t>
      </w:r>
      <w:r>
        <w:t xml:space="preserve"> islamique d</w:t>
      </w:r>
      <w:r w:rsidR="00346F1B">
        <w:t>’</w:t>
      </w:r>
      <w:r>
        <w:t>Iran sur « </w:t>
      </w:r>
      <w:r w:rsidRPr="00D32457">
        <w:rPr>
          <w:b/>
        </w:rPr>
        <w:t>Les compétences traditionnelles de construction et de navigation des bateaux iraniens Lenj dans le golfe Persique </w:t>
      </w:r>
      <w:r>
        <w:t>»</w:t>
      </w:r>
      <w:r w:rsidR="00D32457">
        <w:t>.</w:t>
      </w:r>
    </w:p>
    <w:p w14:paraId="1A702DF6" w14:textId="2560120B" w:rsidR="00BC301B" w:rsidRPr="00BC301B" w:rsidRDefault="00D32457" w:rsidP="00AF7860">
      <w:pPr>
        <w:pStyle w:val="Orateurengris"/>
        <w:spacing w:before="120"/>
        <w:ind w:left="709" w:hanging="709"/>
      </w:pPr>
      <w:r w:rsidRPr="00D32457">
        <w:t xml:space="preserve">Le </w:t>
      </w:r>
      <w:r w:rsidRPr="00D32457">
        <w:rPr>
          <w:b/>
        </w:rPr>
        <w:t>Secrétaire</w:t>
      </w:r>
      <w:r w:rsidRPr="00D32457">
        <w:t xml:space="preserve"> a </w:t>
      </w:r>
      <w:r w:rsidR="00271A77">
        <w:t xml:space="preserve">souligné </w:t>
      </w:r>
      <w:r w:rsidRPr="00D32457">
        <w:t xml:space="preserve">que le paragraphe 4 </w:t>
      </w:r>
      <w:r>
        <w:t xml:space="preserve">reconnaissait </w:t>
      </w:r>
      <w:r w:rsidRPr="00D32457">
        <w:t xml:space="preserve">les </w:t>
      </w:r>
      <w:r w:rsidR="00271A77">
        <w:t xml:space="preserve">efforts de </w:t>
      </w:r>
      <w:r w:rsidR="00271A77" w:rsidRPr="00271A77">
        <w:t>sauvegarde</w:t>
      </w:r>
      <w:r w:rsidR="00271A77">
        <w:t xml:space="preserve"> </w:t>
      </w:r>
      <w:r w:rsidR="00BC301B">
        <w:t xml:space="preserve">déployés </w:t>
      </w:r>
      <w:r w:rsidR="00271A77">
        <w:t>par l</w:t>
      </w:r>
      <w:r w:rsidR="00346F1B">
        <w:t>’</w:t>
      </w:r>
      <w:r w:rsidR="00271A77">
        <w:t xml:space="preserve">Iran, </w:t>
      </w:r>
      <w:r w:rsidR="00271A77" w:rsidRPr="00271A77">
        <w:t>en particulier</w:t>
      </w:r>
      <w:r w:rsidR="00271A77">
        <w:t xml:space="preserve"> les activités de </w:t>
      </w:r>
      <w:r w:rsidR="00271A77" w:rsidRPr="00271A77">
        <w:t xml:space="preserve">sensibilisation </w:t>
      </w:r>
      <w:r w:rsidR="00271A77">
        <w:t>et de renforcement des capacités, et la création d</w:t>
      </w:r>
      <w:r w:rsidR="00346F1B">
        <w:t>’</w:t>
      </w:r>
      <w:r w:rsidR="00271A77">
        <w:t xml:space="preserve">un centre de </w:t>
      </w:r>
      <w:r w:rsidR="00271A77" w:rsidRPr="00271A77">
        <w:t>recherche</w:t>
      </w:r>
      <w:r w:rsidR="006C66C6">
        <w:t xml:space="preserve"> sur le l</w:t>
      </w:r>
      <w:r w:rsidR="00271A77">
        <w:t xml:space="preserve">enj. </w:t>
      </w:r>
      <w:r w:rsidR="00BC301B">
        <w:t xml:space="preserve">Le </w:t>
      </w:r>
      <w:r w:rsidR="00BC301B" w:rsidRPr="00BC301B">
        <w:t>paragraphe</w:t>
      </w:r>
      <w:r w:rsidR="00BC301B">
        <w:t xml:space="preserve"> 5 invitait l</w:t>
      </w:r>
      <w:r w:rsidR="00346F1B">
        <w:t>’</w:t>
      </w:r>
      <w:r w:rsidR="00BC301B">
        <w:t xml:space="preserve">État à poursuivre sa </w:t>
      </w:r>
      <w:r w:rsidR="00BC301B" w:rsidRPr="00BC301B">
        <w:t>coopération</w:t>
      </w:r>
      <w:r w:rsidR="00BC301B">
        <w:t xml:space="preserve"> avec toutes les </w:t>
      </w:r>
      <w:r w:rsidR="00BC301B" w:rsidRPr="00BC301B">
        <w:t>parties prenantes</w:t>
      </w:r>
      <w:r w:rsidR="00BC301B">
        <w:t xml:space="preserve"> concernées, </w:t>
      </w:r>
      <w:r w:rsidR="00BC301B" w:rsidRPr="00BC301B">
        <w:t>en particulier</w:t>
      </w:r>
      <w:r w:rsidR="00BC301B">
        <w:t xml:space="preserve">, à </w:t>
      </w:r>
      <w:r w:rsidR="008F6DF3">
        <w:t>rechercher des moyens d</w:t>
      </w:r>
      <w:r w:rsidR="00346F1B">
        <w:t>’</w:t>
      </w:r>
      <w:r w:rsidR="008F6DF3">
        <w:t xml:space="preserve">allier les méthodes modernes de </w:t>
      </w:r>
      <w:r w:rsidR="008F6DF3" w:rsidRPr="008F6DF3">
        <w:t>construction</w:t>
      </w:r>
      <w:r w:rsidR="008F6DF3">
        <w:t xml:space="preserve"> des</w:t>
      </w:r>
      <w:r w:rsidR="006C66C6">
        <w:t xml:space="preserve"> bateaux et de navigation avec l</w:t>
      </w:r>
      <w:r w:rsidR="008F6DF3">
        <w:t>es méthodes traditionnelles. Enfin, le Comité</w:t>
      </w:r>
      <w:r w:rsidR="00D04365">
        <w:t xml:space="preserve"> pourrait, entre autres mesures de </w:t>
      </w:r>
      <w:r w:rsidR="00D04365" w:rsidRPr="008F6DF3">
        <w:t>sauvegarde</w:t>
      </w:r>
      <w:r w:rsidR="00D04365">
        <w:t xml:space="preserve"> présentées au </w:t>
      </w:r>
      <w:r w:rsidR="00D04365" w:rsidRPr="008F6DF3">
        <w:t>paragraphe</w:t>
      </w:r>
      <w:r w:rsidR="00D04365">
        <w:t xml:space="preserve"> 6, </w:t>
      </w:r>
      <w:r w:rsidR="008F6DF3">
        <w:t>encourager l</w:t>
      </w:r>
      <w:r w:rsidR="00346F1B">
        <w:t>’</w:t>
      </w:r>
      <w:r w:rsidR="008F6DF3">
        <w:t>État à accroitre le nombre d</w:t>
      </w:r>
      <w:r w:rsidR="00346F1B">
        <w:t>’</w:t>
      </w:r>
      <w:r w:rsidR="008F6DF3">
        <w:t>atelier</w:t>
      </w:r>
      <w:r w:rsidR="006C66C6">
        <w:t>s</w:t>
      </w:r>
      <w:r w:rsidR="008F6DF3">
        <w:t xml:space="preserve"> de </w:t>
      </w:r>
      <w:r w:rsidR="008F6DF3" w:rsidRPr="008F6DF3">
        <w:t>construction</w:t>
      </w:r>
      <w:r w:rsidR="008F6DF3">
        <w:t xml:space="preserve"> des lenjes</w:t>
      </w:r>
      <w:r w:rsidR="006C66C6">
        <w:t xml:space="preserve"> et à soutenir ses praticiens.</w:t>
      </w:r>
    </w:p>
    <w:p w14:paraId="45081FFB" w14:textId="4F7BAA3C" w:rsidR="006C66C6" w:rsidRPr="006C66C6" w:rsidRDefault="006C66C6" w:rsidP="00AF7860">
      <w:pPr>
        <w:pStyle w:val="Orateurengris"/>
        <w:spacing w:before="120"/>
        <w:ind w:left="709" w:hanging="709"/>
      </w:pPr>
      <w:r w:rsidRPr="006C66C6">
        <w:t xml:space="preserve">Le </w:t>
      </w:r>
      <w:r w:rsidRPr="006C66C6">
        <w:rPr>
          <w:b/>
        </w:rPr>
        <w:t>Président</w:t>
      </w:r>
      <w:r>
        <w:t xml:space="preserve"> est ens</w:t>
      </w:r>
      <w:r w:rsidRPr="006C66C6">
        <w:t>uite</w:t>
      </w:r>
      <w:r>
        <w:t xml:space="preserve"> passé à la décision 11.COM 9.b.2 et, en l</w:t>
      </w:r>
      <w:r w:rsidR="00346F1B">
        <w:t>’</w:t>
      </w:r>
      <w:r>
        <w:t>absence de commentaires ou d</w:t>
      </w:r>
      <w:r w:rsidR="00346F1B">
        <w:t>’</w:t>
      </w:r>
      <w:r>
        <w:t xml:space="preserve">amendements, le </w:t>
      </w:r>
      <w:r w:rsidRPr="006C66C6">
        <w:rPr>
          <w:b/>
        </w:rPr>
        <w:t>Président a déclaré la décision 11.COM 9.b.2 adoptée</w:t>
      </w:r>
      <w:r w:rsidR="00EA3015">
        <w:t>.</w:t>
      </w:r>
    </w:p>
    <w:p w14:paraId="2D708E67" w14:textId="68CC06D7" w:rsidR="006C66C6" w:rsidRPr="006C66C6" w:rsidRDefault="006C66C6" w:rsidP="00AF7860">
      <w:pPr>
        <w:pStyle w:val="Orateurengris"/>
        <w:spacing w:before="120"/>
        <w:ind w:left="709" w:hanging="709"/>
      </w:pPr>
      <w:r w:rsidRPr="006C66C6">
        <w:t xml:space="preserve">Le </w:t>
      </w:r>
      <w:r w:rsidRPr="006C66C6">
        <w:rPr>
          <w:b/>
        </w:rPr>
        <w:t>Président</w:t>
      </w:r>
      <w:r w:rsidRPr="006C66C6">
        <w:t xml:space="preserve"> est passé à l</w:t>
      </w:r>
      <w:r w:rsidR="00346F1B">
        <w:t>’</w:t>
      </w:r>
      <w:r w:rsidRPr="006C66C6">
        <w:t>examen du troisième rapport, également soumis par la République islamique d</w:t>
      </w:r>
      <w:r w:rsidR="00346F1B">
        <w:t>’</w:t>
      </w:r>
      <w:r>
        <w:t>Iran</w:t>
      </w:r>
      <w:r w:rsidRPr="006C66C6">
        <w:t xml:space="preserve"> </w:t>
      </w:r>
      <w:r>
        <w:t>sur « </w:t>
      </w:r>
      <w:r w:rsidRPr="006C66C6">
        <w:rPr>
          <w:b/>
        </w:rPr>
        <w:t>Le Naqqāli, narration dramatique iranienne </w:t>
      </w:r>
      <w:r>
        <w:t>»</w:t>
      </w:r>
      <w:r w:rsidR="00EA3015">
        <w:t>.</w:t>
      </w:r>
    </w:p>
    <w:p w14:paraId="4A29C5A7" w14:textId="12A27880" w:rsidR="005A071F" w:rsidRPr="005A071F" w:rsidRDefault="006C66C6" w:rsidP="00AF7860">
      <w:pPr>
        <w:pStyle w:val="Orateurengris"/>
        <w:spacing w:before="120"/>
        <w:ind w:left="709" w:hanging="709"/>
      </w:pPr>
      <w:r>
        <w:t xml:space="preserve">Le </w:t>
      </w:r>
      <w:r w:rsidRPr="006C66C6">
        <w:rPr>
          <w:b/>
        </w:rPr>
        <w:t>Secrétaire</w:t>
      </w:r>
      <w:r>
        <w:t xml:space="preserve"> a </w:t>
      </w:r>
      <w:r w:rsidR="005A071F">
        <w:t xml:space="preserve">précisé </w:t>
      </w:r>
      <w:r>
        <w:t>que ce projet de décision</w:t>
      </w:r>
      <w:r w:rsidR="005A071F">
        <w:t xml:space="preserve"> proposait au</w:t>
      </w:r>
      <w:r>
        <w:t xml:space="preserve"> Comité </w:t>
      </w:r>
      <w:r w:rsidR="005A071F">
        <w:t>de reconnaitre</w:t>
      </w:r>
      <w:r>
        <w:t xml:space="preserve"> les efforts continus déployés par l</w:t>
      </w:r>
      <w:r w:rsidR="00346F1B">
        <w:t>’</w:t>
      </w:r>
      <w:r>
        <w:t xml:space="preserve">Iran pour sauvegarder cet élément, </w:t>
      </w:r>
      <w:r w:rsidRPr="006C66C6">
        <w:t>en particulier</w:t>
      </w:r>
      <w:r>
        <w:t xml:space="preserve"> </w:t>
      </w:r>
      <w:r w:rsidR="005A071F">
        <w:t>par un soutien aux praticiens, et de féliciter l</w:t>
      </w:r>
      <w:r w:rsidR="00346F1B">
        <w:t>’</w:t>
      </w:r>
      <w:r w:rsidR="005A071F">
        <w:t>État d</w:t>
      </w:r>
      <w:r w:rsidR="00346F1B">
        <w:t>’</w:t>
      </w:r>
      <w:r w:rsidR="005A071F">
        <w:t>avoir établi la première Maison du Naqqāli (</w:t>
      </w:r>
      <w:r w:rsidR="005A071F" w:rsidRPr="005A071F">
        <w:t>p</w:t>
      </w:r>
      <w:r w:rsidR="005A071F">
        <w:t xml:space="preserve">aragraphes 4 et 5). En outre, dans le </w:t>
      </w:r>
      <w:r w:rsidR="005A071F" w:rsidRPr="005A071F">
        <w:t>paragraphe</w:t>
      </w:r>
      <w:r w:rsidR="005A071F">
        <w:t xml:space="preserve"> 6, le Comité pourrait souhaiter inviter l</w:t>
      </w:r>
      <w:r w:rsidR="00346F1B">
        <w:t>’</w:t>
      </w:r>
      <w:r w:rsidR="005A071F">
        <w:t>État faisant rapport à construire quatre autres Maisons du Naqqāli dans différentes régions du pays, comme suggéré par le rapport, et à établir une Fondation du Naqqāli destinée à traiter et diffuser les enregistrements. Enfin, l</w:t>
      </w:r>
      <w:r w:rsidR="00346F1B">
        <w:t>’</w:t>
      </w:r>
      <w:r w:rsidR="005A071F">
        <w:t>État pourrait être encouragé à maintenir l</w:t>
      </w:r>
      <w:r w:rsidR="00346F1B">
        <w:t>’</w:t>
      </w:r>
      <w:r w:rsidR="005A071F">
        <w:t xml:space="preserve">aide </w:t>
      </w:r>
      <w:r w:rsidR="005A071F" w:rsidRPr="005A071F">
        <w:t xml:space="preserve">financière </w:t>
      </w:r>
      <w:r w:rsidR="004D7579">
        <w:t>accordée au Naqqāli</w:t>
      </w:r>
      <w:r w:rsidR="005A071F">
        <w:t xml:space="preserve"> et à collaborer avec les praticiens et les experts afin d</w:t>
      </w:r>
      <w:r w:rsidR="00346F1B">
        <w:t>’</w:t>
      </w:r>
      <w:r w:rsidR="005A071F">
        <w:t xml:space="preserve">identifier et de mettre en œuvre des approches de </w:t>
      </w:r>
      <w:r w:rsidR="005A071F" w:rsidRPr="005A071F">
        <w:t>sauvegarde</w:t>
      </w:r>
      <w:r w:rsidR="005A071F">
        <w:t xml:space="preserve"> innovantes telles que proposées au </w:t>
      </w:r>
      <w:r w:rsidR="005A071F" w:rsidRPr="005A071F">
        <w:t>paragraphe</w:t>
      </w:r>
      <w:r w:rsidR="00EA3015">
        <w:t xml:space="preserve"> 7.</w:t>
      </w:r>
    </w:p>
    <w:p w14:paraId="3475BCB5" w14:textId="2949820E" w:rsidR="005A071F" w:rsidRDefault="005A071F" w:rsidP="00AF7860">
      <w:pPr>
        <w:pStyle w:val="Orateurengris"/>
        <w:spacing w:before="120"/>
        <w:ind w:left="709" w:hanging="709"/>
      </w:pPr>
      <w:r>
        <w:t xml:space="preserve">Le </w:t>
      </w:r>
      <w:r w:rsidRPr="005A071F">
        <w:rPr>
          <w:b/>
        </w:rPr>
        <w:t>Président</w:t>
      </w:r>
      <w:r>
        <w:t xml:space="preserve"> est ensuite passé à la </w:t>
      </w:r>
      <w:r w:rsidRPr="005A071F">
        <w:t>décision</w:t>
      </w:r>
      <w:r>
        <w:t xml:space="preserve"> 11.COM 9.b.3 et, en l</w:t>
      </w:r>
      <w:r w:rsidR="00346F1B">
        <w:t>’</w:t>
      </w:r>
      <w:r>
        <w:t>absence de c</w:t>
      </w:r>
      <w:r w:rsidR="00CC78AE">
        <w:t>ommentaires ou d</w:t>
      </w:r>
      <w:r w:rsidR="00346F1B">
        <w:t>’</w:t>
      </w:r>
      <w:r w:rsidR="00CC78AE">
        <w:t xml:space="preserve">amendements, </w:t>
      </w:r>
      <w:r w:rsidR="00CC78AE" w:rsidRPr="00CC78AE">
        <w:rPr>
          <w:b/>
        </w:rPr>
        <w:t>il</w:t>
      </w:r>
      <w:r w:rsidR="00CC78AE">
        <w:t xml:space="preserve"> </w:t>
      </w:r>
      <w:r w:rsidRPr="00CC78AE">
        <w:rPr>
          <w:b/>
        </w:rPr>
        <w:t>a déclaré la décision 11.COM 9.b.3 adoptée</w:t>
      </w:r>
      <w:r w:rsidR="00EA3015">
        <w:t>.</w:t>
      </w:r>
    </w:p>
    <w:p w14:paraId="4C105C86" w14:textId="30380CB4" w:rsidR="00CC78AE" w:rsidRPr="00CC78AE" w:rsidRDefault="00CC78AE" w:rsidP="00AF7860">
      <w:pPr>
        <w:pStyle w:val="Orateurengris"/>
        <w:spacing w:before="120"/>
        <w:ind w:left="709" w:hanging="709"/>
      </w:pPr>
      <w:r>
        <w:t xml:space="preserve">La </w:t>
      </w:r>
      <w:r w:rsidRPr="00CC78AE">
        <w:t>délégation</w:t>
      </w:r>
      <w:r>
        <w:t xml:space="preserve"> de la </w:t>
      </w:r>
      <w:r w:rsidRPr="00CC78AE">
        <w:rPr>
          <w:b/>
        </w:rPr>
        <w:t>République islamique d</w:t>
      </w:r>
      <w:r w:rsidR="00346F1B">
        <w:rPr>
          <w:b/>
        </w:rPr>
        <w:t>’</w:t>
      </w:r>
      <w:r w:rsidRPr="00CC78AE">
        <w:rPr>
          <w:b/>
        </w:rPr>
        <w:t>Iran</w:t>
      </w:r>
      <w:r>
        <w:t xml:space="preserve"> a remercié le Comité de lui donner l</w:t>
      </w:r>
      <w:r w:rsidR="00346F1B">
        <w:t>’</w:t>
      </w:r>
      <w:r>
        <w:t>opportunité de partager son expérience, ainsi que l</w:t>
      </w:r>
      <w:r w:rsidR="00346F1B">
        <w:t>’</w:t>
      </w:r>
      <w:r w:rsidRPr="00CC78AE">
        <w:t>Éthiopie</w:t>
      </w:r>
      <w:r>
        <w:t xml:space="preserve"> pour son hospitalité. La </w:t>
      </w:r>
      <w:r w:rsidRPr="00CC78AE">
        <w:t>délégation</w:t>
      </w:r>
      <w:r>
        <w:t xml:space="preserve"> a présenté un bref rapport sur son expérience de la </w:t>
      </w:r>
      <w:r w:rsidRPr="00CC78AE">
        <w:t>préparation</w:t>
      </w:r>
      <w:r>
        <w:t xml:space="preserve"> des deux rapports périodiques, les opportunités liées à l</w:t>
      </w:r>
      <w:r w:rsidR="00346F1B">
        <w:t>’</w:t>
      </w:r>
      <w:r w:rsidRPr="00CC78AE">
        <w:t>inscription</w:t>
      </w:r>
      <w:r>
        <w:t xml:space="preserve"> des deux éléments sur la Liste de sauvegarde urgente et la mise en œuvre du plan de sauvegarde. S</w:t>
      </w:r>
      <w:r w:rsidR="00346F1B">
        <w:t>’</w:t>
      </w:r>
      <w:r>
        <w:t xml:space="preserve">agissant de la </w:t>
      </w:r>
      <w:r w:rsidRPr="00CC78AE">
        <w:t>préparation</w:t>
      </w:r>
      <w:r>
        <w:t xml:space="preserve"> des rapports, la </w:t>
      </w:r>
      <w:r w:rsidRPr="00CC78AE">
        <w:t>délégation</w:t>
      </w:r>
      <w:r>
        <w:t xml:space="preserve"> a</w:t>
      </w:r>
      <w:r w:rsidR="00194EF5">
        <w:t>vait</w:t>
      </w:r>
      <w:r>
        <w:t xml:space="preserve"> organisé de nombreuses réunions avec des représentants, des praticiens, des communautés et des </w:t>
      </w:r>
      <w:r w:rsidRPr="00CC78AE">
        <w:t>détenteurs</w:t>
      </w:r>
      <w:r>
        <w:t xml:space="preserve">, des ONG et des organisations </w:t>
      </w:r>
      <w:r w:rsidR="00914BB4">
        <w:t xml:space="preserve">compétentes </w:t>
      </w:r>
      <w:r>
        <w:t xml:space="preserve">en charge de la mise en œuvre du plan de sauvegarde. Les données </w:t>
      </w:r>
      <w:r w:rsidR="00194EF5">
        <w:t xml:space="preserve">avaient </w:t>
      </w:r>
      <w:r>
        <w:t xml:space="preserve">été compilées dans des rapports par le Secrétariat du PCI du </w:t>
      </w:r>
      <w:r w:rsidRPr="00CC78AE">
        <w:t>patrimoine</w:t>
      </w:r>
      <w:r>
        <w:t xml:space="preserve"> </w:t>
      </w:r>
      <w:r w:rsidRPr="00CC78AE">
        <w:t>culturel</w:t>
      </w:r>
      <w:r>
        <w:t xml:space="preserve"> iranien. S</w:t>
      </w:r>
      <w:r w:rsidR="00346F1B">
        <w:t>’</w:t>
      </w:r>
      <w:r>
        <w:t>agissant des opportunités liées à l</w:t>
      </w:r>
      <w:r w:rsidR="00346F1B">
        <w:t>’</w:t>
      </w:r>
      <w:r w:rsidRPr="00CC78AE">
        <w:t>inscription</w:t>
      </w:r>
      <w:r>
        <w:t>, celle-ci a</w:t>
      </w:r>
      <w:r w:rsidR="00194EF5">
        <w:t>vait</w:t>
      </w:r>
      <w:r>
        <w:t xml:space="preserve"> permis de </w:t>
      </w:r>
      <w:r w:rsidRPr="00CC78AE">
        <w:t>sensib</w:t>
      </w:r>
      <w:r>
        <w:t>iliser le public à l</w:t>
      </w:r>
      <w:r w:rsidR="00346F1B">
        <w:t>’</w:t>
      </w:r>
      <w:r>
        <w:t>importance du PCI en général</w:t>
      </w:r>
      <w:r w:rsidR="00914BB4">
        <w:t>,</w:t>
      </w:r>
      <w:r>
        <w:t xml:space="preserve"> et aux valeurs de ces deux éléments </w:t>
      </w:r>
      <w:r w:rsidRPr="00CC78AE">
        <w:t>en particulier</w:t>
      </w:r>
      <w:r>
        <w:t>. L</w:t>
      </w:r>
      <w:r w:rsidR="00346F1B">
        <w:t>’</w:t>
      </w:r>
      <w:r w:rsidRPr="00CC78AE">
        <w:t>inscription</w:t>
      </w:r>
      <w:r>
        <w:t xml:space="preserve"> a</w:t>
      </w:r>
      <w:r w:rsidR="00194EF5">
        <w:t>vait</w:t>
      </w:r>
      <w:r>
        <w:t xml:space="preserve"> </w:t>
      </w:r>
      <w:r w:rsidRPr="00CC78AE">
        <w:t>également</w:t>
      </w:r>
      <w:r>
        <w:t xml:space="preserve"> permis d</w:t>
      </w:r>
      <w:r w:rsidR="00346F1B">
        <w:t>’</w:t>
      </w:r>
      <w:r>
        <w:t>attirer l</w:t>
      </w:r>
      <w:r w:rsidR="00346F1B">
        <w:t>’</w:t>
      </w:r>
      <w:r>
        <w:t xml:space="preserve">attention de la </w:t>
      </w:r>
      <w:r w:rsidR="00194EF5">
        <w:t>population</w:t>
      </w:r>
      <w:r>
        <w:t xml:space="preserve">, </w:t>
      </w:r>
      <w:r w:rsidRPr="00CC78AE">
        <w:t>en particulier</w:t>
      </w:r>
      <w:r>
        <w:t xml:space="preserve"> des personnes </w:t>
      </w:r>
      <w:r w:rsidR="00194EF5">
        <w:t>âgées qui s</w:t>
      </w:r>
      <w:r w:rsidR="00346F1B">
        <w:t>’</w:t>
      </w:r>
      <w:r w:rsidR="00194EF5">
        <w:t xml:space="preserve">étaient </w:t>
      </w:r>
      <w:r>
        <w:t>intéressées à la pratique de l</w:t>
      </w:r>
      <w:r w:rsidR="00346F1B">
        <w:t>’</w:t>
      </w:r>
      <w:r w:rsidRPr="00CC78AE">
        <w:t>élément</w:t>
      </w:r>
      <w:r>
        <w:t xml:space="preserve"> et </w:t>
      </w:r>
      <w:r w:rsidR="00194EF5">
        <w:t xml:space="preserve">avaient </w:t>
      </w:r>
      <w:r>
        <w:t xml:space="preserve">activement pris part à sa </w:t>
      </w:r>
      <w:r w:rsidRPr="00CC78AE">
        <w:t>sauvegarde</w:t>
      </w:r>
      <w:r>
        <w:t>, ce qui a</w:t>
      </w:r>
      <w:r w:rsidR="00194EF5">
        <w:t>vait</w:t>
      </w:r>
      <w:r>
        <w:t xml:space="preserve"> eu pour conséquence une transmission accrue de l</w:t>
      </w:r>
      <w:r w:rsidR="00346F1B">
        <w:t>’</w:t>
      </w:r>
      <w:r w:rsidRPr="00CC78AE">
        <w:t>élément</w:t>
      </w:r>
      <w:r>
        <w:t xml:space="preserve">, </w:t>
      </w:r>
      <w:r w:rsidRPr="00CC78AE">
        <w:t>principalement</w:t>
      </w:r>
      <w:r w:rsidR="00194EF5">
        <w:t xml:space="preserve"> dans le cadre d</w:t>
      </w:r>
      <w:r w:rsidR="00346F1B">
        <w:t>’</w:t>
      </w:r>
      <w:r w:rsidR="00194EF5">
        <w:t>un apprentissage traditionnel de maître à élève. L</w:t>
      </w:r>
      <w:r w:rsidR="00346F1B">
        <w:t>’</w:t>
      </w:r>
      <w:r w:rsidR="00194EF5">
        <w:t>un des problèmes rencontrés avait été la mort de certains maîtres praticiens qui avait entrainé une perte définitive de pratiques et de connaissances de grande valeur. Un autre problème avait été la baisse du nombre de commandes de bateaux lenj en bois. Certaines mesures avaient</w:t>
      </w:r>
      <w:r w:rsidR="00914BB4">
        <w:t xml:space="preserve"> donc été prises comme, </w:t>
      </w:r>
      <w:r w:rsidR="00914BB4" w:rsidRPr="00914BB4">
        <w:t>par exemple</w:t>
      </w:r>
      <w:r w:rsidR="00914BB4">
        <w:t xml:space="preserve">, une </w:t>
      </w:r>
      <w:r w:rsidR="00194EF5">
        <w:t>baisse des taxes</w:t>
      </w:r>
      <w:r w:rsidR="00914BB4">
        <w:t xml:space="preserve"> pour les maîtres praticiens, leurs assurances et </w:t>
      </w:r>
      <w:r w:rsidR="00194EF5">
        <w:t xml:space="preserve">leurs ateliers de </w:t>
      </w:r>
      <w:r w:rsidR="00194EF5" w:rsidRPr="00194EF5">
        <w:t>réparation</w:t>
      </w:r>
      <w:r w:rsidR="00194EF5">
        <w:t>. Ce</w:t>
      </w:r>
      <w:r w:rsidR="00914BB4">
        <w:t>la avait eu pour conséquence une réduction des</w:t>
      </w:r>
      <w:r w:rsidR="00194EF5">
        <w:t xml:space="preserve"> coûts et une augmentation du nombre des commandes. En outre, un séminaire avait été organisé </w:t>
      </w:r>
      <w:r w:rsidR="00783BBA">
        <w:t xml:space="preserve">au cours duquel des maîtres, des </w:t>
      </w:r>
      <w:r w:rsidR="00783BBA" w:rsidRPr="00783BBA">
        <w:t>détenteurs</w:t>
      </w:r>
      <w:r w:rsidR="00783BBA">
        <w:t xml:space="preserve"> et des praticiens s</w:t>
      </w:r>
      <w:r w:rsidR="00346F1B">
        <w:t>’</w:t>
      </w:r>
      <w:r w:rsidR="00783BBA">
        <w:t xml:space="preserve">étaient rassemblés pour faire part de leurs problèmes, leurs expériences et leurs attentes. Cette </w:t>
      </w:r>
      <w:r w:rsidR="00783BBA" w:rsidRPr="00783BBA">
        <w:t>initiative</w:t>
      </w:r>
      <w:r w:rsidR="00783BBA">
        <w:t xml:space="preserve"> avait incité le conseil municipal de l</w:t>
      </w:r>
      <w:r w:rsidR="00346F1B">
        <w:t>’</w:t>
      </w:r>
      <w:r w:rsidR="00783BBA">
        <w:t xml:space="preserve">un des ports </w:t>
      </w:r>
      <w:r w:rsidR="00783BBA" w:rsidRPr="00783BBA">
        <w:t>historique</w:t>
      </w:r>
      <w:r w:rsidR="00783BBA">
        <w:t>s de l</w:t>
      </w:r>
      <w:r w:rsidR="00346F1B">
        <w:t>’</w:t>
      </w:r>
      <w:r w:rsidR="00783BBA">
        <w:t>Iran, Bandar Kong, à octroyer une maison ancienne à ces communautés afin qu</w:t>
      </w:r>
      <w:r w:rsidR="00346F1B">
        <w:t>’</w:t>
      </w:r>
      <w:r w:rsidR="00783BBA">
        <w:t xml:space="preserve">elles y organisent leurs futures activités. </w:t>
      </w:r>
      <w:r w:rsidR="00783BBA" w:rsidRPr="00783BBA">
        <w:t>En ce qui concerne</w:t>
      </w:r>
      <w:r w:rsidR="00783BBA">
        <w:t xml:space="preserve"> le Naqqāli, une des activités </w:t>
      </w:r>
      <w:r w:rsidR="00914BB4">
        <w:t xml:space="preserve">mises en œuvre </w:t>
      </w:r>
      <w:r w:rsidR="00783BBA">
        <w:t xml:space="preserve">avait consisté à appeler les enfants et les jeunes pratiquant le Naqqāli à envoyer une vidéo de leur </w:t>
      </w:r>
      <w:r w:rsidR="00783BBA" w:rsidRPr="00783BBA">
        <w:t>interprétation</w:t>
      </w:r>
      <w:r w:rsidR="00783BBA">
        <w:t xml:space="preserve"> au Secrétariat du programme, ce qui a</w:t>
      </w:r>
      <w:r w:rsidR="00914BB4">
        <w:t>vait</w:t>
      </w:r>
      <w:r w:rsidR="00783BBA">
        <w:t xml:space="preserve"> suscité un grand intérêt de la part des jeunes, </w:t>
      </w:r>
      <w:r w:rsidR="00783BBA" w:rsidRPr="00783BBA">
        <w:t>en particulier</w:t>
      </w:r>
      <w:r w:rsidR="00783BBA">
        <w:t xml:space="preserve"> les jeunes filles et jeunes femmes qui avaient regardé les vidéos. </w:t>
      </w:r>
      <w:r w:rsidR="00783BBA" w:rsidRPr="00783BBA">
        <w:t>En conséquence</w:t>
      </w:r>
      <w:r w:rsidR="00783BBA">
        <w:t>, le nombre de femmes et de jeunes filles pratiquant le Naqqāli avaient considérablement augmenté, certaines d</w:t>
      </w:r>
      <w:r w:rsidR="00346F1B">
        <w:t>’</w:t>
      </w:r>
      <w:r w:rsidR="00783BBA">
        <w:t xml:space="preserve">entre elles qui avaient atteint un niveau </w:t>
      </w:r>
      <w:r w:rsidR="00783BBA" w:rsidRPr="00783BBA">
        <w:t>professionnel</w:t>
      </w:r>
      <w:r w:rsidR="00783BBA">
        <w:t xml:space="preserve"> avaient été invitées à participer à certaines cérémonies, même à l</w:t>
      </w:r>
      <w:r w:rsidR="00346F1B">
        <w:t>’</w:t>
      </w:r>
      <w:r w:rsidR="00783BBA">
        <w:t xml:space="preserve">étranger. La </w:t>
      </w:r>
      <w:r w:rsidR="00783BBA" w:rsidRPr="00783BBA">
        <w:t>délégation</w:t>
      </w:r>
      <w:r w:rsidR="00783BBA">
        <w:t xml:space="preserve"> espérait que l</w:t>
      </w:r>
      <w:r w:rsidR="00914BB4">
        <w:t>a situation</w:t>
      </w:r>
      <w:r w:rsidR="00783BBA">
        <w:t xml:space="preserve"> des deux éléments s</w:t>
      </w:r>
      <w:r w:rsidR="00346F1B">
        <w:t>’</w:t>
      </w:r>
      <w:r w:rsidR="00783BBA">
        <w:t>améliorerait</w:t>
      </w:r>
      <w:r w:rsidR="00914BB4">
        <w:t xml:space="preserve"> dans un futur très proche afin qu</w:t>
      </w:r>
      <w:r w:rsidR="00346F1B">
        <w:t>’</w:t>
      </w:r>
      <w:r w:rsidR="00914BB4">
        <w:t xml:space="preserve">ils puissent être transférés de la Liste de </w:t>
      </w:r>
      <w:r w:rsidR="00F978E2">
        <w:t>sauvegarde urgente vers la</w:t>
      </w:r>
      <w:r w:rsidR="00EA3015">
        <w:t xml:space="preserve"> Liste représentative.</w:t>
      </w:r>
    </w:p>
    <w:p w14:paraId="4661C724" w14:textId="1007FB47" w:rsidR="00914BB4" w:rsidRPr="00914BB4" w:rsidRDefault="00914BB4" w:rsidP="00AF7860">
      <w:pPr>
        <w:pStyle w:val="Orateurengris"/>
        <w:spacing w:before="120"/>
        <w:ind w:left="709" w:hanging="709"/>
      </w:pPr>
      <w:r w:rsidRPr="00914BB4">
        <w:t xml:space="preserve">Le </w:t>
      </w:r>
      <w:r w:rsidRPr="00914BB4">
        <w:rPr>
          <w:b/>
        </w:rPr>
        <w:t>Président</w:t>
      </w:r>
      <w:r w:rsidRPr="00914BB4">
        <w:t xml:space="preserve"> es</w:t>
      </w:r>
      <w:r>
        <w:t>t ensuite passé au quatrième rapport, soumis par le Mali, sur l</w:t>
      </w:r>
      <w:r w:rsidR="00346F1B">
        <w:t>’</w:t>
      </w:r>
      <w:r w:rsidRPr="00914BB4">
        <w:t>élément</w:t>
      </w:r>
      <w:r>
        <w:t xml:space="preserve"> « </w:t>
      </w:r>
      <w:r w:rsidRPr="00914BB4">
        <w:rPr>
          <w:b/>
        </w:rPr>
        <w:t>La société secrète des Kôrêdugaw, rite de sagesse du Mali </w:t>
      </w:r>
      <w:r w:rsidR="00EA3015">
        <w:t>».</w:t>
      </w:r>
    </w:p>
    <w:p w14:paraId="55CA7D2F" w14:textId="545756E4" w:rsidR="008F3798" w:rsidRPr="008F3798" w:rsidRDefault="008F3798" w:rsidP="00AF7860">
      <w:pPr>
        <w:pStyle w:val="Orateurengris"/>
        <w:spacing w:before="120"/>
        <w:ind w:left="709" w:hanging="709"/>
      </w:pPr>
      <w:r w:rsidRPr="008F3798">
        <w:t xml:space="preserve">Le </w:t>
      </w:r>
      <w:r w:rsidRPr="008F3798">
        <w:rPr>
          <w:b/>
        </w:rPr>
        <w:t>Secrétaire</w:t>
      </w:r>
      <w:r w:rsidRPr="008F3798">
        <w:t xml:space="preserve"> a précisé que le paragraphe 4 proposait de prendre note des efforts déployés par le Mali pour revitaliser cet élément inscrit en 2011, en particulier la création d</w:t>
      </w:r>
      <w:r w:rsidR="00346F1B">
        <w:t>’</w:t>
      </w:r>
      <w:r w:rsidRPr="008F3798">
        <w:t>association</w:t>
      </w:r>
      <w:r w:rsidR="00D124B3">
        <w:t>s</w:t>
      </w:r>
      <w:r w:rsidRPr="008F3798">
        <w:t xml:space="preserve"> de Kôrêdugaw dans tout le pays, ainsi que de programmes </w:t>
      </w:r>
      <w:r>
        <w:t xml:space="preserve">éducatifs à destination des jeunes. Dans le </w:t>
      </w:r>
      <w:r w:rsidRPr="008F3798">
        <w:t>paragraphe</w:t>
      </w:r>
      <w:r>
        <w:t xml:space="preserve"> 5, l</w:t>
      </w:r>
      <w:r w:rsidR="00346F1B">
        <w:t>’</w:t>
      </w:r>
      <w:r>
        <w:t xml:space="preserve">État était invité à développer plus avant la </w:t>
      </w:r>
      <w:r w:rsidRPr="008F3798">
        <w:t>coopération</w:t>
      </w:r>
      <w:r>
        <w:t xml:space="preserve"> existante entre les communautés dans les différe</w:t>
      </w:r>
      <w:r w:rsidR="00D124B3">
        <w:t xml:space="preserve">ntes régions, les associations </w:t>
      </w:r>
      <w:r w:rsidR="00D124B3" w:rsidRPr="008F3798">
        <w:t>Kôrêdugaw</w:t>
      </w:r>
      <w:r w:rsidR="00D124B3">
        <w:t>,</w:t>
      </w:r>
      <w:r>
        <w:t xml:space="preserve"> les </w:t>
      </w:r>
      <w:r w:rsidRPr="008F3798">
        <w:t>autorités</w:t>
      </w:r>
      <w:r>
        <w:t xml:space="preserve"> locales et coutumières, les conseils de village et les personnes ressources afin d</w:t>
      </w:r>
      <w:r w:rsidR="00346F1B">
        <w:t>’</w:t>
      </w:r>
      <w:r>
        <w:t xml:space="preserve">assurer la </w:t>
      </w:r>
      <w:r w:rsidRPr="008F3798">
        <w:t>viabilité</w:t>
      </w:r>
      <w:r>
        <w:t xml:space="preserve"> à long terme de l</w:t>
      </w:r>
      <w:r w:rsidR="00346F1B">
        <w:t>’</w:t>
      </w:r>
      <w:r w:rsidRPr="008F3798">
        <w:t>élément</w:t>
      </w:r>
      <w:r>
        <w:t>. Enfin, le Comité pourrait souhaiter encourager l</w:t>
      </w:r>
      <w:r w:rsidR="00346F1B">
        <w:t>’</w:t>
      </w:r>
      <w:r>
        <w:t xml:space="preserve">État à pallier le manque de ressources financières nécessaires à la mise en œuvre de toutes les activités de </w:t>
      </w:r>
      <w:r w:rsidRPr="008F3798">
        <w:t>sauvegarde</w:t>
      </w:r>
      <w:r>
        <w:t xml:space="preserve"> prévues ; une possibilité pouvant être les </w:t>
      </w:r>
      <w:r w:rsidRPr="008F3798">
        <w:t>mécanisme</w:t>
      </w:r>
      <w:r>
        <w:t xml:space="preserve">s de </w:t>
      </w:r>
      <w:r w:rsidRPr="008F3798">
        <w:t>coopération</w:t>
      </w:r>
      <w:r>
        <w:t xml:space="preserve"> internationale qui étaient donc mentionnés au </w:t>
      </w:r>
      <w:r w:rsidRPr="008F3798">
        <w:t>paragraphe</w:t>
      </w:r>
      <w:r>
        <w:t xml:space="preserve"> 6 comme un possible</w:t>
      </w:r>
      <w:r w:rsidR="00D124B3">
        <w:t xml:space="preserve"> moyen</w:t>
      </w:r>
      <w:r w:rsidR="00EA3015">
        <w:t xml:space="preserve"> de mobiliser des fonds.</w:t>
      </w:r>
    </w:p>
    <w:p w14:paraId="261E4082" w14:textId="764B7A18" w:rsidR="00D124B3" w:rsidRDefault="00D124B3" w:rsidP="00AF7860">
      <w:pPr>
        <w:pStyle w:val="Orateurengris"/>
        <w:spacing w:before="120"/>
        <w:ind w:left="709" w:hanging="709"/>
      </w:pPr>
      <w:r>
        <w:t xml:space="preserve">Le </w:t>
      </w:r>
      <w:r w:rsidRPr="00D124B3">
        <w:rPr>
          <w:b/>
        </w:rPr>
        <w:t>Président</w:t>
      </w:r>
      <w:r>
        <w:t xml:space="preserve"> est ensuite passé à la décision 11.COM 9.b.4, en prenant note d</w:t>
      </w:r>
      <w:r w:rsidR="00346F1B">
        <w:t>’</w:t>
      </w:r>
      <w:r>
        <w:t xml:space="preserve">un </w:t>
      </w:r>
      <w:r w:rsidRPr="00D124B3">
        <w:t>amendement</w:t>
      </w:r>
      <w:r>
        <w:t xml:space="preserve"> au </w:t>
      </w:r>
      <w:r w:rsidRPr="00D124B3">
        <w:t>paragraphe</w:t>
      </w:r>
      <w:r>
        <w:t xml:space="preserve"> 6 soumis par la Turquie. En l</w:t>
      </w:r>
      <w:r w:rsidR="00346F1B">
        <w:t>’</w:t>
      </w:r>
      <w:r>
        <w:t>absence de commentaires ou d</w:t>
      </w:r>
      <w:r w:rsidR="00346F1B">
        <w:t>’</w:t>
      </w:r>
      <w:r>
        <w:t xml:space="preserve">amendements aux </w:t>
      </w:r>
      <w:r w:rsidRPr="00D124B3">
        <w:t>p</w:t>
      </w:r>
      <w:r>
        <w:t>aragraphes 1 à 5, ceux-ci ont été adoptés. L</w:t>
      </w:r>
      <w:r w:rsidR="00346F1B">
        <w:t>’</w:t>
      </w:r>
      <w:r w:rsidRPr="00D124B3">
        <w:t>amendement</w:t>
      </w:r>
      <w:r>
        <w:t xml:space="preserve"> [insertion à la fin du </w:t>
      </w:r>
      <w:r w:rsidRPr="00D124B3">
        <w:t>paragraphe</w:t>
      </w:r>
      <w:r>
        <w:t xml:space="preserve"> 6 de « y compris le Fonds du patrimoine culturel immatériel »] a été déclaré adopté. En l</w:t>
      </w:r>
      <w:r w:rsidR="00346F1B">
        <w:t>’</w:t>
      </w:r>
      <w:r>
        <w:t>absence de commentaires ou d</w:t>
      </w:r>
      <w:r w:rsidR="00346F1B">
        <w:t>’</w:t>
      </w:r>
      <w:r>
        <w:t xml:space="preserve">objections, le </w:t>
      </w:r>
      <w:r w:rsidRPr="00D124B3">
        <w:rPr>
          <w:b/>
        </w:rPr>
        <w:t>Président a déclaré la décision 11.COM 9.b.4 adoptée</w:t>
      </w:r>
      <w:r w:rsidR="00EA3015">
        <w:t>.</w:t>
      </w:r>
    </w:p>
    <w:p w14:paraId="38B097A3" w14:textId="5BCBB968" w:rsidR="004D426D" w:rsidRPr="004D426D" w:rsidRDefault="001C3237" w:rsidP="00AF7860">
      <w:pPr>
        <w:pStyle w:val="Orateurengris"/>
        <w:spacing w:before="120"/>
        <w:ind w:left="709" w:hanging="709"/>
      </w:pPr>
      <w:r w:rsidRPr="001C3237">
        <w:t xml:space="preserve">La délégation du </w:t>
      </w:r>
      <w:r w:rsidRPr="001C3237">
        <w:rPr>
          <w:b/>
        </w:rPr>
        <w:t>Mali</w:t>
      </w:r>
      <w:r w:rsidRPr="001C3237">
        <w:t xml:space="preserve"> </w:t>
      </w:r>
      <w:r w:rsidR="00962B2B">
        <w:t>a remercié le G</w:t>
      </w:r>
      <w:r w:rsidRPr="001C3237">
        <w:t>ouvernement</w:t>
      </w:r>
      <w:r>
        <w:t xml:space="preserve"> de l</w:t>
      </w:r>
      <w:r w:rsidR="00346F1B">
        <w:t>’</w:t>
      </w:r>
      <w:r w:rsidRPr="001C3237">
        <w:t>Éthiopie</w:t>
      </w:r>
      <w:r>
        <w:t xml:space="preserve"> pour la bonne </w:t>
      </w:r>
      <w:r w:rsidRPr="001C3237">
        <w:t>organisation</w:t>
      </w:r>
      <w:r>
        <w:t xml:space="preserve"> de la session et son chaleureux accueil. Elle a </w:t>
      </w:r>
      <w:r w:rsidRPr="001C3237">
        <w:t>également</w:t>
      </w:r>
      <w:r>
        <w:t xml:space="preserve"> remercié le Secrétariat pour son travail et, surtout, pour tous les échanges constructifs pendant la </w:t>
      </w:r>
      <w:r w:rsidRPr="001C3237">
        <w:t>préparation</w:t>
      </w:r>
      <w:r>
        <w:t xml:space="preserve"> du rapport périodique. La </w:t>
      </w:r>
      <w:r w:rsidRPr="001C3237">
        <w:t>délégation</w:t>
      </w:r>
      <w:r>
        <w:t xml:space="preserve"> a </w:t>
      </w:r>
      <w:r w:rsidR="004D426D">
        <w:t xml:space="preserve">évoqué </w:t>
      </w:r>
      <w:r>
        <w:t xml:space="preserve">les inventaires réguliers qui avaient été dressés dans les divers sites culturels, municipalités et régions depuis la </w:t>
      </w:r>
      <w:r w:rsidRPr="001C3237">
        <w:t>ratification</w:t>
      </w:r>
      <w:r>
        <w:t xml:space="preserve"> de la </w:t>
      </w:r>
      <w:r w:rsidRPr="001C3237">
        <w:t>Convention</w:t>
      </w:r>
      <w:r>
        <w:t xml:space="preserve"> en 2005. Ces inventaires qui témoignaient de la richesse, de la diversité et de la vivacité du PCI au Mali, révélaient </w:t>
      </w:r>
      <w:r w:rsidRPr="001C3237">
        <w:t>également</w:t>
      </w:r>
      <w:r>
        <w:t xml:space="preserve"> les difficultés liées à sa transmission. Les éléments inventoriés étaient </w:t>
      </w:r>
      <w:r w:rsidRPr="001C3237">
        <w:t>régulièrement</w:t>
      </w:r>
      <w:r w:rsidR="004D426D">
        <w:t xml:space="preserve"> mis à jour. D</w:t>
      </w:r>
      <w:r w:rsidR="000E4924">
        <w:t xml:space="preserve">ans ce but, il était </w:t>
      </w:r>
      <w:r w:rsidR="000E4924" w:rsidRPr="000E4924">
        <w:t>également</w:t>
      </w:r>
      <w:r w:rsidR="000E4924">
        <w:t xml:space="preserve"> nécessaire de poursuivre le travail de </w:t>
      </w:r>
      <w:r w:rsidR="000E4924" w:rsidRPr="000E4924">
        <w:t xml:space="preserve">sensibilisation </w:t>
      </w:r>
      <w:r w:rsidR="000E4924">
        <w:t xml:space="preserve">et, surtout, de renforcement des capacités des communautés détentrices, les premiers gardiens de ce </w:t>
      </w:r>
      <w:r w:rsidR="000E4924" w:rsidRPr="000E4924">
        <w:t>patrimoine</w:t>
      </w:r>
      <w:r w:rsidR="000E4924">
        <w:t xml:space="preserve"> </w:t>
      </w:r>
      <w:r w:rsidR="000E4924" w:rsidRPr="000E4924">
        <w:t>immatériel</w:t>
      </w:r>
      <w:r w:rsidR="000E4924">
        <w:t xml:space="preserve">. Le Mali avait </w:t>
      </w:r>
      <w:r w:rsidR="000E4924" w:rsidRPr="000E4924">
        <w:t>également</w:t>
      </w:r>
      <w:r w:rsidR="000E4924">
        <w:t xml:space="preserve"> mis en place des comités de gestion au sein des communautés afin de faciliter l</w:t>
      </w:r>
      <w:r w:rsidR="00346F1B">
        <w:t>’</w:t>
      </w:r>
      <w:r w:rsidR="000E4924" w:rsidRPr="000E4924">
        <w:t>évaluation</w:t>
      </w:r>
      <w:r w:rsidR="000E4924">
        <w:t xml:space="preserve"> et la </w:t>
      </w:r>
      <w:r w:rsidR="000E4924" w:rsidRPr="000E4924">
        <w:t>sauvegarde</w:t>
      </w:r>
      <w:r w:rsidR="000E4924">
        <w:t xml:space="preserve"> concertée des éléments inventoriés. En conclusion, la </w:t>
      </w:r>
      <w:r w:rsidR="000E4924" w:rsidRPr="000E4924">
        <w:t>délégation</w:t>
      </w:r>
      <w:r w:rsidR="000E4924">
        <w:t xml:space="preserve"> a souligné qu</w:t>
      </w:r>
      <w:r w:rsidR="00346F1B">
        <w:t>’</w:t>
      </w:r>
      <w:r w:rsidR="000E4924">
        <w:t>il était utile de préparer des rapports périodiques afin d</w:t>
      </w:r>
      <w:r w:rsidR="00346F1B">
        <w:t>’</w:t>
      </w:r>
      <w:r w:rsidR="000E4924">
        <w:t>évaluer et d</w:t>
      </w:r>
      <w:r w:rsidR="00346F1B">
        <w:t>’</w:t>
      </w:r>
      <w:r w:rsidR="000E4924">
        <w:t xml:space="preserve">adapter </w:t>
      </w:r>
      <w:r w:rsidR="004D426D">
        <w:t xml:space="preserve">toutes les mesures de sauvegarde proposées, mais </w:t>
      </w:r>
      <w:r w:rsidR="004D426D" w:rsidRPr="004D426D">
        <w:t>également</w:t>
      </w:r>
      <w:r w:rsidR="004D426D">
        <w:t xml:space="preserve"> afin de renouveler la confiance avec les communautés, de consolider les connaissances et de proposer des projets de </w:t>
      </w:r>
      <w:r w:rsidR="004D426D" w:rsidRPr="004D426D">
        <w:t>sauvegarde</w:t>
      </w:r>
      <w:r w:rsidR="00EA3015">
        <w:t xml:space="preserve"> pour les éléments inventoriés.</w:t>
      </w:r>
    </w:p>
    <w:p w14:paraId="06038504" w14:textId="30E91D80" w:rsidR="007D4755" w:rsidRPr="007D4755" w:rsidRDefault="007D4755" w:rsidP="00AF7860">
      <w:pPr>
        <w:pStyle w:val="Orateurengris"/>
        <w:spacing w:before="120"/>
        <w:ind w:left="709" w:hanging="709"/>
      </w:pPr>
      <w:r w:rsidRPr="007D4755">
        <w:t xml:space="preserve">Le </w:t>
      </w:r>
      <w:r w:rsidRPr="00B7479A">
        <w:rPr>
          <w:b/>
        </w:rPr>
        <w:t>Président</w:t>
      </w:r>
      <w:r w:rsidRPr="007D4755">
        <w:t xml:space="preserve"> </w:t>
      </w:r>
      <w:r>
        <w:t>est ensuite passé au cinquième rapport, soumis par la Mongolie sur « </w:t>
      </w:r>
      <w:r w:rsidRPr="00B7479A">
        <w:rPr>
          <w:b/>
        </w:rPr>
        <w:t>La technique d</w:t>
      </w:r>
      <w:r w:rsidR="00346F1B">
        <w:rPr>
          <w:b/>
        </w:rPr>
        <w:t>’</w:t>
      </w:r>
      <w:r w:rsidRPr="00B7479A">
        <w:rPr>
          <w:b/>
        </w:rPr>
        <w:t xml:space="preserve">interprétation du chant long des joueurs de flûte </w:t>
      </w:r>
      <w:r w:rsidR="00B7479A" w:rsidRPr="00B7479A">
        <w:rPr>
          <w:b/>
        </w:rPr>
        <w:t>limbe – la respiration circulaire</w:t>
      </w:r>
      <w:r w:rsidR="00B7479A">
        <w:t> ».</w:t>
      </w:r>
    </w:p>
    <w:p w14:paraId="26B2F201" w14:textId="136517DD" w:rsidR="00B06D22" w:rsidRPr="00B06D22" w:rsidRDefault="00B06D22" w:rsidP="00AF7860">
      <w:pPr>
        <w:pStyle w:val="Orateurengris"/>
        <w:spacing w:before="120"/>
        <w:ind w:left="709" w:hanging="709"/>
      </w:pPr>
      <w:r>
        <w:t xml:space="preserve">Le </w:t>
      </w:r>
      <w:r w:rsidRPr="00B06D22">
        <w:rPr>
          <w:b/>
        </w:rPr>
        <w:t>Secrétaire</w:t>
      </w:r>
      <w:r>
        <w:t xml:space="preserve"> a suggéré que le Comité souhaite prendre note, au </w:t>
      </w:r>
      <w:r w:rsidRPr="00B06D22">
        <w:t>paragraphe</w:t>
      </w:r>
      <w:r>
        <w:t xml:space="preserve"> 4, des activités de sauvegarde mises en œuvre jusqu</w:t>
      </w:r>
      <w:r w:rsidR="00346F1B">
        <w:t>’</w:t>
      </w:r>
      <w:r>
        <w:t>alors par la Mongolie. Parmi celles-ci, on pouvait citer une étude de terrain sur l</w:t>
      </w:r>
      <w:r w:rsidR="00346F1B">
        <w:t>’</w:t>
      </w:r>
      <w:r>
        <w:t>état de la pratique du limbe et de son répertoi</w:t>
      </w:r>
      <w:r w:rsidR="00FE67F2">
        <w:t xml:space="preserve">re, des cours de formation formels et informels, des réunions scientifiques ainsi que des activités de </w:t>
      </w:r>
      <w:r w:rsidR="00FE67F2" w:rsidRPr="00FE67F2">
        <w:t>sensib</w:t>
      </w:r>
      <w:r w:rsidR="00FE67F2">
        <w:t xml:space="preserve">ilisation et de promotion. Le </w:t>
      </w:r>
      <w:r w:rsidR="00FE67F2" w:rsidRPr="00FE67F2">
        <w:t>paragraphe</w:t>
      </w:r>
      <w:r w:rsidR="00FE67F2">
        <w:t xml:space="preserve"> 5 invitait l</w:t>
      </w:r>
      <w:r w:rsidR="00346F1B">
        <w:t>’</w:t>
      </w:r>
      <w:r w:rsidR="00FE67F2">
        <w:t xml:space="preserve">État à soutenir davantage les </w:t>
      </w:r>
      <w:r w:rsidR="00FE67F2" w:rsidRPr="00FE67F2">
        <w:t>activités</w:t>
      </w:r>
      <w:r w:rsidR="00FE67F2">
        <w:t xml:space="preserve"> de formation, </w:t>
      </w:r>
      <w:r w:rsidR="00FE67F2" w:rsidRPr="00FE67F2">
        <w:t>en particulier</w:t>
      </w:r>
      <w:r w:rsidR="00FE67F2">
        <w:t xml:space="preserve"> celles destinées aux nouveaux interprètes de flûte limbe, à améliorer les méthodes de </w:t>
      </w:r>
      <w:r w:rsidR="00FE67F2" w:rsidRPr="00FE67F2">
        <w:t>recherche</w:t>
      </w:r>
      <w:r w:rsidR="00FE67F2">
        <w:t xml:space="preserve"> pour la </w:t>
      </w:r>
      <w:r w:rsidR="00FE67F2" w:rsidRPr="00FE67F2">
        <w:t>sauvegarde</w:t>
      </w:r>
      <w:r w:rsidR="00FE67F2">
        <w:t xml:space="preserve"> de cet élément et à coopérer avec toutes les </w:t>
      </w:r>
      <w:r w:rsidR="00FE67F2" w:rsidRPr="00FE67F2">
        <w:t>parties prenantes</w:t>
      </w:r>
      <w:r w:rsidR="00FE67F2">
        <w:t xml:space="preserve"> concernées dans les efforts de </w:t>
      </w:r>
      <w:r w:rsidR="00FE67F2" w:rsidRPr="00FE67F2">
        <w:t>sauvegarde</w:t>
      </w:r>
      <w:r w:rsidR="00FE67F2">
        <w:t xml:space="preserve">. Enfin, dans le </w:t>
      </w:r>
      <w:r w:rsidR="00FE67F2" w:rsidRPr="00FE67F2">
        <w:t>paragraphe</w:t>
      </w:r>
      <w:r w:rsidR="00FE67F2">
        <w:t xml:space="preserve"> 6, il était proposé au Comité d</w:t>
      </w:r>
      <w:r w:rsidR="00346F1B">
        <w:t>’</w:t>
      </w:r>
      <w:r w:rsidR="00FE67F2">
        <w:t>encourager l</w:t>
      </w:r>
      <w:r w:rsidR="00346F1B">
        <w:t>’</w:t>
      </w:r>
      <w:r w:rsidR="00FE67F2">
        <w:t xml:space="preserve">État à poursuivre son </w:t>
      </w:r>
      <w:r w:rsidR="00FE67F2" w:rsidRPr="00FE67F2">
        <w:t>engagement</w:t>
      </w:r>
      <w:r w:rsidR="00FE67F2">
        <w:t xml:space="preserve"> en faveur de la </w:t>
      </w:r>
      <w:r w:rsidR="00FE67F2" w:rsidRPr="00FE67F2">
        <w:t>sauvegarde</w:t>
      </w:r>
      <w:r w:rsidR="00FE67F2">
        <w:t xml:space="preserve"> de cet </w:t>
      </w:r>
      <w:r w:rsidR="00FE67F2" w:rsidRPr="00FE67F2">
        <w:t>élément</w:t>
      </w:r>
      <w:r w:rsidR="00FE67F2">
        <w:t xml:space="preserve"> vulnérable, </w:t>
      </w:r>
      <w:r w:rsidR="00FE67F2" w:rsidRPr="00FE67F2">
        <w:t>éventuellement</w:t>
      </w:r>
      <w:r w:rsidR="00FE67F2">
        <w:t xml:space="preserve"> en garantissant un soutien financier stable </w:t>
      </w:r>
      <w:r w:rsidR="00EA3015">
        <w:t>à ses praticiens.</w:t>
      </w:r>
    </w:p>
    <w:p w14:paraId="28F68B4D" w14:textId="036BE1A5" w:rsidR="00FE67F2" w:rsidRDefault="00FE67F2" w:rsidP="00AF7860">
      <w:pPr>
        <w:pStyle w:val="Orateurengris"/>
        <w:spacing w:before="120"/>
        <w:ind w:left="709" w:hanging="709"/>
      </w:pPr>
      <w:r>
        <w:t xml:space="preserve">Le </w:t>
      </w:r>
      <w:r w:rsidRPr="006B6F51">
        <w:rPr>
          <w:b/>
        </w:rPr>
        <w:t>Président</w:t>
      </w:r>
      <w:r>
        <w:t xml:space="preserve"> est ensuite passé au projet de décision </w:t>
      </w:r>
      <w:r w:rsidR="006B6F51">
        <w:t>5 et, en l</w:t>
      </w:r>
      <w:r w:rsidR="00346F1B">
        <w:t>’</w:t>
      </w:r>
      <w:r w:rsidR="006B6F51">
        <w:t>absence de commentaires ou d</w:t>
      </w:r>
      <w:r w:rsidR="00346F1B">
        <w:t>’</w:t>
      </w:r>
      <w:r w:rsidR="006B6F51">
        <w:t xml:space="preserve">amendements, </w:t>
      </w:r>
      <w:r w:rsidR="006B6F51" w:rsidRPr="006B6F51">
        <w:rPr>
          <w:b/>
        </w:rPr>
        <w:t>il a déclaré la décision 11.COM 9.b.5 adoptée</w:t>
      </w:r>
      <w:r w:rsidR="00EA3015">
        <w:t>.</w:t>
      </w:r>
    </w:p>
    <w:p w14:paraId="2FFE32AB" w14:textId="53D8C315" w:rsidR="00D47441" w:rsidRPr="00D47441" w:rsidRDefault="006B6F51" w:rsidP="00AF7860">
      <w:pPr>
        <w:pStyle w:val="Orateurengris"/>
        <w:spacing w:before="120"/>
        <w:ind w:left="709" w:hanging="709"/>
      </w:pPr>
      <w:r>
        <w:t xml:space="preserve">La </w:t>
      </w:r>
      <w:r w:rsidRPr="006B6F51">
        <w:t>délégation</w:t>
      </w:r>
      <w:r>
        <w:t xml:space="preserve"> de la </w:t>
      </w:r>
      <w:r w:rsidRPr="00D47441">
        <w:rPr>
          <w:b/>
        </w:rPr>
        <w:t>Mongolie</w:t>
      </w:r>
      <w:r>
        <w:t xml:space="preserve"> a profité de l</w:t>
      </w:r>
      <w:r w:rsidR="00346F1B">
        <w:t>’</w:t>
      </w:r>
      <w:r>
        <w:t xml:space="preserve">occasion qui lui était offerte pour exprimer à nouveau sa </w:t>
      </w:r>
      <w:r w:rsidRPr="006B6F51">
        <w:t>reconnaissance</w:t>
      </w:r>
      <w:r>
        <w:t xml:space="preserve"> à l</w:t>
      </w:r>
      <w:r w:rsidR="00346F1B">
        <w:t>’</w:t>
      </w:r>
      <w:r w:rsidRPr="006B6F51">
        <w:t>Éthiopie</w:t>
      </w:r>
      <w:r>
        <w:t xml:space="preserve"> et au Secrétariat pour leur excellent travail. Elle avait pris note de l</w:t>
      </w:r>
      <w:r w:rsidR="00346F1B">
        <w:t>’</w:t>
      </w:r>
      <w:r>
        <w:t xml:space="preserve">invitation du Comité à élaborer des méthodes de </w:t>
      </w:r>
      <w:r w:rsidRPr="006B6F51">
        <w:t>sauvegarde</w:t>
      </w:r>
      <w:r>
        <w:t xml:space="preserve"> améliorées, </w:t>
      </w:r>
      <w:r w:rsidRPr="006B6F51">
        <w:t>en particulier</w:t>
      </w:r>
      <w:r>
        <w:t xml:space="preserve"> s</w:t>
      </w:r>
      <w:r w:rsidR="00346F1B">
        <w:t>’</w:t>
      </w:r>
      <w:r>
        <w:t>agissant de l</w:t>
      </w:r>
      <w:r w:rsidR="00346F1B">
        <w:t>’</w:t>
      </w:r>
      <w:r w:rsidRPr="006B6F51">
        <w:t>éducation</w:t>
      </w:r>
      <w:r>
        <w:t xml:space="preserve"> formelle et non formelle et des processus de transmission. La Mongolie avait </w:t>
      </w:r>
      <w:r w:rsidRPr="006B6F51">
        <w:t>également</w:t>
      </w:r>
      <w:r>
        <w:t xml:space="preserve"> déployé des efforts pour établir les fondations solides de la future </w:t>
      </w:r>
      <w:r w:rsidRPr="006B6F51">
        <w:t>viabilité</w:t>
      </w:r>
      <w:r>
        <w:t xml:space="preserve"> de l</w:t>
      </w:r>
      <w:r w:rsidR="00346F1B">
        <w:t>’</w:t>
      </w:r>
      <w:r w:rsidRPr="006B6F51">
        <w:t>élément</w:t>
      </w:r>
      <w:r>
        <w:t>. « </w:t>
      </w:r>
      <w:r w:rsidRPr="00B7479A">
        <w:rPr>
          <w:b/>
        </w:rPr>
        <w:t>La technique d</w:t>
      </w:r>
      <w:r w:rsidR="00346F1B">
        <w:rPr>
          <w:b/>
        </w:rPr>
        <w:t>’</w:t>
      </w:r>
      <w:r w:rsidRPr="00B7479A">
        <w:rPr>
          <w:b/>
        </w:rPr>
        <w:t>interprétation du chant long des joueurs de flûte limbe – la respiration circulaire</w:t>
      </w:r>
      <w:r>
        <w:t xml:space="preserve"> » avait été inscrite sur la Liste de sauvegarde urgente en 2011. Comme on pouvait le conclure à la lecture du rapport </w:t>
      </w:r>
      <w:r w:rsidRPr="006B6F51">
        <w:t>périodique</w:t>
      </w:r>
      <w:r>
        <w:t xml:space="preserve">, la Mongolie devait encore </w:t>
      </w:r>
      <w:r w:rsidR="00DB0E67">
        <w:t xml:space="preserve">consolider et fiabiliser le </w:t>
      </w:r>
      <w:r>
        <w:t xml:space="preserve">soutien financier </w:t>
      </w:r>
      <w:r w:rsidR="00DB0E67">
        <w:t xml:space="preserve">alloué aux </w:t>
      </w:r>
      <w:r>
        <w:t>praticiens de l</w:t>
      </w:r>
      <w:r w:rsidR="00346F1B">
        <w:t>’</w:t>
      </w:r>
      <w:r w:rsidRPr="006B6F51">
        <w:t>élément</w:t>
      </w:r>
      <w:r>
        <w:t xml:space="preserve"> et </w:t>
      </w:r>
      <w:r w:rsidR="00DB0E67">
        <w:t xml:space="preserve">à </w:t>
      </w:r>
      <w:r>
        <w:t xml:space="preserve">des activités spécifiques de sauvegarde, et ce, afin de garantir sa </w:t>
      </w:r>
      <w:r w:rsidRPr="006B6F51">
        <w:t>viabilité</w:t>
      </w:r>
      <w:r>
        <w:t xml:space="preserve"> à venir et la </w:t>
      </w:r>
      <w:r w:rsidRPr="006B6F51">
        <w:t>sensib</w:t>
      </w:r>
      <w:r>
        <w:t xml:space="preserve">ilisation des populations. À cette fin, la </w:t>
      </w:r>
      <w:r w:rsidRPr="006B6F51">
        <w:t>délégation</w:t>
      </w:r>
      <w:r>
        <w:t xml:space="preserve"> a informé le Comité qu</w:t>
      </w:r>
      <w:r w:rsidR="00346F1B">
        <w:t>’</w:t>
      </w:r>
      <w:r>
        <w:t>elle avait l</w:t>
      </w:r>
      <w:r w:rsidR="00346F1B">
        <w:t>’</w:t>
      </w:r>
      <w:r>
        <w:t>intention de faire, très prochainement, une demande d</w:t>
      </w:r>
      <w:r w:rsidR="00346F1B">
        <w:t>’</w:t>
      </w:r>
      <w:r>
        <w:t xml:space="preserve">assistance internationale. </w:t>
      </w:r>
      <w:r w:rsidR="00D47441">
        <w:t xml:space="preserve">La </w:t>
      </w:r>
      <w:r w:rsidR="00D47441" w:rsidRPr="00D47441">
        <w:t>délégation</w:t>
      </w:r>
      <w:r w:rsidR="00D47441">
        <w:t xml:space="preserve"> a </w:t>
      </w:r>
      <w:r w:rsidR="00DB0E67">
        <w:t>fait mention d</w:t>
      </w:r>
      <w:r w:rsidR="00D47441">
        <w:t>es</w:t>
      </w:r>
      <w:r w:rsidR="00DB0E67">
        <w:t xml:space="preserve"> ONG concernées par l</w:t>
      </w:r>
      <w:r w:rsidR="00346F1B">
        <w:t>’</w:t>
      </w:r>
      <w:r w:rsidR="00DB0E67">
        <w:t>élément, d</w:t>
      </w:r>
      <w:r w:rsidR="00D47441">
        <w:t xml:space="preserve">es </w:t>
      </w:r>
      <w:r w:rsidR="00D47441" w:rsidRPr="00D47441">
        <w:t>détenteurs</w:t>
      </w:r>
      <w:r w:rsidR="00DB0E67">
        <w:t xml:space="preserve"> et des communautés de</w:t>
      </w:r>
      <w:r w:rsidR="00D47441">
        <w:t xml:space="preserve"> Mongolie qui avaient participé à la </w:t>
      </w:r>
      <w:r w:rsidR="00D47441" w:rsidRPr="00D47441">
        <w:t>préparation</w:t>
      </w:r>
      <w:r w:rsidR="00D47441">
        <w:t xml:space="preserve"> du rapport et avait rendu sa </w:t>
      </w:r>
      <w:r w:rsidR="00D47441" w:rsidRPr="00D47441">
        <w:t>réalisation</w:t>
      </w:r>
      <w:r w:rsidR="00D47441">
        <w:t xml:space="preserve"> possible. La </w:t>
      </w:r>
      <w:r w:rsidR="00D47441" w:rsidRPr="00D47441">
        <w:t>délégation</w:t>
      </w:r>
      <w:r w:rsidR="00D47441">
        <w:t xml:space="preserve"> a conclu son </w:t>
      </w:r>
      <w:r w:rsidR="00D47441" w:rsidRPr="00D47441">
        <w:t>intervention</w:t>
      </w:r>
      <w:r w:rsidR="00D47441">
        <w:t xml:space="preserve"> en appelant tous les États parties à s</w:t>
      </w:r>
      <w:r w:rsidR="00346F1B">
        <w:t>’</w:t>
      </w:r>
      <w:r w:rsidR="00D47441">
        <w:t xml:space="preserve">efforcer de soumettre leurs rapports périodiques à temps pour permettre une mise en œuvre efficace de la </w:t>
      </w:r>
      <w:r w:rsidR="00D47441" w:rsidRPr="00D47441">
        <w:t>Convention</w:t>
      </w:r>
      <w:r w:rsidR="00D47441">
        <w:t xml:space="preserve">, </w:t>
      </w:r>
      <w:r w:rsidR="00D47441" w:rsidRPr="00D47441">
        <w:t>en particulier</w:t>
      </w:r>
      <w:r w:rsidR="00D47441">
        <w:t xml:space="preserve"> </w:t>
      </w:r>
      <w:r w:rsidR="00DB0E67">
        <w:t>s</w:t>
      </w:r>
      <w:r w:rsidR="00346F1B">
        <w:t>’</w:t>
      </w:r>
      <w:r w:rsidR="00DB0E67">
        <w:t xml:space="preserve">agissant </w:t>
      </w:r>
      <w:r w:rsidR="00F978E2">
        <w:t>les éléments inscrits sur la</w:t>
      </w:r>
      <w:r w:rsidR="00D47441">
        <w:t xml:space="preserve"> Liste de sauvegarde urgente. Elle a </w:t>
      </w:r>
      <w:r w:rsidR="00D47441" w:rsidRPr="00D47441">
        <w:t>également</w:t>
      </w:r>
      <w:r w:rsidR="00D47441">
        <w:t xml:space="preserve"> encouragé le Secrétariat à créer et mettre en place, dès que possible, un mécanisme de renforcement des capacités consacré à l</w:t>
      </w:r>
      <w:r w:rsidR="00346F1B">
        <w:t>’</w:t>
      </w:r>
      <w:r w:rsidR="00D47441">
        <w:t>ex</w:t>
      </w:r>
      <w:r w:rsidR="00EA3015">
        <w:t>ercice de rapports périodiques.</w:t>
      </w:r>
    </w:p>
    <w:p w14:paraId="31A2E1C6" w14:textId="29E50BC9" w:rsidR="00DB0E67" w:rsidRDefault="00DB0E67" w:rsidP="00AF7860">
      <w:pPr>
        <w:pStyle w:val="Orateurengris"/>
        <w:spacing w:before="120"/>
        <w:ind w:left="709" w:hanging="709"/>
      </w:pPr>
      <w:r>
        <w:t xml:space="preserve">Le </w:t>
      </w:r>
      <w:r w:rsidRPr="00DB0E67">
        <w:rPr>
          <w:b/>
        </w:rPr>
        <w:t>Président</w:t>
      </w:r>
      <w:r>
        <w:t xml:space="preserve"> est ensuite passé au sixième et dernier rapport, soumis par les Émirats arabes unis, sur l</w:t>
      </w:r>
      <w:r w:rsidR="00346F1B">
        <w:t>’</w:t>
      </w:r>
      <w:r w:rsidRPr="00DB0E67">
        <w:t>élément</w:t>
      </w:r>
      <w:r>
        <w:t xml:space="preserve"> « </w:t>
      </w:r>
      <w:r w:rsidRPr="00DB0E67">
        <w:rPr>
          <w:b/>
        </w:rPr>
        <w:t>Al Sadu, tissage traditionnel dans les Émirats arabes unis </w:t>
      </w:r>
      <w:r>
        <w:t>».</w:t>
      </w:r>
    </w:p>
    <w:p w14:paraId="0E92DD06" w14:textId="4C3CF3C2" w:rsidR="004B5D99" w:rsidRPr="004B5D99" w:rsidRDefault="00DB0E67" w:rsidP="00AF7860">
      <w:pPr>
        <w:pStyle w:val="Orateurengris"/>
        <w:spacing w:before="120"/>
        <w:ind w:left="709" w:hanging="709"/>
      </w:pPr>
      <w:r>
        <w:t xml:space="preserve">Le </w:t>
      </w:r>
      <w:r w:rsidRPr="00DB0E67">
        <w:rPr>
          <w:b/>
        </w:rPr>
        <w:t>Secrétaire</w:t>
      </w:r>
      <w:r>
        <w:t xml:space="preserve"> a </w:t>
      </w:r>
      <w:r w:rsidR="004B5D99">
        <w:t xml:space="preserve">souligné </w:t>
      </w:r>
      <w:r>
        <w:t xml:space="preserve">que le </w:t>
      </w:r>
      <w:r w:rsidRPr="00DB0E67">
        <w:t>paragraphe</w:t>
      </w:r>
      <w:r>
        <w:t xml:space="preserve"> 4 reconnaissait les efforts déployés jusqu</w:t>
      </w:r>
      <w:r w:rsidR="00346F1B">
        <w:t>’</w:t>
      </w:r>
      <w:r>
        <w:t>alors, et qu</w:t>
      </w:r>
      <w:r w:rsidR="00346F1B">
        <w:t>’</w:t>
      </w:r>
      <w:r>
        <w:t xml:space="preserve">il mettait tout </w:t>
      </w:r>
      <w:r w:rsidRPr="00DB0E67">
        <w:t>particulièrement</w:t>
      </w:r>
      <w:r>
        <w:t xml:space="preserve"> l</w:t>
      </w:r>
      <w:r w:rsidR="00346F1B">
        <w:t>’</w:t>
      </w:r>
      <w:r>
        <w:t xml:space="preserve">accent sur le renforcement de la </w:t>
      </w:r>
      <w:r w:rsidRPr="00DB0E67">
        <w:t xml:space="preserve">transmission </w:t>
      </w:r>
      <w:r>
        <w:t>intergénérationnelle, l</w:t>
      </w:r>
      <w:r w:rsidR="00346F1B">
        <w:t>’</w:t>
      </w:r>
      <w:r w:rsidRPr="00DB0E67">
        <w:t>amélioration</w:t>
      </w:r>
      <w:r>
        <w:t xml:space="preserve"> de la situation </w:t>
      </w:r>
      <w:r w:rsidRPr="00DB0E67">
        <w:t xml:space="preserve">économique des détenteurs et </w:t>
      </w:r>
      <w:r>
        <w:t>la création d</w:t>
      </w:r>
      <w:r w:rsidR="00346F1B">
        <w:t>’</w:t>
      </w:r>
      <w:r>
        <w:t>opportunités génératrice</w:t>
      </w:r>
      <w:r w:rsidR="004B5D99">
        <w:t>s</w:t>
      </w:r>
      <w:r>
        <w:t xml:space="preserve"> de revenus</w:t>
      </w:r>
      <w:r w:rsidR="004B5D99">
        <w:t xml:space="preserve">. Le </w:t>
      </w:r>
      <w:r w:rsidR="004B5D99" w:rsidRPr="004B5D99">
        <w:t>paragraphe</w:t>
      </w:r>
      <w:r w:rsidR="004B5D99">
        <w:t xml:space="preserve"> 5 suggérait au Comité d</w:t>
      </w:r>
      <w:r w:rsidR="00346F1B">
        <w:t>’</w:t>
      </w:r>
      <w:r w:rsidR="004B5D99">
        <w:t>encourager l</w:t>
      </w:r>
      <w:r w:rsidR="00346F1B">
        <w:t>’</w:t>
      </w:r>
      <w:r w:rsidR="004B5D99">
        <w:t xml:space="preserve">État à poursuivre ses </w:t>
      </w:r>
      <w:r w:rsidR="004B5D99" w:rsidRPr="004B5D99">
        <w:t>activités</w:t>
      </w:r>
      <w:r w:rsidR="004B5D99">
        <w:t>. Enfin, le Comité pourrait souhaiter encourager l</w:t>
      </w:r>
      <w:r w:rsidR="00346F1B">
        <w:t>’</w:t>
      </w:r>
      <w:r w:rsidR="004B5D99">
        <w:t xml:space="preserve">État à poursuivre sa </w:t>
      </w:r>
      <w:r w:rsidR="004B5D99" w:rsidRPr="004B5D99">
        <w:t>collaboration</w:t>
      </w:r>
      <w:r w:rsidR="004B5D99">
        <w:t xml:space="preserve"> avec toutes les </w:t>
      </w:r>
      <w:r w:rsidR="004B5D99" w:rsidRPr="004B5D99">
        <w:t>parties prenantes</w:t>
      </w:r>
      <w:r w:rsidR="004B5D99">
        <w:t xml:space="preserve"> concernées par la </w:t>
      </w:r>
      <w:r w:rsidR="004B5D99" w:rsidRPr="004B5D99">
        <w:t>sauvegarde</w:t>
      </w:r>
      <w:r w:rsidR="004B5D99">
        <w:t xml:space="preserve"> de l</w:t>
      </w:r>
      <w:r w:rsidR="00346F1B">
        <w:t>’</w:t>
      </w:r>
      <w:r w:rsidR="004B5D99" w:rsidRPr="004B5D99">
        <w:t>élément</w:t>
      </w:r>
      <w:r w:rsidR="004B5D99">
        <w:t>, développer ses activités dans les sept émirats et mettre en œuvre l</w:t>
      </w:r>
      <w:r w:rsidR="00346F1B">
        <w:t>’</w:t>
      </w:r>
      <w:r w:rsidR="004B5D99">
        <w:t xml:space="preserve">intégralité des activités planifiées, comme, </w:t>
      </w:r>
      <w:r w:rsidR="004B5D99" w:rsidRPr="004B5D99">
        <w:t>par exemple</w:t>
      </w:r>
      <w:r w:rsidR="004B5D99">
        <w:t xml:space="preserve">, la </w:t>
      </w:r>
      <w:r w:rsidR="004B5D99" w:rsidRPr="004B5D99">
        <w:t>construction</w:t>
      </w:r>
      <w:r w:rsidR="004B5D99">
        <w:t xml:space="preserve"> d</w:t>
      </w:r>
      <w:r w:rsidR="00346F1B">
        <w:t>’</w:t>
      </w:r>
      <w:r w:rsidR="00EA3015">
        <w:t>une Maison Al Sadu.</w:t>
      </w:r>
    </w:p>
    <w:p w14:paraId="0D2975BE" w14:textId="25F0B0C6" w:rsidR="004B5D99" w:rsidRDefault="004B5D99" w:rsidP="00AF7860">
      <w:pPr>
        <w:pStyle w:val="Orateurengris"/>
        <w:spacing w:before="120"/>
        <w:ind w:left="709" w:hanging="709"/>
      </w:pPr>
      <w:r>
        <w:t xml:space="preserve">Le </w:t>
      </w:r>
      <w:r w:rsidRPr="004B5D99">
        <w:rPr>
          <w:b/>
        </w:rPr>
        <w:t>Président</w:t>
      </w:r>
      <w:r>
        <w:t xml:space="preserve"> est ensuite passé au projet de décision et, en l</w:t>
      </w:r>
      <w:r w:rsidR="00346F1B">
        <w:t>’</w:t>
      </w:r>
      <w:r>
        <w:t>absence de commentaires ou d</w:t>
      </w:r>
      <w:r w:rsidR="00346F1B">
        <w:t>’</w:t>
      </w:r>
      <w:r>
        <w:t xml:space="preserve">amendements, </w:t>
      </w:r>
      <w:r w:rsidRPr="004B5D99">
        <w:rPr>
          <w:b/>
        </w:rPr>
        <w:t>il a déclaré la décision 11.COM 9.b.6 adoptée</w:t>
      </w:r>
      <w:r w:rsidR="00EA3015">
        <w:t>.</w:t>
      </w:r>
    </w:p>
    <w:p w14:paraId="7C8C8780" w14:textId="2FCBFF2A" w:rsidR="006B257A" w:rsidRPr="006B257A" w:rsidRDefault="004B5D99" w:rsidP="00AF7860">
      <w:pPr>
        <w:pStyle w:val="Orateurengris"/>
        <w:spacing w:before="120"/>
        <w:ind w:left="709" w:hanging="709"/>
      </w:pPr>
      <w:r w:rsidRPr="004B5D99">
        <w:t>La délégation</w:t>
      </w:r>
      <w:r>
        <w:t xml:space="preserve"> des </w:t>
      </w:r>
      <w:r w:rsidRPr="00852786">
        <w:rPr>
          <w:b/>
        </w:rPr>
        <w:t>Émirats arabes unis</w:t>
      </w:r>
      <w:r>
        <w:t xml:space="preserve"> </w:t>
      </w:r>
      <w:r w:rsidR="00852786">
        <w:t>a décrit Al Sadu co</w:t>
      </w:r>
      <w:r w:rsidR="00721A1C">
        <w:t>mme un artisanat traditionnel du</w:t>
      </w:r>
      <w:r w:rsidR="00852786">
        <w:t xml:space="preserve"> tissage pratiqué par les femmes bédouines qui utilisaient la laine des moutons, des chèvres et des chameaux pour réaliser des tissus d</w:t>
      </w:r>
      <w:r w:rsidR="00346F1B">
        <w:t>’</w:t>
      </w:r>
      <w:r w:rsidR="00852786">
        <w:t>ameublement pour leurs maisons</w:t>
      </w:r>
      <w:r w:rsidR="00D46448">
        <w:t xml:space="preserve"> ainsi que des accessoires pour</w:t>
      </w:r>
      <w:r w:rsidR="00852786">
        <w:t xml:space="preserve"> les chameaux et les chevaux. Les chercheurs, les communautés concernées et les </w:t>
      </w:r>
      <w:r w:rsidR="00852786" w:rsidRPr="00852786">
        <w:t>détenteurs</w:t>
      </w:r>
      <w:r w:rsidR="00852786">
        <w:t xml:space="preserve"> avaient noté que la tradition Al Sadu était en péril, leur jugement se </w:t>
      </w:r>
      <w:r w:rsidR="00721A1C">
        <w:t xml:space="preserve">fondant </w:t>
      </w:r>
      <w:r w:rsidR="00852786">
        <w:t>sur le fait que la majorité des habiles détentrices était des femmes âgées de 60 à 80 ans et que leur nombre décroissait si rapidement qu</w:t>
      </w:r>
      <w:r w:rsidR="00346F1B">
        <w:t>’</w:t>
      </w:r>
      <w:r w:rsidR="00852786">
        <w:t xml:space="preserve">elles ne seraient bientôt plus en mesure de transmettre ce </w:t>
      </w:r>
      <w:r w:rsidR="00852786" w:rsidRPr="00852786">
        <w:t>patrimoine</w:t>
      </w:r>
      <w:r w:rsidR="00852786">
        <w:t xml:space="preserve"> aux nouvelles générations. Les Émirats arabes unis avaient présenté la </w:t>
      </w:r>
      <w:r w:rsidR="00852786" w:rsidRPr="00852786">
        <w:t>candidature</w:t>
      </w:r>
      <w:r w:rsidR="00852786">
        <w:t xml:space="preserve"> des compétences liées </w:t>
      </w:r>
      <w:r w:rsidR="00CF4CFB">
        <w:t>au tissage traditionnel Al Sadu à l</w:t>
      </w:r>
      <w:r w:rsidR="00346F1B">
        <w:t>’</w:t>
      </w:r>
      <w:r w:rsidR="00CF4CFB" w:rsidRPr="00CF4CFB">
        <w:t>inscription</w:t>
      </w:r>
      <w:r w:rsidR="00CF4CFB">
        <w:t xml:space="preserve"> sur la Liste de sauvegarde urgente en 2011, en mettant en œuvre d</w:t>
      </w:r>
      <w:r w:rsidR="00346F1B">
        <w:t>’</w:t>
      </w:r>
      <w:r w:rsidR="00CF4CFB">
        <w:t xml:space="preserve">ambitieuses mesures de sauvegarde. Après quatre années de mise en œuvre, et afin de préparer ce rapport périodique en 2015, un organe de </w:t>
      </w:r>
      <w:r w:rsidR="00CF4CFB" w:rsidRPr="00CF4CFB">
        <w:t>recherche</w:t>
      </w:r>
      <w:r w:rsidR="00CF4CFB">
        <w:t xml:space="preserve"> indépendant avait été désigné pour évaluer la situation du Al Sadu et, </w:t>
      </w:r>
      <w:r w:rsidR="00CF4CFB" w:rsidRPr="00CF4CFB">
        <w:t>en particulier</w:t>
      </w:r>
      <w:r w:rsidR="00CF4CFB">
        <w:t>, examiner la démographi</w:t>
      </w:r>
      <w:r w:rsidR="00537329">
        <w:t xml:space="preserve">e des praticiennes du Al Sadu. </w:t>
      </w:r>
      <w:r w:rsidR="00CF4CFB">
        <w:t xml:space="preserve">Le rapport avait </w:t>
      </w:r>
      <w:r w:rsidR="00721A1C">
        <w:t xml:space="preserve">fait </w:t>
      </w:r>
      <w:r w:rsidR="00CF4CFB">
        <w:t>l</w:t>
      </w:r>
      <w:r w:rsidR="00346F1B">
        <w:t>’</w:t>
      </w:r>
      <w:r w:rsidR="00CF4CFB">
        <w:t xml:space="preserve">objet de discussions très poussées entre les représentants de huit sociétés civiles, les ONG et 59 </w:t>
      </w:r>
      <w:r w:rsidR="00CF4CFB" w:rsidRPr="00CF4CFB">
        <w:t>détenteurs</w:t>
      </w:r>
      <w:r w:rsidR="00CF4CFB">
        <w:t xml:space="preserve"> à titre individuel qui avaient participé à la </w:t>
      </w:r>
      <w:r w:rsidR="00CF4CFB" w:rsidRPr="00CF4CFB">
        <w:t>préparation</w:t>
      </w:r>
      <w:r w:rsidR="00CF4CFB">
        <w:t xml:space="preserve"> du rapport </w:t>
      </w:r>
      <w:r w:rsidR="00CF4CFB" w:rsidRPr="00CF4CFB">
        <w:t>périodique</w:t>
      </w:r>
      <w:r w:rsidR="00CF4CFB">
        <w:t xml:space="preserve"> dans le cadre de deux ateliers et d</w:t>
      </w:r>
      <w:r w:rsidR="00346F1B">
        <w:t>’</w:t>
      </w:r>
      <w:r w:rsidR="00CF4CFB">
        <w:t>une série de réunions. Les conclusions du rapport avaient révélé que l</w:t>
      </w:r>
      <w:r w:rsidR="00346F1B">
        <w:t>’</w:t>
      </w:r>
      <w:r w:rsidR="00CF4CFB" w:rsidRPr="00CF4CFB">
        <w:t>inscription</w:t>
      </w:r>
      <w:r w:rsidR="00CF4CFB">
        <w:t xml:space="preserve"> avait eu un impact positif sur la </w:t>
      </w:r>
      <w:r w:rsidR="00CF4CFB" w:rsidRPr="00CF4CFB">
        <w:t xml:space="preserve">sensibilisation </w:t>
      </w:r>
      <w:r w:rsidR="00CF4CFB">
        <w:t>des individus et de l</w:t>
      </w:r>
      <w:r w:rsidR="00346F1B">
        <w:t>’</w:t>
      </w:r>
      <w:r w:rsidR="00CF4CFB">
        <w:t xml:space="preserve">État à la </w:t>
      </w:r>
      <w:r w:rsidR="00CF4CFB" w:rsidRPr="00CF4CFB">
        <w:t>sauvegarde</w:t>
      </w:r>
      <w:r w:rsidR="00CF4CFB">
        <w:t xml:space="preserve"> du Al Sadu, assurant ainsi sa </w:t>
      </w:r>
      <w:r w:rsidR="00CF4CFB" w:rsidRPr="00CF4CFB">
        <w:t xml:space="preserve">transmission </w:t>
      </w:r>
      <w:r w:rsidR="00CF4CFB">
        <w:t xml:space="preserve">aux générations futures. La </w:t>
      </w:r>
      <w:r w:rsidR="00CF4CFB" w:rsidRPr="00CF4CFB">
        <w:t>délégation</w:t>
      </w:r>
      <w:r w:rsidR="00CF4CFB">
        <w:t xml:space="preserve"> </w:t>
      </w:r>
      <w:r w:rsidR="006B257A">
        <w:t xml:space="preserve">estimait </w:t>
      </w:r>
      <w:r w:rsidR="00CF4CFB">
        <w:t>que l</w:t>
      </w:r>
      <w:r w:rsidR="00346F1B">
        <w:t>’</w:t>
      </w:r>
      <w:r w:rsidR="00CF4CFB" w:rsidRPr="00CF4CFB">
        <w:t>élément</w:t>
      </w:r>
      <w:r w:rsidR="00CF4CFB">
        <w:t xml:space="preserve"> avait atteint un </w:t>
      </w:r>
      <w:r w:rsidR="006B257A">
        <w:t>stade qui lui permettai</w:t>
      </w:r>
      <w:r w:rsidR="00CF4CFB">
        <w:t>t de passer au niveau supérieur, à savoir l</w:t>
      </w:r>
      <w:r w:rsidR="00346F1B">
        <w:t>’</w:t>
      </w:r>
      <w:r w:rsidR="00CF4CFB" w:rsidRPr="00CF4CFB">
        <w:t>inscription</w:t>
      </w:r>
      <w:r w:rsidR="00CF4CFB">
        <w:t xml:space="preserve"> sur la Liste représentative. </w:t>
      </w:r>
      <w:r w:rsidR="006B257A">
        <w:t>Bien qu</w:t>
      </w:r>
      <w:r w:rsidR="00346F1B">
        <w:t>’</w:t>
      </w:r>
      <w:r w:rsidR="006B257A">
        <w:t>elle ait apprécié l</w:t>
      </w:r>
      <w:r w:rsidR="00346F1B">
        <w:t>’</w:t>
      </w:r>
      <w:r w:rsidR="006B257A" w:rsidRPr="006B257A">
        <w:t>évaluation</w:t>
      </w:r>
      <w:r w:rsidR="006B257A">
        <w:t>, elle était surprise de devoir maintenir l</w:t>
      </w:r>
      <w:r w:rsidR="00346F1B">
        <w:t>’</w:t>
      </w:r>
      <w:r w:rsidR="006B257A">
        <w:t>élément sur la List</w:t>
      </w:r>
      <w:r w:rsidR="00537329">
        <w:t>e de sauvegarde urgente. Elle souhaitait donc</w:t>
      </w:r>
      <w:r w:rsidR="006B257A">
        <w:t xml:space="preserve"> avoir des éclaircissements sur la décision. Elle était </w:t>
      </w:r>
      <w:r w:rsidR="00721A1C">
        <w:t xml:space="preserve">bien </w:t>
      </w:r>
      <w:r w:rsidR="006B257A">
        <w:t>consciente que certains praticiens avaient recommandé qu</w:t>
      </w:r>
      <w:r w:rsidR="00346F1B">
        <w:t>’</w:t>
      </w:r>
      <w:r w:rsidR="006B257A">
        <w:t>un soutien renforcé soit accordé à l</w:t>
      </w:r>
      <w:r w:rsidR="00346F1B">
        <w:t>’</w:t>
      </w:r>
      <w:r w:rsidR="006B257A" w:rsidRPr="006B257A">
        <w:t>élément</w:t>
      </w:r>
      <w:r w:rsidR="006B257A">
        <w:t>. En tant que coordinatrice du dossier, et s</w:t>
      </w:r>
      <w:r w:rsidR="00346F1B">
        <w:t>’</w:t>
      </w:r>
      <w:r w:rsidR="006B257A">
        <w:t xml:space="preserve">en tenant aux déclarations des chercheurs et des </w:t>
      </w:r>
      <w:r w:rsidR="006B257A" w:rsidRPr="006B257A">
        <w:t>spécialistes</w:t>
      </w:r>
      <w:r w:rsidR="006B257A">
        <w:t xml:space="preserve"> du PCI, la </w:t>
      </w:r>
      <w:r w:rsidR="006B257A" w:rsidRPr="006B257A">
        <w:t>délégation</w:t>
      </w:r>
      <w:r w:rsidR="006B257A">
        <w:t xml:space="preserve"> estimait que l</w:t>
      </w:r>
      <w:r w:rsidR="00346F1B">
        <w:t>’</w:t>
      </w:r>
      <w:r w:rsidR="006B257A">
        <w:t>élément était désormais dans une situation qui lui permettait d</w:t>
      </w:r>
      <w:r w:rsidR="00346F1B">
        <w:t>’</w:t>
      </w:r>
      <w:r w:rsidR="006B257A">
        <w:t xml:space="preserve">être inscrit sur la Liste </w:t>
      </w:r>
      <w:r w:rsidR="00537329">
        <w:t>représentative. Elle souhaitait</w:t>
      </w:r>
      <w:r w:rsidR="006B257A">
        <w:t xml:space="preserve"> remercier l</w:t>
      </w:r>
      <w:r w:rsidR="00346F1B">
        <w:t>’</w:t>
      </w:r>
      <w:r w:rsidR="006B257A">
        <w:t>Arabie saoudite de lui offrir la possibilité de s</w:t>
      </w:r>
      <w:r w:rsidR="00346F1B">
        <w:t>’</w:t>
      </w:r>
      <w:r w:rsidR="006B257A">
        <w:t xml:space="preserve">exprimer en arabe et a félicité le Président et le Secrétariat pour les efforts </w:t>
      </w:r>
      <w:r w:rsidR="00721A1C">
        <w:t xml:space="preserve">entrepris </w:t>
      </w:r>
      <w:r w:rsidR="006B257A">
        <w:t>afin d</w:t>
      </w:r>
      <w:r w:rsidR="00346F1B">
        <w:t>’</w:t>
      </w:r>
      <w:r w:rsidR="006B257A">
        <w:t>évaluer ces rapports. Il s</w:t>
      </w:r>
      <w:r w:rsidR="00346F1B">
        <w:t>’</w:t>
      </w:r>
      <w:r w:rsidR="006B257A">
        <w:t>agissait d</w:t>
      </w:r>
      <w:r w:rsidR="00346F1B">
        <w:t>’</w:t>
      </w:r>
      <w:r w:rsidR="006B257A">
        <w:t xml:space="preserve">une nouvelle expérience dans le domaine de la protection et de la </w:t>
      </w:r>
      <w:r w:rsidR="006B257A" w:rsidRPr="006B257A">
        <w:t>sauvegarde</w:t>
      </w:r>
      <w:r w:rsidR="006B257A">
        <w:t xml:space="preserve"> des éléments menacés, mais les </w:t>
      </w:r>
      <w:r w:rsidR="00721A1C">
        <w:t xml:space="preserve">efforts déployés, comme les ressources financières, étaient immenses. Il a été </w:t>
      </w:r>
      <w:r w:rsidR="00F82F7C">
        <w:t xml:space="preserve">précisé </w:t>
      </w:r>
      <w:r w:rsidR="00721A1C">
        <w:t xml:space="preserve">que depuis que les praticiens avaient pris en main la </w:t>
      </w:r>
      <w:r w:rsidR="00721A1C" w:rsidRPr="00721A1C">
        <w:t>sauvegarde</w:t>
      </w:r>
      <w:r w:rsidR="00721A1C">
        <w:t xml:space="preserve"> de l</w:t>
      </w:r>
      <w:r w:rsidR="00346F1B">
        <w:t>’</w:t>
      </w:r>
      <w:r w:rsidR="00721A1C" w:rsidRPr="00721A1C">
        <w:t>élément</w:t>
      </w:r>
      <w:r w:rsidR="00721A1C">
        <w:t xml:space="preserve">, celui-ci avait ressuscité. La </w:t>
      </w:r>
      <w:r w:rsidR="00721A1C" w:rsidRPr="00721A1C">
        <w:t>délégation</w:t>
      </w:r>
      <w:r w:rsidR="00721A1C">
        <w:t xml:space="preserve"> attendrait désormais cinq autres années avant de soumettre un nouveau rapport, période au terme de laquelle on pouvait espérer que l</w:t>
      </w:r>
      <w:r w:rsidR="00346F1B">
        <w:t>’</w:t>
      </w:r>
      <w:r w:rsidR="00721A1C">
        <w:t>élément conn</w:t>
      </w:r>
      <w:r w:rsidR="00F82F7C">
        <w:t>aisse une situation qui permett</w:t>
      </w:r>
      <w:r w:rsidR="00721A1C">
        <w:t>e son transfer</w:t>
      </w:r>
      <w:r w:rsidR="00EA3015">
        <w:t>t vers la Liste représentative.</w:t>
      </w:r>
    </w:p>
    <w:p w14:paraId="5D57BA96" w14:textId="2BF98027" w:rsidR="00F82F7C" w:rsidRPr="00F82F7C" w:rsidRDefault="00F82F7C" w:rsidP="00AF7860">
      <w:pPr>
        <w:pStyle w:val="Orateurengris"/>
        <w:spacing w:before="120"/>
        <w:ind w:left="709" w:hanging="709"/>
      </w:pPr>
      <w:r w:rsidRPr="00F82F7C">
        <w:t xml:space="preserve">Après </w:t>
      </w:r>
      <w:r>
        <w:t xml:space="preserve">avoir remercié les Émirats arabes unis, le </w:t>
      </w:r>
      <w:r w:rsidRPr="00F82F7C">
        <w:rPr>
          <w:b/>
        </w:rPr>
        <w:t>Président</w:t>
      </w:r>
      <w:r>
        <w:t xml:space="preserve"> a précisé que le point final était l</w:t>
      </w:r>
      <w:r w:rsidR="00346F1B">
        <w:t>’</w:t>
      </w:r>
      <w:r>
        <w:t xml:space="preserve">adoption de la </w:t>
      </w:r>
      <w:r w:rsidRPr="00F82F7C">
        <w:t>décision</w:t>
      </w:r>
      <w:r>
        <w:t xml:space="preserve"> « chapeau » 11.COM 9.b, mais qu</w:t>
      </w:r>
      <w:r w:rsidR="00346F1B">
        <w:t>’</w:t>
      </w:r>
      <w:r>
        <w:t xml:space="preserve">il était </w:t>
      </w:r>
      <w:r w:rsidRPr="00F82F7C">
        <w:t>désormais</w:t>
      </w:r>
      <w:r>
        <w:t xml:space="preserve"> l</w:t>
      </w:r>
      <w:r w:rsidR="00346F1B">
        <w:t>’</w:t>
      </w:r>
      <w:r>
        <w:t>heure d</w:t>
      </w:r>
      <w:r w:rsidR="00346F1B">
        <w:t>’</w:t>
      </w:r>
      <w:r>
        <w:t xml:space="preserve">aller </w:t>
      </w:r>
      <w:r w:rsidR="00EA3015">
        <w:t>déjeuner.</w:t>
      </w:r>
    </w:p>
    <w:p w14:paraId="4E8B5B1A" w14:textId="0E3FF45B" w:rsidR="00F82F7C" w:rsidRPr="00F82F7C" w:rsidRDefault="00F82F7C" w:rsidP="00AF7860">
      <w:pPr>
        <w:pStyle w:val="Orateurengris"/>
        <w:spacing w:before="120"/>
        <w:ind w:left="709" w:hanging="709"/>
      </w:pPr>
      <w:r>
        <w:t xml:space="preserve">Le </w:t>
      </w:r>
      <w:r w:rsidRPr="00F82F7C">
        <w:rPr>
          <w:b/>
        </w:rPr>
        <w:t>Secrétaire</w:t>
      </w:r>
      <w:r>
        <w:t xml:space="preserve"> a communiqué des </w:t>
      </w:r>
      <w:r w:rsidRPr="00F82F7C">
        <w:t>informations</w:t>
      </w:r>
      <w:r>
        <w:t xml:space="preserve"> au Comité sur plusieurs événements parallèles se déroulant à l</w:t>
      </w:r>
      <w:r w:rsidR="00346F1B">
        <w:t>’</w:t>
      </w:r>
      <w:r>
        <w:t>heure du déjeuner, à savoir une table ronde sur « Apprendre avec le patrimoine culturel immatériel dans le domaine de l</w:t>
      </w:r>
      <w:r w:rsidR="00346F1B">
        <w:t>’</w:t>
      </w:r>
      <w:r w:rsidRPr="00F82F7C">
        <w:t>éducation</w:t>
      </w:r>
      <w:r>
        <w:t xml:space="preserve"> » et la projection du film « GUZO Nord, un voyage aux origines de la musique en </w:t>
      </w:r>
      <w:r w:rsidRPr="00F82F7C">
        <w:t>Éthiopie</w:t>
      </w:r>
      <w:r>
        <w:t xml:space="preserve"> » organisée par la </w:t>
      </w:r>
      <w:r w:rsidRPr="00F82F7C">
        <w:t>délégation</w:t>
      </w:r>
      <w:r w:rsidR="00EA3015">
        <w:t xml:space="preserve"> de l</w:t>
      </w:r>
      <w:r w:rsidR="00346F1B">
        <w:t>’</w:t>
      </w:r>
      <w:r w:rsidR="00EA3015">
        <w:t>Allemagne.</w:t>
      </w:r>
    </w:p>
    <w:p w14:paraId="140CAD3A" w14:textId="518EB765" w:rsidR="00FF32CD" w:rsidRPr="00AE44B4" w:rsidRDefault="00AE44B4" w:rsidP="002B4948">
      <w:pPr>
        <w:pStyle w:val="Marge"/>
        <w:keepNext/>
        <w:tabs>
          <w:tab w:val="clear" w:pos="567"/>
          <w:tab w:val="left" w:pos="709"/>
          <w:tab w:val="left" w:pos="1418"/>
          <w:tab w:val="left" w:pos="2126"/>
          <w:tab w:val="left" w:pos="2835"/>
        </w:tabs>
        <w:spacing w:before="240"/>
        <w:ind w:left="567" w:hanging="567"/>
        <w:jc w:val="center"/>
        <w:outlineLvl w:val="0"/>
        <w:rPr>
          <w:rFonts w:cs="Arial"/>
          <w:i/>
          <w:szCs w:val="22"/>
        </w:rPr>
      </w:pPr>
      <w:r w:rsidRPr="00AE44B4">
        <w:rPr>
          <w:rFonts w:cs="Arial"/>
          <w:i/>
          <w:szCs w:val="22"/>
        </w:rPr>
        <w:t>[Mardi</w:t>
      </w:r>
      <w:r w:rsidR="00FF32CD" w:rsidRPr="00AE44B4">
        <w:rPr>
          <w:rFonts w:cs="Arial"/>
          <w:i/>
          <w:szCs w:val="22"/>
        </w:rPr>
        <w:t xml:space="preserve"> </w:t>
      </w:r>
      <w:r w:rsidR="001B061E" w:rsidRPr="00AE44B4">
        <w:rPr>
          <w:rFonts w:cs="Arial"/>
          <w:i/>
          <w:iCs/>
          <w:szCs w:val="22"/>
        </w:rPr>
        <w:t>29</w:t>
      </w:r>
      <w:r w:rsidR="00FF32CD" w:rsidRPr="00AE44B4">
        <w:rPr>
          <w:rFonts w:cs="Arial"/>
          <w:i/>
          <w:iCs/>
          <w:szCs w:val="22"/>
        </w:rPr>
        <w:t xml:space="preserve"> </w:t>
      </w:r>
      <w:r w:rsidRPr="00AE44B4">
        <w:rPr>
          <w:rFonts w:cs="Arial"/>
          <w:i/>
          <w:iCs/>
          <w:szCs w:val="22"/>
        </w:rPr>
        <w:t>novembre</w:t>
      </w:r>
      <w:r w:rsidR="00FF32CD" w:rsidRPr="00AE44B4">
        <w:rPr>
          <w:rFonts w:cs="Arial"/>
          <w:i/>
          <w:iCs/>
          <w:szCs w:val="22"/>
        </w:rPr>
        <w:t xml:space="preserve">, </w:t>
      </w:r>
      <w:r w:rsidR="00FF32CD" w:rsidRPr="00AE44B4">
        <w:rPr>
          <w:rFonts w:cs="Arial"/>
          <w:i/>
          <w:szCs w:val="22"/>
        </w:rPr>
        <w:t>session</w:t>
      </w:r>
      <w:r>
        <w:rPr>
          <w:rFonts w:cs="Arial"/>
          <w:i/>
          <w:szCs w:val="22"/>
        </w:rPr>
        <w:t xml:space="preserve"> de l</w:t>
      </w:r>
      <w:r w:rsidR="00346F1B">
        <w:rPr>
          <w:rFonts w:cs="Arial"/>
          <w:i/>
          <w:szCs w:val="22"/>
        </w:rPr>
        <w:t>’</w:t>
      </w:r>
      <w:r>
        <w:rPr>
          <w:rFonts w:cs="Arial"/>
          <w:i/>
          <w:szCs w:val="22"/>
        </w:rPr>
        <w:t>après-midi</w:t>
      </w:r>
      <w:r w:rsidR="00FF32CD" w:rsidRPr="00AE44B4">
        <w:rPr>
          <w:rFonts w:cs="Arial"/>
          <w:i/>
          <w:szCs w:val="22"/>
        </w:rPr>
        <w:t>]</w:t>
      </w:r>
    </w:p>
    <w:p w14:paraId="79D0D145" w14:textId="0CCDB7B5" w:rsidR="001B061E" w:rsidRPr="00AE44B4" w:rsidRDefault="000D560A" w:rsidP="007E4EC0">
      <w:pPr>
        <w:pStyle w:val="Marge"/>
        <w:keepNext/>
        <w:tabs>
          <w:tab w:val="clear" w:pos="567"/>
          <w:tab w:val="left" w:pos="709"/>
          <w:tab w:val="left" w:pos="1418"/>
          <w:tab w:val="left" w:pos="2126"/>
          <w:tab w:val="left" w:pos="2835"/>
          <w:tab w:val="center" w:pos="4513"/>
        </w:tabs>
        <w:spacing w:before="360" w:after="120"/>
        <w:ind w:left="567" w:hanging="567"/>
        <w:jc w:val="left"/>
        <w:rPr>
          <w:rFonts w:eastAsia="Cambria" w:cs="Arial"/>
          <w:b/>
          <w:szCs w:val="22"/>
        </w:rPr>
      </w:pPr>
      <w:r>
        <w:rPr>
          <w:rFonts w:cs="Arial"/>
          <w:b/>
          <w:szCs w:val="22"/>
          <w:u w:val="single"/>
        </w:rPr>
        <w:t>POINT 9.b</w:t>
      </w:r>
      <w:r w:rsidR="00AE44B4">
        <w:rPr>
          <w:rFonts w:cs="Arial"/>
          <w:b/>
          <w:szCs w:val="22"/>
          <w:u w:val="single"/>
        </w:rPr>
        <w:t xml:space="preserve"> DE L</w:t>
      </w:r>
      <w:r w:rsidR="00346F1B">
        <w:rPr>
          <w:rFonts w:cs="Arial"/>
          <w:b/>
          <w:szCs w:val="22"/>
          <w:u w:val="single"/>
        </w:rPr>
        <w:t>’</w:t>
      </w:r>
      <w:r w:rsidR="00AE44B4" w:rsidRPr="00AE44B4">
        <w:rPr>
          <w:rFonts w:cs="Arial"/>
          <w:b/>
          <w:szCs w:val="22"/>
          <w:u w:val="single"/>
        </w:rPr>
        <w:t>ORDRE DU JOUR</w:t>
      </w:r>
      <w:r w:rsidR="00AE44B4">
        <w:rPr>
          <w:rFonts w:cs="Arial"/>
          <w:b/>
          <w:szCs w:val="22"/>
          <w:u w:val="single"/>
        </w:rPr>
        <w:t xml:space="preserve"> (SUITE) :</w:t>
      </w:r>
      <w:r w:rsidR="00AE44B4" w:rsidRPr="00AE44B4">
        <w:rPr>
          <w:rFonts w:cs="Arial"/>
          <w:b/>
          <w:szCs w:val="22"/>
        </w:rPr>
        <w:tab/>
      </w:r>
    </w:p>
    <w:p w14:paraId="33E63068" w14:textId="5B63A49C" w:rsidR="0086028B" w:rsidRPr="000A6378" w:rsidRDefault="00AE44B4" w:rsidP="00AF7860">
      <w:pPr>
        <w:pStyle w:val="Orateurengris"/>
        <w:spacing w:before="120"/>
        <w:ind w:left="709" w:hanging="709"/>
      </w:pPr>
      <w:r>
        <w:t xml:space="preserve">Le </w:t>
      </w:r>
      <w:r w:rsidRPr="00AE44B4">
        <w:rPr>
          <w:b/>
        </w:rPr>
        <w:t>Président</w:t>
      </w:r>
      <w:r>
        <w:t xml:space="preserve"> est revenu à la tâche inachevée d</w:t>
      </w:r>
      <w:r w:rsidR="00346F1B">
        <w:t>’</w:t>
      </w:r>
      <w:r>
        <w:t xml:space="preserve">adoption de la </w:t>
      </w:r>
      <w:r w:rsidRPr="00AE44B4">
        <w:t>décision</w:t>
      </w:r>
      <w:r>
        <w:t xml:space="preserve"> « chapeau » 11.COM 9.b </w:t>
      </w:r>
      <w:r w:rsidRPr="00AE44B4">
        <w:t>paragraphe</w:t>
      </w:r>
      <w:r>
        <w:t xml:space="preserve"> par </w:t>
      </w:r>
      <w:r w:rsidRPr="00AE44B4">
        <w:t>paragraphe</w:t>
      </w:r>
      <w:r>
        <w:t>. En l</w:t>
      </w:r>
      <w:r w:rsidR="00346F1B">
        <w:t>’</w:t>
      </w:r>
      <w:r>
        <w:t>absence de commentaires ou d</w:t>
      </w:r>
      <w:r w:rsidR="00346F1B">
        <w:t>’</w:t>
      </w:r>
      <w:r w:rsidRPr="00AE44B4">
        <w:t>objections</w:t>
      </w:r>
      <w:r>
        <w:t xml:space="preserve">, le Président a déclaré les </w:t>
      </w:r>
      <w:r w:rsidRPr="00AE44B4">
        <w:t>p</w:t>
      </w:r>
      <w:r>
        <w:t>aragraphes 1 à 6 adoptés. Il est ensuite passé à l</w:t>
      </w:r>
      <w:r w:rsidR="00346F1B">
        <w:t>’</w:t>
      </w:r>
      <w:r>
        <w:t>adoption de la décision dans son ensemble, et en l</w:t>
      </w:r>
      <w:r w:rsidR="00346F1B">
        <w:t>’</w:t>
      </w:r>
      <w:r>
        <w:t>absence de commentaires ou d</w:t>
      </w:r>
      <w:r w:rsidR="00346F1B">
        <w:t>’</w:t>
      </w:r>
      <w:r w:rsidRPr="00AE44B4">
        <w:t>objections</w:t>
      </w:r>
      <w:r>
        <w:t xml:space="preserve">, le </w:t>
      </w:r>
      <w:r w:rsidRPr="00AE44B4">
        <w:rPr>
          <w:b/>
        </w:rPr>
        <w:t>Président a déclaré la décision 11.COM 9.b adoptée</w:t>
      </w:r>
      <w:r w:rsidR="00EA3015">
        <w:t>.</w:t>
      </w:r>
    </w:p>
    <w:p w14:paraId="2C1EFF75" w14:textId="07E16A7C" w:rsidR="0086028B" w:rsidRPr="00151E27" w:rsidRDefault="000D560A" w:rsidP="002B4948">
      <w:pPr>
        <w:pStyle w:val="Orateurengris"/>
        <w:numPr>
          <w:ilvl w:val="0"/>
          <w:numId w:val="0"/>
        </w:numPr>
        <w:spacing w:before="360" w:after="60"/>
        <w:ind w:left="567" w:hanging="567"/>
        <w:jc w:val="left"/>
        <w:outlineLvl w:val="0"/>
        <w:rPr>
          <w:rFonts w:eastAsia="Cambria"/>
          <w:b/>
          <w:u w:val="single"/>
        </w:rPr>
      </w:pPr>
      <w:bookmarkStart w:id="9" w:name="Item9c"/>
      <w:r>
        <w:rPr>
          <w:rFonts w:eastAsia="Cambria"/>
          <w:b/>
          <w:u w:val="single"/>
        </w:rPr>
        <w:t>POINT 9.c</w:t>
      </w:r>
      <w:r w:rsidR="00151E27" w:rsidRPr="00151E27">
        <w:rPr>
          <w:rFonts w:eastAsia="Cambria"/>
          <w:b/>
          <w:u w:val="single"/>
        </w:rPr>
        <w:t xml:space="preserve"> DE L</w:t>
      </w:r>
      <w:r w:rsidR="00346F1B">
        <w:rPr>
          <w:rFonts w:eastAsia="Cambria"/>
          <w:b/>
          <w:u w:val="single"/>
        </w:rPr>
        <w:t>’</w:t>
      </w:r>
      <w:r w:rsidR="00151E27" w:rsidRPr="00151E27">
        <w:rPr>
          <w:rFonts w:eastAsia="Cambria"/>
          <w:b/>
          <w:u w:val="single"/>
        </w:rPr>
        <w:t>ORDRE DU JOUR</w:t>
      </w:r>
      <w:r w:rsidR="00151E27">
        <w:rPr>
          <w:rFonts w:eastAsia="Cambria"/>
          <w:b/>
          <w:u w:val="single"/>
        </w:rPr>
        <w:t xml:space="preserve"> </w:t>
      </w:r>
      <w:r w:rsidR="00151E27" w:rsidRPr="00151E27">
        <w:rPr>
          <w:rFonts w:eastAsia="Cambria"/>
          <w:b/>
          <w:u w:val="single"/>
        </w:rPr>
        <w:t>:</w:t>
      </w:r>
    </w:p>
    <w:bookmarkEnd w:id="9"/>
    <w:p w14:paraId="542A7347" w14:textId="05FB4BC3" w:rsidR="0086028B" w:rsidRPr="00EA3015" w:rsidRDefault="00151E27" w:rsidP="002B4948">
      <w:pPr>
        <w:pStyle w:val="Orateurengris"/>
        <w:numPr>
          <w:ilvl w:val="0"/>
          <w:numId w:val="0"/>
        </w:numPr>
        <w:jc w:val="left"/>
        <w:outlineLvl w:val="0"/>
        <w:rPr>
          <w:rFonts w:eastAsia="Cambria"/>
          <w:b/>
        </w:rPr>
      </w:pPr>
      <w:r>
        <w:rPr>
          <w:rFonts w:eastAsiaTheme="minorEastAsia"/>
          <w:b/>
          <w:color w:val="323133"/>
          <w:lang w:eastAsia="ja-JP"/>
        </w:rPr>
        <w:t>RAPPORTS DES ÉTATS PARTIES SUR L</w:t>
      </w:r>
      <w:r w:rsidR="00346F1B">
        <w:rPr>
          <w:rFonts w:eastAsiaTheme="minorEastAsia"/>
          <w:b/>
          <w:color w:val="323133"/>
          <w:lang w:eastAsia="ja-JP"/>
        </w:rPr>
        <w:t>’</w:t>
      </w:r>
      <w:r>
        <w:rPr>
          <w:rFonts w:eastAsiaTheme="minorEastAsia"/>
          <w:b/>
          <w:color w:val="323133"/>
          <w:lang w:eastAsia="ja-JP"/>
        </w:rPr>
        <w:t>UTILISATION DE L</w:t>
      </w:r>
      <w:r w:rsidR="00346F1B">
        <w:rPr>
          <w:rFonts w:eastAsiaTheme="minorEastAsia"/>
          <w:b/>
          <w:color w:val="323133"/>
          <w:lang w:eastAsia="ja-JP"/>
        </w:rPr>
        <w:t>’</w:t>
      </w:r>
      <w:r>
        <w:rPr>
          <w:rFonts w:eastAsiaTheme="minorEastAsia"/>
          <w:b/>
          <w:color w:val="323133"/>
          <w:lang w:eastAsia="ja-JP"/>
        </w:rPr>
        <w:t>ASSISTANCE INTERNATIONALE DU FONDS DU</w:t>
      </w:r>
      <w:r w:rsidR="00EA3015">
        <w:rPr>
          <w:rFonts w:eastAsiaTheme="minorEastAsia"/>
          <w:b/>
          <w:color w:val="323133"/>
          <w:lang w:eastAsia="ja-JP"/>
        </w:rPr>
        <w:t xml:space="preserve"> PATRIMOINE CULTUREL IMMATÉRIEL</w:t>
      </w:r>
    </w:p>
    <w:p w14:paraId="5213EBBD" w14:textId="0B9260FA" w:rsidR="001B061E" w:rsidRPr="00756544" w:rsidRDefault="0086028B" w:rsidP="00EA3015">
      <w:pPr>
        <w:pStyle w:val="Orateurengris"/>
        <w:numPr>
          <w:ilvl w:val="0"/>
          <w:numId w:val="0"/>
        </w:numPr>
        <w:spacing w:after="0"/>
        <w:ind w:left="709" w:hanging="709"/>
      </w:pPr>
      <w:r w:rsidRPr="000A6378">
        <w:rPr>
          <w:b/>
        </w:rPr>
        <w:tab/>
      </w:r>
      <w:r w:rsidR="001B061E" w:rsidRPr="00756544">
        <w:rPr>
          <w:b/>
        </w:rPr>
        <w:t>Document</w:t>
      </w:r>
      <w:r w:rsidR="001B061E" w:rsidRPr="00756544">
        <w:rPr>
          <w:b/>
        </w:rPr>
        <w:tab/>
      </w:r>
      <w:hyperlink r:id="rId39" w:history="1">
        <w:r w:rsidR="001B061E" w:rsidRPr="00756544">
          <w:rPr>
            <w:rStyle w:val="Hyperlink"/>
            <w:i/>
          </w:rPr>
          <w:t>ITH/16/11.COM/9.c</w:t>
        </w:r>
      </w:hyperlink>
    </w:p>
    <w:p w14:paraId="46292414" w14:textId="5616303D" w:rsidR="0086028B" w:rsidRPr="00756544" w:rsidRDefault="0086028B" w:rsidP="00EA3015">
      <w:pPr>
        <w:pStyle w:val="Orateurengris"/>
        <w:numPr>
          <w:ilvl w:val="0"/>
          <w:numId w:val="0"/>
        </w:numPr>
        <w:ind w:left="709" w:hanging="709"/>
      </w:pPr>
      <w:r w:rsidRPr="00756544">
        <w:rPr>
          <w:b/>
        </w:rPr>
        <w:tab/>
      </w:r>
      <w:r w:rsidR="00756544" w:rsidRPr="00756544">
        <w:rPr>
          <w:b/>
        </w:rPr>
        <w:t>Dé</w:t>
      </w:r>
      <w:r w:rsidR="001B061E" w:rsidRPr="00756544">
        <w:rPr>
          <w:b/>
        </w:rPr>
        <w:t>cision</w:t>
      </w:r>
      <w:r w:rsidR="001B061E" w:rsidRPr="00756544">
        <w:rPr>
          <w:b/>
        </w:rPr>
        <w:tab/>
      </w:r>
      <w:r w:rsidR="00EA3015">
        <w:t>11.COM 9.c</w:t>
      </w:r>
    </w:p>
    <w:p w14:paraId="0E0B43A8" w14:textId="5D16D777" w:rsidR="00756544" w:rsidRDefault="00756544" w:rsidP="00AF7860">
      <w:pPr>
        <w:pStyle w:val="Orateurengris"/>
        <w:spacing w:before="120"/>
        <w:ind w:left="709" w:hanging="709"/>
      </w:pPr>
      <w:r>
        <w:t xml:space="preserve">Le </w:t>
      </w:r>
      <w:r w:rsidRPr="00756544">
        <w:rPr>
          <w:b/>
        </w:rPr>
        <w:t>Président</w:t>
      </w:r>
      <w:r>
        <w:t xml:space="preserve"> est ensuite passé aux rapports soumis par les bénéficiaires de l</w:t>
      </w:r>
      <w:r w:rsidR="00346F1B">
        <w:t>’</w:t>
      </w:r>
      <w:r>
        <w:t>assistance internationale, au titre du point 9.c de l</w:t>
      </w:r>
      <w:r w:rsidR="00346F1B">
        <w:t>’</w:t>
      </w:r>
      <w:r>
        <w:t>ordre du jour, ajoutant qu</w:t>
      </w:r>
      <w:r w:rsidR="00346F1B">
        <w:t>’</w:t>
      </w:r>
      <w:r>
        <w:t>il s</w:t>
      </w:r>
      <w:r w:rsidR="00346F1B">
        <w:t>’</w:t>
      </w:r>
      <w:r>
        <w:t>agissait là d</w:t>
      </w:r>
      <w:r w:rsidR="00346F1B">
        <w:t>’</w:t>
      </w:r>
      <w:r>
        <w:t>un moyen important pour « prendre la température » de la mise en œuvre d</w:t>
      </w:r>
      <w:r w:rsidR="00EA3015">
        <w:t>e la Convention sur le terrain.</w:t>
      </w:r>
    </w:p>
    <w:p w14:paraId="09650E65" w14:textId="6403125A" w:rsidR="000D560A" w:rsidRDefault="00756544" w:rsidP="00AF7860">
      <w:pPr>
        <w:pStyle w:val="Orateurengris"/>
        <w:spacing w:before="120"/>
        <w:ind w:left="709" w:hanging="709"/>
      </w:pPr>
      <w:r>
        <w:t xml:space="preserve">Le </w:t>
      </w:r>
      <w:r w:rsidRPr="00756544">
        <w:rPr>
          <w:b/>
        </w:rPr>
        <w:t>Secrétaire</w:t>
      </w:r>
      <w:r>
        <w:t xml:space="preserve"> a rappelé au Comité l</w:t>
      </w:r>
      <w:r w:rsidR="00346F1B">
        <w:t>’</w:t>
      </w:r>
      <w:r>
        <w:t>article 24.3 d</w:t>
      </w:r>
      <w:r w:rsidR="000D560A">
        <w:t xml:space="preserve">e la Convention qui stipulait que </w:t>
      </w:r>
      <w:r>
        <w:t>« l</w:t>
      </w:r>
      <w:r w:rsidR="00346F1B">
        <w:t>’</w:t>
      </w:r>
      <w:r>
        <w:t>État partie bénéficiaire remet au Comité un rapport sur l</w:t>
      </w:r>
      <w:r w:rsidR="00346F1B">
        <w:t>’</w:t>
      </w:r>
      <w:r>
        <w:t>utilisation de l</w:t>
      </w:r>
      <w:r w:rsidR="00346F1B">
        <w:t>’</w:t>
      </w:r>
      <w:r>
        <w:t xml:space="preserve">assistance accordée en faveur de la sauvegarde du patrimoine culturel immatériel ». Le Secrétaire a insisté sur la systématisation progressive des procédures de rapports, avec désormais un formulaire standard obligatoire </w:t>
      </w:r>
      <w:r w:rsidR="000D560A">
        <w:t>avec lequel tous les rappor</w:t>
      </w:r>
      <w:r w:rsidR="002C7B40">
        <w:t>ts avaient été préparés. L</w:t>
      </w:r>
      <w:r w:rsidR="000D560A">
        <w:t>es dates de soumission des rapports d</w:t>
      </w:r>
      <w:r w:rsidR="00346F1B">
        <w:t>’</w:t>
      </w:r>
      <w:r w:rsidR="000D560A">
        <w:t xml:space="preserve">avancement </w:t>
      </w:r>
      <w:r w:rsidR="002C7B40">
        <w:t>et des rapports finaux dépenda</w:t>
      </w:r>
      <w:r w:rsidR="000D560A">
        <w:t>nt de dates propres à chaque projet – comme convenu entre l</w:t>
      </w:r>
      <w:r w:rsidR="00346F1B">
        <w:t>’</w:t>
      </w:r>
      <w:r w:rsidR="000D560A">
        <w:t>État bénéficiaire et l</w:t>
      </w:r>
      <w:r w:rsidR="00346F1B">
        <w:t>’</w:t>
      </w:r>
      <w:r w:rsidR="000D560A">
        <w:t>UNESCO lors de l</w:t>
      </w:r>
      <w:r w:rsidR="00346F1B">
        <w:t>’</w:t>
      </w:r>
      <w:r w:rsidR="000D560A">
        <w:t>établissement du contrat – le Secrétariat devait cho</w:t>
      </w:r>
      <w:r w:rsidR="002D4D88">
        <w:t>isir un critère de sélection pour les</w:t>
      </w:r>
      <w:r w:rsidR="000D560A">
        <w:t xml:space="preserve"> rapports à soumettre au Comité pour une session donnée. Compte tenu des efforts déployés par le Secrétariat pour harmoniser les périodes de rapports, comme précédemment expliqué au titre du point 5, il avait </w:t>
      </w:r>
      <w:r w:rsidR="002D4D88">
        <w:t xml:space="preserve">été </w:t>
      </w:r>
      <w:r w:rsidR="000D560A">
        <w:t>décidé de sélectionner tous les rapport</w:t>
      </w:r>
      <w:r w:rsidR="002C7B40">
        <w:t>s exigibles au</w:t>
      </w:r>
      <w:r w:rsidR="000D560A">
        <w:t xml:space="preserve"> 30 juin 2016 et qui n</w:t>
      </w:r>
      <w:r w:rsidR="00346F1B">
        <w:t>’</w:t>
      </w:r>
      <w:r w:rsidR="000D560A">
        <w:t xml:space="preserve">avaient pas été examinés par le Comité à sa dernière session. </w:t>
      </w:r>
      <w:r w:rsidR="002C7B40">
        <w:t>En conséquence, la période couverte par chaque rapport variait d</w:t>
      </w:r>
      <w:r w:rsidR="00346F1B">
        <w:t>’</w:t>
      </w:r>
      <w:r w:rsidR="002C7B40">
        <w:t>un rapport à l</w:t>
      </w:r>
      <w:r w:rsidR="00346F1B">
        <w:t>’</w:t>
      </w:r>
      <w:r w:rsidR="002C7B40">
        <w:t>autre selon la mise en œuvre</w:t>
      </w:r>
      <w:r w:rsidR="002D4D88">
        <w:t xml:space="preserve"> du projet. Afin de s</w:t>
      </w:r>
      <w:r w:rsidR="00346F1B">
        <w:t>’</w:t>
      </w:r>
      <w:r w:rsidR="002D4D88">
        <w:t>assurer qu</w:t>
      </w:r>
      <w:r w:rsidR="00346F1B">
        <w:t>’</w:t>
      </w:r>
      <w:r w:rsidR="002D4D88">
        <w:t xml:space="preserve">à une session donnée, </w:t>
      </w:r>
      <w:r w:rsidR="002C7B40">
        <w:t>le Comité avait accès au plus grand nombre de rapports sur les projets en cours, le paragraphe 8 du projet de décision proposait que la date du 30 juin soit la date butoir à laquelle les États devaient soumettre les rapports au Secrétariat. Conscient que ces rapports ne représentaient qu</w:t>
      </w:r>
      <w:r w:rsidR="00346F1B">
        <w:t>’</w:t>
      </w:r>
      <w:r w:rsidR="002C7B40">
        <w:t>une partie des projets en cours (certains des projets n</w:t>
      </w:r>
      <w:r w:rsidR="00346F1B">
        <w:t>’</w:t>
      </w:r>
      <w:r w:rsidR="002C7B40">
        <w:t>avaient pas d</w:t>
      </w:r>
      <w:r w:rsidR="00346F1B">
        <w:t>’</w:t>
      </w:r>
      <w:r w:rsidR="002C7B40">
        <w:t>obligation de rapports au cours de cette période), le document de travail présentait également une liste de tous les projets qui pouvaient être considérés comme « actifs », c.-à-d. approuvés par le Bureau ou son Comité</w:t>
      </w:r>
      <w:r w:rsidR="00537329">
        <w:t>,</w:t>
      </w:r>
      <w:r w:rsidR="002C7B40">
        <w:t xml:space="preserve"> qu</w:t>
      </w:r>
      <w:r w:rsidR="00346F1B">
        <w:t>’</w:t>
      </w:r>
      <w:r w:rsidR="002C7B40">
        <w:t xml:space="preserve">un contrat ait été matérialisé ou pas. Cela représentait un total de </w:t>
      </w:r>
      <w:r w:rsidR="002D4D88">
        <w:t>vingt projets actifs, pour un montant de 1,68 million de dollars des États-Unis, répartis géographiquement comme suit : Groupe II : aucun ; Groupe III : aucun ; Groupe IV : cinq ; Groupe V(a)</w:t>
      </w:r>
      <w:r w:rsidR="00EA3015">
        <w:t> : treize ; Groupe V(b) : deux.</w:t>
      </w:r>
    </w:p>
    <w:p w14:paraId="49F1A398" w14:textId="63AF0476" w:rsidR="005B1B0E" w:rsidRPr="005B1B0E" w:rsidRDefault="002D4D88" w:rsidP="00AF7860">
      <w:pPr>
        <w:pStyle w:val="Orateurengris"/>
        <w:spacing w:before="120"/>
        <w:ind w:left="709" w:hanging="709"/>
      </w:pPr>
      <w:r w:rsidRPr="005B1B0E">
        <w:t xml:space="preserve">Le </w:t>
      </w:r>
      <w:r w:rsidRPr="005B1B0E">
        <w:rPr>
          <w:b/>
        </w:rPr>
        <w:t>Secrétaire</w:t>
      </w:r>
      <w:r w:rsidRPr="005B1B0E">
        <w:t xml:space="preserve"> a expliqué que conformément à la décision 8.COM 7 qui avait établi un mécanisme </w:t>
      </w:r>
      <w:r w:rsidR="00635651" w:rsidRPr="005B1B0E">
        <w:t>expérimental d</w:t>
      </w:r>
      <w:r w:rsidR="00346F1B">
        <w:t>’</w:t>
      </w:r>
      <w:r w:rsidR="00635651" w:rsidRPr="005B1B0E">
        <w:t>assistance technique à court terme des</w:t>
      </w:r>
      <w:r w:rsidR="007E43B1">
        <w:t>tiné aux États parties souhaitant</w:t>
      </w:r>
      <w:r w:rsidR="00635651" w:rsidRPr="005B1B0E">
        <w:t xml:space="preserve"> demander une assistance internationale, quatre pays bénéficiaires avaient reçu un</w:t>
      </w:r>
      <w:r w:rsidR="007E43B1">
        <w:t>e assis</w:t>
      </w:r>
      <w:r w:rsidR="005C3498">
        <w:t>tance technique sous la forme d</w:t>
      </w:r>
      <w:r w:rsidR="00346F1B">
        <w:t>’</w:t>
      </w:r>
      <w:r w:rsidR="005C3498">
        <w:t>une</w:t>
      </w:r>
      <w:r w:rsidR="00635651" w:rsidRPr="005B1B0E">
        <w:t xml:space="preserve"> mise à disposition d</w:t>
      </w:r>
      <w:r w:rsidR="00346F1B">
        <w:t>’</w:t>
      </w:r>
      <w:r w:rsidR="00635651" w:rsidRPr="005B1B0E">
        <w:t>experts, suggérée par le Secrétariat et acceptée par les États présentant la demande : la Côte d</w:t>
      </w:r>
      <w:r w:rsidR="00346F1B">
        <w:t>’</w:t>
      </w:r>
      <w:r w:rsidR="00635651" w:rsidRPr="005B1B0E">
        <w:t>Ivoire, le Lesotho, l</w:t>
      </w:r>
      <w:r w:rsidR="00346F1B">
        <w:t>’</w:t>
      </w:r>
      <w:r w:rsidR="00635651" w:rsidRPr="005B1B0E">
        <w:t>Ouganda et le Togo. Deux autres pays, l</w:t>
      </w:r>
      <w:r w:rsidR="00346F1B">
        <w:t>’</w:t>
      </w:r>
      <w:r w:rsidR="00635651" w:rsidRPr="005B1B0E">
        <w:t>Albanie et l</w:t>
      </w:r>
      <w:r w:rsidR="00346F1B">
        <w:t>’</w:t>
      </w:r>
      <w:r w:rsidR="00635651" w:rsidRPr="005B1B0E">
        <w:t>Équateur avait également reçu une assistance technique en 2016 bien que cela n</w:t>
      </w:r>
      <w:r w:rsidR="00346F1B">
        <w:t>’</w:t>
      </w:r>
      <w:r w:rsidR="00635651" w:rsidRPr="005B1B0E">
        <w:t xml:space="preserve">ait pas </w:t>
      </w:r>
      <w:r w:rsidR="005C3498">
        <w:t xml:space="preserve">encore abouti à </w:t>
      </w:r>
      <w:r w:rsidR="00635651" w:rsidRPr="005B1B0E">
        <w:t>un projet approuvé. Depuis le 30 juin de l</w:t>
      </w:r>
      <w:r w:rsidR="00346F1B">
        <w:t>’</w:t>
      </w:r>
      <w:r w:rsidR="00635651" w:rsidRPr="005B1B0E">
        <w:t>année précédente, le Bureau avait répondu favorablement à quatre autres demandes d</w:t>
      </w:r>
      <w:r w:rsidR="00346F1B">
        <w:t>’</w:t>
      </w:r>
      <w:r w:rsidR="00635651" w:rsidRPr="005B1B0E">
        <w:t>assistance internationale, comme précédemment rapporté par le Président. Le Comité était donc invité à prendre note des projets rendus possibles grâce à l</w:t>
      </w:r>
      <w:r w:rsidR="00346F1B">
        <w:t>’</w:t>
      </w:r>
      <w:r w:rsidR="00635651" w:rsidRPr="005B1B0E">
        <w:t xml:space="preserve">assistance financière accordée par le Comité ou son Bureau. En outre, le document 9.c </w:t>
      </w:r>
      <w:r w:rsidR="00B155E7" w:rsidRPr="005B1B0E">
        <w:t>présentait également un aperçu général de toute l</w:t>
      </w:r>
      <w:r w:rsidR="00346F1B">
        <w:t>’</w:t>
      </w:r>
      <w:r w:rsidR="00B155E7" w:rsidRPr="005B1B0E">
        <w:t>assistance internationale mise en place depuis qu</w:t>
      </w:r>
      <w:r w:rsidR="00346F1B">
        <w:t>’</w:t>
      </w:r>
      <w:r w:rsidR="00B155E7" w:rsidRPr="005B1B0E">
        <w:t>elle avait été établie, c.-à-d. 54 projets pour un montant total de 2,75 millions de dollars des États-Unis. Le Secrétariat espérait que ces projets avai</w:t>
      </w:r>
      <w:r w:rsidR="005C3498">
        <w:t>en</w:t>
      </w:r>
      <w:r w:rsidR="00B155E7" w:rsidRPr="005B1B0E">
        <w:t>t eu, et avai</w:t>
      </w:r>
      <w:r w:rsidR="005C3498">
        <w:t>en</w:t>
      </w:r>
      <w:r w:rsidR="00B155E7" w:rsidRPr="005B1B0E">
        <w:t xml:space="preserve">t encore, des effets positifs dans les pays bénéficiaires. Il avait toutefois le sentiment que </w:t>
      </w:r>
      <w:r w:rsidR="005C3498">
        <w:t>ce mécanisme n</w:t>
      </w:r>
      <w:r w:rsidR="00346F1B">
        <w:t>’</w:t>
      </w:r>
      <w:r w:rsidR="005C3498">
        <w:t xml:space="preserve">était pas assez utilisé et que son </w:t>
      </w:r>
      <w:r w:rsidR="00B155E7" w:rsidRPr="005B1B0E">
        <w:t xml:space="preserve">potentiel </w:t>
      </w:r>
      <w:r w:rsidR="005C3498">
        <w:t>demeurait sous-exploité</w:t>
      </w:r>
      <w:r w:rsidR="00B155E7" w:rsidRPr="005B1B0E">
        <w:t>. Le Secrétaire a souligné que le recours à l</w:t>
      </w:r>
      <w:r w:rsidR="00346F1B">
        <w:t>’</w:t>
      </w:r>
      <w:r w:rsidR="00B155E7" w:rsidRPr="005B1B0E">
        <w:t>assistance internationale était suscept</w:t>
      </w:r>
      <w:r w:rsidR="005B1B0E" w:rsidRPr="005B1B0E">
        <w:t>ible de se développer avec l</w:t>
      </w:r>
      <w:r w:rsidR="00346F1B">
        <w:t>’</w:t>
      </w:r>
      <w:r w:rsidR="005B1B0E" w:rsidRPr="005B1B0E">
        <w:t>augmenta</w:t>
      </w:r>
      <w:r w:rsidR="00B155E7" w:rsidRPr="005B1B0E">
        <w:t>t</w:t>
      </w:r>
      <w:r w:rsidR="005B1B0E" w:rsidRPr="005B1B0E">
        <w:t>i</w:t>
      </w:r>
      <w:r w:rsidR="00B155E7" w:rsidRPr="005B1B0E">
        <w:t xml:space="preserve">on du montant maximum </w:t>
      </w:r>
      <w:r w:rsidR="005B1B0E" w:rsidRPr="005B1B0E">
        <w:t>des demandes pouvant être examinées par le Bureau, ce qui permettrait aux États de passer outre le dilemme de soumettre soit une demande d</w:t>
      </w:r>
      <w:r w:rsidR="00346F1B">
        <w:t>’</w:t>
      </w:r>
      <w:r w:rsidR="005B1B0E" w:rsidRPr="005B1B0E">
        <w:t>assistance internationale (jusqu</w:t>
      </w:r>
      <w:r w:rsidR="00346F1B">
        <w:t>’</w:t>
      </w:r>
      <w:r w:rsidR="005B1B0E" w:rsidRPr="005B1B0E">
        <w:t>à 100</w:t>
      </w:r>
      <w:r w:rsidR="00346F1B">
        <w:t> 000</w:t>
      </w:r>
      <w:r w:rsidR="005B1B0E" w:rsidRPr="005B1B0E">
        <w:t xml:space="preserve"> dollars des États-Unis), soit une candidature puisque celles-ci n</w:t>
      </w:r>
      <w:r w:rsidR="00346F1B">
        <w:t>’</w:t>
      </w:r>
      <w:r w:rsidR="005B1B0E" w:rsidRPr="005B1B0E">
        <w:t xml:space="preserve">étaient plus examinées par les mêmes organes. La question du potentiel de cette assistance financière gardait toute sa pertinence et était désormais posée car le mécanisme aurait la capacité de devenir la fenêtre opérationnelle de la Convention, c.-à-d. il pourrait </w:t>
      </w:r>
      <w:r w:rsidR="005C3498">
        <w:t xml:space="preserve">constituer </w:t>
      </w:r>
      <w:r w:rsidR="005B1B0E" w:rsidRPr="005B1B0E">
        <w:t>une image claire et complète des priorités des États et communautés lors de l</w:t>
      </w:r>
      <w:r w:rsidR="00346F1B">
        <w:t>’</w:t>
      </w:r>
      <w:r w:rsidR="005B1B0E" w:rsidRPr="005B1B0E">
        <w:t>élaboration et la mise en œuvre des actions de sauvegarde. Il offrait une vision réelle et réaliste des attentes des États vis à vis de la Convention qui s</w:t>
      </w:r>
      <w:r w:rsidR="00346F1B">
        <w:t>’</w:t>
      </w:r>
      <w:r w:rsidR="005B1B0E" w:rsidRPr="005B1B0E">
        <w:t>illustraient par leur utilisation du Fonds. Les projets mis en œuvre par l</w:t>
      </w:r>
      <w:r w:rsidR="00346F1B">
        <w:t>’</w:t>
      </w:r>
      <w:r w:rsidR="005B1B0E" w:rsidRPr="005B1B0E">
        <w:t>intermédiaire de l</w:t>
      </w:r>
      <w:r w:rsidR="00346F1B">
        <w:t>’</w:t>
      </w:r>
      <w:r w:rsidR="005B1B0E" w:rsidRPr="005B1B0E">
        <w:t>assistance internationale constituaient également un recueil d</w:t>
      </w:r>
      <w:r w:rsidR="00346F1B">
        <w:t>’</w:t>
      </w:r>
      <w:r w:rsidR="005B1B0E" w:rsidRPr="005B1B0E">
        <w:t>enseignements à tirer et, espérons-le, de bonnes pratiques de sauvegarde dont les autres pouvaient s</w:t>
      </w:r>
      <w:r w:rsidR="00346F1B">
        <w:t>’</w:t>
      </w:r>
      <w:r w:rsidR="005B1B0E" w:rsidRPr="005B1B0E">
        <w:t xml:space="preserve">inspirer. En résumé, </w:t>
      </w:r>
      <w:r w:rsidR="005C3498">
        <w:t xml:space="preserve">comme </w:t>
      </w:r>
      <w:r w:rsidR="005B1B0E" w:rsidRPr="005B1B0E">
        <w:t>les rapports périodiques, l</w:t>
      </w:r>
      <w:r w:rsidR="00346F1B">
        <w:t>’</w:t>
      </w:r>
      <w:r w:rsidR="005B1B0E" w:rsidRPr="005B1B0E">
        <w:t>assistance internationale semblait être le mécanisme qui pourrait aider le Comité à remplir ses fonctions telles qu</w:t>
      </w:r>
      <w:r w:rsidR="00346F1B">
        <w:t>’</w:t>
      </w:r>
      <w:r w:rsidR="005B1B0E" w:rsidRPr="005B1B0E">
        <w:t>énumérées à l</w:t>
      </w:r>
      <w:r w:rsidR="00346F1B">
        <w:t>’</w:t>
      </w:r>
      <w:r w:rsidR="005B1B0E" w:rsidRPr="005B1B0E">
        <w:t>article 7 de la Convention, à savoir « encourager et suivre la mise en œuvre de la Convention » et « donner des conseils sur les meilleures pratiques et formuler des recommandations sur les mesures en faveur de la sauvegarde du patrimoine culturel immatériel ». Ce n</w:t>
      </w:r>
      <w:r w:rsidR="00346F1B">
        <w:t>’</w:t>
      </w:r>
      <w:r w:rsidR="005B1B0E" w:rsidRPr="005B1B0E">
        <w:t>était toutefois pas alors le cas. Avec les ressources disponibles, le Secrétariat parvenait simplement à traiter les demandes, à les évaluer en détail afin d</w:t>
      </w:r>
      <w:r w:rsidR="00346F1B">
        <w:t>’</w:t>
      </w:r>
      <w:r w:rsidR="005B1B0E" w:rsidRPr="005B1B0E">
        <w:t>améliorer leurs chances d</w:t>
      </w:r>
      <w:r w:rsidR="00346F1B">
        <w:t>’</w:t>
      </w:r>
      <w:r w:rsidR="005B1B0E" w:rsidRPr="005B1B0E">
        <w:t>être approuvées par l</w:t>
      </w:r>
      <w:r w:rsidR="00346F1B">
        <w:t>’</w:t>
      </w:r>
      <w:r w:rsidR="005B1B0E" w:rsidRPr="005B1B0E">
        <w:t>organe compétent, puis à établir les accords contractuels, mais rien que pour ces tâches, le Secrétariat ne disposait pas des ressources nécessaires. En outre, les demandes d</w:t>
      </w:r>
      <w:r w:rsidR="00346F1B">
        <w:t>’</w:t>
      </w:r>
      <w:r w:rsidR="005B1B0E" w:rsidRPr="005B1B0E">
        <w:t>un montant inférieur à 100</w:t>
      </w:r>
      <w:r w:rsidR="00346F1B">
        <w:t> 000</w:t>
      </w:r>
      <w:r w:rsidR="005B1B0E" w:rsidRPr="005B1B0E">
        <w:t xml:space="preserve"> dollars des États-Unis connaissaient déjà des retards dans leur traitement. En d</w:t>
      </w:r>
      <w:r w:rsidR="00346F1B">
        <w:t>’</w:t>
      </w:r>
      <w:r w:rsidR="005B1B0E" w:rsidRPr="005B1B0E">
        <w:t xml:space="preserve">autres mots, </w:t>
      </w:r>
      <w:r w:rsidR="005520FC" w:rsidRPr="005520FC">
        <w:t>réaliser</w:t>
      </w:r>
      <w:r w:rsidR="005520FC">
        <w:rPr>
          <w:color w:val="FF0000"/>
        </w:rPr>
        <w:t xml:space="preserve"> </w:t>
      </w:r>
      <w:r w:rsidR="005B1B0E" w:rsidRPr="005B1B0E">
        <w:t>tout le potentiel du mécanisme d</w:t>
      </w:r>
      <w:r w:rsidR="00346F1B">
        <w:t>’</w:t>
      </w:r>
      <w:r w:rsidR="005B1B0E" w:rsidRPr="005B1B0E">
        <w:t>assistance internationale tel que précédemment é</w:t>
      </w:r>
      <w:r w:rsidR="005B1B0E">
        <w:t>voqué était impossib</w:t>
      </w:r>
      <w:r w:rsidR="005520FC">
        <w:t xml:space="preserve">le dans la configuration existante </w:t>
      </w:r>
      <w:r w:rsidR="005B1B0E">
        <w:t xml:space="preserve">du Secrétariat. </w:t>
      </w:r>
      <w:r w:rsidR="005520FC">
        <w:t>Cela avait été reconnu par le Comité avec l</w:t>
      </w:r>
      <w:r w:rsidR="00346F1B">
        <w:t>’</w:t>
      </w:r>
      <w:r w:rsidR="005520FC">
        <w:t>adoption de la décision 11.COM 5, invitant le Secrétariat à « étudier des solutions créative</w:t>
      </w:r>
      <w:r w:rsidR="00056696">
        <w:t>s</w:t>
      </w:r>
      <w:r w:rsidR="005520FC">
        <w:t xml:space="preserve"> pour régler les difficultés existantes et à venir dans la mise en œuvre du mécanisme d</w:t>
      </w:r>
      <w:r w:rsidR="00346F1B">
        <w:t>’</w:t>
      </w:r>
      <w:r w:rsidR="005520FC">
        <w:t xml:space="preserve">assistance internationale ». Le Comité était </w:t>
      </w:r>
      <w:r w:rsidR="00056696">
        <w:t>à nouveau – avec la présente décision – invité à mettre en éviden</w:t>
      </w:r>
      <w:r w:rsidR="00EA3015">
        <w:t>ce les préoccupations en cours.</w:t>
      </w:r>
    </w:p>
    <w:p w14:paraId="27FB7BD6" w14:textId="5276B34F" w:rsidR="00056696" w:rsidRDefault="00056696" w:rsidP="00AF7860">
      <w:pPr>
        <w:pStyle w:val="Orateurengris"/>
        <w:spacing w:before="120"/>
        <w:ind w:left="709" w:hanging="709"/>
      </w:pPr>
      <w:r w:rsidRPr="00056696">
        <w:t>En l</w:t>
      </w:r>
      <w:r w:rsidR="00346F1B">
        <w:t>’</w:t>
      </w:r>
      <w:r w:rsidRPr="00056696">
        <w:t>absen</w:t>
      </w:r>
      <w:r>
        <w:t>ce d</w:t>
      </w:r>
      <w:r w:rsidR="00346F1B">
        <w:t>’</w:t>
      </w:r>
      <w:r>
        <w:t xml:space="preserve">autres commentaires ou objections, le </w:t>
      </w:r>
      <w:r w:rsidRPr="00056696">
        <w:rPr>
          <w:b/>
        </w:rPr>
        <w:t>Président</w:t>
      </w:r>
      <w:r>
        <w:t xml:space="preserve"> est passé à l</w:t>
      </w:r>
      <w:r w:rsidR="00346F1B">
        <w:t>’</w:t>
      </w:r>
      <w:r>
        <w:t>adoption du projet de décision paragraphe par paragraphe. En l</w:t>
      </w:r>
      <w:r w:rsidR="00346F1B">
        <w:t>’</w:t>
      </w:r>
      <w:r>
        <w:t>absence de commentaires ou d</w:t>
      </w:r>
      <w:r w:rsidR="00346F1B">
        <w:t>’</w:t>
      </w:r>
      <w:r>
        <w:t xml:space="preserve">amendements aux paragraphes 1 à 9, ceux-ci ont été </w:t>
      </w:r>
      <w:r w:rsidR="008052AC">
        <w:t>dûment</w:t>
      </w:r>
      <w:r>
        <w:t xml:space="preserve"> adoptés. Puis passant à la décision dans son ensemble, le </w:t>
      </w:r>
      <w:r w:rsidRPr="00056696">
        <w:rPr>
          <w:b/>
        </w:rPr>
        <w:t>Président a déclaré la décision 11.COM 9.c adoptée</w:t>
      </w:r>
      <w:r w:rsidR="00EA3015">
        <w:t>.</w:t>
      </w:r>
    </w:p>
    <w:p w14:paraId="4D49E986" w14:textId="6B5A64E0" w:rsidR="00056696" w:rsidRDefault="00056696" w:rsidP="00AF7860">
      <w:pPr>
        <w:pStyle w:val="Orateurengris"/>
        <w:spacing w:before="120"/>
        <w:ind w:left="709" w:hanging="709"/>
      </w:pPr>
      <w:r>
        <w:t xml:space="preserve">Avant de passer au point suivant, le </w:t>
      </w:r>
      <w:r w:rsidRPr="00056696">
        <w:rPr>
          <w:b/>
        </w:rPr>
        <w:t>Président</w:t>
      </w:r>
      <w:r w:rsidR="0040517F">
        <w:t xml:space="preserve"> souhaitait </w:t>
      </w:r>
      <w:r>
        <w:t>donner aux pays qui avaient bénéficié de l</w:t>
      </w:r>
      <w:r w:rsidR="00346F1B">
        <w:t>’</w:t>
      </w:r>
      <w:r>
        <w:t>assistance internationale, tels que le Kenya, le Maroc, l</w:t>
      </w:r>
      <w:r w:rsidR="00346F1B">
        <w:t>’</w:t>
      </w:r>
      <w:r>
        <w:t>Ouganda, le Viet Nam et la Zambie, l</w:t>
      </w:r>
      <w:r w:rsidR="00346F1B">
        <w:t>’</w:t>
      </w:r>
      <w:r>
        <w:t>opportunité de partager leurs expériences, ainsi qu</w:t>
      </w:r>
      <w:r w:rsidR="00346F1B">
        <w:t>’</w:t>
      </w:r>
      <w:r>
        <w:t>à d</w:t>
      </w:r>
      <w:r w:rsidR="00346F1B">
        <w:t>’</w:t>
      </w:r>
      <w:r>
        <w:t>autres pays qui souhaiteraie</w:t>
      </w:r>
      <w:r w:rsidR="00EA3015">
        <w:t>nt peut-être prendre la parole.</w:t>
      </w:r>
    </w:p>
    <w:p w14:paraId="318C9FDC" w14:textId="777C5301" w:rsidR="00176F37" w:rsidRDefault="00056696" w:rsidP="00AF7860">
      <w:pPr>
        <w:pStyle w:val="Orateurengris"/>
        <w:spacing w:before="120"/>
        <w:ind w:left="709" w:hanging="709"/>
      </w:pPr>
      <w:r>
        <w:t xml:space="preserve">La délégation du </w:t>
      </w:r>
      <w:r w:rsidRPr="00056696">
        <w:rPr>
          <w:b/>
        </w:rPr>
        <w:t>Kenya</w:t>
      </w:r>
      <w:r>
        <w:t xml:space="preserve"> a remercié le pays hôte p</w:t>
      </w:r>
      <w:r w:rsidR="00783C17">
        <w:t>our sa merveilleuse hospitalité, et a félicité le Président pour sa direction éclairée ainsi que le Secrétariat pour son efficacité et son engagement dans son travail. S</w:t>
      </w:r>
      <w:r w:rsidR="00346F1B">
        <w:t>’</w:t>
      </w:r>
      <w:r w:rsidR="00783C17">
        <w:t>agissant de l</w:t>
      </w:r>
      <w:r w:rsidR="00346F1B">
        <w:t>’</w:t>
      </w:r>
      <w:r w:rsidR="00783C17">
        <w:t>expérience du Kenya en matière d</w:t>
      </w:r>
      <w:r w:rsidR="00346F1B">
        <w:t>’</w:t>
      </w:r>
      <w:r w:rsidR="00783C17">
        <w:t xml:space="preserve">assistance internationale, la délégation a </w:t>
      </w:r>
      <w:r w:rsidR="00EB6949">
        <w:t>rappelé que suite à la décision</w:t>
      </w:r>
      <w:r w:rsidR="00783C17">
        <w:t xml:space="preserve"> du Comité, prise à sa quatrième session, d</w:t>
      </w:r>
      <w:r w:rsidR="00346F1B">
        <w:t>’</w:t>
      </w:r>
      <w:r w:rsidR="00783C17">
        <w:t>approuver une demande d</w:t>
      </w:r>
      <w:r w:rsidR="00346F1B">
        <w:t>’</w:t>
      </w:r>
      <w:r w:rsidR="00783C17">
        <w:t>assistance internationale au titre du Fonds du PCI, un contrat avait été établi entre l</w:t>
      </w:r>
      <w:r w:rsidR="00346F1B">
        <w:t>’</w:t>
      </w:r>
      <w:r w:rsidR="00783C17">
        <w:t>UNESCO</w:t>
      </w:r>
      <w:r w:rsidR="008D3E86">
        <w:t xml:space="preserve"> et le Département de la c</w:t>
      </w:r>
      <w:r w:rsidR="00783C17">
        <w:t>ulture du ministè</w:t>
      </w:r>
      <w:r w:rsidR="0015286F">
        <w:t>re d</w:t>
      </w:r>
      <w:r w:rsidR="00346F1B">
        <w:t>’</w:t>
      </w:r>
      <w:r w:rsidR="0015286F">
        <w:t>état pour le Patrimoine national et la Culture (l</w:t>
      </w:r>
      <w:r w:rsidR="00346F1B">
        <w:t>’</w:t>
      </w:r>
      <w:r w:rsidR="0015286F">
        <w:t xml:space="preserve">entité en charge </w:t>
      </w:r>
      <w:r w:rsidR="00537329">
        <w:t>à l</w:t>
      </w:r>
      <w:r w:rsidR="00346F1B">
        <w:t>’</w:t>
      </w:r>
      <w:r w:rsidR="00537329">
        <w:t xml:space="preserve">époque </w:t>
      </w:r>
      <w:r w:rsidR="0015286F">
        <w:t>de ces questions, désormais le ministère des Sports, de la Culture et des Arts) pour la mise en œuvre du projet « Les traditions et pratiques associées aux Kayas dans les forêts sacrées des Mijikenda », constitué de trois étapes. Le projet visait à sauvegarder le patrimoine inscrit sur la Liste de sauvegarde urgente, notamment par la formation de neuf communautés kayas au développement d</w:t>
      </w:r>
      <w:r w:rsidR="00346F1B">
        <w:t>’</w:t>
      </w:r>
      <w:r w:rsidR="0015286F">
        <w:t>activités génératrices de revenus liées à leur patrimoine vivant, l</w:t>
      </w:r>
      <w:r w:rsidR="00346F1B">
        <w:t>’</w:t>
      </w:r>
      <w:r w:rsidR="0015286F">
        <w:t xml:space="preserve">apprentissage des futurs ainés, des visites de plus de 400 étudiants dans les Kayas </w:t>
      </w:r>
      <w:r w:rsidR="00EB6949">
        <w:t>(au cours desquelles l</w:t>
      </w:r>
      <w:r w:rsidR="00176F37">
        <w:t>es ainés des Kayas transmettaient l</w:t>
      </w:r>
      <w:r w:rsidR="00346F1B">
        <w:t>’</w:t>
      </w:r>
      <w:r w:rsidR="00176F37">
        <w:t>importance de la sauvegarde des traditions et des pratiques des Mijikenda) et l</w:t>
      </w:r>
      <w:r w:rsidR="00346F1B">
        <w:t>’</w:t>
      </w:r>
      <w:r w:rsidR="00176F37">
        <w:t xml:space="preserve">organisation de festivals culturels intercommunautaires présentant les modes de vie traditionnels des Kayas, ainsi que leur </w:t>
      </w:r>
      <w:r w:rsidR="00176F37" w:rsidRPr="00D546A8">
        <w:t>médecine</w:t>
      </w:r>
      <w:r w:rsidR="00176F37">
        <w:t>, leurs pratiques alimentaires et leur artisanat traditionnels. Le projet a</w:t>
      </w:r>
      <w:r w:rsidR="00393E3A">
        <w:t>vait</w:t>
      </w:r>
      <w:r w:rsidR="00176F37">
        <w:t xml:space="preserve"> en outre permis de réaliser et de diffuser plus de 6</w:t>
      </w:r>
      <w:r w:rsidR="00346F1B">
        <w:t> 000</w:t>
      </w:r>
      <w:r w:rsidR="00176F37">
        <w:t xml:space="preserve"> brochures en swahili et en anglais pour des activités de sensibilisation associées. La mise en œuvre avait toutefois connu un certain nombre de problèmes. Bien que les activités prévues par le contrat aient été </w:t>
      </w:r>
      <w:r w:rsidR="008052AC">
        <w:t>dûment</w:t>
      </w:r>
      <w:r w:rsidR="00176F37">
        <w:t xml:space="preserve"> mises en œuvre, l</w:t>
      </w:r>
      <w:r w:rsidR="00346F1B">
        <w:t>’</w:t>
      </w:r>
      <w:r w:rsidR="00176F37">
        <w:t xml:space="preserve">État partie </w:t>
      </w:r>
      <w:r w:rsidR="008D3E86">
        <w:t>avait rencontré des problèmes d</w:t>
      </w:r>
      <w:r w:rsidR="00346F1B">
        <w:t>’</w:t>
      </w:r>
      <w:r w:rsidR="008D3E86">
        <w:t>ordre administratif et financier, en grande partie liés à la restructuration du ministère en charge de la mise en œuvre du projet suite aux élections législatives de 2013, ce qui avait retardé la mise en œuvre des activités et la soumission du rapport final à la date stipulée par le contrat. En conséquence, à la demande du Département de la culture, le contrat avait été amendé en juillet 2013 afin d</w:t>
      </w:r>
      <w:r w:rsidR="00346F1B">
        <w:t>’</w:t>
      </w:r>
      <w:r w:rsidR="008D3E86">
        <w:t>être prolongé d</w:t>
      </w:r>
      <w:r w:rsidR="00346F1B">
        <w:t>’</w:t>
      </w:r>
      <w:r w:rsidR="008D3E86">
        <w:t>un an jusqu</w:t>
      </w:r>
      <w:r w:rsidR="00346F1B">
        <w:t>’</w:t>
      </w:r>
      <w:r w:rsidR="008D3E86">
        <w:t>en décembre 2014. Le ministère avait ensuite reçu les fonds</w:t>
      </w:r>
      <w:r w:rsidR="008D3A0B">
        <w:t xml:space="preserve">, en septembre, </w:t>
      </w:r>
      <w:r w:rsidR="008D3E86">
        <w:t>sur le compte de l</w:t>
      </w:r>
      <w:r w:rsidR="00346F1B">
        <w:t>’</w:t>
      </w:r>
      <w:r w:rsidR="00EB6949">
        <w:t>ancien ministère pour le Patrimoine national et la C</w:t>
      </w:r>
      <w:r w:rsidR="008D3E86">
        <w:t xml:space="preserve">ulture. </w:t>
      </w:r>
      <w:r w:rsidR="008D3A0B">
        <w:t>Le compte avait malheureusement été clôturé le même mois et le solde avait été transféré sur le compte du Trésor public, une procédure parlementaire avait ensuite été nécessaire afin que les fonds soient mis à disposition du Département de la culture. Bien que la procédure ait pris beaucoup de temps, l</w:t>
      </w:r>
      <w:r w:rsidR="00346F1B">
        <w:t>’</w:t>
      </w:r>
      <w:r w:rsidR="008D3A0B">
        <w:t>intervention du ministère des Sports, de la Culture et des Arts visant à réattribuer les fonds nécessaires à la mise en œuvre de la dernière phase du projet avait permis de sauver la situation. Les mêmes fonds avaient été remboursés au Trésor public bien plus tard. La délégation a expliqué qu</w:t>
      </w:r>
      <w:r w:rsidR="00346F1B">
        <w:t>’</w:t>
      </w:r>
      <w:r w:rsidR="008D3A0B">
        <w:t>afin de rendre le projet pérenne, la Commission nationale kenyane pour l</w:t>
      </w:r>
      <w:r w:rsidR="00346F1B">
        <w:t>’</w:t>
      </w:r>
      <w:r w:rsidR="008D3A0B">
        <w:t xml:space="preserve">UNESCO avait lancé un programme récompensant les </w:t>
      </w:r>
      <w:r w:rsidR="00AB710C">
        <w:t>Kayas les mieux conservés et les mieux gérés afin de leur permet</w:t>
      </w:r>
      <w:r w:rsidR="00EB6949">
        <w:t>tre de continuer à pratiquer leurs</w:t>
      </w:r>
      <w:r w:rsidR="00EA3015">
        <w:t xml:space="preserve"> traditions.</w:t>
      </w:r>
    </w:p>
    <w:p w14:paraId="31E1A413" w14:textId="2F21E6C8" w:rsidR="00EB6949" w:rsidRDefault="00EB6949" w:rsidP="00AF7860">
      <w:pPr>
        <w:pStyle w:val="Orateurengris"/>
        <w:spacing w:before="120"/>
        <w:ind w:left="709" w:hanging="709"/>
      </w:pPr>
      <w:r>
        <w:t xml:space="preserve">Le </w:t>
      </w:r>
      <w:r w:rsidRPr="00EB6949">
        <w:rPr>
          <w:b/>
        </w:rPr>
        <w:t>Président</w:t>
      </w:r>
      <w:r>
        <w:t xml:space="preserve"> a r</w:t>
      </w:r>
      <w:r w:rsidR="00575AC4">
        <w:t>emercié le Kenya d</w:t>
      </w:r>
      <w:r w:rsidR="00346F1B">
        <w:t>’</w:t>
      </w:r>
      <w:r w:rsidR="00575AC4">
        <w:t>avoir fait part de</w:t>
      </w:r>
      <w:r w:rsidR="00EA3015">
        <w:t xml:space="preserve"> son expérience.</w:t>
      </w:r>
    </w:p>
    <w:p w14:paraId="3914F8DE" w14:textId="54347C2F" w:rsidR="00CB1613" w:rsidRDefault="00EB6949" w:rsidP="00AF7860">
      <w:pPr>
        <w:pStyle w:val="Orateurengris"/>
        <w:spacing w:before="120"/>
        <w:ind w:left="709" w:hanging="709"/>
      </w:pPr>
      <w:r w:rsidRPr="002D462E">
        <w:t xml:space="preserve">La délégation de la </w:t>
      </w:r>
      <w:r w:rsidRPr="002D462E">
        <w:rPr>
          <w:b/>
        </w:rPr>
        <w:t>Mongolie</w:t>
      </w:r>
      <w:r w:rsidR="008E578C" w:rsidRPr="002D462E">
        <w:t xml:space="preserve"> a souligné que son pays avait </w:t>
      </w:r>
      <w:r w:rsidR="00CB1613" w:rsidRPr="002D462E">
        <w:t>activement mis en œuvre les objectifs de l</w:t>
      </w:r>
      <w:r w:rsidR="00EA6D6B">
        <w:t>a Convention au niveau national</w:t>
      </w:r>
      <w:r w:rsidR="00CB1613" w:rsidRPr="002D462E">
        <w:t xml:space="preserve"> en étroite collaboration avec l</w:t>
      </w:r>
      <w:r w:rsidR="00346F1B">
        <w:t>’</w:t>
      </w:r>
      <w:r w:rsidR="00CB1613" w:rsidRPr="002D462E">
        <w:t>UNESCO</w:t>
      </w:r>
      <w:r w:rsidR="00EA6D6B">
        <w:t>,</w:t>
      </w:r>
      <w:r w:rsidR="00CB1613" w:rsidRPr="002D462E">
        <w:t xml:space="preserve"> principalement par l</w:t>
      </w:r>
      <w:r w:rsidR="00346F1B">
        <w:t>’</w:t>
      </w:r>
      <w:r w:rsidR="00CB1613" w:rsidRPr="002D462E">
        <w:t>intermédiaire de son bureau de Beijing et de ses organisations associées tels que les centres de catégorie 2, notamment le Centre international d</w:t>
      </w:r>
      <w:r w:rsidR="00346F1B">
        <w:t>’</w:t>
      </w:r>
      <w:r w:rsidR="00CB1613" w:rsidRPr="002D462E">
        <w:t>information et de mise en réseau pour le patrimoine culturel immatériel</w:t>
      </w:r>
      <w:r w:rsidR="00EA6D6B">
        <w:t xml:space="preserve"> dans la région </w:t>
      </w:r>
      <w:r w:rsidR="00CB1613" w:rsidRPr="002D462E">
        <w:t>Asie-Pacifique (ICHCAP) en République de Corée, et en impliquant les communautés et les groupes. La délégation a exprimé sa reconnaissance pour la collaboration et l</w:t>
      </w:r>
      <w:r w:rsidR="00346F1B">
        <w:t>’</w:t>
      </w:r>
      <w:r w:rsidR="00CB1613" w:rsidRPr="002D462E">
        <w:t xml:space="preserve">assistance offertes par Fonds du PCI qui avait joué un rôle essentiel dans la promotion et la sauvegarde du PCI en Mongolie. En tant que bénéficiaire, le Gouvernement de Mongolie </w:t>
      </w:r>
      <w:r w:rsidR="00393E3A">
        <w:t xml:space="preserve">souhaitait </w:t>
      </w:r>
      <w:r w:rsidR="00CB1613" w:rsidRPr="002D462E">
        <w:t>remercier tous les donateurs qui avaient versé des contributions au Fonds, ainsi que le Secrétariat pour le généreux soutien qu</w:t>
      </w:r>
      <w:r w:rsidR="00346F1B">
        <w:t>’</w:t>
      </w:r>
      <w:r w:rsidR="00CB1613" w:rsidRPr="002D462E">
        <w:t>il avait accordé à la sauvegarde et la revitalisation de l</w:t>
      </w:r>
      <w:r w:rsidR="00346F1B">
        <w:t>’</w:t>
      </w:r>
      <w:r w:rsidR="00CB1613" w:rsidRPr="002D462E">
        <w:t>épopée tr</w:t>
      </w:r>
      <w:r w:rsidR="00EA6D6B">
        <w:t>aditionnelle mongole qui était en voie de disparition</w:t>
      </w:r>
      <w:r w:rsidR="00CB1613" w:rsidRPr="002D462E">
        <w:t xml:space="preserve">. </w:t>
      </w:r>
      <w:r w:rsidR="002D462E" w:rsidRPr="002D462E">
        <w:t>En outre, la Mongolie avait bénéficié d</w:t>
      </w:r>
      <w:r w:rsidR="00346F1B">
        <w:t>’</w:t>
      </w:r>
      <w:r w:rsidR="002D462E" w:rsidRPr="002D462E">
        <w:t xml:space="preserve">un soutien pour un projet destiné à renforcer les capacités des ONG impliquées dans le PCI, </w:t>
      </w:r>
      <w:r w:rsidR="00EA6D6B">
        <w:t xml:space="preserve">projet </w:t>
      </w:r>
      <w:r w:rsidR="002D462E" w:rsidRPr="002D462E">
        <w:t>mis en œuvre avec succès par une ONG accréditée auprès de l</w:t>
      </w:r>
      <w:r w:rsidR="00346F1B">
        <w:t>’</w:t>
      </w:r>
      <w:r w:rsidR="002D462E" w:rsidRPr="002D462E">
        <w:t>UNESCO, la Fondation pour la protection du patrimoine naturel et culturel (Foundation for the Protection of Natural and Cultural Heritage). Le projet a</w:t>
      </w:r>
      <w:r w:rsidR="002D462E">
        <w:t>vait</w:t>
      </w:r>
      <w:r w:rsidR="002D462E" w:rsidRPr="002D462E">
        <w:t xml:space="preserve"> débuté</w:t>
      </w:r>
      <w:r w:rsidR="002D462E">
        <w:t xml:space="preserve"> en 2015 et, grâce à sa mise en œuvre réussie, tous les participants aux ateliers nationaux de renforcement des capacités des ONG étaient très attachés à la signification du projet, </w:t>
      </w:r>
      <w:r w:rsidR="00EA3015">
        <w:t>son impact et ses implications.</w:t>
      </w:r>
    </w:p>
    <w:p w14:paraId="58A7164C" w14:textId="16BAD9AD" w:rsidR="00EA6D6B" w:rsidRPr="002D462E" w:rsidRDefault="00EA6D6B" w:rsidP="00AF7860">
      <w:pPr>
        <w:pStyle w:val="Orateurengris"/>
        <w:spacing w:before="120"/>
        <w:ind w:left="709" w:hanging="709"/>
      </w:pPr>
      <w:r>
        <w:t xml:space="preserve">Après avoir remercié la Mongolie, le </w:t>
      </w:r>
      <w:r w:rsidRPr="00EA6D6B">
        <w:rPr>
          <w:b/>
        </w:rPr>
        <w:t>Président</w:t>
      </w:r>
      <w:r>
        <w:t xml:space="preserve"> a signalé une demande de la part du Kenya</w:t>
      </w:r>
      <w:r w:rsidR="00EA3015">
        <w:t xml:space="preserve"> afin que soit projeté un film.</w:t>
      </w:r>
    </w:p>
    <w:p w14:paraId="037E7443" w14:textId="3FEBD2A8" w:rsidR="00B26A5F" w:rsidRPr="00EA1471" w:rsidRDefault="00EA1471" w:rsidP="00EA3015">
      <w:pPr>
        <w:pStyle w:val="Orateurengris"/>
        <w:numPr>
          <w:ilvl w:val="0"/>
          <w:numId w:val="0"/>
        </w:numPr>
        <w:spacing w:before="240" w:after="240"/>
        <w:jc w:val="center"/>
        <w:rPr>
          <w:i/>
        </w:rPr>
      </w:pPr>
      <w:r w:rsidRPr="00EA1471">
        <w:rPr>
          <w:i/>
        </w:rPr>
        <w:t xml:space="preserve">[Un court </w:t>
      </w:r>
      <w:r w:rsidR="00152430">
        <w:rPr>
          <w:i/>
        </w:rPr>
        <w:t xml:space="preserve">métrage </w:t>
      </w:r>
      <w:r w:rsidRPr="00EA1471">
        <w:rPr>
          <w:i/>
        </w:rPr>
        <w:t>sur le Mijikenda a été projeté</w:t>
      </w:r>
      <w:r w:rsidR="00B26A5F" w:rsidRPr="00EA1471">
        <w:rPr>
          <w:i/>
        </w:rPr>
        <w:t>]</w:t>
      </w:r>
    </w:p>
    <w:p w14:paraId="5171B178" w14:textId="27980382" w:rsidR="00EA1471" w:rsidRPr="00EA1471" w:rsidRDefault="00EA1471" w:rsidP="00AF7860">
      <w:pPr>
        <w:pStyle w:val="Orateurengris"/>
        <w:spacing w:before="120"/>
        <w:ind w:left="709" w:hanging="709"/>
      </w:pPr>
      <w:r w:rsidRPr="00EA1471">
        <w:t xml:space="preserve">Le </w:t>
      </w:r>
      <w:r w:rsidRPr="00EA1471">
        <w:rPr>
          <w:b/>
        </w:rPr>
        <w:t>Président</w:t>
      </w:r>
      <w:r w:rsidRPr="00EA1471">
        <w:t xml:space="preserve"> a remercié et</w:t>
      </w:r>
      <w:r w:rsidR="00311274">
        <w:t xml:space="preserve"> félicité le Kenya.</w:t>
      </w:r>
    </w:p>
    <w:p w14:paraId="14C9AC9E" w14:textId="1E7CFEF0" w:rsidR="00B77DAE" w:rsidRPr="00EA1471" w:rsidRDefault="00EA1471" w:rsidP="00AF7860">
      <w:pPr>
        <w:pStyle w:val="Orateurengris"/>
        <w:spacing w:before="120"/>
        <w:ind w:left="709" w:hanging="709"/>
      </w:pPr>
      <w:r w:rsidRPr="00EA1471">
        <w:t xml:space="preserve">La délégation du </w:t>
      </w:r>
      <w:r w:rsidRPr="00EA1471">
        <w:rPr>
          <w:b/>
        </w:rPr>
        <w:t>Maroc</w:t>
      </w:r>
      <w:r>
        <w:t xml:space="preserve"> a félicité le Président pour sa conduite des travaux du Comité, et a remercié l</w:t>
      </w:r>
      <w:r w:rsidR="00346F1B">
        <w:t>’</w:t>
      </w:r>
      <w:r>
        <w:t>Éthiopie pour son hospitalité et l</w:t>
      </w:r>
      <w:r w:rsidR="00346F1B">
        <w:t>’</w:t>
      </w:r>
      <w:r>
        <w:t>excellente organisation de cette session, ainsi que l</w:t>
      </w:r>
      <w:r w:rsidR="00346F1B">
        <w:t>’</w:t>
      </w:r>
      <w:r>
        <w:t>Arabie saoudite pour la généreuse mise à disposition d</w:t>
      </w:r>
      <w:r w:rsidR="00346F1B">
        <w:t>’</w:t>
      </w:r>
      <w:r w:rsidR="00E46ADA">
        <w:t>un service d</w:t>
      </w:r>
      <w:r w:rsidR="00346F1B">
        <w:t>’</w:t>
      </w:r>
      <w:r>
        <w:t xml:space="preserve">interprétation en langue arabe. Elle a également remercié </w:t>
      </w:r>
      <w:r w:rsidR="00A2112D">
        <w:t xml:space="preserve">le Bureau </w:t>
      </w:r>
      <w:r>
        <w:t>d</w:t>
      </w:r>
      <w:r w:rsidR="00346F1B">
        <w:t>’</w:t>
      </w:r>
      <w:r>
        <w:t xml:space="preserve">avoir accordé une assistance préparatoire à la candidature de « Taskiwine, </w:t>
      </w:r>
      <w:r w:rsidR="00A2112D">
        <w:t>danses et chants amazighe du Haut Atlas occidental » qui était la première candidature du Maroc, mais certainement pas sa dernière, pour une possible inscription sur la Liste de sauvegarde urgente. Suite à la décision 9.COM 4.BUR 2, le Maroc avait reçu, en 2014, une assistance préparatoire d</w:t>
      </w:r>
      <w:r w:rsidR="00346F1B">
        <w:t>’</w:t>
      </w:r>
      <w:r w:rsidR="00A2112D">
        <w:t>un montant de 14</w:t>
      </w:r>
      <w:r w:rsidR="00695748">
        <w:t> </w:t>
      </w:r>
      <w:r w:rsidR="00A2112D">
        <w:t>100 dollars des États-Unis du Fonds du PCI. Cette assistance préparatoire avait rendu possible la préparation de la candidature de « Taskiwine, danses et chants amazighe du Haut Atlas occidental » pour une possible inscription en 2017 et avait permis à l</w:t>
      </w:r>
      <w:r w:rsidR="00346F1B">
        <w:t>’</w:t>
      </w:r>
      <w:r w:rsidR="00A2112D">
        <w:t>ONG Targa, bénéficiaire de cette assistance et principale représentante des communautés détentrices de ce projet, d</w:t>
      </w:r>
      <w:r w:rsidR="00346F1B">
        <w:t>’</w:t>
      </w:r>
      <w:r w:rsidR="00A2112D">
        <w:t xml:space="preserve">entreprendre </w:t>
      </w:r>
      <w:r w:rsidR="00B77DAE">
        <w:t>plusieurs activités en collaboration avec les services en charge de l</w:t>
      </w:r>
      <w:r w:rsidR="00346F1B">
        <w:t>’</w:t>
      </w:r>
      <w:r w:rsidR="00B77DAE">
        <w:t>inventaire du patrimoine culturel auprès du ministère de la Culture et</w:t>
      </w:r>
      <w:r w:rsidR="00A2112D">
        <w:t xml:space="preserve"> </w:t>
      </w:r>
      <w:r w:rsidR="00B77DAE">
        <w:t>d</w:t>
      </w:r>
      <w:r w:rsidR="00346F1B">
        <w:t>’</w:t>
      </w:r>
      <w:r w:rsidR="00B77DAE">
        <w:t xml:space="preserve">autres partenaires. Ces activités </w:t>
      </w:r>
      <w:r w:rsidR="00E46ADA">
        <w:t>s</w:t>
      </w:r>
      <w:r w:rsidR="00346F1B">
        <w:t>’</w:t>
      </w:r>
      <w:r w:rsidR="00B77DAE">
        <w:t xml:space="preserve">étaient tout particulièrement </w:t>
      </w:r>
      <w:r w:rsidR="00E46ADA">
        <w:t xml:space="preserve">concentrées sur </w:t>
      </w:r>
      <w:r w:rsidR="00B77DAE">
        <w:t>la réalisation, avec la participation active des communautés concernées, d</w:t>
      </w:r>
      <w:r w:rsidR="00346F1B">
        <w:t>’</w:t>
      </w:r>
      <w:r w:rsidR="00B77DAE">
        <w:t>un premier inventaire du PCI de la région occidentale du Haut Atlas, notamment des éléments constitutifs de la danse et des chants appelés T</w:t>
      </w:r>
      <w:r w:rsidR="00E46ADA">
        <w:t>askiwine, et sur</w:t>
      </w:r>
      <w:r w:rsidR="00B77DAE">
        <w:t xml:space="preserve"> l</w:t>
      </w:r>
      <w:r w:rsidR="00346F1B">
        <w:t>’</w:t>
      </w:r>
      <w:r w:rsidR="00B77DAE">
        <w:t>organisation de consultations des communautés, groupes et individus concernés, en présence de représen</w:t>
      </w:r>
      <w:r w:rsidR="00E46ADA">
        <w:t>tants élus, des autorités et de</w:t>
      </w:r>
      <w:r w:rsidR="00B77DAE">
        <w:t xml:space="preserve"> fonctionna</w:t>
      </w:r>
      <w:r w:rsidR="00E46ADA">
        <w:t>ires du ministère de la Culture ainsi que</w:t>
      </w:r>
      <w:r w:rsidR="00B77DAE">
        <w:t xml:space="preserve"> de chercheurs de l</w:t>
      </w:r>
      <w:r w:rsidR="00346F1B">
        <w:t>’</w:t>
      </w:r>
      <w:r w:rsidR="00B77DAE">
        <w:t>université Ibn Zohr d</w:t>
      </w:r>
      <w:r w:rsidR="00346F1B">
        <w:t>’</w:t>
      </w:r>
      <w:r w:rsidR="00B77DAE">
        <w:t>Agadir et de la faculté p</w:t>
      </w:r>
      <w:r w:rsidR="00E46ADA">
        <w:t>luridisciplinaire de Taroudant. À cette fin, les deux consultations s</w:t>
      </w:r>
      <w:r w:rsidR="00346F1B">
        <w:t>’</w:t>
      </w:r>
      <w:r w:rsidR="00E46ADA">
        <w:t>étaient déroulées entre la date de réception de l</w:t>
      </w:r>
      <w:r w:rsidR="00346F1B">
        <w:t>’</w:t>
      </w:r>
      <w:r w:rsidR="00E46ADA">
        <w:t xml:space="preserve">assistance préparatoire et la date de soumission de la candidature en mars 2016. En outre, elles avaient grandement contribué au renforcement des capacités des associations locales œuvrant dans le domaine du PCI. Une société de production professionnelle avait également produit un documentaire et réalisé un livre de photographies sur la danse et les </w:t>
      </w:r>
      <w:r w:rsidR="00311274">
        <w:t>chants amazighe.</w:t>
      </w:r>
    </w:p>
    <w:p w14:paraId="17BA9FCB" w14:textId="771E35EB" w:rsidR="00E46ADA" w:rsidRDefault="00E46ADA" w:rsidP="00AF7860">
      <w:pPr>
        <w:pStyle w:val="Orateurengris"/>
        <w:spacing w:before="120"/>
        <w:ind w:left="709" w:hanging="709"/>
      </w:pPr>
      <w:r w:rsidRPr="00E46ADA">
        <w:t xml:space="preserve">Le </w:t>
      </w:r>
      <w:r w:rsidRPr="00E46ADA">
        <w:rPr>
          <w:b/>
        </w:rPr>
        <w:t>Président</w:t>
      </w:r>
      <w:r>
        <w:t xml:space="preserve"> a remercié le Maroc d</w:t>
      </w:r>
      <w:r w:rsidR="00346F1B">
        <w:t>’</w:t>
      </w:r>
      <w:r>
        <w:t xml:space="preserve">avoir fait part de son expérience, </w:t>
      </w:r>
      <w:r w:rsidR="00575AC4">
        <w:t>et a noté une deman</w:t>
      </w:r>
      <w:r w:rsidR="00CA251F">
        <w:t xml:space="preserve">de, </w:t>
      </w:r>
      <w:r w:rsidR="00575AC4">
        <w:t>de la part de l</w:t>
      </w:r>
      <w:r w:rsidR="00346F1B">
        <w:t>’</w:t>
      </w:r>
      <w:r w:rsidR="00575AC4">
        <w:t>Ouganda</w:t>
      </w:r>
      <w:r w:rsidR="00CA251F">
        <w:t>, de projeter un film</w:t>
      </w:r>
      <w:r w:rsidR="00311274">
        <w:t>.</w:t>
      </w:r>
    </w:p>
    <w:p w14:paraId="3E7AE97A" w14:textId="5293CE4B" w:rsidR="00031393" w:rsidRPr="00E46ADA" w:rsidRDefault="00031393" w:rsidP="00AF7860">
      <w:pPr>
        <w:pStyle w:val="Orateurengris"/>
        <w:spacing w:before="120"/>
        <w:ind w:left="709" w:hanging="709"/>
      </w:pPr>
      <w:r>
        <w:t>La délégation de l</w:t>
      </w:r>
      <w:r w:rsidR="00346F1B">
        <w:t>’</w:t>
      </w:r>
      <w:r w:rsidRPr="00031393">
        <w:rPr>
          <w:b/>
        </w:rPr>
        <w:t>Ouganda</w:t>
      </w:r>
      <w:r>
        <w:t xml:space="preserve"> a exprimé sa reconnaissance au Président pour sa direction éclairée</w:t>
      </w:r>
      <w:r w:rsidR="00E2494F">
        <w:t xml:space="preserve"> des travaux</w:t>
      </w:r>
      <w:r>
        <w:t>, à l</w:t>
      </w:r>
      <w:r w:rsidR="00346F1B">
        <w:t>’</w:t>
      </w:r>
      <w:r>
        <w:t>Éthiopie pour son hospitalité et au Secrétaire ainsi qu</w:t>
      </w:r>
      <w:r w:rsidR="00346F1B">
        <w:t>’</w:t>
      </w:r>
      <w:r>
        <w:t>au Secrétariat pour leur excellente coordination de cette réunion. À</w:t>
      </w:r>
      <w:r w:rsidR="00C844D2">
        <w:t xml:space="preserve"> propos de l</w:t>
      </w:r>
      <w:r w:rsidR="00346F1B">
        <w:t>’</w:t>
      </w:r>
      <w:r w:rsidR="00C844D2">
        <w:t>élément « Le bigwala, musique de trompes et de calebasse et danse du royaume de Busoga en Ouganda » près de Jinja et inscrit sur la Liste de sauvegarde urgente en 2012, la délégation a expliqué qu</w:t>
      </w:r>
      <w:r w:rsidR="00346F1B">
        <w:t>’</w:t>
      </w:r>
      <w:r w:rsidR="00C844D2">
        <w:t>elle avait bénéficié de l</w:t>
      </w:r>
      <w:r w:rsidR="00346F1B">
        <w:t>’</w:t>
      </w:r>
      <w:r w:rsidR="00C844D2">
        <w:t>assistance internationale en 2014. Grâce à celle-ci, l</w:t>
      </w:r>
      <w:r w:rsidR="00346F1B">
        <w:t>’</w:t>
      </w:r>
      <w:r w:rsidR="00C844D2">
        <w:t xml:space="preserve">Ouganda avait dépassé les objectifs définis par les mesures de sauvegarde, suscitant un très grand intérêt de la part des différents </w:t>
      </w:r>
      <w:r w:rsidR="00A46CAD">
        <w:t>membres</w:t>
      </w:r>
      <w:r w:rsidR="00C844D2">
        <w:t xml:space="preserve"> de la communauté, tels que les enfants, les jeunes, les</w:t>
      </w:r>
      <w:r w:rsidR="00152430">
        <w:t xml:space="preserve"> femmes et les hommes, envers la</w:t>
      </w:r>
      <w:r w:rsidR="00C844D2">
        <w:t xml:space="preserve"> participation à la plupart des activités prévues par le projet. Le mécanisme financier était donc un outil essentiel pour mettre en œuvre les mesures de sauvegarde, et la délégation a prié instamment les États parties de tirer le plus grand profit de ce mécanisme. </w:t>
      </w:r>
      <w:r w:rsidR="00E2494F">
        <w:t>L</w:t>
      </w:r>
      <w:r w:rsidR="00346F1B">
        <w:t>’</w:t>
      </w:r>
      <w:r w:rsidR="00E2494F">
        <w:t>Ouganda s</w:t>
      </w:r>
      <w:r w:rsidR="00346F1B">
        <w:t>’</w:t>
      </w:r>
      <w:r w:rsidR="00E2494F">
        <w:t>était engagé à soumettre son rapport sur l</w:t>
      </w:r>
      <w:r w:rsidR="00346F1B">
        <w:t>’</w:t>
      </w:r>
      <w:r w:rsidR="00E2494F">
        <w:t>état de l</w:t>
      </w:r>
      <w:r w:rsidR="00346F1B">
        <w:t>’</w:t>
      </w:r>
      <w:r w:rsidR="00E2494F">
        <w:t>élément avant le 15 décembre 2016 et à achever la mise en œuvre des mesures de sauvegarde, ainsi qu</w:t>
      </w:r>
      <w:r w:rsidR="00346F1B">
        <w:t>’</w:t>
      </w:r>
      <w:r w:rsidR="00E2494F">
        <w:t>à se prémunir des e</w:t>
      </w:r>
      <w:r w:rsidR="00152430">
        <w:t>ffets négatifs qui pourraient en résulter</w:t>
      </w:r>
      <w:r w:rsidR="00E2494F">
        <w:t>. Enfin, la délégation a demandé que soient adoptés avec diligence les dossiers restant à approuver au titre de la Convention de 197</w:t>
      </w:r>
      <w:r w:rsidR="00311274">
        <w:t>2.</w:t>
      </w:r>
    </w:p>
    <w:p w14:paraId="0079BDF7" w14:textId="444BD88F" w:rsidR="00C252F4" w:rsidRPr="00152430" w:rsidRDefault="00152430" w:rsidP="00311274">
      <w:pPr>
        <w:pStyle w:val="Orateurengris"/>
        <w:numPr>
          <w:ilvl w:val="0"/>
          <w:numId w:val="0"/>
        </w:numPr>
        <w:spacing w:before="240" w:after="240"/>
        <w:jc w:val="center"/>
        <w:rPr>
          <w:i/>
        </w:rPr>
      </w:pPr>
      <w:r>
        <w:rPr>
          <w:i/>
        </w:rPr>
        <w:t>[Un court métrage sur le Bigwala a été projeté</w:t>
      </w:r>
      <w:r w:rsidR="008F41B8" w:rsidRPr="00152430">
        <w:rPr>
          <w:i/>
        </w:rPr>
        <w:t>]</w:t>
      </w:r>
    </w:p>
    <w:p w14:paraId="051BBF59" w14:textId="3128D66B" w:rsidR="00152430" w:rsidRPr="00152430" w:rsidRDefault="00152430" w:rsidP="00AF7860">
      <w:pPr>
        <w:pStyle w:val="Orateurengris"/>
        <w:spacing w:before="120"/>
        <w:ind w:left="709" w:hanging="709"/>
        <w:rPr>
          <w:b/>
        </w:rPr>
      </w:pPr>
      <w:r w:rsidRPr="00152430">
        <w:t>Le</w:t>
      </w:r>
      <w:r>
        <w:rPr>
          <w:b/>
        </w:rPr>
        <w:t xml:space="preserve"> Président </w:t>
      </w:r>
      <w:r>
        <w:t>a remercié l</w:t>
      </w:r>
      <w:r w:rsidR="00346F1B">
        <w:t>’</w:t>
      </w:r>
      <w:r>
        <w:t>Ouganda et</w:t>
      </w:r>
      <w:r w:rsidR="00311274">
        <w:t xml:space="preserve"> a donné la parole au Viet Nam.</w:t>
      </w:r>
    </w:p>
    <w:p w14:paraId="06448EDB" w14:textId="3C4D0F89" w:rsidR="00955E7C" w:rsidRPr="00152430" w:rsidRDefault="00152430" w:rsidP="00AF7860">
      <w:pPr>
        <w:pStyle w:val="Orateurengris"/>
        <w:spacing w:before="120"/>
        <w:ind w:left="709" w:hanging="709"/>
      </w:pPr>
      <w:r>
        <w:t xml:space="preserve">La délégation du </w:t>
      </w:r>
      <w:r w:rsidRPr="00152430">
        <w:rPr>
          <w:b/>
        </w:rPr>
        <w:t>Viet Nam</w:t>
      </w:r>
      <w:r>
        <w:t xml:space="preserve"> a remercié l</w:t>
      </w:r>
      <w:r w:rsidR="00346F1B">
        <w:t>’</w:t>
      </w:r>
      <w:r>
        <w:t>Éthiopie pour son aimable hospitalité. Le projet « Sauvegarde des traditions et expressions orales des Dao dans les provinces de Lao Cai et Lai Chau, Viet Nam »</w:t>
      </w:r>
      <w:r w:rsidR="00163692">
        <w:t>,</w:t>
      </w:r>
      <w:r>
        <w:t xml:space="preserve"> d</w:t>
      </w:r>
      <w:r w:rsidR="00346F1B">
        <w:t>’</w:t>
      </w:r>
      <w:r>
        <w:t>un montant de 24</w:t>
      </w:r>
      <w:r w:rsidR="00695748">
        <w:t> </w:t>
      </w:r>
      <w:r>
        <w:t>350 dollars des États-Unis</w:t>
      </w:r>
      <w:r w:rsidR="00163692">
        <w:t>, avait</w:t>
      </w:r>
      <w:r>
        <w:t xml:space="preserve"> </w:t>
      </w:r>
      <w:r w:rsidR="00163692">
        <w:t xml:space="preserve">bénéficié du soutien de </w:t>
      </w:r>
      <w:r>
        <w:t>l</w:t>
      </w:r>
      <w:r w:rsidR="00346F1B">
        <w:t>’</w:t>
      </w:r>
      <w:r>
        <w:t>assistance internationale du Fonds du PCI et a été mis en œuvre entre août 2015 et août 2016 par l</w:t>
      </w:r>
      <w:r w:rsidR="00346F1B">
        <w:t>’</w:t>
      </w:r>
      <w:r>
        <w:t>Association vietnamienne des spécialistes du folklore, avec la collaboration de spécialistes locaux et des communautés locales. Dans le cadre du pro</w:t>
      </w:r>
      <w:r w:rsidR="00955E7C">
        <w:t>jet, des cours avaient été dispensés</w:t>
      </w:r>
      <w:r>
        <w:t xml:space="preserve"> sur la langue dao </w:t>
      </w:r>
      <w:r w:rsidR="00955E7C">
        <w:t xml:space="preserve">et </w:t>
      </w:r>
      <w:r>
        <w:t xml:space="preserve">les </w:t>
      </w:r>
      <w:r w:rsidR="00955E7C">
        <w:t>traditions orales et expressions associées. 100 jeunes filles et professeures en avaient bénéficié dans sept villages du nord du Viet Nam. Le projet a</w:t>
      </w:r>
      <w:r w:rsidR="00163692">
        <w:t>vait</w:t>
      </w:r>
      <w:r w:rsidR="00955E7C">
        <w:t xml:space="preserve"> également permis de réaliser 30 enquêtes sur les modalités d</w:t>
      </w:r>
      <w:r w:rsidR="00346F1B">
        <w:t>’</w:t>
      </w:r>
      <w:r w:rsidR="00955E7C">
        <w:t>apprentissage de la langue dao et des traditions orales telles que les chansons populaires, les chants rituels, etc. Seize enseignants avaient été choisis et un protocole d</w:t>
      </w:r>
      <w:r w:rsidR="00346F1B">
        <w:t>’</w:t>
      </w:r>
      <w:r w:rsidR="00955E7C">
        <w:t>accord avait été signé avec les autorités communales de sept villages pour organiser l</w:t>
      </w:r>
      <w:r w:rsidR="00163692">
        <w:t>es cours. La participation des</w:t>
      </w:r>
      <w:r w:rsidR="00955E7C">
        <w:t xml:space="preserve"> communauté</w:t>
      </w:r>
      <w:r w:rsidR="00163692">
        <w:t>s</w:t>
      </w:r>
      <w:r w:rsidR="00955E7C">
        <w:t xml:space="preserve"> et des parties prenantes avait été essentielle pour la réussite de la mise en œuvre des projets. </w:t>
      </w:r>
      <w:r w:rsidR="00163692">
        <w:t>Les enseignants étaient des chamanes et d</w:t>
      </w:r>
      <w:r w:rsidR="00955E7C">
        <w:t>es artistes</w:t>
      </w:r>
      <w:r w:rsidR="00163692">
        <w:t xml:space="preserve"> tandis que </w:t>
      </w:r>
      <w:r w:rsidR="00955E7C">
        <w:t>les élèves étaient des adolescents et des adultes d</w:t>
      </w:r>
      <w:r w:rsidR="00346F1B">
        <w:t>’</w:t>
      </w:r>
      <w:r w:rsidR="00955E7C">
        <w:t xml:space="preserve">âge moyen, en particulier des femmes. </w:t>
      </w:r>
      <w:r w:rsidR="00163692">
        <w:t>Outre les objectifs initiaux de sauvegarde des traditions orales des Dao, le projet avait également été très bien reçu par les spécialistes locaux du folklore, la communauté locale et le gouvernement local, renforçant ainsi la visibilité de l</w:t>
      </w:r>
      <w:r w:rsidR="00346F1B">
        <w:t>’</w:t>
      </w:r>
      <w:r w:rsidR="00163692">
        <w:t xml:space="preserve">UNESCO dans la région. La délégation a remercié les </w:t>
      </w:r>
      <w:r w:rsidR="00A46CAD">
        <w:t>membres</w:t>
      </w:r>
      <w:r w:rsidR="00163692">
        <w:t xml:space="preserve"> de la communauté et le Secrétariat, ajoutant qu</w:t>
      </w:r>
      <w:r w:rsidR="00346F1B">
        <w:t>’</w:t>
      </w:r>
      <w:r w:rsidR="00163692">
        <w:t>elle espérait bénéficier du Fond</w:t>
      </w:r>
      <w:r w:rsidR="00311274">
        <w:t>s une nouvelle fois à l</w:t>
      </w:r>
      <w:r w:rsidR="00346F1B">
        <w:t>’</w:t>
      </w:r>
      <w:r w:rsidR="00311274">
        <w:t>avenir.</w:t>
      </w:r>
    </w:p>
    <w:p w14:paraId="7DF26376" w14:textId="4D17D525" w:rsidR="00163692" w:rsidRPr="00FE078D" w:rsidRDefault="00163692" w:rsidP="00AF7860">
      <w:pPr>
        <w:pStyle w:val="Orateurengris"/>
        <w:spacing w:before="120"/>
        <w:ind w:left="709" w:hanging="709"/>
        <w:rPr>
          <w:b/>
        </w:rPr>
      </w:pPr>
      <w:r>
        <w:t xml:space="preserve">Le Président a remercié le Viet Nam et a </w:t>
      </w:r>
      <w:r w:rsidR="00311274">
        <w:t>donné la parole à la Zambie.</w:t>
      </w:r>
    </w:p>
    <w:p w14:paraId="51E32CBD" w14:textId="7359C625" w:rsidR="00087782" w:rsidRPr="00E04343" w:rsidRDefault="00FE078D" w:rsidP="00DC021B">
      <w:pPr>
        <w:pStyle w:val="Orateurengris"/>
        <w:spacing w:before="120" w:after="60"/>
        <w:ind w:left="709" w:hanging="709"/>
        <w:rPr>
          <w:b/>
        </w:rPr>
      </w:pPr>
      <w:r>
        <w:t xml:space="preserve">La délégation de la </w:t>
      </w:r>
      <w:r w:rsidRPr="00FE078D">
        <w:rPr>
          <w:b/>
        </w:rPr>
        <w:t>Zambie</w:t>
      </w:r>
      <w:r>
        <w:t xml:space="preserve"> a exprimé sa reconnaissance au Secrétaire d</w:t>
      </w:r>
      <w:r w:rsidR="00346F1B">
        <w:t>’</w:t>
      </w:r>
      <w:r>
        <w:t>avoir facilité l</w:t>
      </w:r>
      <w:r w:rsidR="00346F1B">
        <w:t>’</w:t>
      </w:r>
      <w:r>
        <w:t>approbation de deux demandes d</w:t>
      </w:r>
      <w:r w:rsidR="00346F1B">
        <w:t>’</w:t>
      </w:r>
      <w:r>
        <w:t>assistance internationale soumises par la Zambie </w:t>
      </w:r>
      <w:r w:rsidR="00E04343">
        <w:t>; c</w:t>
      </w:r>
      <w:r w:rsidR="00346F1B">
        <w:t>’</w:t>
      </w:r>
      <w:r w:rsidR="00E04343">
        <w:t>était la première fois que le pays</w:t>
      </w:r>
      <w:r>
        <w:t xml:space="preserve"> en bénéficiait, ayant vu deux projets acceptés en un an. </w:t>
      </w:r>
      <w:r w:rsidR="00087782">
        <w:t>Le premier projet, « Inventaire de la musique et de la danse des Lozi et des Nkoya du district de Kaoma », avait été approuvé en 2015, pour un montant de 24</w:t>
      </w:r>
      <w:r w:rsidR="00695748">
        <w:t> </w:t>
      </w:r>
      <w:r w:rsidR="00087782">
        <w:t>928,30 dollars des États-Unis. Le programme avait été lancé avec une réunion de préparation qui s</w:t>
      </w:r>
      <w:r w:rsidR="00346F1B">
        <w:t>’</w:t>
      </w:r>
      <w:r w:rsidR="00087782">
        <w:t>était tenue les 14 et 15 octobre [2016</w:t>
      </w:r>
      <w:r w:rsidR="00E04343">
        <w:t>], le rapport d</w:t>
      </w:r>
      <w:r w:rsidR="00346F1B">
        <w:t>’</w:t>
      </w:r>
      <w:r w:rsidR="00E04343">
        <w:t>avancement devrai</w:t>
      </w:r>
      <w:r w:rsidR="00087782">
        <w:t>t être bientôt soumis par la Commission nationale de la Zambie pour l</w:t>
      </w:r>
      <w:r w:rsidR="00346F1B">
        <w:t>’</w:t>
      </w:r>
      <w:r w:rsidR="00087782">
        <w:t>UNESCO. La réunion avait eu pour objectif de dresser une feuille de route et d</w:t>
      </w:r>
      <w:r w:rsidR="00346F1B">
        <w:t>’</w:t>
      </w:r>
      <w:r w:rsidR="00087782">
        <w:t>orienter la mise en œuvre du projet. Le deuxième projet, « L</w:t>
      </w:r>
      <w:r w:rsidR="00346F1B">
        <w:t>’</w:t>
      </w:r>
      <w:r w:rsidR="00087782">
        <w:t>inventaire des proverbes de la communauté Lala du district de Luano en Zambie », sis dans la province centrale du pays, avait été approuvé en 2016 pour un montant d</w:t>
      </w:r>
      <w:r w:rsidR="00346F1B">
        <w:t>’</w:t>
      </w:r>
      <w:r w:rsidR="00087782">
        <w:t>environ 25</w:t>
      </w:r>
      <w:r w:rsidR="00346F1B">
        <w:t> 000</w:t>
      </w:r>
      <w:r w:rsidR="00087782">
        <w:t xml:space="preserve"> dollars des États-Unis. Le projet venant juste de commencer, un rapport restait à soumettre. En outre, </w:t>
      </w:r>
      <w:r w:rsidR="00E04343">
        <w:t>il y avait eu un problème technique dans le budget qui avait été résolu depuis, et l</w:t>
      </w:r>
      <w:r w:rsidR="00346F1B">
        <w:t>’</w:t>
      </w:r>
      <w:r w:rsidR="00E04343">
        <w:t>argent avait été versé au facilitateur du projet qui était en trai</w:t>
      </w:r>
      <w:r w:rsidR="00311274">
        <w:t>n de travailler sur le terrain.</w:t>
      </w:r>
    </w:p>
    <w:p w14:paraId="22B7EDE4" w14:textId="19D2D568" w:rsidR="00830D0B" w:rsidRPr="00311274" w:rsidRDefault="00E04343" w:rsidP="00AF7860">
      <w:pPr>
        <w:pStyle w:val="Orateurengris"/>
        <w:spacing w:before="120"/>
        <w:ind w:left="709" w:hanging="709"/>
        <w:rPr>
          <w:b/>
        </w:rPr>
      </w:pPr>
      <w:r>
        <w:t xml:space="preserve">Le </w:t>
      </w:r>
      <w:r w:rsidRPr="00E04343">
        <w:rPr>
          <w:b/>
        </w:rPr>
        <w:t>Président</w:t>
      </w:r>
      <w:r>
        <w:t xml:space="preserve"> a remercié la Zambie et a profité de l</w:t>
      </w:r>
      <w:r w:rsidR="00346F1B">
        <w:t>’</w:t>
      </w:r>
      <w:r>
        <w:t>occasion pour remercier tous les États parties qui avaient fait part de</w:t>
      </w:r>
      <w:r w:rsidR="00311274">
        <w:t xml:space="preserve"> leurs expériences respectives.</w:t>
      </w:r>
    </w:p>
    <w:p w14:paraId="160C192C" w14:textId="03647077" w:rsidR="00B37B5E" w:rsidRPr="00AE44B4" w:rsidRDefault="00311274" w:rsidP="00311274">
      <w:pPr>
        <w:pStyle w:val="Marge"/>
        <w:keepNext/>
        <w:tabs>
          <w:tab w:val="clear" w:pos="567"/>
          <w:tab w:val="left" w:pos="709"/>
          <w:tab w:val="left" w:pos="1418"/>
          <w:tab w:val="left" w:pos="2126"/>
          <w:tab w:val="left" w:pos="2835"/>
        </w:tabs>
        <w:spacing w:before="360" w:after="60"/>
        <w:ind w:left="567" w:hanging="567"/>
        <w:jc w:val="left"/>
        <w:outlineLvl w:val="0"/>
        <w:rPr>
          <w:rFonts w:cs="Arial"/>
          <w:b/>
          <w:szCs w:val="22"/>
          <w:u w:val="single"/>
        </w:rPr>
      </w:pPr>
      <w:bookmarkStart w:id="10" w:name="Item10"/>
      <w:r>
        <w:rPr>
          <w:rFonts w:cs="Arial"/>
          <w:b/>
          <w:szCs w:val="22"/>
          <w:u w:val="single"/>
        </w:rPr>
        <w:t>POINT 10 DE L</w:t>
      </w:r>
      <w:r w:rsidR="00346F1B">
        <w:rPr>
          <w:rFonts w:cs="Arial"/>
          <w:b/>
          <w:szCs w:val="22"/>
          <w:u w:val="single"/>
        </w:rPr>
        <w:t>’</w:t>
      </w:r>
      <w:r>
        <w:rPr>
          <w:rFonts w:cs="Arial"/>
          <w:b/>
          <w:szCs w:val="22"/>
          <w:u w:val="single"/>
        </w:rPr>
        <w:t>ORDRE DU JOUR :</w:t>
      </w:r>
    </w:p>
    <w:bookmarkEnd w:id="10"/>
    <w:p w14:paraId="5A796569" w14:textId="75E43CC1" w:rsidR="00AE44B4" w:rsidRPr="00AE44B4" w:rsidRDefault="00AE44B4" w:rsidP="00311274">
      <w:pPr>
        <w:pStyle w:val="Marge"/>
        <w:keepNext/>
        <w:tabs>
          <w:tab w:val="clear" w:pos="567"/>
          <w:tab w:val="left" w:pos="709"/>
          <w:tab w:val="left" w:pos="1418"/>
          <w:tab w:val="left" w:pos="2126"/>
          <w:tab w:val="left" w:pos="2835"/>
        </w:tabs>
        <w:spacing w:after="120"/>
        <w:ind w:left="567" w:hanging="567"/>
        <w:jc w:val="left"/>
        <w:outlineLvl w:val="0"/>
        <w:rPr>
          <w:rFonts w:eastAsiaTheme="minorEastAsia" w:cs="Arial"/>
          <w:b/>
          <w:color w:val="323133"/>
          <w:szCs w:val="22"/>
          <w:lang w:eastAsia="ja-JP"/>
        </w:rPr>
      </w:pPr>
      <w:r w:rsidRPr="00AE44B4">
        <w:rPr>
          <w:rFonts w:eastAsiaTheme="minorEastAsia" w:cs="Arial"/>
          <w:b/>
          <w:color w:val="323133"/>
          <w:szCs w:val="22"/>
          <w:lang w:eastAsia="ja-JP"/>
        </w:rPr>
        <w:t>RAPPORT DE L</w:t>
      </w:r>
      <w:r w:rsidR="00346F1B">
        <w:rPr>
          <w:rFonts w:eastAsiaTheme="minorEastAsia" w:cs="Arial"/>
          <w:b/>
          <w:color w:val="323133"/>
          <w:szCs w:val="22"/>
          <w:lang w:eastAsia="ja-JP"/>
        </w:rPr>
        <w:t>’</w:t>
      </w:r>
      <w:r>
        <w:rPr>
          <w:rFonts w:eastAsiaTheme="minorEastAsia" w:cs="Arial"/>
          <w:b/>
          <w:color w:val="323133"/>
          <w:szCs w:val="22"/>
          <w:lang w:eastAsia="ja-JP"/>
        </w:rPr>
        <w:t>ORGANE D</w:t>
      </w:r>
      <w:r w:rsidR="00346F1B">
        <w:rPr>
          <w:rFonts w:eastAsiaTheme="minorEastAsia" w:cs="Arial"/>
          <w:b/>
          <w:color w:val="323133"/>
          <w:szCs w:val="22"/>
          <w:lang w:eastAsia="ja-JP"/>
        </w:rPr>
        <w:t>’</w:t>
      </w:r>
      <w:r>
        <w:rPr>
          <w:rFonts w:eastAsiaTheme="minorEastAsia" w:cs="Arial"/>
          <w:b/>
          <w:color w:val="323133"/>
          <w:szCs w:val="22"/>
          <w:lang w:eastAsia="ja-JP"/>
        </w:rPr>
        <w:t>ÉVALUATION SUR SES TRAVAUX EN 2016</w:t>
      </w:r>
    </w:p>
    <w:p w14:paraId="0FF9544B" w14:textId="47D96AD9" w:rsidR="00FF32CD" w:rsidRPr="00AE44B4" w:rsidRDefault="00B37B5E" w:rsidP="00DC021B">
      <w:pPr>
        <w:pStyle w:val="NormalWeb"/>
        <w:keepNext/>
        <w:tabs>
          <w:tab w:val="left" w:pos="709"/>
          <w:tab w:val="left" w:pos="1418"/>
          <w:tab w:val="left" w:pos="2126"/>
          <w:tab w:val="left" w:pos="2835"/>
        </w:tabs>
        <w:spacing w:before="120" w:beforeAutospacing="0" w:after="60" w:afterAutospacing="0"/>
        <w:ind w:left="709" w:hanging="709"/>
        <w:rPr>
          <w:rFonts w:ascii="Arial" w:hAnsi="Arial" w:cs="Arial"/>
          <w:i/>
          <w:sz w:val="22"/>
          <w:szCs w:val="22"/>
          <w:lang w:val="fr-FR" w:eastAsia="fr-FR"/>
        </w:rPr>
      </w:pPr>
      <w:r w:rsidRPr="00AE44B4">
        <w:rPr>
          <w:rFonts w:ascii="Arial" w:hAnsi="Arial" w:cs="Arial"/>
          <w:b/>
          <w:sz w:val="22"/>
          <w:szCs w:val="22"/>
          <w:lang w:val="fr-FR"/>
        </w:rPr>
        <w:tab/>
      </w:r>
      <w:r w:rsidR="00FF3407" w:rsidRPr="00AE44B4">
        <w:rPr>
          <w:rFonts w:ascii="Arial" w:hAnsi="Arial" w:cs="Arial"/>
          <w:b/>
          <w:sz w:val="22"/>
          <w:szCs w:val="22"/>
          <w:lang w:val="fr-FR"/>
        </w:rPr>
        <w:t>Document</w:t>
      </w:r>
      <w:r w:rsidR="00FF32CD" w:rsidRPr="00AE44B4">
        <w:rPr>
          <w:rFonts w:ascii="Arial" w:hAnsi="Arial" w:cs="Arial"/>
          <w:b/>
          <w:sz w:val="22"/>
          <w:szCs w:val="22"/>
          <w:lang w:val="fr-FR"/>
        </w:rPr>
        <w:tab/>
      </w:r>
      <w:r w:rsidR="007B1438">
        <w:fldChar w:fldCharType="begin"/>
      </w:r>
      <w:r w:rsidR="007B1438" w:rsidRPr="007B1438">
        <w:rPr>
          <w:lang w:val="fr-FR"/>
        </w:rPr>
        <w:instrText xml:space="preserve"> HYPERLINK "https://ich.unesco.org/doc/src/ITH-16-11.COM-10-FR.docx" </w:instrText>
      </w:r>
      <w:r w:rsidR="007B1438">
        <w:fldChar w:fldCharType="separate"/>
      </w:r>
      <w:r w:rsidR="00A51601" w:rsidRPr="00AE44B4">
        <w:rPr>
          <w:rStyle w:val="Hyperlink"/>
          <w:rFonts w:ascii="Arial" w:hAnsi="Arial" w:cs="Arial"/>
          <w:i/>
          <w:sz w:val="22"/>
          <w:szCs w:val="22"/>
          <w:lang w:val="fr-FR" w:eastAsia="fr-FR"/>
        </w:rPr>
        <w:t>ITH/16/11</w:t>
      </w:r>
      <w:r w:rsidR="00FF32CD" w:rsidRPr="00AE44B4">
        <w:rPr>
          <w:rStyle w:val="Hyperlink"/>
          <w:rFonts w:ascii="Arial" w:hAnsi="Arial" w:cs="Arial"/>
          <w:i/>
          <w:sz w:val="22"/>
          <w:szCs w:val="22"/>
          <w:lang w:val="fr-FR" w:eastAsia="fr-FR"/>
        </w:rPr>
        <w:t>.COM/</w:t>
      </w:r>
      <w:r w:rsidR="00A51601" w:rsidRPr="00AE44B4">
        <w:rPr>
          <w:rStyle w:val="Hyperlink"/>
          <w:rFonts w:ascii="Arial" w:hAnsi="Arial" w:cs="Arial"/>
          <w:i/>
          <w:sz w:val="22"/>
          <w:szCs w:val="22"/>
          <w:lang w:val="fr-FR" w:eastAsia="fr-FR"/>
        </w:rPr>
        <w:t>10</w:t>
      </w:r>
      <w:r w:rsidR="007B1438">
        <w:rPr>
          <w:rStyle w:val="Hyperlink"/>
          <w:rFonts w:ascii="Arial" w:hAnsi="Arial" w:cs="Arial"/>
          <w:i/>
          <w:sz w:val="22"/>
          <w:szCs w:val="22"/>
          <w:lang w:val="fr-FR" w:eastAsia="fr-FR"/>
        </w:rPr>
        <w:fldChar w:fldCharType="end"/>
      </w:r>
    </w:p>
    <w:p w14:paraId="37E2D50D" w14:textId="6D6309A5" w:rsidR="00830D0B" w:rsidRPr="00AE44B4" w:rsidRDefault="00B37B5E" w:rsidP="00DC021B">
      <w:pPr>
        <w:keepNext/>
        <w:tabs>
          <w:tab w:val="left" w:pos="709"/>
          <w:tab w:val="left" w:pos="1418"/>
          <w:tab w:val="left" w:pos="2126"/>
          <w:tab w:val="left" w:pos="2835"/>
        </w:tabs>
        <w:spacing w:after="240"/>
        <w:ind w:left="709" w:hanging="709"/>
        <w:rPr>
          <w:rFonts w:ascii="Arial" w:hAnsi="Arial" w:cs="Arial"/>
          <w:i/>
          <w:sz w:val="22"/>
          <w:szCs w:val="22"/>
        </w:rPr>
      </w:pPr>
      <w:r w:rsidRPr="00AE44B4">
        <w:rPr>
          <w:rFonts w:ascii="Arial" w:hAnsi="Arial" w:cs="Arial"/>
          <w:b/>
          <w:sz w:val="22"/>
          <w:szCs w:val="22"/>
          <w:lang w:eastAsia="en-US"/>
        </w:rPr>
        <w:tab/>
      </w:r>
      <w:r w:rsidR="00AE44B4">
        <w:rPr>
          <w:rFonts w:ascii="Arial" w:hAnsi="Arial" w:cs="Arial"/>
          <w:b/>
          <w:sz w:val="22"/>
          <w:szCs w:val="22"/>
          <w:lang w:eastAsia="en-US"/>
        </w:rPr>
        <w:t>Dé</w:t>
      </w:r>
      <w:r w:rsidR="00FF32CD" w:rsidRPr="00AE44B4">
        <w:rPr>
          <w:rFonts w:ascii="Arial" w:hAnsi="Arial" w:cs="Arial"/>
          <w:b/>
          <w:sz w:val="22"/>
          <w:szCs w:val="22"/>
          <w:lang w:eastAsia="en-US"/>
        </w:rPr>
        <w:t>cision</w:t>
      </w:r>
      <w:r w:rsidR="00FF32CD" w:rsidRPr="00AE44B4">
        <w:rPr>
          <w:rFonts w:ascii="Arial" w:hAnsi="Arial" w:cs="Arial"/>
          <w:b/>
          <w:sz w:val="22"/>
          <w:szCs w:val="22"/>
        </w:rPr>
        <w:tab/>
      </w:r>
      <w:r w:rsidR="00A51601" w:rsidRPr="00AE44B4">
        <w:rPr>
          <w:rFonts w:ascii="Arial" w:hAnsi="Arial" w:cs="Arial"/>
          <w:i/>
          <w:sz w:val="22"/>
          <w:szCs w:val="22"/>
        </w:rPr>
        <w:t>11</w:t>
      </w:r>
      <w:r w:rsidR="00FF32CD" w:rsidRPr="00AE44B4">
        <w:rPr>
          <w:rFonts w:ascii="Arial" w:hAnsi="Arial" w:cs="Arial"/>
          <w:i/>
          <w:sz w:val="22"/>
          <w:szCs w:val="22"/>
        </w:rPr>
        <w:t xml:space="preserve">.COM </w:t>
      </w:r>
      <w:r w:rsidR="00A51601" w:rsidRPr="00AE44B4">
        <w:rPr>
          <w:rFonts w:ascii="Arial" w:hAnsi="Arial" w:cs="Arial"/>
          <w:i/>
          <w:sz w:val="22"/>
          <w:szCs w:val="22"/>
        </w:rPr>
        <w:t>10</w:t>
      </w:r>
    </w:p>
    <w:p w14:paraId="73F6A001" w14:textId="56136F4D" w:rsidR="00410006" w:rsidRPr="00410006" w:rsidRDefault="00AE44B4" w:rsidP="00AF7860">
      <w:pPr>
        <w:pStyle w:val="Orateurengris"/>
        <w:spacing w:before="120"/>
        <w:ind w:left="709" w:hanging="709"/>
      </w:pPr>
      <w:r>
        <w:t xml:space="preserve">Après avoir </w:t>
      </w:r>
      <w:r w:rsidR="00410006">
        <w:t xml:space="preserve">achevé </w:t>
      </w:r>
      <w:r>
        <w:t>le point 9 de l</w:t>
      </w:r>
      <w:r w:rsidR="00346F1B">
        <w:t>’</w:t>
      </w:r>
      <w:r w:rsidRPr="00AE44B4">
        <w:t>ordre du jour</w:t>
      </w:r>
      <w:r>
        <w:t xml:space="preserve">, le </w:t>
      </w:r>
      <w:r w:rsidRPr="00AE44B4">
        <w:rPr>
          <w:b/>
        </w:rPr>
        <w:t>Président</w:t>
      </w:r>
      <w:r>
        <w:t xml:space="preserve"> est passé à l</w:t>
      </w:r>
      <w:r w:rsidR="00346F1B">
        <w:t>’</w:t>
      </w:r>
      <w:r>
        <w:t>examen du point 10 de l</w:t>
      </w:r>
      <w:r w:rsidR="00346F1B">
        <w:t>’</w:t>
      </w:r>
      <w:r w:rsidRPr="00AE44B4">
        <w:t>ordre du jour</w:t>
      </w:r>
      <w:r>
        <w:t xml:space="preserve">. </w:t>
      </w:r>
      <w:r w:rsidR="00213E9B">
        <w:t xml:space="preserve">Avant de commencer, il a invité le </w:t>
      </w:r>
      <w:r w:rsidR="00754EC3">
        <w:t>Vice-Président</w:t>
      </w:r>
      <w:r w:rsidR="00213E9B">
        <w:t xml:space="preserve"> de l</w:t>
      </w:r>
      <w:r w:rsidR="00346F1B">
        <w:t>’</w:t>
      </w:r>
      <w:r w:rsidR="00213E9B">
        <w:t>Organe d</w:t>
      </w:r>
      <w:r w:rsidR="00346F1B">
        <w:t>’</w:t>
      </w:r>
      <w:r w:rsidR="00213E9B">
        <w:t xml:space="preserve">évaluation, M. Eivind Falk, </w:t>
      </w:r>
      <w:r w:rsidR="00213E9B" w:rsidRPr="00213E9B">
        <w:t>représentant</w:t>
      </w:r>
      <w:r w:rsidR="00410006">
        <w:t xml:space="preserve"> de l</w:t>
      </w:r>
      <w:r w:rsidR="00346F1B">
        <w:t>’</w:t>
      </w:r>
      <w:r w:rsidR="00410006">
        <w:t xml:space="preserve">Institut </w:t>
      </w:r>
      <w:r w:rsidR="00020670">
        <w:t>norvégien</w:t>
      </w:r>
      <w:r w:rsidR="00410006">
        <w:t xml:space="preserve"> pour l</w:t>
      </w:r>
      <w:r w:rsidR="00346F1B">
        <w:t>’</w:t>
      </w:r>
      <w:r w:rsidR="00410006">
        <w:t>artisanat</w:t>
      </w:r>
      <w:r w:rsidR="00020670">
        <w:t xml:space="preserve"> (Norsk hándverksinstitutt) et le </w:t>
      </w:r>
      <w:r w:rsidR="00020670" w:rsidRPr="00020670">
        <w:t>Rapporteur</w:t>
      </w:r>
      <w:r w:rsidR="00020670">
        <w:t>, M. John de Coninck de la Fondation transculturelle d</w:t>
      </w:r>
      <w:r w:rsidR="00346F1B">
        <w:t>’</w:t>
      </w:r>
      <w:r w:rsidR="00020670">
        <w:t>Ouganda (Cross-Cultural Foundation of Uganda) à le rejoindre à la tribune. Le Président a informé le Comité qu</w:t>
      </w:r>
      <w:r w:rsidR="00346F1B">
        <w:t>’</w:t>
      </w:r>
      <w:r w:rsidR="00020670">
        <w:t>en raison de circonstances inattendues, la Présidente de l</w:t>
      </w:r>
      <w:r w:rsidR="00346F1B">
        <w:t>’</w:t>
      </w:r>
      <w:r w:rsidR="00020670">
        <w:t>Organe d</w:t>
      </w:r>
      <w:r w:rsidR="00346F1B">
        <w:t>’</w:t>
      </w:r>
      <w:r w:rsidR="00020670">
        <w:t xml:space="preserve">évaluation, Mme </w:t>
      </w:r>
      <w:r w:rsidR="00D52F0B">
        <w:t>Masami Iwasaki, était dans l</w:t>
      </w:r>
      <w:r w:rsidR="00346F1B">
        <w:t>’</w:t>
      </w:r>
      <w:r w:rsidR="00D52F0B">
        <w:t xml:space="preserve">impossibilité de participer à la réunion. </w:t>
      </w:r>
      <w:r w:rsidR="00D52F0B" w:rsidRPr="00D52F0B">
        <w:t>En conséquence</w:t>
      </w:r>
      <w:r w:rsidR="00D52F0B">
        <w:t xml:space="preserve">, M. Falk, </w:t>
      </w:r>
      <w:r w:rsidR="00754EC3">
        <w:t>Vice-Président</w:t>
      </w:r>
      <w:r w:rsidR="00D52F0B">
        <w:t>, présenterait les recommandations pour chacune des candidatures et propositions. Le Président a rappelé que l</w:t>
      </w:r>
      <w:r w:rsidR="00346F1B">
        <w:t>’</w:t>
      </w:r>
      <w:r w:rsidR="00D52F0B">
        <w:t>Organe d</w:t>
      </w:r>
      <w:r w:rsidR="00346F1B">
        <w:t>’</w:t>
      </w:r>
      <w:r w:rsidR="00D52F0B">
        <w:t>évaluation avait été établi par le Comité lors de sa dixième session à Windhoek, en Namibie, afin d</w:t>
      </w:r>
      <w:r w:rsidR="00346F1B">
        <w:t>’</w:t>
      </w:r>
      <w:r w:rsidR="00D52F0B">
        <w:t xml:space="preserve">évaluer les candidatures à la Liste de sauvegarde urgente et à la Liste représentative, ainsi que les propositions </w:t>
      </w:r>
      <w:r w:rsidR="00410006">
        <w:t xml:space="preserve">au </w:t>
      </w:r>
      <w:r w:rsidR="00D52F0B">
        <w:t xml:space="preserve">Registre des meilleures pratiques de </w:t>
      </w:r>
      <w:r w:rsidR="00D52F0B" w:rsidRPr="00D52F0B">
        <w:t>sauvegarde</w:t>
      </w:r>
      <w:r w:rsidR="00D52F0B">
        <w:t xml:space="preserve"> et les demandes d</w:t>
      </w:r>
      <w:r w:rsidR="00346F1B">
        <w:t>’</w:t>
      </w:r>
      <w:r w:rsidR="00D52F0B">
        <w:t>assistance internationale</w:t>
      </w:r>
      <w:r w:rsidR="00410006">
        <w:t xml:space="preserve"> </w:t>
      </w:r>
      <w:r w:rsidR="00D52F0B">
        <w:t>supérieur</w:t>
      </w:r>
      <w:r w:rsidR="00410006">
        <w:t>es</w:t>
      </w:r>
      <w:r w:rsidR="00D52F0B">
        <w:t xml:space="preserve"> à 25</w:t>
      </w:r>
      <w:r w:rsidR="00346F1B">
        <w:t> 000</w:t>
      </w:r>
      <w:r w:rsidR="00D52F0B">
        <w:t xml:space="preserve"> </w:t>
      </w:r>
      <w:r w:rsidR="00D52F0B" w:rsidRPr="00D52F0B">
        <w:t>dollars des États-Unis</w:t>
      </w:r>
      <w:r w:rsidR="00D52F0B">
        <w:t>. Le Président</w:t>
      </w:r>
      <w:r w:rsidR="006C1676">
        <w:t xml:space="preserve"> a expliqué que le</w:t>
      </w:r>
      <w:r w:rsidR="00D52F0B">
        <w:t xml:space="preserve"> Comité </w:t>
      </w:r>
      <w:r w:rsidR="00410006">
        <w:t xml:space="preserve">entamerait </w:t>
      </w:r>
      <w:r w:rsidR="00D52F0B">
        <w:t>l</w:t>
      </w:r>
      <w:r w:rsidR="00346F1B">
        <w:t>’</w:t>
      </w:r>
      <w:r w:rsidR="00D52F0B">
        <w:t>examen du point 10 par un rapport oral</w:t>
      </w:r>
      <w:r w:rsidR="006C1676">
        <w:t xml:space="preserve">, présenté par le </w:t>
      </w:r>
      <w:r w:rsidR="006C1676" w:rsidRPr="00D52F0B">
        <w:t>Rapporteur</w:t>
      </w:r>
      <w:r w:rsidR="006C1676">
        <w:t>,</w:t>
      </w:r>
      <w:r w:rsidR="00D52F0B">
        <w:t xml:space="preserve"> sur les recommandations de l</w:t>
      </w:r>
      <w:r w:rsidR="00346F1B">
        <w:t>’</w:t>
      </w:r>
      <w:r w:rsidR="00D52F0B">
        <w:t>Organe d</w:t>
      </w:r>
      <w:r w:rsidR="00346F1B">
        <w:t>’</w:t>
      </w:r>
      <w:r w:rsidR="00D52F0B">
        <w:t>évaluation</w:t>
      </w:r>
      <w:r w:rsidR="006C1676">
        <w:t xml:space="preserve"> à propos d</w:t>
      </w:r>
      <w:r w:rsidR="00346F1B">
        <w:t>’</w:t>
      </w:r>
      <w:r w:rsidR="006C1676">
        <w:t xml:space="preserve">un certain nombre </w:t>
      </w:r>
      <w:r w:rsidR="00D52F0B">
        <w:t>pr</w:t>
      </w:r>
      <w:r w:rsidR="00410006">
        <w:t>oblèmes, à la fois transversaux</w:t>
      </w:r>
      <w:r w:rsidR="00D52F0B">
        <w:t xml:space="preserve"> et spécifiques, rencontrés pendant le travail de l</w:t>
      </w:r>
      <w:r w:rsidR="00346F1B">
        <w:t>’</w:t>
      </w:r>
      <w:r w:rsidR="00D52F0B">
        <w:t>Organe sur les quatre mé</w:t>
      </w:r>
      <w:r w:rsidR="00410006">
        <w:t>canismes. Suite au rapport oral</w:t>
      </w:r>
      <w:r w:rsidR="00D52F0B">
        <w:t xml:space="preserve">, la parole serait donnée </w:t>
      </w:r>
      <w:r w:rsidR="00410006">
        <w:t>aux intervenants pour un débat général, puis le point 10 serait suspendu. La décision générale 11.COM 10 ne serait adoptée qu</w:t>
      </w:r>
      <w:r w:rsidR="00346F1B">
        <w:t>’</w:t>
      </w:r>
      <w:r w:rsidR="00410006">
        <w:t>une fois examinés tous les dossiers de candidature individuels par le Comité. Le Comité commencerait alors l</w:t>
      </w:r>
      <w:r w:rsidR="00346F1B">
        <w:t>’</w:t>
      </w:r>
      <w:r w:rsidR="00410006" w:rsidRPr="00410006">
        <w:t>évaluation</w:t>
      </w:r>
      <w:r w:rsidR="00410006">
        <w:t xml:space="preserve"> des cinq candidatures à la Liste de sauvegarde urgente, y compris la </w:t>
      </w:r>
      <w:r w:rsidR="00410006" w:rsidRPr="00410006">
        <w:t>candidature</w:t>
      </w:r>
      <w:r w:rsidR="00410006">
        <w:t xml:space="preserve"> à la Liste de sauvegarde urgente</w:t>
      </w:r>
      <w:r w:rsidR="00837E42">
        <w:t xml:space="preserve"> combinée</w:t>
      </w:r>
      <w:r w:rsidR="00410006">
        <w:t xml:space="preserve"> à une demande d</w:t>
      </w:r>
      <w:r w:rsidR="00346F1B">
        <w:t>’</w:t>
      </w:r>
      <w:r w:rsidR="00410006">
        <w:t xml:space="preserve">assistance internationale, au titre du point 10.a. Viendraient ensuite les 37 candidatures à la Liste représentative, au titre du point 10.b, puis les sept propositions au Registre des meilleures pratiques de </w:t>
      </w:r>
      <w:r w:rsidR="00410006" w:rsidRPr="00410006">
        <w:t>sauvegarde</w:t>
      </w:r>
      <w:r w:rsidR="00410006">
        <w:t xml:space="preserve"> au titre du point 10.c. Le </w:t>
      </w:r>
      <w:r w:rsidR="00754EC3">
        <w:t>Vice-Président</w:t>
      </w:r>
      <w:r w:rsidR="00410006">
        <w:t xml:space="preserve"> présenterait brièvement toutes les candidatures et propositions avec une explication succincte justifiant les projets de décision, ainsi que des photogra</w:t>
      </w:r>
      <w:r w:rsidR="00311274">
        <w:t>phies projetées sur les écrans.</w:t>
      </w:r>
    </w:p>
    <w:p w14:paraId="19A6FCB4" w14:textId="42A1D289" w:rsidR="00A32307" w:rsidRPr="00DC1E20" w:rsidRDefault="006C1676" w:rsidP="00AF7860">
      <w:pPr>
        <w:pStyle w:val="Orateurengris"/>
        <w:spacing w:before="120"/>
        <w:ind w:left="709" w:hanging="709"/>
      </w:pPr>
      <w:r w:rsidRPr="00483EDA">
        <w:t>S</w:t>
      </w:r>
      <w:r w:rsidR="00346F1B">
        <w:t>’</w:t>
      </w:r>
      <w:r w:rsidRPr="00483EDA">
        <w:t xml:space="preserve">agissant des débats sur les dossiers, le </w:t>
      </w:r>
      <w:r w:rsidRPr="00483EDA">
        <w:rPr>
          <w:b/>
        </w:rPr>
        <w:t>Président</w:t>
      </w:r>
      <w:r w:rsidR="0040517F">
        <w:t xml:space="preserve"> souhaitait </w:t>
      </w:r>
      <w:r w:rsidRPr="00483EDA">
        <w:t>insister sur la lourde tâche qui attendait le Comité avec l</w:t>
      </w:r>
      <w:r w:rsidR="00346F1B">
        <w:t>’</w:t>
      </w:r>
      <w:r w:rsidRPr="00483EDA">
        <w:t>examen de 49 candidatures dans un calendrier très serré</w:t>
      </w:r>
      <w:r w:rsidR="00A32307">
        <w:t>. Afin d</w:t>
      </w:r>
      <w:r w:rsidR="00346F1B">
        <w:t>’</w:t>
      </w:r>
      <w:r w:rsidR="00A32307">
        <w:t xml:space="preserve">accorder suffisamment </w:t>
      </w:r>
      <w:r w:rsidRPr="00483EDA">
        <w:t xml:space="preserve">de temps au Comité pour débattre des dossiers spécifiques, le Bureau (lors de sa réunion </w:t>
      </w:r>
      <w:r w:rsidR="00A32307">
        <w:t xml:space="preserve">du </w:t>
      </w:r>
      <w:r w:rsidRPr="00483EDA">
        <w:t>20 octobre 2016</w:t>
      </w:r>
      <w:r w:rsidR="00A32307">
        <w:t xml:space="preserve"> à Paris</w:t>
      </w:r>
      <w:r w:rsidRPr="00483EDA">
        <w:t>) avait décidé d</w:t>
      </w:r>
      <w:r w:rsidR="00346F1B">
        <w:t>’</w:t>
      </w:r>
      <w:r w:rsidRPr="00483EDA">
        <w:t>adopter la même procédure que l</w:t>
      </w:r>
      <w:r w:rsidR="00346F1B">
        <w:t>’</w:t>
      </w:r>
      <w:r w:rsidRPr="00483EDA">
        <w:t>année précédente et d</w:t>
      </w:r>
      <w:r w:rsidR="00346F1B">
        <w:t>’</w:t>
      </w:r>
      <w:r w:rsidRPr="00483EDA">
        <w:t xml:space="preserve">inviter les </w:t>
      </w:r>
      <w:r w:rsidR="008A3BB3">
        <w:t>m</w:t>
      </w:r>
      <w:r w:rsidR="00A46CAD">
        <w:t>embres du Comité</w:t>
      </w:r>
      <w:r w:rsidRPr="00483EDA">
        <w:t xml:space="preserve"> souhaitant débattre ou amender des projets de décision particuliers d</w:t>
      </w:r>
      <w:r w:rsidR="00346F1B">
        <w:t>’</w:t>
      </w:r>
      <w:r w:rsidRPr="00483EDA">
        <w:t xml:space="preserve">informer le Secrétariat le matin même avant 9 heures. </w:t>
      </w:r>
      <w:r w:rsidR="00F72BA8" w:rsidRPr="00483EDA">
        <w:t xml:space="preserve">Rappelant que certains </w:t>
      </w:r>
      <w:r w:rsidR="008A3BB3">
        <w:t>m</w:t>
      </w:r>
      <w:r w:rsidR="00A46CAD">
        <w:t>embres du Comité</w:t>
      </w:r>
      <w:r w:rsidR="00F72BA8" w:rsidRPr="00483EDA">
        <w:t xml:space="preserve"> avaient exprimé des inquiétudes quant à cette procédure, lors du point 2 de l</w:t>
      </w:r>
      <w:r w:rsidR="00346F1B">
        <w:t>’</w:t>
      </w:r>
      <w:r w:rsidR="00F72BA8" w:rsidRPr="00483EDA">
        <w:t>ordre du jour (adoption de l</w:t>
      </w:r>
      <w:r w:rsidR="00346F1B">
        <w:t>’</w:t>
      </w:r>
      <w:r w:rsidR="0040517F">
        <w:t xml:space="preserve">ordre du jour), le Président souhaitait </w:t>
      </w:r>
      <w:r w:rsidR="00F72BA8" w:rsidRPr="00483EDA">
        <w:t>rappeler que cette procédure n</w:t>
      </w:r>
      <w:r w:rsidR="00346F1B">
        <w:t>’</w:t>
      </w:r>
      <w:r w:rsidR="00F72BA8" w:rsidRPr="00483EDA">
        <w:t>avait qu</w:t>
      </w:r>
      <w:r w:rsidR="00346F1B">
        <w:t>’</w:t>
      </w:r>
      <w:r w:rsidR="00F72BA8" w:rsidRPr="00483EDA">
        <w:t xml:space="preserve">un objectif organisationnel et ne saurait empêcher un </w:t>
      </w:r>
      <w:r w:rsidR="008A3BB3">
        <w:t>m</w:t>
      </w:r>
      <w:r w:rsidR="00A46CAD">
        <w:t>embre</w:t>
      </w:r>
      <w:r w:rsidR="00F72BA8" w:rsidRPr="00483EDA">
        <w:t xml:space="preserve"> du Comité de prendre la parole à propos d</w:t>
      </w:r>
      <w:r w:rsidR="00346F1B">
        <w:t>’</w:t>
      </w:r>
      <w:r w:rsidR="00F72BA8" w:rsidRPr="00483EDA">
        <w:t>un</w:t>
      </w:r>
      <w:r w:rsidR="00A32307">
        <w:t>e</w:t>
      </w:r>
      <w:r w:rsidR="00F72BA8" w:rsidRPr="00483EDA">
        <w:t xml:space="preserve"> décision s</w:t>
      </w:r>
      <w:r w:rsidR="00346F1B">
        <w:t>’</w:t>
      </w:r>
      <w:r w:rsidR="00F72BA8" w:rsidRPr="00483EDA">
        <w:t>il le souhaitait. En principe, le Comité</w:t>
      </w:r>
      <w:r w:rsidR="00A32307">
        <w:t xml:space="preserve"> adopterait donc </w:t>
      </w:r>
      <w:r w:rsidR="00A32307" w:rsidRPr="00A32307">
        <w:t>paragraphe</w:t>
      </w:r>
      <w:r w:rsidR="00A32307">
        <w:t xml:space="preserve"> par </w:t>
      </w:r>
      <w:r w:rsidR="00A32307" w:rsidRPr="00A32307">
        <w:t>paragraphe</w:t>
      </w:r>
      <w:r w:rsidR="00F72BA8" w:rsidRPr="00483EDA">
        <w:t xml:space="preserve"> les projets de décision pour lesquels des amendements avaient été soumis</w:t>
      </w:r>
      <w:r w:rsidR="00A32307">
        <w:t xml:space="preserve">, </w:t>
      </w:r>
      <w:r w:rsidR="00F72BA8" w:rsidRPr="00483EDA">
        <w:t xml:space="preserve">les autres projets de décision </w:t>
      </w:r>
      <w:r w:rsidR="00A32307">
        <w:t xml:space="preserve">étant </w:t>
      </w:r>
      <w:r w:rsidR="00F72BA8" w:rsidRPr="00483EDA">
        <w:t>adoptés dans leur ensemble. Dans les deux cas, comme d</w:t>
      </w:r>
      <w:r w:rsidR="00346F1B">
        <w:t>’</w:t>
      </w:r>
      <w:r w:rsidR="00F72BA8" w:rsidRPr="00483EDA">
        <w:t>habitude, l</w:t>
      </w:r>
      <w:r w:rsidR="00346F1B">
        <w:t>’</w:t>
      </w:r>
      <w:r w:rsidR="00F72BA8" w:rsidRPr="00483EDA">
        <w:t>État soumissionnaire disposerait de deux minutes pour formuler des commentaires après l</w:t>
      </w:r>
      <w:r w:rsidR="00346F1B">
        <w:t>’</w:t>
      </w:r>
      <w:r w:rsidR="00F72BA8" w:rsidRPr="00483EDA">
        <w:t>adoption. Il a été précisé que le Secrétariat avait reçu jusqu</w:t>
      </w:r>
      <w:r w:rsidR="00346F1B">
        <w:t>’</w:t>
      </w:r>
      <w:r w:rsidR="00F72BA8" w:rsidRPr="00483EDA">
        <w:t>alors des demandes de débat pour dix candidatures à la Liste représentative et deux propositions au Registre des meilleures pratiques de sauvegarde. Par ailleurs, le Président a rappelé au Comité que l</w:t>
      </w:r>
      <w:r w:rsidR="00346F1B">
        <w:t>’</w:t>
      </w:r>
      <w:r w:rsidR="00F72BA8" w:rsidRPr="00483EDA">
        <w:t>Assemblée générale avait, à sa sixième session (30 mai – 1</w:t>
      </w:r>
      <w:r w:rsidR="00F72BA8" w:rsidRPr="00483EDA">
        <w:rPr>
          <w:vertAlign w:val="superscript"/>
        </w:rPr>
        <w:t>er</w:t>
      </w:r>
      <w:r w:rsidR="00DC021B">
        <w:t> </w:t>
      </w:r>
      <w:r w:rsidR="00DC1E20">
        <w:t>juin 2016) adopté</w:t>
      </w:r>
      <w:r w:rsidR="00F72BA8" w:rsidRPr="00483EDA">
        <w:t xml:space="preserve"> des amendements aux Directives opérationnelles </w:t>
      </w:r>
      <w:r w:rsidR="00081392" w:rsidRPr="00483EDA">
        <w:t>étendant l</w:t>
      </w:r>
      <w:r w:rsidR="00346F1B">
        <w:t>’</w:t>
      </w:r>
      <w:r w:rsidR="00081392" w:rsidRPr="00483EDA">
        <w:t>option de « renvoi » aux candidatures à la Liste de sauvegarde urgente ainsi qu</w:t>
      </w:r>
      <w:r w:rsidR="00346F1B">
        <w:t>’</w:t>
      </w:r>
      <w:r w:rsidR="00081392" w:rsidRPr="00483EDA">
        <w:t>aux propositions au Registre des meilleures pratiques de sauvegarde et aux demandes d</w:t>
      </w:r>
      <w:r w:rsidR="00346F1B">
        <w:t>’</w:t>
      </w:r>
      <w:r w:rsidR="00081392" w:rsidRPr="00483EDA">
        <w:t xml:space="preserve">assistance internationale, </w:t>
      </w:r>
      <w:r w:rsidR="00A32307">
        <w:t xml:space="preserve">et ce, </w:t>
      </w:r>
      <w:r w:rsidR="00081392" w:rsidRPr="00483EDA">
        <w:t>dans un souci de cohérence et de simplicité, comme évoqué par la décision 6.GA 7. Le « renvoi » était désormais disponible pour l</w:t>
      </w:r>
      <w:r w:rsidR="00346F1B">
        <w:t>’</w:t>
      </w:r>
      <w:r w:rsidR="00081392" w:rsidRPr="00483EDA">
        <w:t>ensemble des quatre mécanismes. Il a été demandé au Comité de garder à l</w:t>
      </w:r>
      <w:r w:rsidR="00346F1B">
        <w:t>’</w:t>
      </w:r>
      <w:r w:rsidR="00081392" w:rsidRPr="00483EDA">
        <w:t>esprit que, dans une décision adoptée, le renvoi d</w:t>
      </w:r>
      <w:r w:rsidR="00346F1B">
        <w:t>’</w:t>
      </w:r>
      <w:r w:rsidR="00081392" w:rsidRPr="00483EDA">
        <w:t xml:space="preserve">un dossier de candidature ne </w:t>
      </w:r>
      <w:r w:rsidR="00A32307">
        <w:t xml:space="preserve">saurait </w:t>
      </w:r>
      <w:r w:rsidR="00081392" w:rsidRPr="00483EDA">
        <w:t xml:space="preserve">en aucune façon </w:t>
      </w:r>
      <w:r w:rsidR="00483EDA" w:rsidRPr="00483EDA">
        <w:t xml:space="preserve">ni </w:t>
      </w:r>
      <w:r w:rsidR="00081392" w:rsidRPr="00483EDA">
        <w:t>être interprété par l</w:t>
      </w:r>
      <w:r w:rsidR="00346F1B">
        <w:t>’</w:t>
      </w:r>
      <w:r w:rsidR="00081392" w:rsidRPr="00483EDA">
        <w:t>État soumissionnaire</w:t>
      </w:r>
      <w:r w:rsidR="00483EDA" w:rsidRPr="00483EDA">
        <w:t xml:space="preserve">, ni garantir ou impliquer </w:t>
      </w:r>
      <w:r w:rsidR="00295E44" w:rsidRPr="00483EDA">
        <w:t>une inscription future</w:t>
      </w:r>
      <w:r w:rsidR="00483EDA" w:rsidRPr="00483EDA">
        <w:t xml:space="preserve">. </w:t>
      </w:r>
      <w:r w:rsidR="00081392" w:rsidRPr="00483EDA">
        <w:t>La décision de l</w:t>
      </w:r>
      <w:r w:rsidR="00346F1B">
        <w:t>’</w:t>
      </w:r>
      <w:r w:rsidR="00081392" w:rsidRPr="00483EDA">
        <w:t>Assemblée générale avait également</w:t>
      </w:r>
      <w:r w:rsidR="00295E44" w:rsidRPr="00483EDA">
        <w:t xml:space="preserve"> choisi de réserver l</w:t>
      </w:r>
      <w:r w:rsidR="00346F1B">
        <w:t>’</w:t>
      </w:r>
      <w:r w:rsidR="00295E44" w:rsidRPr="00483EDA">
        <w:t>option de « ne pas » inscrire, sélectionner ou approuver</w:t>
      </w:r>
      <w:r w:rsidR="00A32307">
        <w:t>,</w:t>
      </w:r>
      <w:r w:rsidR="00295E44" w:rsidRPr="00483EDA">
        <w:t xml:space="preserve"> aux dossiers ne </w:t>
      </w:r>
      <w:r w:rsidR="00A32307">
        <w:t xml:space="preserve">fournissant </w:t>
      </w:r>
      <w:r w:rsidR="00295E44" w:rsidRPr="00483EDA">
        <w:t xml:space="preserve">pas de preuves suffisantes de la satisfaction </w:t>
      </w:r>
      <w:r w:rsidR="00393E3A">
        <w:t xml:space="preserve">des </w:t>
      </w:r>
      <w:r w:rsidR="00295E44" w:rsidRPr="00483EDA">
        <w:t>critères, et de supprimer le délai d</w:t>
      </w:r>
      <w:r w:rsidR="00346F1B">
        <w:t>’</w:t>
      </w:r>
      <w:r w:rsidR="00295E44" w:rsidRPr="00483EDA">
        <w:t xml:space="preserve">attente de quatre années pour la Liste représentative. </w:t>
      </w:r>
      <w:r w:rsidR="00483EDA">
        <w:t>S</w:t>
      </w:r>
      <w:r w:rsidR="00346F1B">
        <w:t>’</w:t>
      </w:r>
      <w:r w:rsidR="00483EDA">
        <w:t>agissant des candidatures pour lesquelles un « renvoi » était recommandé par l</w:t>
      </w:r>
      <w:r w:rsidR="00346F1B">
        <w:t>’</w:t>
      </w:r>
      <w:r w:rsidR="00483EDA">
        <w:t>Organe d</w:t>
      </w:r>
      <w:r w:rsidR="00346F1B">
        <w:t>’</w:t>
      </w:r>
      <w:r w:rsidR="00483EDA">
        <w:t xml:space="preserve">évaluation, le Président a rappelé que </w:t>
      </w:r>
      <w:r w:rsidR="00483EDA" w:rsidRPr="00483EDA">
        <w:t>conformément</w:t>
      </w:r>
      <w:r w:rsidR="00483EDA">
        <w:t xml:space="preserve"> à la décision 9.COM 13.c de 2014, l</w:t>
      </w:r>
      <w:r w:rsidR="00346F1B">
        <w:t>’</w:t>
      </w:r>
      <w:r w:rsidR="00483EDA">
        <w:t>Organe d</w:t>
      </w:r>
      <w:r w:rsidR="00346F1B">
        <w:t>’</w:t>
      </w:r>
      <w:r w:rsidR="00483EDA">
        <w:t xml:space="preserve">évaluation recommandait un renvoi </w:t>
      </w:r>
      <w:r w:rsidR="006F7026">
        <w:t xml:space="preserve">uniquement </w:t>
      </w:r>
      <w:r w:rsidR="00483EDA">
        <w:t xml:space="preserve">lorsque des </w:t>
      </w:r>
      <w:r w:rsidR="00483EDA" w:rsidRPr="00483EDA">
        <w:t>informations</w:t>
      </w:r>
      <w:r w:rsidR="00483EDA">
        <w:t xml:space="preserve"> faisaient défaut dans une </w:t>
      </w:r>
      <w:r w:rsidR="00483EDA" w:rsidRPr="00483EDA">
        <w:t>candidature</w:t>
      </w:r>
      <w:r w:rsidR="00483EDA">
        <w:t xml:space="preserve">, que ces </w:t>
      </w:r>
      <w:r w:rsidR="00DC1E20">
        <w:t xml:space="preserve">celles-ci </w:t>
      </w:r>
      <w:r w:rsidR="00483EDA">
        <w:t>soient d</w:t>
      </w:r>
      <w:r w:rsidR="00346F1B">
        <w:t>’</w:t>
      </w:r>
      <w:r w:rsidR="00483EDA">
        <w:t>ordre technique ou de fond. Selon ses priorités, l</w:t>
      </w:r>
      <w:r w:rsidR="00346F1B">
        <w:t>’</w:t>
      </w:r>
      <w:r w:rsidR="00483EDA">
        <w:t>État soumissionnaire pouvait souhaiter soumettre à nouveau son dossier lors du cycle suivant ou d</w:t>
      </w:r>
      <w:r w:rsidR="00346F1B">
        <w:t>’</w:t>
      </w:r>
      <w:r w:rsidR="00483EDA">
        <w:t>un autre cycle, comme le stipulait chaque décision. Dans tous les cas, les dossiers renvoyés</w:t>
      </w:r>
      <w:r w:rsidR="00A32307">
        <w:t xml:space="preserve"> et à nouveau soumis plus tard seraient considérés comme de nouvelles candidatures et seraient inclus dans le plafond global de dossiers du système de priorité, tel que décrit au titre du </w:t>
      </w:r>
      <w:r w:rsidR="00A32307" w:rsidRPr="00A32307">
        <w:t>paragraphe</w:t>
      </w:r>
      <w:r w:rsidR="00A32307">
        <w:t xml:space="preserve"> 34 </w:t>
      </w:r>
      <w:r w:rsidR="00311274">
        <w:t>des Directives opérationnelles.</w:t>
      </w:r>
    </w:p>
    <w:p w14:paraId="03C5AFFC" w14:textId="49A582FE" w:rsidR="00B16D5C" w:rsidRPr="00B16D5C" w:rsidRDefault="00DC1E20" w:rsidP="00AF7860">
      <w:pPr>
        <w:pStyle w:val="Orateurengris"/>
        <w:spacing w:before="120"/>
        <w:ind w:left="709" w:hanging="709"/>
      </w:pPr>
      <w:r w:rsidRPr="00DC1E20">
        <w:t xml:space="preserve">Le </w:t>
      </w:r>
      <w:r w:rsidRPr="00DC1E20">
        <w:rPr>
          <w:b/>
        </w:rPr>
        <w:t>Président</w:t>
      </w:r>
      <w:r w:rsidR="00920ACB">
        <w:t xml:space="preserve"> souhaitait</w:t>
      </w:r>
      <w:r w:rsidRPr="00DC1E20">
        <w:t xml:space="preserve"> également </w:t>
      </w:r>
      <w:r w:rsidR="00072F04">
        <w:t xml:space="preserve">préciser comment </w:t>
      </w:r>
      <w:r>
        <w:t xml:space="preserve">le Comité </w:t>
      </w:r>
      <w:r w:rsidR="00072F04">
        <w:t xml:space="preserve">devrait procéder avec les amendements aux projets de décision concernant les candidatures, </w:t>
      </w:r>
      <w:r w:rsidR="00072F04" w:rsidRPr="00072F04">
        <w:t>en particulier</w:t>
      </w:r>
      <w:r w:rsidR="00072F04">
        <w:t xml:space="preserve"> à l</w:t>
      </w:r>
      <w:r w:rsidR="00346F1B">
        <w:t>’</w:t>
      </w:r>
      <w:r w:rsidR="00072F04">
        <w:t>aune de la décision prise le</w:t>
      </w:r>
      <w:r w:rsidR="00B16D5C">
        <w:t xml:space="preserve"> matin même, au titre du point 8</w:t>
      </w:r>
      <w:r w:rsidR="00072F04">
        <w:t xml:space="preserve">, sur la procédure de prise de </w:t>
      </w:r>
      <w:r w:rsidR="00072F04" w:rsidRPr="00072F04">
        <w:t>décision</w:t>
      </w:r>
      <w:r w:rsidR="00D53CBD">
        <w:t>s</w:t>
      </w:r>
      <w:r w:rsidR="00072F04">
        <w:t xml:space="preserve"> en ce qui concerne l</w:t>
      </w:r>
      <w:r w:rsidR="00346F1B">
        <w:t>’</w:t>
      </w:r>
      <w:r w:rsidR="00072F04" w:rsidRPr="00072F04">
        <w:t>inscription</w:t>
      </w:r>
      <w:r w:rsidR="00072F04">
        <w:t>, la sélection ou l</w:t>
      </w:r>
      <w:r w:rsidR="00346F1B">
        <w:t>’</w:t>
      </w:r>
      <w:r w:rsidR="00072F04">
        <w:t xml:space="preserve">approbation des candidatures, propositions et demandes. </w:t>
      </w:r>
      <w:r w:rsidR="00B16D5C" w:rsidRPr="00B16D5C">
        <w:t>Conformément</w:t>
      </w:r>
      <w:r w:rsidR="00B16D5C">
        <w:t xml:space="preserve"> à </w:t>
      </w:r>
      <w:r w:rsidR="00072F04">
        <w:t>la décision, l</w:t>
      </w:r>
      <w:r w:rsidR="00346F1B">
        <w:t>’</w:t>
      </w:r>
      <w:r w:rsidR="00072F04">
        <w:t>esprit de consensus devait prévaloir dans les débats du Comité lorsqu</w:t>
      </w:r>
      <w:r w:rsidR="00346F1B">
        <w:t>’</w:t>
      </w:r>
      <w:r w:rsidR="00072F04">
        <w:t>il y avait des amendements à un projet de décision, de façon à ce qu</w:t>
      </w:r>
      <w:r w:rsidR="00346F1B">
        <w:t>’</w:t>
      </w:r>
      <w:r w:rsidR="00072F04">
        <w:t xml:space="preserve">il poursuive ses travaux de la même façon que pour tous les autres points et en prenant en </w:t>
      </w:r>
      <w:r w:rsidR="00072F04" w:rsidRPr="00072F04">
        <w:t>considération</w:t>
      </w:r>
      <w:r w:rsidR="00072F04">
        <w:t xml:space="preserve"> la décision prise précédemment. </w:t>
      </w:r>
      <w:r w:rsidR="00B16D5C">
        <w:t>Le Président a rappelé que l</w:t>
      </w:r>
      <w:r w:rsidR="00346F1B">
        <w:t>’</w:t>
      </w:r>
      <w:r w:rsidR="00B16D5C">
        <w:t>Organe d</w:t>
      </w:r>
      <w:r w:rsidR="00346F1B">
        <w:t>’</w:t>
      </w:r>
      <w:r w:rsidR="00B16D5C">
        <w:t>évaluation avait été créé afin d</w:t>
      </w:r>
      <w:r w:rsidR="00346F1B">
        <w:t>’</w:t>
      </w:r>
      <w:r w:rsidR="00B16D5C">
        <w:t xml:space="preserve">aider le Comité à traiter les candidatures car le Comité ne disposait pas de suffisamment de temps pour examiner en détail chaque </w:t>
      </w:r>
      <w:r w:rsidR="00B16D5C" w:rsidRPr="00B16D5C">
        <w:t>candidature</w:t>
      </w:r>
      <w:r w:rsidR="00B16D5C">
        <w:t>. Il a rappelé au Comité que l</w:t>
      </w:r>
      <w:r w:rsidR="00346F1B">
        <w:t>’’</w:t>
      </w:r>
      <w:r w:rsidR="00B16D5C">
        <w:t>Organe d</w:t>
      </w:r>
      <w:r w:rsidR="00346F1B">
        <w:t>’</w:t>
      </w:r>
      <w:r w:rsidR="00B16D5C">
        <w:t xml:space="preserve">évaluation était composé de </w:t>
      </w:r>
      <w:r w:rsidR="00A46CAD">
        <w:t>membres</w:t>
      </w:r>
      <w:r w:rsidR="00B16D5C">
        <w:t xml:space="preserve"> élus sur </w:t>
      </w:r>
      <w:r w:rsidR="00B16D5C" w:rsidRPr="00B16D5C">
        <w:t xml:space="preserve">proposition </w:t>
      </w:r>
      <w:r w:rsidR="00B16D5C">
        <w:t>du Comité lui-même, et qu</w:t>
      </w:r>
      <w:r w:rsidR="00346F1B">
        <w:t>’</w:t>
      </w:r>
      <w:r w:rsidR="00B16D5C">
        <w:t xml:space="preserve">il était donc recommandé au Comité de respecter </w:t>
      </w:r>
      <w:r w:rsidR="00311274">
        <w:t>son propre Organe d</w:t>
      </w:r>
      <w:r w:rsidR="00346F1B">
        <w:t>’</w:t>
      </w:r>
      <w:r w:rsidR="00311274">
        <w:t>évaluation.</w:t>
      </w:r>
    </w:p>
    <w:p w14:paraId="7127EC2C" w14:textId="7560BC71" w:rsidR="00EA68B6" w:rsidRPr="00EA68B6" w:rsidRDefault="00B16D5C" w:rsidP="00AF7860">
      <w:pPr>
        <w:pStyle w:val="Orateurengris"/>
        <w:spacing w:before="120"/>
        <w:ind w:left="709" w:hanging="709"/>
      </w:pPr>
      <w:r>
        <w:t xml:space="preserve">La </w:t>
      </w:r>
      <w:r w:rsidRPr="00B16D5C">
        <w:t>délégation</w:t>
      </w:r>
      <w:r>
        <w:t xml:space="preserve"> de </w:t>
      </w:r>
      <w:r w:rsidRPr="00B16D5C">
        <w:rPr>
          <w:b/>
        </w:rPr>
        <w:t>Cuba</w:t>
      </w:r>
      <w:r>
        <w:t xml:space="preserve"> a demandé au Président de s</w:t>
      </w:r>
      <w:r w:rsidR="00346F1B">
        <w:t>’</w:t>
      </w:r>
      <w:r>
        <w:t>abstenir d</w:t>
      </w:r>
      <w:r w:rsidR="00346F1B">
        <w:t>’</w:t>
      </w:r>
      <w:r>
        <w:t>émettre des jugement</w:t>
      </w:r>
      <w:r w:rsidR="00AB00B8">
        <w:t>s de valeur en ce qui concerne d</w:t>
      </w:r>
      <w:r>
        <w:t xml:space="preserve">es décisions </w:t>
      </w:r>
      <w:r w:rsidR="00AB00B8">
        <w:t>qui n</w:t>
      </w:r>
      <w:r w:rsidR="00346F1B">
        <w:t>’</w:t>
      </w:r>
      <w:r w:rsidR="00AB00B8">
        <w:t>avaient pas encore été prises</w:t>
      </w:r>
      <w:r w:rsidR="00990D4D">
        <w:t>, et ce, afin de faire preuve d</w:t>
      </w:r>
      <w:r w:rsidR="00346F1B">
        <w:t>’</w:t>
      </w:r>
      <w:r w:rsidR="00990D4D">
        <w:t>imp</w:t>
      </w:r>
      <w:r w:rsidR="00AB00B8">
        <w:t>artialité vis à vis du Comité. E</w:t>
      </w:r>
      <w:r w:rsidR="00990D4D">
        <w:t>lle a rappelé que</w:t>
      </w:r>
      <w:r w:rsidR="00AB00B8">
        <w:t xml:space="preserve"> Cuba, soutenu par d</w:t>
      </w:r>
      <w:r w:rsidR="00346F1B">
        <w:t>’</w:t>
      </w:r>
      <w:r w:rsidR="00AB00B8">
        <w:t xml:space="preserve">autres délégations, avait déjà clairement </w:t>
      </w:r>
      <w:r w:rsidR="00EA68B6">
        <w:t xml:space="preserve">affirmé </w:t>
      </w:r>
      <w:r w:rsidR="00AB00B8">
        <w:t xml:space="preserve">que sa </w:t>
      </w:r>
      <w:r w:rsidR="00AB00B8" w:rsidRPr="00AB00B8">
        <w:t>délégation</w:t>
      </w:r>
      <w:r w:rsidR="00AB00B8">
        <w:t xml:space="preserve"> était prête à examiner toutes les candidatures pour lesquelles l</w:t>
      </w:r>
      <w:r w:rsidR="00346F1B">
        <w:t>’</w:t>
      </w:r>
      <w:r w:rsidR="00AB00B8">
        <w:t>Organe d</w:t>
      </w:r>
      <w:r w:rsidR="00346F1B">
        <w:t>’</w:t>
      </w:r>
      <w:r w:rsidR="00AB00B8">
        <w:t>évaluation n</w:t>
      </w:r>
      <w:r w:rsidR="00346F1B">
        <w:t>’</w:t>
      </w:r>
      <w:r w:rsidR="00AB00B8">
        <w:t>avait pas recommandé l</w:t>
      </w:r>
      <w:r w:rsidR="00346F1B">
        <w:t>’</w:t>
      </w:r>
      <w:r w:rsidR="00AB00B8" w:rsidRPr="00AB00B8">
        <w:t>inscription</w:t>
      </w:r>
      <w:r w:rsidR="00AB00B8">
        <w:t xml:space="preserve">. La </w:t>
      </w:r>
      <w:r w:rsidR="00AB00B8" w:rsidRPr="00AB00B8">
        <w:t>délégation</w:t>
      </w:r>
      <w:r w:rsidR="00AB00B8">
        <w:t xml:space="preserve"> a précisé que la </w:t>
      </w:r>
      <w:r w:rsidR="00AB00B8" w:rsidRPr="00AB00B8">
        <w:t xml:space="preserve">proposition </w:t>
      </w:r>
      <w:r w:rsidR="00AB00B8">
        <w:t>du Président était une procédure qui n</w:t>
      </w:r>
      <w:r w:rsidR="00346F1B">
        <w:t>’</w:t>
      </w:r>
      <w:r w:rsidR="00EA68B6">
        <w:t xml:space="preserve">était </w:t>
      </w:r>
      <w:r w:rsidR="00AB00B8">
        <w:t>établie dans aucune des Directives opérationnelles, ajoutant qu</w:t>
      </w:r>
      <w:r w:rsidR="00346F1B">
        <w:t>’</w:t>
      </w:r>
      <w:r w:rsidR="00AB00B8">
        <w:t xml:space="preserve">elle ne souhaitait pas suivre un cadre ou une procédure décidée par le Bureau. </w:t>
      </w:r>
      <w:r w:rsidR="00235B6E">
        <w:t xml:space="preserve">Bien que le Bureau </w:t>
      </w:r>
      <w:r w:rsidR="00EA68B6">
        <w:t>organise la session et conseille le Comité, ce dernier, lorsque qu</w:t>
      </w:r>
      <w:r w:rsidR="00346F1B">
        <w:t>’</w:t>
      </w:r>
      <w:r w:rsidR="00EA68B6">
        <w:t xml:space="preserve">il avait adopté sa propre méthode de travail, avait décidé de pouvoir réexaminer toutes les candidatures. La </w:t>
      </w:r>
      <w:r w:rsidR="00EA68B6" w:rsidRPr="00EA68B6">
        <w:t>délégation</w:t>
      </w:r>
      <w:r w:rsidR="00EA68B6">
        <w:t xml:space="preserve"> était donc en désaccord avec la </w:t>
      </w:r>
      <w:r w:rsidR="00EA68B6" w:rsidRPr="00EA68B6">
        <w:t xml:space="preserve">proposition </w:t>
      </w:r>
      <w:r w:rsidR="00EA68B6">
        <w:t>du Président et a rappelé que, bien que le Bureau aide la Comité dans son travail, il revenait au Comité</w:t>
      </w:r>
      <w:r w:rsidR="008C0712">
        <w:t xml:space="preserve"> de décider lui-même des</w:t>
      </w:r>
      <w:r w:rsidR="00EA68B6">
        <w:t xml:space="preserve"> méthode</w:t>
      </w:r>
      <w:r w:rsidR="008C0712">
        <w:t>s</w:t>
      </w:r>
      <w:r w:rsidR="00EA68B6">
        <w:t xml:space="preserve"> de travail qu</w:t>
      </w:r>
      <w:r w:rsidR="00346F1B">
        <w:t>’</w:t>
      </w:r>
      <w:r w:rsidR="00EA68B6">
        <w:t xml:space="preserve">il souhaitait </w:t>
      </w:r>
      <w:r w:rsidR="008C0712">
        <w:t xml:space="preserve">adopter </w:t>
      </w:r>
      <w:r w:rsidR="00EA68B6">
        <w:t xml:space="preserve">en ce qui concerne les candidatures. La </w:t>
      </w:r>
      <w:r w:rsidR="00EA68B6" w:rsidRPr="00EA68B6">
        <w:t>délégation</w:t>
      </w:r>
      <w:r w:rsidR="00EA68B6">
        <w:t xml:space="preserve"> a fait remarquer qu</w:t>
      </w:r>
      <w:r w:rsidR="00346F1B">
        <w:t>’</w:t>
      </w:r>
      <w:r w:rsidR="00EA68B6">
        <w:t>il s</w:t>
      </w:r>
      <w:r w:rsidR="00346F1B">
        <w:t>’</w:t>
      </w:r>
      <w:r w:rsidR="00EA68B6">
        <w:t>agiss</w:t>
      </w:r>
      <w:r w:rsidR="00235B6E">
        <w:t>ait là d</w:t>
      </w:r>
      <w:r w:rsidR="00346F1B">
        <w:t>’</w:t>
      </w:r>
      <w:r w:rsidR="00235B6E">
        <w:t>un problème récurrent qui se posait</w:t>
      </w:r>
      <w:r w:rsidR="00EA68B6">
        <w:t xml:space="preserve"> </w:t>
      </w:r>
      <w:r w:rsidR="00235B6E">
        <w:t xml:space="preserve">à </w:t>
      </w:r>
      <w:r w:rsidR="00EA68B6">
        <w:t>chaque réunion du Comité. En outre, elle ne souhaitait en aucune façon remettre en question l</w:t>
      </w:r>
      <w:r w:rsidR="00346F1B">
        <w:t>’</w:t>
      </w:r>
      <w:r w:rsidR="00EA68B6">
        <w:t>Organe d</w:t>
      </w:r>
      <w:r w:rsidR="00346F1B">
        <w:t>’</w:t>
      </w:r>
      <w:r w:rsidR="00EA68B6">
        <w:t xml:space="preserve">évaluation ; elle avait </w:t>
      </w:r>
      <w:r w:rsidR="00235B6E">
        <w:t xml:space="preserve">même </w:t>
      </w:r>
      <w:r w:rsidR="00EA68B6">
        <w:t xml:space="preserve">des questions sur les méthodes de travail que le Comité avait </w:t>
      </w:r>
      <w:r w:rsidR="008C0712">
        <w:t xml:space="preserve">fixées </w:t>
      </w:r>
      <w:r w:rsidR="00EA68B6">
        <w:t>pour l</w:t>
      </w:r>
      <w:r w:rsidR="00346F1B">
        <w:t>’</w:t>
      </w:r>
      <w:r w:rsidR="00EA68B6">
        <w:t>Organe d</w:t>
      </w:r>
      <w:r w:rsidR="00346F1B">
        <w:t>’</w:t>
      </w:r>
      <w:r w:rsidR="00EA68B6">
        <w:t xml:space="preserve">évaluation, </w:t>
      </w:r>
      <w:r w:rsidR="008C0712">
        <w:t xml:space="preserve">les réponses à ces </w:t>
      </w:r>
      <w:r w:rsidR="00235B6E">
        <w:t xml:space="preserve">questions </w:t>
      </w:r>
      <w:r w:rsidR="008C0712">
        <w:t xml:space="preserve">se dégageraient </w:t>
      </w:r>
      <w:r w:rsidR="00235B6E">
        <w:t>d</w:t>
      </w:r>
      <w:r w:rsidR="00346F1B">
        <w:t>’</w:t>
      </w:r>
      <w:r w:rsidR="00235B6E">
        <w:t xml:space="preserve">ailleurs </w:t>
      </w:r>
      <w:r w:rsidR="008C0712">
        <w:t xml:space="preserve">certainement du débat qui allait suivre. La </w:t>
      </w:r>
      <w:r w:rsidR="008C0712" w:rsidRPr="008C0712">
        <w:t>délégation</w:t>
      </w:r>
      <w:r w:rsidR="008C0712">
        <w:t xml:space="preserve"> a rappelé que le premier jour de cette réunion du Comité, celui-ci avait adopté sa propre méthode de travail, ajoutant que les </w:t>
      </w:r>
      <w:r w:rsidR="008A3BB3">
        <w:t>m</w:t>
      </w:r>
      <w:r w:rsidR="00A46CAD">
        <w:t>embres</w:t>
      </w:r>
      <w:r w:rsidR="008C0712">
        <w:t xml:space="preserve"> ne pouvaient renoncer à leurs droits de réexaminer les d</w:t>
      </w:r>
      <w:r w:rsidR="00235B6E">
        <w:t>ossiers de candidature sous prétexte</w:t>
      </w:r>
      <w:r w:rsidR="008C0712">
        <w:t xml:space="preserve"> de pratiques qui n</w:t>
      </w:r>
      <w:r w:rsidR="00346F1B">
        <w:t>’</w:t>
      </w:r>
      <w:r w:rsidR="008C0712">
        <w:t>avaient pas été approuvées par le Comité et qui n</w:t>
      </w:r>
      <w:r w:rsidR="00346F1B">
        <w:t>’</w:t>
      </w:r>
      <w:r w:rsidR="008C0712">
        <w:t xml:space="preserve">avaient été ni réellement étudiées ni examinées le premier jour. La </w:t>
      </w:r>
      <w:r w:rsidR="008C0712" w:rsidRPr="008C0712">
        <w:t>délégation</w:t>
      </w:r>
      <w:r w:rsidR="008C0712">
        <w:t xml:space="preserve"> a appelé le Président à fai</w:t>
      </w:r>
      <w:r w:rsidR="00235B6E">
        <w:t>re preuve d</w:t>
      </w:r>
      <w:r w:rsidR="00346F1B">
        <w:t>’</w:t>
      </w:r>
      <w:r w:rsidR="00235B6E">
        <w:t xml:space="preserve">impartialité sur ce </w:t>
      </w:r>
      <w:r w:rsidR="008C0712">
        <w:t xml:space="preserve">point. À défaut, </w:t>
      </w:r>
      <w:r w:rsidR="00235B6E">
        <w:t>elle serait dans l</w:t>
      </w:r>
      <w:r w:rsidR="00346F1B">
        <w:t>’</w:t>
      </w:r>
      <w:r w:rsidR="00235B6E">
        <w:t>obligation de faire jouer son droit d</w:t>
      </w:r>
      <w:r w:rsidR="00346F1B">
        <w:t>’</w:t>
      </w:r>
      <w:r w:rsidR="00235B6E">
        <w:t>amender les fonctions et pouvoirs du Président, comme débattu pr</w:t>
      </w:r>
      <w:r w:rsidR="00311274">
        <w:t>écédemment au titre du point 8.</w:t>
      </w:r>
    </w:p>
    <w:p w14:paraId="2A804A8F" w14:textId="78D772B7" w:rsidR="00235B6E" w:rsidRPr="00DE5B59" w:rsidRDefault="00DE5B59" w:rsidP="00AF7860">
      <w:pPr>
        <w:pStyle w:val="Orateurengris"/>
        <w:spacing w:before="120"/>
        <w:ind w:left="709" w:hanging="709"/>
      </w:pPr>
      <w:r w:rsidRPr="00DE5B59">
        <w:t xml:space="preserve">Le </w:t>
      </w:r>
      <w:r w:rsidRPr="00DE5B59">
        <w:rPr>
          <w:b/>
        </w:rPr>
        <w:t>Président</w:t>
      </w:r>
      <w:r w:rsidR="0040517F">
        <w:t xml:space="preserve"> souhaitait</w:t>
      </w:r>
      <w:r w:rsidRPr="00DE5B59">
        <w:t xml:space="preserve"> préciser que le Bureau, </w:t>
      </w:r>
      <w:r w:rsidR="00EC63EB">
        <w:t>lors de sa séance du matin, avait rassemblé tous les amendements et demandes d</w:t>
      </w:r>
      <w:r w:rsidR="00346F1B">
        <w:t>’</w:t>
      </w:r>
      <w:r w:rsidR="00EC63EB" w:rsidRPr="00EC63EB">
        <w:t>amendement</w:t>
      </w:r>
      <w:r w:rsidR="00EC63EB">
        <w:t xml:space="preserve"> reçus avant 9 heures afin de pouvoir les programmer en conséquence. En aucune façon, cela impliquait que les </w:t>
      </w:r>
      <w:r w:rsidR="008A3BB3">
        <w:t>m</w:t>
      </w:r>
      <w:r w:rsidR="00A46CAD">
        <w:t>embres du Comité</w:t>
      </w:r>
      <w:r w:rsidR="00EC63EB">
        <w:t xml:space="preserve"> ne puissent proposer d</w:t>
      </w:r>
      <w:r w:rsidR="00346F1B">
        <w:t>’</w:t>
      </w:r>
      <w:r w:rsidR="00EC63EB">
        <w:t>autres amendements. Le Président a expliqué que cette procédure était sim</w:t>
      </w:r>
      <w:r w:rsidR="0016627F">
        <w:t>plement destinée à faciliter l</w:t>
      </w:r>
      <w:r w:rsidR="00346F1B">
        <w:t>’</w:t>
      </w:r>
      <w:r w:rsidR="0016627F" w:rsidRPr="0016627F">
        <w:t>organisation</w:t>
      </w:r>
      <w:r w:rsidR="0016627F">
        <w:t xml:space="preserve"> </w:t>
      </w:r>
      <w:r w:rsidR="00EC63EB">
        <w:t>des points de l</w:t>
      </w:r>
      <w:r w:rsidR="00346F1B">
        <w:t>’</w:t>
      </w:r>
      <w:r w:rsidR="00EC63EB" w:rsidRPr="00EC63EB">
        <w:t>ordre du jour</w:t>
      </w:r>
      <w:r w:rsidR="00EC63EB">
        <w:t xml:space="preserve">, </w:t>
      </w:r>
      <w:r w:rsidR="00EC63EB" w:rsidRPr="00EC63EB">
        <w:t>en particulier</w:t>
      </w:r>
      <w:r w:rsidR="00EC63EB">
        <w:t xml:space="preserve"> s</w:t>
      </w:r>
      <w:r w:rsidR="00346F1B">
        <w:t>’</w:t>
      </w:r>
      <w:r w:rsidR="00EC63EB">
        <w:t>il y avait des sessions prolongées au cours desquelles seules deux langues d</w:t>
      </w:r>
      <w:r w:rsidR="00346F1B">
        <w:t>’</w:t>
      </w:r>
      <w:r w:rsidR="00EC63EB" w:rsidRPr="00EC63EB">
        <w:t>interprétation</w:t>
      </w:r>
      <w:r w:rsidR="00EC63EB">
        <w:t xml:space="preserve"> </w:t>
      </w:r>
      <w:r w:rsidR="0016627F">
        <w:t xml:space="preserve">étaient </w:t>
      </w:r>
      <w:r w:rsidR="00EC63EB">
        <w:t>disponibles. A</w:t>
      </w:r>
      <w:r w:rsidR="0016627F">
        <w:t>insi, les amendements pouvaient</w:t>
      </w:r>
      <w:r w:rsidR="00EC63EB">
        <w:t xml:space="preserve"> être correctement répartis dans la période de temps disponible. </w:t>
      </w:r>
      <w:r w:rsidR="00EC63EB" w:rsidRPr="00EC63EB">
        <w:t>Néanmoins</w:t>
      </w:r>
      <w:r w:rsidR="00EC63EB">
        <w:t xml:space="preserve">, </w:t>
      </w:r>
      <w:r w:rsidR="0016627F">
        <w:t>à n</w:t>
      </w:r>
      <w:r w:rsidR="00346F1B">
        <w:t>’</w:t>
      </w:r>
      <w:r w:rsidR="0016627F">
        <w:t>importe quel moment avant l</w:t>
      </w:r>
      <w:r w:rsidR="00346F1B">
        <w:t>’</w:t>
      </w:r>
      <w:r w:rsidR="0016627F">
        <w:t xml:space="preserve">ouverture du dossier, </w:t>
      </w:r>
      <w:r w:rsidR="00EC63EB">
        <w:t xml:space="preserve">tout </w:t>
      </w:r>
      <w:r w:rsidR="008A3BB3">
        <w:t>membre</w:t>
      </w:r>
      <w:r w:rsidR="00EC63EB">
        <w:t xml:space="preserve"> du Comité pourrait soumettre un </w:t>
      </w:r>
      <w:r w:rsidR="00EC63EB" w:rsidRPr="00EC63EB">
        <w:t>amendement</w:t>
      </w:r>
      <w:r w:rsidR="00311274">
        <w:t>.</w:t>
      </w:r>
    </w:p>
    <w:p w14:paraId="67DF7A95" w14:textId="2A32D58E" w:rsidR="0016627F" w:rsidRPr="0016627F" w:rsidRDefault="0016627F" w:rsidP="00AF7860">
      <w:pPr>
        <w:pStyle w:val="Orateurengris"/>
        <w:spacing w:before="120"/>
        <w:ind w:left="709" w:hanging="709"/>
        <w:rPr>
          <w:color w:val="000000"/>
        </w:rPr>
      </w:pPr>
      <w:r w:rsidRPr="0016627F">
        <w:rPr>
          <w:color w:val="000000"/>
        </w:rPr>
        <w:t xml:space="preserve">La délégation de </w:t>
      </w:r>
      <w:r w:rsidRPr="0016627F">
        <w:rPr>
          <w:b/>
          <w:color w:val="000000"/>
        </w:rPr>
        <w:t>Cuba</w:t>
      </w:r>
      <w:r w:rsidR="00AC4AD7">
        <w:rPr>
          <w:color w:val="000000"/>
        </w:rPr>
        <w:t xml:space="preserve"> n</w:t>
      </w:r>
      <w:r w:rsidR="00346F1B">
        <w:rPr>
          <w:color w:val="000000"/>
        </w:rPr>
        <w:t>’</w:t>
      </w:r>
      <w:r w:rsidR="00AC4AD7">
        <w:rPr>
          <w:color w:val="000000"/>
        </w:rPr>
        <w:t>avait aucun doute quant à la possibilité de présenter des amendements</w:t>
      </w:r>
      <w:r>
        <w:rPr>
          <w:color w:val="000000"/>
        </w:rPr>
        <w:t xml:space="preserve">, </w:t>
      </w:r>
      <w:r w:rsidRPr="0016627F">
        <w:rPr>
          <w:color w:val="000000"/>
        </w:rPr>
        <w:t>en particulier</w:t>
      </w:r>
      <w:r>
        <w:rPr>
          <w:color w:val="000000"/>
        </w:rPr>
        <w:t xml:space="preserve"> </w:t>
      </w:r>
      <w:r w:rsidRPr="0016627F">
        <w:rPr>
          <w:color w:val="000000"/>
        </w:rPr>
        <w:t>parce que</w:t>
      </w:r>
      <w:r>
        <w:rPr>
          <w:color w:val="000000"/>
        </w:rPr>
        <w:t xml:space="preserve"> le </w:t>
      </w:r>
      <w:r w:rsidRPr="0016627F">
        <w:rPr>
          <w:color w:val="000000"/>
        </w:rPr>
        <w:t>Secrétaire</w:t>
      </w:r>
      <w:r>
        <w:rPr>
          <w:color w:val="000000"/>
        </w:rPr>
        <w:t xml:space="preserve"> avait évoqué la question </w:t>
      </w:r>
      <w:r w:rsidR="00AC4AD7">
        <w:rPr>
          <w:color w:val="000000"/>
        </w:rPr>
        <w:t xml:space="preserve">à </w:t>
      </w:r>
      <w:r>
        <w:rPr>
          <w:color w:val="000000"/>
        </w:rPr>
        <w:t>l</w:t>
      </w:r>
      <w:r w:rsidR="00346F1B">
        <w:rPr>
          <w:color w:val="000000"/>
        </w:rPr>
        <w:t>’</w:t>
      </w:r>
      <w:r>
        <w:rPr>
          <w:color w:val="000000"/>
        </w:rPr>
        <w:t xml:space="preserve">ouverture </w:t>
      </w:r>
      <w:r w:rsidR="00AC4AD7">
        <w:rPr>
          <w:color w:val="000000"/>
        </w:rPr>
        <w:t xml:space="preserve">de la réunion. En résumé, la </w:t>
      </w:r>
      <w:r w:rsidR="00AC4AD7" w:rsidRPr="00AC4AD7">
        <w:rPr>
          <w:color w:val="000000"/>
        </w:rPr>
        <w:t>délégation</w:t>
      </w:r>
      <w:r w:rsidR="00AC4AD7">
        <w:rPr>
          <w:color w:val="000000"/>
        </w:rPr>
        <w:t xml:space="preserve"> avait pris note que, selon la procédure, les </w:t>
      </w:r>
      <w:r w:rsidR="008A3BB3">
        <w:rPr>
          <w:color w:val="000000"/>
        </w:rPr>
        <w:t>m</w:t>
      </w:r>
      <w:r w:rsidR="00A46CAD">
        <w:rPr>
          <w:color w:val="000000"/>
        </w:rPr>
        <w:t>embres du Comité</w:t>
      </w:r>
      <w:r w:rsidR="00AC4AD7">
        <w:rPr>
          <w:color w:val="000000"/>
        </w:rPr>
        <w:t xml:space="preserve"> étaient autorisés à rouvrir et réexaminer des dossiers s</w:t>
      </w:r>
      <w:r w:rsidR="00346F1B">
        <w:rPr>
          <w:color w:val="000000"/>
        </w:rPr>
        <w:t>’</w:t>
      </w:r>
      <w:r w:rsidR="00AC4AD7">
        <w:rPr>
          <w:color w:val="000000"/>
        </w:rPr>
        <w:t>ils le souhaitaient, ainsi qu</w:t>
      </w:r>
      <w:r w:rsidR="00346F1B">
        <w:rPr>
          <w:color w:val="000000"/>
        </w:rPr>
        <w:t>’</w:t>
      </w:r>
      <w:r w:rsidR="00AC4AD7">
        <w:rPr>
          <w:color w:val="000000"/>
        </w:rPr>
        <w:t>à présenter des amendements sans avoir besoin de les présenter à l</w:t>
      </w:r>
      <w:r w:rsidR="00346F1B">
        <w:rPr>
          <w:color w:val="000000"/>
        </w:rPr>
        <w:t>’</w:t>
      </w:r>
      <w:r w:rsidR="00AC4AD7">
        <w:rPr>
          <w:color w:val="000000"/>
        </w:rPr>
        <w:t xml:space="preserve">avance. La </w:t>
      </w:r>
      <w:r w:rsidR="00AC4AD7" w:rsidRPr="00AC4AD7">
        <w:rPr>
          <w:color w:val="000000"/>
        </w:rPr>
        <w:t>délégation</w:t>
      </w:r>
      <w:r w:rsidR="00AC4AD7">
        <w:rPr>
          <w:color w:val="000000"/>
        </w:rPr>
        <w:t xml:space="preserve"> a rassuré le Comité sur son absence de volonté d</w:t>
      </w:r>
      <w:r w:rsidR="00346F1B">
        <w:rPr>
          <w:color w:val="000000"/>
        </w:rPr>
        <w:t>’</w:t>
      </w:r>
      <w:r w:rsidR="00AC4AD7">
        <w:rPr>
          <w:color w:val="000000"/>
        </w:rPr>
        <w:t>imposer quoi qu</w:t>
      </w:r>
      <w:r w:rsidR="00A52083">
        <w:rPr>
          <w:color w:val="000000"/>
        </w:rPr>
        <w:t xml:space="preserve">e ce soit, </w:t>
      </w:r>
      <w:r w:rsidR="00AC4AD7">
        <w:rPr>
          <w:color w:val="000000"/>
        </w:rPr>
        <w:t xml:space="preserve">elle souhaitait plutôt établir clairement que les </w:t>
      </w:r>
      <w:r w:rsidR="008A3BB3">
        <w:rPr>
          <w:color w:val="000000"/>
        </w:rPr>
        <w:t>m</w:t>
      </w:r>
      <w:r w:rsidR="00A46CAD">
        <w:rPr>
          <w:color w:val="000000"/>
        </w:rPr>
        <w:t>embres du Comité</w:t>
      </w:r>
      <w:r w:rsidR="00AC4AD7">
        <w:rPr>
          <w:color w:val="000000"/>
        </w:rPr>
        <w:t xml:space="preserve"> pouvaient ouvrir un débat sur </w:t>
      </w:r>
      <w:r w:rsidR="00A52083">
        <w:rPr>
          <w:color w:val="000000"/>
        </w:rPr>
        <w:t xml:space="preserve">un </w:t>
      </w:r>
      <w:r w:rsidR="00AC4AD7">
        <w:rPr>
          <w:color w:val="000000"/>
        </w:rPr>
        <w:t>dossier de candidature qui n</w:t>
      </w:r>
      <w:r w:rsidR="00346F1B">
        <w:rPr>
          <w:color w:val="000000"/>
        </w:rPr>
        <w:t>’</w:t>
      </w:r>
      <w:r w:rsidR="00AC4AD7">
        <w:rPr>
          <w:color w:val="000000"/>
        </w:rPr>
        <w:t>avait pas été recommandé par l</w:t>
      </w:r>
      <w:r w:rsidR="00346F1B">
        <w:rPr>
          <w:color w:val="000000"/>
        </w:rPr>
        <w:t>’</w:t>
      </w:r>
      <w:r w:rsidR="00AC4AD7">
        <w:rPr>
          <w:color w:val="000000"/>
        </w:rPr>
        <w:t>Organe d</w:t>
      </w:r>
      <w:r w:rsidR="00346F1B">
        <w:rPr>
          <w:color w:val="000000"/>
        </w:rPr>
        <w:t>’</w:t>
      </w:r>
      <w:r w:rsidR="00AC4AD7">
        <w:rPr>
          <w:color w:val="000000"/>
        </w:rPr>
        <w:t xml:space="preserve">évaluation sans pour autant remettre </w:t>
      </w:r>
      <w:r w:rsidR="00A52083">
        <w:rPr>
          <w:color w:val="000000"/>
        </w:rPr>
        <w:t xml:space="preserve">en question </w:t>
      </w:r>
      <w:r w:rsidR="00AC4AD7">
        <w:rPr>
          <w:color w:val="000000"/>
        </w:rPr>
        <w:t>de quelque manière que ce soit le travail de l</w:t>
      </w:r>
      <w:r w:rsidR="00346F1B">
        <w:rPr>
          <w:color w:val="000000"/>
        </w:rPr>
        <w:t>’</w:t>
      </w:r>
      <w:r w:rsidR="00AC4AD7">
        <w:rPr>
          <w:color w:val="000000"/>
        </w:rPr>
        <w:t>Organe d</w:t>
      </w:r>
      <w:r w:rsidR="00346F1B">
        <w:rPr>
          <w:color w:val="000000"/>
        </w:rPr>
        <w:t>’</w:t>
      </w:r>
      <w:r w:rsidR="00AC4AD7">
        <w:rPr>
          <w:color w:val="000000"/>
        </w:rPr>
        <w:t>évaluation</w:t>
      </w:r>
      <w:r w:rsidR="00311274">
        <w:rPr>
          <w:color w:val="000000"/>
        </w:rPr>
        <w:t>.</w:t>
      </w:r>
    </w:p>
    <w:p w14:paraId="21890F8A" w14:textId="7598CE37" w:rsidR="000750E8" w:rsidRPr="000750E8" w:rsidRDefault="00A52083" w:rsidP="00AF7860">
      <w:pPr>
        <w:pStyle w:val="Orateurengris"/>
        <w:spacing w:before="120"/>
        <w:ind w:left="709" w:hanging="709"/>
        <w:rPr>
          <w:color w:val="000000"/>
        </w:rPr>
      </w:pPr>
      <w:r w:rsidRPr="00A52083">
        <w:rPr>
          <w:color w:val="000000"/>
        </w:rPr>
        <w:t xml:space="preserve">Le </w:t>
      </w:r>
      <w:r w:rsidRPr="00A52083">
        <w:rPr>
          <w:b/>
          <w:color w:val="000000"/>
        </w:rPr>
        <w:t>Président</w:t>
      </w:r>
      <w:r w:rsidRPr="00A52083">
        <w:rPr>
          <w:color w:val="000000"/>
        </w:rPr>
        <w:t xml:space="preserve"> </w:t>
      </w:r>
      <w:r>
        <w:rPr>
          <w:color w:val="000000"/>
        </w:rPr>
        <w:t>s</w:t>
      </w:r>
      <w:r w:rsidR="00346F1B">
        <w:rPr>
          <w:color w:val="000000"/>
        </w:rPr>
        <w:t>’</w:t>
      </w:r>
      <w:r>
        <w:rPr>
          <w:color w:val="000000"/>
        </w:rPr>
        <w:t>e</w:t>
      </w:r>
      <w:r w:rsidR="0040517F">
        <w:rPr>
          <w:color w:val="000000"/>
        </w:rPr>
        <w:t>st dit d</w:t>
      </w:r>
      <w:r w:rsidR="00346F1B">
        <w:rPr>
          <w:color w:val="000000"/>
        </w:rPr>
        <w:t>’</w:t>
      </w:r>
      <w:r w:rsidR="0040517F">
        <w:rPr>
          <w:color w:val="000000"/>
        </w:rPr>
        <w:t xml:space="preserve">accord avec Cuba. Il souhaitait </w:t>
      </w:r>
      <w:r>
        <w:rPr>
          <w:color w:val="000000"/>
        </w:rPr>
        <w:t xml:space="preserve">rappeler </w:t>
      </w:r>
      <w:r w:rsidR="000750E8">
        <w:rPr>
          <w:color w:val="000000"/>
        </w:rPr>
        <w:t xml:space="preserve">plusieurs </w:t>
      </w:r>
      <w:r>
        <w:rPr>
          <w:color w:val="000000"/>
        </w:rPr>
        <w:t>autres méthodes de travail adoptées par le Comité que celu</w:t>
      </w:r>
      <w:r w:rsidR="000750E8">
        <w:rPr>
          <w:color w:val="000000"/>
        </w:rPr>
        <w:t>i-ci devait respecter pendant le</w:t>
      </w:r>
      <w:r>
        <w:rPr>
          <w:color w:val="000000"/>
        </w:rPr>
        <w:t xml:space="preserve"> débat</w:t>
      </w:r>
      <w:r w:rsidR="000750E8">
        <w:rPr>
          <w:color w:val="000000"/>
        </w:rPr>
        <w:t xml:space="preserve"> général</w:t>
      </w:r>
      <w:r>
        <w:rPr>
          <w:color w:val="000000"/>
        </w:rPr>
        <w:t> : i</w:t>
      </w:r>
      <w:r w:rsidR="002567C8">
        <w:rPr>
          <w:color w:val="000000"/>
        </w:rPr>
        <w:t xml:space="preserve">) la priorité était donnée aux </w:t>
      </w:r>
      <w:r w:rsidR="00A46CAD">
        <w:rPr>
          <w:color w:val="000000"/>
        </w:rPr>
        <w:t>membres du Comité</w:t>
      </w:r>
      <w:r>
        <w:rPr>
          <w:color w:val="000000"/>
        </w:rPr>
        <w:t xml:space="preserve">, mais la parole serait </w:t>
      </w:r>
      <w:r w:rsidRPr="00A52083">
        <w:rPr>
          <w:color w:val="000000"/>
        </w:rPr>
        <w:t>également</w:t>
      </w:r>
      <w:r w:rsidR="002567C8">
        <w:rPr>
          <w:color w:val="000000"/>
        </w:rPr>
        <w:t xml:space="preserve"> donnée aux États parties non </w:t>
      </w:r>
      <w:r w:rsidR="00A46CAD">
        <w:rPr>
          <w:color w:val="000000"/>
        </w:rPr>
        <w:t>membres du Comité</w:t>
      </w:r>
      <w:r w:rsidR="002567C8">
        <w:rPr>
          <w:color w:val="000000"/>
        </w:rPr>
        <w:t xml:space="preserve"> et autres o</w:t>
      </w:r>
      <w:r>
        <w:rPr>
          <w:color w:val="000000"/>
        </w:rPr>
        <w:t>bservateurs</w:t>
      </w:r>
      <w:r w:rsidR="000750E8">
        <w:rPr>
          <w:color w:val="000000"/>
        </w:rPr>
        <w:t xml:space="preserve">, dans la mesure du temps disponible </w:t>
      </w:r>
      <w:r>
        <w:rPr>
          <w:color w:val="000000"/>
        </w:rPr>
        <w:t xml:space="preserve">; et ii) la </w:t>
      </w:r>
      <w:r w:rsidRPr="00A52083">
        <w:rPr>
          <w:color w:val="000000"/>
        </w:rPr>
        <w:t>participation</w:t>
      </w:r>
      <w:r>
        <w:rPr>
          <w:color w:val="000000"/>
        </w:rPr>
        <w:t xml:space="preserve"> aux débats sur les projet</w:t>
      </w:r>
      <w:r w:rsidR="000750E8">
        <w:rPr>
          <w:color w:val="000000"/>
        </w:rPr>
        <w:t>s</w:t>
      </w:r>
      <w:r>
        <w:rPr>
          <w:color w:val="000000"/>
        </w:rPr>
        <w:t xml:space="preserve"> de décision concernant des candidatures, propositions et demandes spécifiques était réservée aux </w:t>
      </w:r>
      <w:r w:rsidR="008A3BB3">
        <w:rPr>
          <w:color w:val="000000"/>
        </w:rPr>
        <w:t>m</w:t>
      </w:r>
      <w:r w:rsidR="00A46CAD">
        <w:rPr>
          <w:color w:val="000000"/>
        </w:rPr>
        <w:t>embres du Comité</w:t>
      </w:r>
      <w:r>
        <w:rPr>
          <w:color w:val="000000"/>
        </w:rPr>
        <w:t>. Le Président a rappelé l</w:t>
      </w:r>
      <w:r w:rsidR="00346F1B">
        <w:rPr>
          <w:color w:val="000000"/>
        </w:rPr>
        <w:t>’</w:t>
      </w:r>
      <w:r>
        <w:rPr>
          <w:color w:val="000000"/>
        </w:rPr>
        <w:t>article 22.4 du Règlement intérieur du Comité selon lequel les États soumissionnaires, qu</w:t>
      </w:r>
      <w:r w:rsidR="00346F1B">
        <w:rPr>
          <w:color w:val="000000"/>
        </w:rPr>
        <w:t>’</w:t>
      </w:r>
      <w:r>
        <w:rPr>
          <w:color w:val="000000"/>
        </w:rPr>
        <w:t xml:space="preserve">ils soient ou non </w:t>
      </w:r>
      <w:r w:rsidR="008A3BB3">
        <w:rPr>
          <w:color w:val="000000"/>
        </w:rPr>
        <w:t>m</w:t>
      </w:r>
      <w:r w:rsidR="00A46CAD">
        <w:rPr>
          <w:color w:val="000000"/>
        </w:rPr>
        <w:t>embres du Comité</w:t>
      </w:r>
      <w:r>
        <w:rPr>
          <w:color w:val="000000"/>
        </w:rPr>
        <w:t xml:space="preserve">, ne devaient pas intervenir </w:t>
      </w:r>
      <w:r w:rsidR="00387A39">
        <w:rPr>
          <w:color w:val="000000"/>
        </w:rPr>
        <w:t>pour appuyer l</w:t>
      </w:r>
      <w:r w:rsidR="00346F1B">
        <w:rPr>
          <w:color w:val="000000"/>
        </w:rPr>
        <w:t>’</w:t>
      </w:r>
      <w:r w:rsidR="00387A39" w:rsidRPr="00387A39">
        <w:rPr>
          <w:color w:val="000000"/>
        </w:rPr>
        <w:t>inscription</w:t>
      </w:r>
      <w:r w:rsidR="00387A39">
        <w:rPr>
          <w:color w:val="000000"/>
        </w:rPr>
        <w:t xml:space="preserve"> de leur dossier, mais uniquement </w:t>
      </w:r>
      <w:r w:rsidR="000750E8">
        <w:rPr>
          <w:color w:val="000000"/>
        </w:rPr>
        <w:t xml:space="preserve">pour </w:t>
      </w:r>
      <w:r w:rsidR="00387A39">
        <w:rPr>
          <w:color w:val="000000"/>
        </w:rPr>
        <w:t xml:space="preserve">communiquer des </w:t>
      </w:r>
      <w:r w:rsidR="00387A39" w:rsidRPr="00387A39">
        <w:rPr>
          <w:color w:val="000000"/>
        </w:rPr>
        <w:t>informations</w:t>
      </w:r>
      <w:r w:rsidR="00387A39">
        <w:rPr>
          <w:color w:val="000000"/>
        </w:rPr>
        <w:t xml:space="preserve"> en réponse </w:t>
      </w:r>
      <w:r w:rsidR="000750E8">
        <w:rPr>
          <w:color w:val="000000"/>
        </w:rPr>
        <w:t>à d</w:t>
      </w:r>
      <w:r w:rsidR="00346F1B">
        <w:rPr>
          <w:color w:val="000000"/>
        </w:rPr>
        <w:t>’</w:t>
      </w:r>
      <w:r w:rsidR="00387A39">
        <w:rPr>
          <w:color w:val="000000"/>
        </w:rPr>
        <w:t xml:space="preserve">éventuelles questions posées par les </w:t>
      </w:r>
      <w:r w:rsidR="008A3BB3">
        <w:rPr>
          <w:color w:val="000000"/>
        </w:rPr>
        <w:t>m</w:t>
      </w:r>
      <w:r w:rsidR="00A46CAD">
        <w:rPr>
          <w:color w:val="000000"/>
        </w:rPr>
        <w:t>embres du Comité</w:t>
      </w:r>
      <w:r w:rsidR="00387A39">
        <w:rPr>
          <w:color w:val="000000"/>
        </w:rPr>
        <w:t>. En outre, depuis sa sixième session à Bali en 2011, le Comité avait établi une méthode de travail selon laquelle il n</w:t>
      </w:r>
      <w:r w:rsidR="00346F1B">
        <w:rPr>
          <w:color w:val="000000"/>
        </w:rPr>
        <w:t>’</w:t>
      </w:r>
      <w:r w:rsidR="00387A39">
        <w:rPr>
          <w:color w:val="000000"/>
        </w:rPr>
        <w:t xml:space="preserve">accepterait pas de nouvelles </w:t>
      </w:r>
      <w:r w:rsidR="00387A39" w:rsidRPr="00387A39">
        <w:rPr>
          <w:color w:val="000000"/>
        </w:rPr>
        <w:t>informations</w:t>
      </w:r>
      <w:r w:rsidR="00387A39">
        <w:rPr>
          <w:color w:val="000000"/>
        </w:rPr>
        <w:t xml:space="preserve"> ou preuves une fois l</w:t>
      </w:r>
      <w:r w:rsidR="00346F1B">
        <w:rPr>
          <w:color w:val="000000"/>
        </w:rPr>
        <w:t>’</w:t>
      </w:r>
      <w:r w:rsidR="00387A39" w:rsidRPr="00387A39">
        <w:rPr>
          <w:color w:val="000000"/>
        </w:rPr>
        <w:t>évaluation</w:t>
      </w:r>
      <w:r w:rsidR="00387A39">
        <w:rPr>
          <w:color w:val="000000"/>
        </w:rPr>
        <w:t xml:space="preserve"> réalisée par l</w:t>
      </w:r>
      <w:r w:rsidR="00346F1B">
        <w:rPr>
          <w:color w:val="000000"/>
        </w:rPr>
        <w:t>’</w:t>
      </w:r>
      <w:r w:rsidR="00387A39">
        <w:rPr>
          <w:color w:val="000000"/>
        </w:rPr>
        <w:t>Organe d</w:t>
      </w:r>
      <w:r w:rsidR="00346F1B">
        <w:rPr>
          <w:color w:val="000000"/>
        </w:rPr>
        <w:t>’</w:t>
      </w:r>
      <w:r w:rsidR="00387A39">
        <w:rPr>
          <w:color w:val="000000"/>
        </w:rPr>
        <w:t xml:space="preserve">évaluation, </w:t>
      </w:r>
      <w:r w:rsidR="00387A39" w:rsidRPr="00387A39">
        <w:rPr>
          <w:color w:val="000000"/>
        </w:rPr>
        <w:t>en particulier</w:t>
      </w:r>
      <w:r w:rsidR="00387A39">
        <w:rPr>
          <w:color w:val="000000"/>
        </w:rPr>
        <w:t xml:space="preserve"> pendant la réunion du Comité. Il accepterait toutefois des éclaircissements sur des </w:t>
      </w:r>
      <w:r w:rsidR="00387A39" w:rsidRPr="00387A39">
        <w:rPr>
          <w:color w:val="000000"/>
        </w:rPr>
        <w:t>informations</w:t>
      </w:r>
      <w:r w:rsidR="00387A39">
        <w:rPr>
          <w:color w:val="000000"/>
        </w:rPr>
        <w:t xml:space="preserve"> déjà présentées dans le dossier. Cette règle visait à assurer un traitement équitable </w:t>
      </w:r>
      <w:r w:rsidR="000750E8">
        <w:rPr>
          <w:color w:val="000000"/>
        </w:rPr>
        <w:t xml:space="preserve">entre les </w:t>
      </w:r>
      <w:r w:rsidR="00387A39">
        <w:rPr>
          <w:color w:val="000000"/>
        </w:rPr>
        <w:t xml:space="preserve">dossiers </w:t>
      </w:r>
      <w:r w:rsidR="000750E8">
        <w:rPr>
          <w:color w:val="000000"/>
        </w:rPr>
        <w:t xml:space="preserve">et </w:t>
      </w:r>
      <w:r w:rsidR="00387A39">
        <w:rPr>
          <w:color w:val="000000"/>
        </w:rPr>
        <w:t>entre les États soumissionnair</w:t>
      </w:r>
      <w:r w:rsidR="002567C8">
        <w:rPr>
          <w:color w:val="000000"/>
        </w:rPr>
        <w:t xml:space="preserve">es. Le Président a rappelé aux </w:t>
      </w:r>
      <w:r w:rsidR="00A46CAD">
        <w:rPr>
          <w:color w:val="000000"/>
        </w:rPr>
        <w:t>membres</w:t>
      </w:r>
      <w:r w:rsidR="002567C8">
        <w:rPr>
          <w:color w:val="000000"/>
        </w:rPr>
        <w:t xml:space="preserve"> et aux o</w:t>
      </w:r>
      <w:r w:rsidR="00387A39">
        <w:rPr>
          <w:color w:val="000000"/>
        </w:rPr>
        <w:t>bservateurs qu</w:t>
      </w:r>
      <w:r w:rsidR="00346F1B">
        <w:rPr>
          <w:color w:val="000000"/>
        </w:rPr>
        <w:t>’</w:t>
      </w:r>
      <w:r w:rsidR="00387A39">
        <w:rPr>
          <w:color w:val="000000"/>
        </w:rPr>
        <w:t xml:space="preserve">un grand nombre de personnes suivaient la réunion soit par retransmission audio, soit </w:t>
      </w:r>
      <w:r w:rsidR="000750E8">
        <w:rPr>
          <w:color w:val="000000"/>
        </w:rPr>
        <w:t xml:space="preserve">dans </w:t>
      </w:r>
      <w:r w:rsidR="00387A39">
        <w:rPr>
          <w:color w:val="000000"/>
        </w:rPr>
        <w:t>les médias et qu</w:t>
      </w:r>
      <w:r w:rsidR="00346F1B">
        <w:rPr>
          <w:color w:val="000000"/>
        </w:rPr>
        <w:t>’</w:t>
      </w:r>
      <w:r w:rsidR="00387A39">
        <w:rPr>
          <w:color w:val="000000"/>
        </w:rPr>
        <w:t>il était donc i</w:t>
      </w:r>
      <w:r w:rsidR="000750E8">
        <w:rPr>
          <w:color w:val="000000"/>
        </w:rPr>
        <w:t>mportant de respecter, dans la mesure du</w:t>
      </w:r>
      <w:r w:rsidR="00387A39">
        <w:rPr>
          <w:color w:val="000000"/>
        </w:rPr>
        <w:t xml:space="preserve"> possible</w:t>
      </w:r>
      <w:r w:rsidR="000750E8">
        <w:rPr>
          <w:color w:val="000000"/>
        </w:rPr>
        <w:t>,</w:t>
      </w:r>
      <w:r w:rsidR="00387A39">
        <w:rPr>
          <w:color w:val="000000"/>
        </w:rPr>
        <w:t xml:space="preserve"> le</w:t>
      </w:r>
      <w:r w:rsidR="000750E8">
        <w:rPr>
          <w:color w:val="000000"/>
        </w:rPr>
        <w:t xml:space="preserve"> calendrier établi</w:t>
      </w:r>
      <w:r w:rsidR="00387A39">
        <w:rPr>
          <w:color w:val="000000"/>
        </w:rPr>
        <w:t xml:space="preserve">. </w:t>
      </w:r>
      <w:r w:rsidR="000750E8">
        <w:rPr>
          <w:color w:val="000000"/>
        </w:rPr>
        <w:t>En l</w:t>
      </w:r>
      <w:r w:rsidR="00346F1B">
        <w:rPr>
          <w:color w:val="000000"/>
        </w:rPr>
        <w:t>’</w:t>
      </w:r>
      <w:r w:rsidR="000750E8">
        <w:rPr>
          <w:color w:val="000000"/>
        </w:rPr>
        <w:t xml:space="preserve">absence de commentaires, le Président a donné la parole au </w:t>
      </w:r>
      <w:r w:rsidR="000750E8" w:rsidRPr="000750E8">
        <w:rPr>
          <w:color w:val="000000"/>
        </w:rPr>
        <w:t>Rapporteur</w:t>
      </w:r>
      <w:r w:rsidR="000750E8">
        <w:rPr>
          <w:color w:val="000000"/>
        </w:rPr>
        <w:t xml:space="preserve"> de l</w:t>
      </w:r>
      <w:r w:rsidR="00346F1B">
        <w:rPr>
          <w:color w:val="000000"/>
        </w:rPr>
        <w:t>’</w:t>
      </w:r>
      <w:r w:rsidR="000750E8">
        <w:rPr>
          <w:color w:val="000000"/>
        </w:rPr>
        <w:t>Organe d</w:t>
      </w:r>
      <w:r w:rsidR="00346F1B">
        <w:rPr>
          <w:color w:val="000000"/>
        </w:rPr>
        <w:t>’</w:t>
      </w:r>
      <w:r w:rsidR="00311274">
        <w:rPr>
          <w:color w:val="000000"/>
        </w:rPr>
        <w:t>évaluation, M. John de Coninck.</w:t>
      </w:r>
    </w:p>
    <w:p w14:paraId="1252A342" w14:textId="7FD0B657" w:rsidR="00B624EA" w:rsidRPr="00B624EA" w:rsidRDefault="000750E8" w:rsidP="00AF7860">
      <w:pPr>
        <w:pStyle w:val="Orateurengris"/>
        <w:spacing w:before="120"/>
        <w:ind w:left="709" w:hanging="709"/>
        <w:rPr>
          <w:color w:val="000000"/>
        </w:rPr>
      </w:pPr>
      <w:r w:rsidRPr="000750E8">
        <w:rPr>
          <w:color w:val="000000"/>
        </w:rPr>
        <w:t xml:space="preserve">Le </w:t>
      </w:r>
      <w:r w:rsidRPr="000750E8">
        <w:rPr>
          <w:b/>
          <w:color w:val="000000"/>
        </w:rPr>
        <w:t>Rapporteur</w:t>
      </w:r>
      <w:r w:rsidRPr="000750E8">
        <w:rPr>
          <w:color w:val="000000"/>
        </w:rPr>
        <w:t xml:space="preserve"> a évoqué le privilège qu</w:t>
      </w:r>
      <w:r w:rsidR="00346F1B">
        <w:rPr>
          <w:color w:val="000000"/>
        </w:rPr>
        <w:t>’</w:t>
      </w:r>
      <w:r w:rsidRPr="000750E8">
        <w:rPr>
          <w:color w:val="000000"/>
        </w:rPr>
        <w:t xml:space="preserve">il ressentait </w:t>
      </w:r>
      <w:r>
        <w:rPr>
          <w:color w:val="000000"/>
        </w:rPr>
        <w:t xml:space="preserve">à présenter le rapport </w:t>
      </w:r>
      <w:r w:rsidR="00D83B86">
        <w:rPr>
          <w:color w:val="000000"/>
        </w:rPr>
        <w:t xml:space="preserve">général </w:t>
      </w:r>
      <w:r>
        <w:rPr>
          <w:color w:val="000000"/>
        </w:rPr>
        <w:t>de l</w:t>
      </w:r>
      <w:r w:rsidR="00346F1B">
        <w:rPr>
          <w:color w:val="000000"/>
        </w:rPr>
        <w:t>’</w:t>
      </w:r>
      <w:r>
        <w:rPr>
          <w:color w:val="000000"/>
        </w:rPr>
        <w:t>Organe d</w:t>
      </w:r>
      <w:r w:rsidR="00346F1B">
        <w:rPr>
          <w:color w:val="000000"/>
        </w:rPr>
        <w:t>’</w:t>
      </w:r>
      <w:r>
        <w:rPr>
          <w:color w:val="000000"/>
        </w:rPr>
        <w:t>évaluation</w:t>
      </w:r>
      <w:r w:rsidR="00D83B86">
        <w:rPr>
          <w:color w:val="000000"/>
        </w:rPr>
        <w:t xml:space="preserve"> sur son travail en 2016, </w:t>
      </w:r>
      <w:r w:rsidR="00D83B86" w:rsidRPr="00D83B86">
        <w:rPr>
          <w:color w:val="000000"/>
        </w:rPr>
        <w:t>présentation</w:t>
      </w:r>
      <w:r w:rsidR="00D83B86">
        <w:rPr>
          <w:color w:val="000000"/>
        </w:rPr>
        <w:t xml:space="preserve"> qui n</w:t>
      </w:r>
      <w:r w:rsidR="00346F1B">
        <w:rPr>
          <w:color w:val="000000"/>
        </w:rPr>
        <w:t>’</w:t>
      </w:r>
      <w:r w:rsidR="00D83B86">
        <w:rPr>
          <w:color w:val="000000"/>
        </w:rPr>
        <w:t>aurait pas été possible sans l</w:t>
      </w:r>
      <w:r w:rsidR="00346F1B">
        <w:rPr>
          <w:color w:val="000000"/>
        </w:rPr>
        <w:t>’</w:t>
      </w:r>
      <w:r w:rsidR="00D83B86">
        <w:rPr>
          <w:color w:val="000000"/>
        </w:rPr>
        <w:t>hospitalité du Président et du G</w:t>
      </w:r>
      <w:r w:rsidR="00D83B86" w:rsidRPr="00D83B86">
        <w:rPr>
          <w:color w:val="000000"/>
        </w:rPr>
        <w:t>ouvernement</w:t>
      </w:r>
      <w:r w:rsidR="00D83B86">
        <w:rPr>
          <w:color w:val="000000"/>
        </w:rPr>
        <w:t xml:space="preserve"> éthiopien. Le rapport présentait un aperçu des dossiers examinés en 2016, les méthodes de travail de l</w:t>
      </w:r>
      <w:r w:rsidR="00346F1B">
        <w:rPr>
          <w:color w:val="000000"/>
        </w:rPr>
        <w:t>’</w:t>
      </w:r>
      <w:r w:rsidR="00D83B86">
        <w:rPr>
          <w:color w:val="000000"/>
        </w:rPr>
        <w:t xml:space="preserve">Organe ainsi que les observations et recommandations sur plusieurs questions transversales. Il a débuté son </w:t>
      </w:r>
      <w:r w:rsidR="00D83B86" w:rsidRPr="00D83B86">
        <w:rPr>
          <w:color w:val="000000"/>
        </w:rPr>
        <w:t>intervention</w:t>
      </w:r>
      <w:r w:rsidR="00D83B86">
        <w:rPr>
          <w:color w:val="000000"/>
        </w:rPr>
        <w:t xml:space="preserve"> avec des </w:t>
      </w:r>
      <w:r w:rsidR="00D83B86" w:rsidRPr="00D83B86">
        <w:rPr>
          <w:color w:val="000000"/>
        </w:rPr>
        <w:t>informations</w:t>
      </w:r>
      <w:r w:rsidR="00D83B86">
        <w:rPr>
          <w:color w:val="000000"/>
        </w:rPr>
        <w:t xml:space="preserve"> générales sur les méthodes de travail. L</w:t>
      </w:r>
      <w:r w:rsidR="00346F1B">
        <w:rPr>
          <w:color w:val="000000"/>
        </w:rPr>
        <w:t>’</w:t>
      </w:r>
      <w:r w:rsidR="00D83B86">
        <w:rPr>
          <w:color w:val="000000"/>
        </w:rPr>
        <w:t xml:space="preserve">Organe était composé de douze </w:t>
      </w:r>
      <w:r w:rsidR="00A46CAD">
        <w:rPr>
          <w:color w:val="000000"/>
        </w:rPr>
        <w:t>membres</w:t>
      </w:r>
      <w:r w:rsidR="00D83B86">
        <w:rPr>
          <w:color w:val="000000"/>
        </w:rPr>
        <w:t>, comme établi par le Comité en 2015, don</w:t>
      </w:r>
      <w:r w:rsidR="00F254D3">
        <w:rPr>
          <w:color w:val="000000"/>
        </w:rPr>
        <w:t xml:space="preserve">t trois nouveaux </w:t>
      </w:r>
      <w:r w:rsidR="00A46CAD">
        <w:rPr>
          <w:color w:val="000000"/>
        </w:rPr>
        <w:t>membres</w:t>
      </w:r>
      <w:r w:rsidR="00F254D3">
        <w:rPr>
          <w:color w:val="000000"/>
        </w:rPr>
        <w:t xml:space="preserve">. Comme </w:t>
      </w:r>
      <w:r w:rsidR="00D83B86">
        <w:rPr>
          <w:color w:val="000000"/>
        </w:rPr>
        <w:t>l</w:t>
      </w:r>
      <w:r w:rsidR="00346F1B">
        <w:rPr>
          <w:color w:val="000000"/>
        </w:rPr>
        <w:t>’</w:t>
      </w:r>
      <w:r w:rsidR="00D83B86">
        <w:rPr>
          <w:color w:val="000000"/>
        </w:rPr>
        <w:t xml:space="preserve">année précédente, six </w:t>
      </w:r>
      <w:r w:rsidR="00A46CAD">
        <w:rPr>
          <w:color w:val="000000"/>
        </w:rPr>
        <w:t>membres</w:t>
      </w:r>
      <w:r w:rsidR="00D83B86">
        <w:rPr>
          <w:color w:val="000000"/>
        </w:rPr>
        <w:t xml:space="preserve"> étaient des experts, </w:t>
      </w:r>
      <w:r w:rsidR="00D83B86" w:rsidRPr="00D83B86">
        <w:rPr>
          <w:color w:val="000000"/>
        </w:rPr>
        <w:t>représentant</w:t>
      </w:r>
      <w:r w:rsidR="00D83B86">
        <w:rPr>
          <w:color w:val="000000"/>
        </w:rPr>
        <w:t>s d</w:t>
      </w:r>
      <w:r w:rsidR="00346F1B">
        <w:rPr>
          <w:color w:val="000000"/>
        </w:rPr>
        <w:t>’</w:t>
      </w:r>
      <w:r w:rsidR="00D83B86">
        <w:rPr>
          <w:color w:val="000000"/>
        </w:rPr>
        <w:t xml:space="preserve">États parties non </w:t>
      </w:r>
      <w:r w:rsidR="008A3BB3">
        <w:rPr>
          <w:color w:val="000000"/>
        </w:rPr>
        <w:t>m</w:t>
      </w:r>
      <w:r w:rsidR="00A46CAD">
        <w:rPr>
          <w:color w:val="000000"/>
        </w:rPr>
        <w:t>embres du Comité</w:t>
      </w:r>
      <w:r w:rsidR="00D83B86">
        <w:rPr>
          <w:color w:val="000000"/>
        </w:rPr>
        <w:t xml:space="preserve"> et les six autres </w:t>
      </w:r>
      <w:r w:rsidR="00A46CAD">
        <w:rPr>
          <w:color w:val="000000"/>
        </w:rPr>
        <w:t>membres</w:t>
      </w:r>
      <w:r w:rsidR="00D83B86">
        <w:rPr>
          <w:color w:val="000000"/>
        </w:rPr>
        <w:t xml:space="preserve"> représentaient des ONG accréditées. Lors de la première réunion du Comité en mars 2016, Mme Masami Iwasaki, du Ja</w:t>
      </w:r>
      <w:r w:rsidR="00F254D3">
        <w:rPr>
          <w:color w:val="000000"/>
        </w:rPr>
        <w:t xml:space="preserve">pon, avait été élue Présidente et </w:t>
      </w:r>
      <w:r w:rsidR="00D83B86">
        <w:rPr>
          <w:color w:val="000000"/>
        </w:rPr>
        <w:t>M. Eivind Falk, de l</w:t>
      </w:r>
      <w:r w:rsidR="00346F1B">
        <w:rPr>
          <w:color w:val="000000"/>
        </w:rPr>
        <w:t>’</w:t>
      </w:r>
      <w:r w:rsidR="00D83B86">
        <w:rPr>
          <w:color w:val="000000"/>
        </w:rPr>
        <w:t>Institut norvégien pour l</w:t>
      </w:r>
      <w:r w:rsidR="00346F1B">
        <w:rPr>
          <w:color w:val="000000"/>
        </w:rPr>
        <w:t>’</w:t>
      </w:r>
      <w:r w:rsidR="00D83B86">
        <w:rPr>
          <w:color w:val="000000"/>
        </w:rPr>
        <w:t xml:space="preserve">artisanat, </w:t>
      </w:r>
      <w:r w:rsidR="00754EC3">
        <w:rPr>
          <w:color w:val="000000"/>
        </w:rPr>
        <w:t>Vice-Président</w:t>
      </w:r>
      <w:r w:rsidR="00F254D3">
        <w:rPr>
          <w:color w:val="000000"/>
        </w:rPr>
        <w:t xml:space="preserve">, </w:t>
      </w:r>
      <w:r w:rsidR="00D83B86">
        <w:rPr>
          <w:color w:val="000000"/>
        </w:rPr>
        <w:t>M. John de Coninck, de la Fondation transculturelle de l</w:t>
      </w:r>
      <w:r w:rsidR="00346F1B">
        <w:rPr>
          <w:color w:val="000000"/>
        </w:rPr>
        <w:t>’</w:t>
      </w:r>
      <w:r w:rsidR="00D83B86">
        <w:rPr>
          <w:color w:val="000000"/>
        </w:rPr>
        <w:t xml:space="preserve">Ouganda avait été choisi en tant que </w:t>
      </w:r>
      <w:r w:rsidR="00D83B86" w:rsidRPr="00D83B86">
        <w:rPr>
          <w:color w:val="000000"/>
        </w:rPr>
        <w:t>Rapporteur</w:t>
      </w:r>
      <w:r w:rsidR="00D83B86">
        <w:rPr>
          <w:color w:val="000000"/>
        </w:rPr>
        <w:t>. Mme</w:t>
      </w:r>
      <w:r w:rsidR="00837E42">
        <w:rPr>
          <w:color w:val="000000"/>
        </w:rPr>
        <w:t xml:space="preserve"> M</w:t>
      </w:r>
      <w:r w:rsidR="00D83B86">
        <w:rPr>
          <w:color w:val="000000"/>
        </w:rPr>
        <w:t>asami Iwasaki n</w:t>
      </w:r>
      <w:r w:rsidR="00346F1B">
        <w:rPr>
          <w:color w:val="000000"/>
        </w:rPr>
        <w:t>’</w:t>
      </w:r>
      <w:r w:rsidR="00D83B86">
        <w:rPr>
          <w:color w:val="000000"/>
        </w:rPr>
        <w:t xml:space="preserve">était malheureusement pas en mesure de participer à la session et le </w:t>
      </w:r>
      <w:r w:rsidR="00754EC3">
        <w:rPr>
          <w:color w:val="000000"/>
        </w:rPr>
        <w:t>Vice-Président</w:t>
      </w:r>
      <w:r w:rsidR="00D83B86">
        <w:rPr>
          <w:color w:val="000000"/>
        </w:rPr>
        <w:t xml:space="preserve"> avait donc aimablement accepté de présenter les recommandations de l</w:t>
      </w:r>
      <w:r w:rsidR="00346F1B">
        <w:rPr>
          <w:color w:val="000000"/>
        </w:rPr>
        <w:t>’</w:t>
      </w:r>
      <w:r w:rsidR="00D83B86">
        <w:rPr>
          <w:color w:val="000000"/>
        </w:rPr>
        <w:t>Organe sur les dossiers individuels. Le Comité</w:t>
      </w:r>
      <w:r w:rsidR="00837E42">
        <w:rPr>
          <w:color w:val="000000"/>
        </w:rPr>
        <w:t xml:space="preserve"> avait défini qu</w:t>
      </w:r>
      <w:r w:rsidR="00346F1B">
        <w:rPr>
          <w:color w:val="000000"/>
        </w:rPr>
        <w:t>’</w:t>
      </w:r>
      <w:r w:rsidR="00837E42">
        <w:rPr>
          <w:color w:val="000000"/>
        </w:rPr>
        <w:t>un total de</w:t>
      </w:r>
      <w:r w:rsidR="00D83B86">
        <w:rPr>
          <w:color w:val="000000"/>
        </w:rPr>
        <w:t xml:space="preserve"> 50 dossiers pourraient être traités au cours du cycle 2016. </w:t>
      </w:r>
      <w:r w:rsidR="00837E42">
        <w:rPr>
          <w:color w:val="000000"/>
        </w:rPr>
        <w:t>On</w:t>
      </w:r>
      <w:r w:rsidR="008B229D">
        <w:rPr>
          <w:color w:val="000000"/>
        </w:rPr>
        <w:t xml:space="preserve"> trouverait dans le document 10</w:t>
      </w:r>
      <w:r w:rsidR="00837E42">
        <w:rPr>
          <w:color w:val="000000"/>
        </w:rPr>
        <w:t xml:space="preserve"> l</w:t>
      </w:r>
      <w:r w:rsidR="00346F1B">
        <w:rPr>
          <w:color w:val="000000"/>
        </w:rPr>
        <w:t>’</w:t>
      </w:r>
      <w:r w:rsidR="00837E42">
        <w:rPr>
          <w:color w:val="000000"/>
        </w:rPr>
        <w:t xml:space="preserve">explication détaillée justifiant le choix de ces dossiers. Les dossiers comprenaient : cinq candidatures à la Liste de sauvegarde urgente, une </w:t>
      </w:r>
      <w:r w:rsidR="00837E42" w:rsidRPr="00837E42">
        <w:rPr>
          <w:color w:val="000000"/>
        </w:rPr>
        <w:t>candidature</w:t>
      </w:r>
      <w:r w:rsidR="00837E42">
        <w:rPr>
          <w:color w:val="000000"/>
        </w:rPr>
        <w:t xml:space="preserve"> à la Liste de sauvegarde urgente combinée à une demande d</w:t>
      </w:r>
      <w:r w:rsidR="00346F1B">
        <w:rPr>
          <w:color w:val="000000"/>
        </w:rPr>
        <w:t>’</w:t>
      </w:r>
      <w:r w:rsidR="00837E42">
        <w:rPr>
          <w:color w:val="000000"/>
        </w:rPr>
        <w:t>assistance internationale, 37 candidatures à la Liste représentative, et sept pour le Registre des meilleures pratiques de sauvegarde. L</w:t>
      </w:r>
      <w:r w:rsidR="00346F1B">
        <w:rPr>
          <w:color w:val="000000"/>
        </w:rPr>
        <w:t>’</w:t>
      </w:r>
      <w:r w:rsidR="00837E42">
        <w:rPr>
          <w:color w:val="000000"/>
        </w:rPr>
        <w:t>Organe d</w:t>
      </w:r>
      <w:r w:rsidR="00346F1B">
        <w:rPr>
          <w:color w:val="000000"/>
        </w:rPr>
        <w:t>’</w:t>
      </w:r>
      <w:r w:rsidR="00837E42">
        <w:rPr>
          <w:color w:val="000000"/>
        </w:rPr>
        <w:t>évaluation avait reçu les dossiers en mars-avril 2016</w:t>
      </w:r>
      <w:r w:rsidR="00F254D3">
        <w:rPr>
          <w:color w:val="000000"/>
        </w:rPr>
        <w:t>,</w:t>
      </w:r>
      <w:r w:rsidR="00837E42">
        <w:rPr>
          <w:color w:val="000000"/>
        </w:rPr>
        <w:t xml:space="preserve"> </w:t>
      </w:r>
      <w:r w:rsidR="00B624EA">
        <w:rPr>
          <w:color w:val="000000"/>
        </w:rPr>
        <w:t xml:space="preserve">une fois leur conformité technique établie par le Secrétariat. Avant la deuxième réunion en juin 2016, tous les </w:t>
      </w:r>
      <w:r w:rsidR="00A46CAD">
        <w:rPr>
          <w:color w:val="000000"/>
        </w:rPr>
        <w:t>membres</w:t>
      </w:r>
      <w:r w:rsidR="00B624EA">
        <w:rPr>
          <w:color w:val="000000"/>
        </w:rPr>
        <w:t xml:space="preserve"> de l</w:t>
      </w:r>
      <w:r w:rsidR="00346F1B">
        <w:rPr>
          <w:color w:val="000000"/>
        </w:rPr>
        <w:t>’</w:t>
      </w:r>
      <w:r w:rsidR="00B624EA">
        <w:rPr>
          <w:color w:val="000000"/>
        </w:rPr>
        <w:t xml:space="preserve">Organe avaient soumis, sur le site Internet dédié, leurs évaluations et recommandations individuelles sur chaque </w:t>
      </w:r>
      <w:r w:rsidR="00B624EA" w:rsidRPr="00B624EA">
        <w:rPr>
          <w:color w:val="000000"/>
        </w:rPr>
        <w:t>critère</w:t>
      </w:r>
      <w:r w:rsidR="00B624EA">
        <w:rPr>
          <w:color w:val="000000"/>
        </w:rPr>
        <w:t xml:space="preserve"> pour chaque dossier. Pendant la réunion de juin, d</w:t>
      </w:r>
      <w:r w:rsidR="00346F1B">
        <w:rPr>
          <w:color w:val="000000"/>
        </w:rPr>
        <w:t>’</w:t>
      </w:r>
      <w:r w:rsidR="00B624EA">
        <w:rPr>
          <w:color w:val="000000"/>
        </w:rPr>
        <w:t>une durée d</w:t>
      </w:r>
      <w:r w:rsidR="00346F1B">
        <w:rPr>
          <w:color w:val="000000"/>
        </w:rPr>
        <w:t>’</w:t>
      </w:r>
      <w:r w:rsidR="00B624EA">
        <w:rPr>
          <w:color w:val="000000"/>
        </w:rPr>
        <w:t>une semaine, les recommandations avaient fait l</w:t>
      </w:r>
      <w:r w:rsidR="00346F1B">
        <w:rPr>
          <w:color w:val="000000"/>
        </w:rPr>
        <w:t>’</w:t>
      </w:r>
      <w:r w:rsidR="00B624EA">
        <w:rPr>
          <w:color w:val="000000"/>
        </w:rPr>
        <w:t>objet d</w:t>
      </w:r>
      <w:r w:rsidR="00346F1B">
        <w:rPr>
          <w:color w:val="000000"/>
        </w:rPr>
        <w:t>’</w:t>
      </w:r>
      <w:r w:rsidR="00B624EA">
        <w:rPr>
          <w:color w:val="000000"/>
        </w:rPr>
        <w:t>un débat et le consensus avait été obtenu sur chaque critère de toutes les soumissions, ainsi que sur les questions transversales et les autres sujets. Suite à cette réunion, les projets de décision avaient été préparés pour chaque critère et chaque dossier, ainsi que pour les observations et recommandations d</w:t>
      </w:r>
      <w:r w:rsidR="00346F1B">
        <w:rPr>
          <w:color w:val="000000"/>
        </w:rPr>
        <w:t>’</w:t>
      </w:r>
      <w:r w:rsidR="00B624EA">
        <w:rPr>
          <w:color w:val="000000"/>
        </w:rPr>
        <w:t>ordre général. L</w:t>
      </w:r>
      <w:r w:rsidR="00346F1B">
        <w:rPr>
          <w:color w:val="000000"/>
        </w:rPr>
        <w:t>’</w:t>
      </w:r>
      <w:r w:rsidR="00B624EA">
        <w:rPr>
          <w:color w:val="000000"/>
        </w:rPr>
        <w:t>Organe s</w:t>
      </w:r>
      <w:r w:rsidR="00346F1B">
        <w:rPr>
          <w:color w:val="000000"/>
        </w:rPr>
        <w:t>’</w:t>
      </w:r>
      <w:r w:rsidR="00B624EA">
        <w:rPr>
          <w:color w:val="000000"/>
        </w:rPr>
        <w:t xml:space="preserve">était ensuite réuni en septembre </w:t>
      </w:r>
      <w:r w:rsidR="00F254D3">
        <w:rPr>
          <w:color w:val="000000"/>
        </w:rPr>
        <w:t>2016 afin de débattre, de modifier</w:t>
      </w:r>
      <w:r w:rsidR="00B624EA">
        <w:rPr>
          <w:color w:val="000000"/>
        </w:rPr>
        <w:t>, de valider et d</w:t>
      </w:r>
      <w:r w:rsidR="00346F1B">
        <w:rPr>
          <w:color w:val="000000"/>
        </w:rPr>
        <w:t>’</w:t>
      </w:r>
      <w:r w:rsidR="00B624EA">
        <w:rPr>
          <w:color w:val="000000"/>
        </w:rPr>
        <w:t xml:space="preserve">adopter tous les rapports, </w:t>
      </w:r>
      <w:r w:rsidR="00B624EA" w:rsidRPr="00B624EA">
        <w:rPr>
          <w:color w:val="000000"/>
        </w:rPr>
        <w:t>représentant</w:t>
      </w:r>
      <w:r w:rsidR="00F254D3">
        <w:rPr>
          <w:color w:val="000000"/>
        </w:rPr>
        <w:t xml:space="preserve"> ainsi le</w:t>
      </w:r>
      <w:r w:rsidR="00B624EA">
        <w:rPr>
          <w:color w:val="000000"/>
        </w:rPr>
        <w:t xml:space="preserve"> consensus des </w:t>
      </w:r>
      <w:r w:rsidR="00A46CAD">
        <w:rPr>
          <w:color w:val="000000"/>
        </w:rPr>
        <w:t>membres</w:t>
      </w:r>
      <w:r w:rsidR="00B624EA">
        <w:rPr>
          <w:color w:val="000000"/>
        </w:rPr>
        <w:t xml:space="preserve"> de l</w:t>
      </w:r>
      <w:r w:rsidR="00346F1B">
        <w:rPr>
          <w:color w:val="000000"/>
        </w:rPr>
        <w:t>’</w:t>
      </w:r>
      <w:r w:rsidR="00B624EA">
        <w:rPr>
          <w:color w:val="000000"/>
        </w:rPr>
        <w:t>Organe d</w:t>
      </w:r>
      <w:r w:rsidR="00346F1B">
        <w:rPr>
          <w:color w:val="000000"/>
        </w:rPr>
        <w:t>’</w:t>
      </w:r>
      <w:r w:rsidR="00B624EA">
        <w:rPr>
          <w:color w:val="000000"/>
        </w:rPr>
        <w:t xml:space="preserve">évaluation. Le </w:t>
      </w:r>
      <w:r w:rsidR="00B624EA" w:rsidRPr="00B624EA">
        <w:rPr>
          <w:color w:val="000000"/>
        </w:rPr>
        <w:t>Rapporteur</w:t>
      </w:r>
      <w:r w:rsidR="00B624EA">
        <w:rPr>
          <w:color w:val="000000"/>
        </w:rPr>
        <w:t xml:space="preserve"> </w:t>
      </w:r>
      <w:r w:rsidR="00F254D3">
        <w:rPr>
          <w:color w:val="000000"/>
        </w:rPr>
        <w:t xml:space="preserve">était la voix de </w:t>
      </w:r>
      <w:r w:rsidR="00B624EA">
        <w:rPr>
          <w:color w:val="000000"/>
        </w:rPr>
        <w:t xml:space="preserve">ce consensus et parlait au nom des douze </w:t>
      </w:r>
      <w:r w:rsidR="00A46CAD">
        <w:rPr>
          <w:color w:val="000000"/>
        </w:rPr>
        <w:t>membres</w:t>
      </w:r>
      <w:r w:rsidR="00311274">
        <w:rPr>
          <w:color w:val="000000"/>
        </w:rPr>
        <w:t xml:space="preserve"> de l</w:t>
      </w:r>
      <w:r w:rsidR="00346F1B">
        <w:rPr>
          <w:color w:val="000000"/>
        </w:rPr>
        <w:t>’</w:t>
      </w:r>
      <w:r w:rsidR="00311274">
        <w:rPr>
          <w:color w:val="000000"/>
        </w:rPr>
        <w:t>Organe.</w:t>
      </w:r>
    </w:p>
    <w:p w14:paraId="74E80771" w14:textId="1BBACFAA" w:rsidR="00A76047" w:rsidRPr="00A76047" w:rsidRDefault="009B7EF9" w:rsidP="00AF7860">
      <w:pPr>
        <w:pStyle w:val="Orateurengris"/>
        <w:spacing w:before="120"/>
        <w:ind w:left="709" w:hanging="709"/>
      </w:pPr>
      <w:r w:rsidRPr="009B7EF9">
        <w:t xml:space="preserve">Le </w:t>
      </w:r>
      <w:r w:rsidRPr="009B7EF9">
        <w:rPr>
          <w:b/>
        </w:rPr>
        <w:t>Rapporteur</w:t>
      </w:r>
      <w:r w:rsidRPr="009B7EF9">
        <w:t xml:space="preserve"> a </w:t>
      </w:r>
      <w:r>
        <w:t xml:space="preserve">brièvement décrit les problèmes, observations et conclusions qui étaient apparues au cours des </w:t>
      </w:r>
      <w:r w:rsidRPr="009B7EF9">
        <w:t>délibérations</w:t>
      </w:r>
      <w:r>
        <w:t>. Premièrement, s</w:t>
      </w:r>
      <w:r w:rsidR="00346F1B">
        <w:t>’</w:t>
      </w:r>
      <w:r>
        <w:t xml:space="preserve">agissant des </w:t>
      </w:r>
      <w:r w:rsidRPr="005B08C0">
        <w:rPr>
          <w:b/>
          <w:u w:val="single"/>
        </w:rPr>
        <w:t>méthodes de travail</w:t>
      </w:r>
      <w:r>
        <w:t>, l</w:t>
      </w:r>
      <w:r w:rsidR="00346F1B">
        <w:t>’</w:t>
      </w:r>
      <w:r>
        <w:t>Organe tenait à souligner qu</w:t>
      </w:r>
      <w:r w:rsidR="00346F1B">
        <w:t>’</w:t>
      </w:r>
      <w:r>
        <w:t>il n</w:t>
      </w:r>
      <w:r w:rsidR="00346F1B">
        <w:t>’</w:t>
      </w:r>
      <w:r>
        <w:t xml:space="preserve">avait </w:t>
      </w:r>
      <w:r w:rsidR="00CF1656">
        <w:t xml:space="preserve">fondé </w:t>
      </w:r>
      <w:r>
        <w:t>ses recommandations ni sur l</w:t>
      </w:r>
      <w:r w:rsidR="00346F1B">
        <w:t>’</w:t>
      </w:r>
      <w:r>
        <w:t xml:space="preserve">élément en tant que tel, ni sur ses mérites ou </w:t>
      </w:r>
      <w:r w:rsidR="00B03E3A">
        <w:t>les mérites de l</w:t>
      </w:r>
      <w:r w:rsidR="00346F1B">
        <w:t>’</w:t>
      </w:r>
      <w:r w:rsidR="00B03E3A">
        <w:t>intention</w:t>
      </w:r>
      <w:r>
        <w:t xml:space="preserve"> du projet mais ex</w:t>
      </w:r>
      <w:r w:rsidR="005B08C0">
        <w:t>clusivement sur l</w:t>
      </w:r>
      <w:r w:rsidR="00346F1B">
        <w:t>’</w:t>
      </w:r>
      <w:r w:rsidR="005B08C0">
        <w:t>analyse de l</w:t>
      </w:r>
      <w:r w:rsidR="00346F1B">
        <w:t>’</w:t>
      </w:r>
      <w:r w:rsidR="00CF1656">
        <w:t xml:space="preserve">adéquation </w:t>
      </w:r>
      <w:r>
        <w:t xml:space="preserve">des </w:t>
      </w:r>
      <w:r w:rsidRPr="009B7EF9">
        <w:t>informations</w:t>
      </w:r>
      <w:r w:rsidR="001D7D09">
        <w:t xml:space="preserve"> présentées. Afin de renforcer</w:t>
      </w:r>
      <w:r>
        <w:t xml:space="preserve"> la cohérence et la </w:t>
      </w:r>
      <w:r w:rsidR="00CF1656">
        <w:t>conformité</w:t>
      </w:r>
      <w:r w:rsidR="001D7D09">
        <w:t xml:space="preserve"> de ses recommandations</w:t>
      </w:r>
      <w:r w:rsidR="00CF1656">
        <w:t>, l</w:t>
      </w:r>
      <w:r w:rsidR="00346F1B">
        <w:t>’</w:t>
      </w:r>
      <w:r w:rsidR="00CF1656">
        <w:t>Organe avait veillé à garantir la fiabilité de ses évaluations. Une attention toute particulière avait donc été accordée à l</w:t>
      </w:r>
      <w:r w:rsidR="00346F1B">
        <w:t>’</w:t>
      </w:r>
      <w:r w:rsidR="00CF1656">
        <w:t xml:space="preserve">application des critères R.2 et R.5 </w:t>
      </w:r>
      <w:r w:rsidR="001D7D09">
        <w:t xml:space="preserve">de façon aussi uniforme </w:t>
      </w:r>
      <w:r w:rsidR="00CF1656">
        <w:t>que possible dans tous les dossiers, et des s</w:t>
      </w:r>
      <w:r w:rsidR="005B08C0">
        <w:t>uggestions visant à améliorer</w:t>
      </w:r>
      <w:r w:rsidR="00CF1656">
        <w:t xml:space="preserve"> les exigences </w:t>
      </w:r>
      <w:r w:rsidR="005B08C0">
        <w:t xml:space="preserve">relatives aux </w:t>
      </w:r>
      <w:r w:rsidR="00CF1656">
        <w:t>critères R.2 et R.5 dans les formu</w:t>
      </w:r>
      <w:r w:rsidR="005B08C0">
        <w:t>laires avaient été formulées afin que ce travail soit plus simple à l</w:t>
      </w:r>
      <w:r w:rsidR="00346F1B">
        <w:t>’</w:t>
      </w:r>
      <w:r w:rsidR="005B08C0">
        <w:t>avenir. L</w:t>
      </w:r>
      <w:r w:rsidR="00346F1B">
        <w:t>’</w:t>
      </w:r>
      <w:r w:rsidR="005B08C0">
        <w:t xml:space="preserve">Organe était </w:t>
      </w:r>
      <w:r w:rsidR="005B08C0" w:rsidRPr="005B08C0">
        <w:t>également</w:t>
      </w:r>
      <w:r w:rsidR="005B08C0">
        <w:t xml:space="preserve"> conscient que bien que le Comité ait clarifié les conditions requises pour satisfaire aux critères U.5 et R.5 en 2015, les dossiers du cycle 2016 avaient été soumis avant que </w:t>
      </w:r>
      <w:r w:rsidR="002340EF">
        <w:t>cette décision n</w:t>
      </w:r>
      <w:r w:rsidR="00346F1B">
        <w:t>’</w:t>
      </w:r>
      <w:r w:rsidR="002340EF">
        <w:t>ait été prise. En même temps, l</w:t>
      </w:r>
      <w:r w:rsidR="00346F1B">
        <w:t>’</w:t>
      </w:r>
      <w:r w:rsidR="002340EF">
        <w:t>Organe sava</w:t>
      </w:r>
      <w:r w:rsidR="001D7D09">
        <w:t>it pertinemment qu</w:t>
      </w:r>
      <w:r w:rsidR="00346F1B">
        <w:t>’</w:t>
      </w:r>
      <w:r w:rsidR="001D7D09">
        <w:t xml:space="preserve">il convenait </w:t>
      </w:r>
      <w:r w:rsidR="002340EF">
        <w:t>de prendre acte de l</w:t>
      </w:r>
      <w:r w:rsidR="00346F1B">
        <w:t>’</w:t>
      </w:r>
      <w:r w:rsidR="002340EF">
        <w:t xml:space="preserve">expérience acquise et </w:t>
      </w:r>
      <w:r w:rsidR="001D7D09">
        <w:t>d</w:t>
      </w:r>
      <w:r w:rsidR="00346F1B">
        <w:t>’</w:t>
      </w:r>
      <w:r w:rsidR="002340EF">
        <w:t xml:space="preserve">une nécessaire </w:t>
      </w:r>
      <w:r w:rsidR="00AB5722">
        <w:t>évolu</w:t>
      </w:r>
      <w:r w:rsidR="002340EF" w:rsidRPr="002340EF">
        <w:t>tion</w:t>
      </w:r>
      <w:r w:rsidR="002340EF">
        <w:t xml:space="preserve"> des normes, comme l</w:t>
      </w:r>
      <w:r w:rsidR="00346F1B">
        <w:t>’</w:t>
      </w:r>
      <w:r w:rsidR="002340EF">
        <w:t xml:space="preserve">avait souligné la décision du Comité 6.COM 13. En outre, le Comité avait été très vigilant </w:t>
      </w:r>
      <w:r w:rsidR="00AB5722">
        <w:t xml:space="preserve">sur les </w:t>
      </w:r>
      <w:r w:rsidR="002340EF">
        <w:t>liens entre les critères. Ainsi, dans le cas de l</w:t>
      </w:r>
      <w:r w:rsidR="00346F1B">
        <w:t>’</w:t>
      </w:r>
      <w:r w:rsidR="002340EF" w:rsidRPr="002340EF">
        <w:t>inscription</w:t>
      </w:r>
      <w:r w:rsidR="002340EF">
        <w:t xml:space="preserve"> sur la Liste de sauvegarde urgente, </w:t>
      </w:r>
      <w:r w:rsidR="002340EF" w:rsidRPr="002340EF">
        <w:t xml:space="preserve">si les menaces </w:t>
      </w:r>
      <w:r w:rsidR="00AB5722">
        <w:t>pesant sur un élément n</w:t>
      </w:r>
      <w:r w:rsidR="00346F1B">
        <w:t>’</w:t>
      </w:r>
      <w:r w:rsidR="00AB5722">
        <w:t>étaient pas bien définies (U.2), il s</w:t>
      </w:r>
      <w:r w:rsidR="00346F1B">
        <w:t>’</w:t>
      </w:r>
      <w:r w:rsidR="00AB5722">
        <w:t>avérait difficile d</w:t>
      </w:r>
      <w:r w:rsidR="00346F1B">
        <w:t>’</w:t>
      </w:r>
      <w:r w:rsidR="00AB5722">
        <w:t>évaluer l</w:t>
      </w:r>
      <w:r w:rsidR="00346F1B">
        <w:t>’</w:t>
      </w:r>
      <w:r w:rsidR="00AB5722">
        <w:t xml:space="preserve">adéquation des plans de sauvegarde (U.3). De même, si un élément était mal défini </w:t>
      </w:r>
      <w:r w:rsidR="00E22931">
        <w:t xml:space="preserve">au titre du critère R.1, cela pouvait avoir un impact sur la </w:t>
      </w:r>
      <w:r w:rsidR="00732FD2">
        <w:t>capacité à satisfaire</w:t>
      </w:r>
      <w:r w:rsidR="00920ACB">
        <w:t xml:space="preserve"> le</w:t>
      </w:r>
      <w:r w:rsidR="00E22931">
        <w:t xml:space="preserve"> critère R.2. </w:t>
      </w:r>
      <w:r w:rsidR="00E22931" w:rsidRPr="00E22931">
        <w:t>En conséquence</w:t>
      </w:r>
      <w:r w:rsidR="00E22931">
        <w:t>, l</w:t>
      </w:r>
      <w:r w:rsidR="00346F1B">
        <w:t>’</w:t>
      </w:r>
      <w:r w:rsidR="00E22931">
        <w:t xml:space="preserve">Organe souhaitait rappeler avec respect aux États soumissionnaires </w:t>
      </w:r>
      <w:r w:rsidR="001D7D09">
        <w:t>qu</w:t>
      </w:r>
      <w:r w:rsidR="00346F1B">
        <w:t>’</w:t>
      </w:r>
      <w:r w:rsidR="001D7D09">
        <w:t xml:space="preserve">il importait </w:t>
      </w:r>
      <w:r w:rsidR="00E22931">
        <w:t xml:space="preserve">de veiller à la cohérence de leurs dossiers. Afin de </w:t>
      </w:r>
      <w:r w:rsidR="001D7D09">
        <w:t>garantir l</w:t>
      </w:r>
      <w:r w:rsidR="00346F1B">
        <w:t>’</w:t>
      </w:r>
      <w:r w:rsidR="001D7D09">
        <w:t>équité des décisions et</w:t>
      </w:r>
      <w:r w:rsidR="00E22931">
        <w:t xml:space="preserve"> comme c</w:t>
      </w:r>
      <w:r w:rsidR="00346F1B">
        <w:t>’</w:t>
      </w:r>
      <w:r w:rsidR="00E22931">
        <w:t xml:space="preserve">était la coutume, un </w:t>
      </w:r>
      <w:r w:rsidR="00A46CAD">
        <w:t>membre</w:t>
      </w:r>
      <w:r w:rsidR="00E22931">
        <w:t xml:space="preserve"> de l</w:t>
      </w:r>
      <w:r w:rsidR="00346F1B">
        <w:t>’</w:t>
      </w:r>
      <w:r w:rsidR="00E22931">
        <w:t xml:space="preserve">Organe ne participait pas à </w:t>
      </w:r>
      <w:r w:rsidR="00E22931" w:rsidRPr="00E22931">
        <w:t>l</w:t>
      </w:r>
      <w:r w:rsidR="00346F1B">
        <w:t>’</w:t>
      </w:r>
      <w:r w:rsidR="00E22931" w:rsidRPr="00E22931">
        <w:t xml:space="preserve">évaluation </w:t>
      </w:r>
      <w:r w:rsidR="00E22931">
        <w:t>d</w:t>
      </w:r>
      <w:r w:rsidR="00346F1B">
        <w:t>’</w:t>
      </w:r>
      <w:r w:rsidR="00E22931">
        <w:t xml:space="preserve">une </w:t>
      </w:r>
      <w:r w:rsidR="00E22931" w:rsidRPr="00E22931">
        <w:t>candidature</w:t>
      </w:r>
      <w:r w:rsidR="00E22931">
        <w:t xml:space="preserve"> soumise par le pays de domiciliation de l</w:t>
      </w:r>
      <w:r w:rsidR="00346F1B">
        <w:t>’</w:t>
      </w:r>
      <w:r w:rsidR="00E22931">
        <w:t>ONG qu</w:t>
      </w:r>
      <w:r w:rsidR="00346F1B">
        <w:t>’</w:t>
      </w:r>
      <w:r w:rsidR="00E22931">
        <w:t xml:space="preserve">il/elle représentait ou par le pays dont un expert ou un </w:t>
      </w:r>
      <w:r w:rsidR="00E22931" w:rsidRPr="00E22931">
        <w:t>représentant</w:t>
      </w:r>
      <w:r w:rsidR="00E22931">
        <w:t xml:space="preserve"> d</w:t>
      </w:r>
      <w:r w:rsidR="00346F1B">
        <w:t>’</w:t>
      </w:r>
      <w:r w:rsidR="00E22931">
        <w:t xml:space="preserve">une ONG était citoyen. Cela avait été le cas pour 10 des 50 dossiers examinés au cours de ce cycle, y compris un dossier multinational pour lequel la moitié des </w:t>
      </w:r>
      <w:r w:rsidR="00A46CAD">
        <w:t>membres</w:t>
      </w:r>
      <w:r w:rsidR="00E22931">
        <w:t xml:space="preserve"> de l</w:t>
      </w:r>
      <w:r w:rsidR="00346F1B">
        <w:t>’</w:t>
      </w:r>
      <w:r w:rsidR="00E22931">
        <w:t>Organe n</w:t>
      </w:r>
      <w:r w:rsidR="00346F1B">
        <w:t>’</w:t>
      </w:r>
      <w:r w:rsidR="00E22931">
        <w:t>avait pu participer à l</w:t>
      </w:r>
      <w:r w:rsidR="00346F1B">
        <w:t>’</w:t>
      </w:r>
      <w:r w:rsidR="00E22931">
        <w:t>évaluation. Il a été précisé que si la situation devait se reproduire plus souvent, cela p</w:t>
      </w:r>
      <w:r w:rsidR="00732FD2">
        <w:t xml:space="preserve">ourrait entraver la capacité </w:t>
      </w:r>
      <w:r w:rsidR="00E22931">
        <w:t>de l</w:t>
      </w:r>
      <w:r w:rsidR="00346F1B">
        <w:t>’</w:t>
      </w:r>
      <w:r w:rsidR="00E22931">
        <w:t>Organe</w:t>
      </w:r>
      <w:r w:rsidR="00732FD2">
        <w:t xml:space="preserve"> à bien fonctionner</w:t>
      </w:r>
      <w:r w:rsidR="00E22931">
        <w:t xml:space="preserve">. Le rôle du </w:t>
      </w:r>
      <w:r w:rsidR="00754EC3">
        <w:t>Vice-Président</w:t>
      </w:r>
      <w:r w:rsidR="00E22931">
        <w:t xml:space="preserve"> avait </w:t>
      </w:r>
      <w:r w:rsidR="00E22931" w:rsidRPr="00E22931">
        <w:t>également</w:t>
      </w:r>
      <w:r w:rsidR="00E22931">
        <w:t xml:space="preserve"> fait l</w:t>
      </w:r>
      <w:r w:rsidR="00346F1B">
        <w:t>’</w:t>
      </w:r>
      <w:r w:rsidR="00E22931">
        <w:t>objet de discussion</w:t>
      </w:r>
      <w:r w:rsidR="00A76047">
        <w:t>, l</w:t>
      </w:r>
      <w:r w:rsidR="00346F1B">
        <w:t>’</w:t>
      </w:r>
      <w:r w:rsidR="00A76047">
        <w:t>Organe ayant suggéré qu</w:t>
      </w:r>
      <w:r w:rsidR="00346F1B">
        <w:t>’</w:t>
      </w:r>
      <w:r w:rsidR="00A76047">
        <w:t xml:space="preserve">il joue un rôle plus actif dans la </w:t>
      </w:r>
      <w:r w:rsidR="00A76047" w:rsidRPr="00A76047">
        <w:t>préparation</w:t>
      </w:r>
      <w:r w:rsidR="00A76047">
        <w:t xml:space="preserve"> du rapport afin d</w:t>
      </w:r>
      <w:r w:rsidR="00346F1B">
        <w:t>’</w:t>
      </w:r>
      <w:r w:rsidR="00A76047">
        <w:t>être mieux préparé s</w:t>
      </w:r>
      <w:r w:rsidR="00346F1B">
        <w:t>’</w:t>
      </w:r>
      <w:r w:rsidR="00A76047">
        <w:t>il était appelé à remplacer ou soutenir le Président pendant la session du Comité, comme c</w:t>
      </w:r>
      <w:r w:rsidR="00346F1B">
        <w:t>’</w:t>
      </w:r>
      <w:r w:rsidR="00A76047">
        <w:t>était d</w:t>
      </w:r>
      <w:r w:rsidR="00346F1B">
        <w:t>’</w:t>
      </w:r>
      <w:r w:rsidR="00A76047">
        <w:t>ailleurs le cas pour cette session. Comme précédemment évoqué, en 2016, l</w:t>
      </w:r>
      <w:r w:rsidR="00346F1B">
        <w:t>’</w:t>
      </w:r>
      <w:r w:rsidR="00A76047">
        <w:t>Assemblée générale avait révisé les Directives opérationnelles afin d</w:t>
      </w:r>
      <w:r w:rsidR="00346F1B">
        <w:t>’</w:t>
      </w:r>
      <w:r w:rsidR="00A76047">
        <w:t>étendre l</w:t>
      </w:r>
      <w:r w:rsidR="00346F1B">
        <w:t>’</w:t>
      </w:r>
      <w:r w:rsidR="00A76047">
        <w:t xml:space="preserve">option de renvoi à tous les mécanismes de la </w:t>
      </w:r>
      <w:r w:rsidR="00A76047" w:rsidRPr="00A76047">
        <w:t>Convention</w:t>
      </w:r>
      <w:r w:rsidR="00A76047">
        <w:t>, permettant ainsi à l</w:t>
      </w:r>
      <w:r w:rsidR="00346F1B">
        <w:t>’</w:t>
      </w:r>
      <w:r w:rsidR="00A76047">
        <w:t>Organe de proposer des évaluations et des recommandations plus nuancées. Lorsque l</w:t>
      </w:r>
      <w:r w:rsidR="00346F1B">
        <w:t>’</w:t>
      </w:r>
      <w:r w:rsidR="00A76047">
        <w:t>option avait été utilisée, l</w:t>
      </w:r>
      <w:r w:rsidR="00346F1B">
        <w:t>’</w:t>
      </w:r>
      <w:r w:rsidR="00A76047">
        <w:t xml:space="preserve">Organe avait précisé la nature des </w:t>
      </w:r>
      <w:r w:rsidR="00A76047" w:rsidRPr="00A76047">
        <w:t>informations</w:t>
      </w:r>
      <w:r w:rsidR="00A76047">
        <w:t xml:space="preserve"> </w:t>
      </w:r>
      <w:r w:rsidR="00732FD2">
        <w:t xml:space="preserve">faisant défaut </w:t>
      </w:r>
      <w:r w:rsidR="00A76047">
        <w:t>afin que l</w:t>
      </w:r>
      <w:r w:rsidR="00346F1B">
        <w:t>’</w:t>
      </w:r>
      <w:r w:rsidR="00A76047">
        <w:t>État soumissionnaire di</w:t>
      </w:r>
      <w:r w:rsidR="001D7D09">
        <w:t>spose d</w:t>
      </w:r>
      <w:r w:rsidR="00346F1B">
        <w:t>’</w:t>
      </w:r>
      <w:r w:rsidR="001D7D09">
        <w:t>un retour pertinent.</w:t>
      </w:r>
    </w:p>
    <w:p w14:paraId="25C55665" w14:textId="572D7A62" w:rsidR="00910856" w:rsidRPr="00910856" w:rsidRDefault="001D7D09" w:rsidP="00AF7860">
      <w:pPr>
        <w:pStyle w:val="Orateurengris"/>
        <w:spacing w:before="120"/>
        <w:ind w:left="709" w:hanging="709"/>
        <w:rPr>
          <w:rFonts w:eastAsia="SimSun"/>
          <w:snapToGrid/>
          <w:lang w:bidi="en-US"/>
        </w:rPr>
      </w:pPr>
      <w:r>
        <w:rPr>
          <w:rFonts w:eastAsia="SimSun"/>
          <w:snapToGrid/>
          <w:lang w:bidi="en-US"/>
        </w:rPr>
        <w:t>S</w:t>
      </w:r>
      <w:r w:rsidR="00346F1B">
        <w:rPr>
          <w:rFonts w:eastAsia="SimSun"/>
          <w:snapToGrid/>
          <w:lang w:bidi="en-US"/>
        </w:rPr>
        <w:t>’</w:t>
      </w:r>
      <w:r>
        <w:rPr>
          <w:rFonts w:eastAsia="SimSun"/>
          <w:snapToGrid/>
          <w:lang w:bidi="en-US"/>
        </w:rPr>
        <w:t>agissant de la méthode de travail de l</w:t>
      </w:r>
      <w:r w:rsidR="00346F1B">
        <w:rPr>
          <w:rFonts w:eastAsia="SimSun"/>
          <w:snapToGrid/>
          <w:lang w:bidi="en-US"/>
        </w:rPr>
        <w:t>’</w:t>
      </w:r>
      <w:r>
        <w:rPr>
          <w:rFonts w:eastAsia="SimSun"/>
          <w:snapToGrid/>
          <w:lang w:bidi="en-US"/>
        </w:rPr>
        <w:t>Organe lors de l</w:t>
      </w:r>
      <w:r w:rsidR="00346F1B">
        <w:rPr>
          <w:rFonts w:eastAsia="SimSun"/>
          <w:snapToGrid/>
          <w:lang w:bidi="en-US"/>
        </w:rPr>
        <w:t>’</w:t>
      </w:r>
      <w:r w:rsidRPr="001D7D09">
        <w:rPr>
          <w:rFonts w:eastAsia="SimSun"/>
          <w:snapToGrid/>
          <w:lang w:bidi="en-US"/>
        </w:rPr>
        <w:t>évaluation</w:t>
      </w:r>
      <w:r>
        <w:rPr>
          <w:rFonts w:eastAsia="SimSun"/>
          <w:snapToGrid/>
          <w:lang w:bidi="en-US"/>
        </w:rPr>
        <w:t xml:space="preserve"> des </w:t>
      </w:r>
      <w:r w:rsidR="004226C1">
        <w:rPr>
          <w:rFonts w:eastAsia="SimSun"/>
          <w:b/>
          <w:snapToGrid/>
          <w:u w:val="single"/>
          <w:lang w:bidi="en-US"/>
        </w:rPr>
        <w:t>propositions pour le</w:t>
      </w:r>
      <w:r w:rsidRPr="001D7D09">
        <w:rPr>
          <w:rFonts w:eastAsia="SimSun"/>
          <w:b/>
          <w:snapToGrid/>
          <w:u w:val="single"/>
          <w:lang w:bidi="en-US"/>
        </w:rPr>
        <w:t xml:space="preserve"> Registre des meilleures pratiques de sauvegarde</w:t>
      </w:r>
      <w:r>
        <w:rPr>
          <w:rFonts w:eastAsia="SimSun"/>
          <w:snapToGrid/>
          <w:lang w:bidi="en-US"/>
        </w:rPr>
        <w:t xml:space="preserve">, le </w:t>
      </w:r>
      <w:r w:rsidRPr="001D7D09">
        <w:rPr>
          <w:rFonts w:eastAsia="SimSun"/>
          <w:b/>
          <w:snapToGrid/>
          <w:lang w:bidi="en-US"/>
        </w:rPr>
        <w:t>Rapporteur</w:t>
      </w:r>
      <w:r>
        <w:rPr>
          <w:rFonts w:eastAsia="SimSun"/>
          <w:snapToGrid/>
          <w:lang w:bidi="en-US"/>
        </w:rPr>
        <w:t xml:space="preserve"> a expliqué </w:t>
      </w:r>
      <w:r w:rsidR="004226C1">
        <w:rPr>
          <w:rFonts w:eastAsia="SimSun"/>
          <w:snapToGrid/>
          <w:lang w:bidi="en-US"/>
        </w:rPr>
        <w:t>que l</w:t>
      </w:r>
      <w:r w:rsidR="00346F1B">
        <w:rPr>
          <w:rFonts w:eastAsia="SimSun"/>
          <w:snapToGrid/>
          <w:lang w:bidi="en-US"/>
        </w:rPr>
        <w:t>’</w:t>
      </w:r>
      <w:r w:rsidR="004226C1">
        <w:rPr>
          <w:rFonts w:eastAsia="SimSun"/>
          <w:snapToGrid/>
          <w:lang w:bidi="en-US"/>
        </w:rPr>
        <w:t xml:space="preserve">Organe </w:t>
      </w:r>
      <w:r w:rsidR="00241ACB">
        <w:rPr>
          <w:rFonts w:eastAsia="SimSun"/>
          <w:snapToGrid/>
          <w:lang w:bidi="en-US"/>
        </w:rPr>
        <w:t>avait eu recours aux</w:t>
      </w:r>
      <w:r w:rsidR="00732FD2">
        <w:rPr>
          <w:rFonts w:eastAsia="SimSun"/>
          <w:snapToGrid/>
          <w:lang w:bidi="en-US"/>
        </w:rPr>
        <w:t xml:space="preserve"> trois options (sélectionner, ne pas sélectionner ou renvoyer pour complément d</w:t>
      </w:r>
      <w:r w:rsidR="00346F1B">
        <w:rPr>
          <w:rFonts w:eastAsia="SimSun"/>
          <w:snapToGrid/>
          <w:lang w:bidi="en-US"/>
        </w:rPr>
        <w:t>’</w:t>
      </w:r>
      <w:r w:rsidR="007B503E">
        <w:rPr>
          <w:rFonts w:eastAsia="SimSun"/>
          <w:snapToGrid/>
          <w:lang w:bidi="en-US"/>
        </w:rPr>
        <w:t>information</w:t>
      </w:r>
      <w:r w:rsidR="00732FD2">
        <w:rPr>
          <w:rFonts w:eastAsia="SimSun"/>
          <w:snapToGrid/>
          <w:lang w:bidi="en-US"/>
        </w:rPr>
        <w:t xml:space="preserve">) pour chaque critère </w:t>
      </w:r>
      <w:r w:rsidR="00241ACB">
        <w:rPr>
          <w:rFonts w:eastAsia="SimSun"/>
          <w:snapToGrid/>
          <w:lang w:bidi="en-US"/>
        </w:rPr>
        <w:t>afin d</w:t>
      </w:r>
      <w:r w:rsidR="00346F1B">
        <w:rPr>
          <w:rFonts w:eastAsia="SimSun"/>
          <w:snapToGrid/>
          <w:lang w:bidi="en-US"/>
        </w:rPr>
        <w:t>’</w:t>
      </w:r>
      <w:r w:rsidR="00241ACB">
        <w:rPr>
          <w:rFonts w:eastAsia="SimSun"/>
          <w:snapToGrid/>
          <w:lang w:bidi="en-US"/>
        </w:rPr>
        <w:t xml:space="preserve">orienter la </w:t>
      </w:r>
      <w:r w:rsidR="00732FD2">
        <w:rPr>
          <w:rFonts w:eastAsia="SimSun"/>
          <w:snapToGrid/>
          <w:lang w:bidi="en-US"/>
        </w:rPr>
        <w:t xml:space="preserve">discussion </w:t>
      </w:r>
      <w:r w:rsidR="00241ACB">
        <w:rPr>
          <w:rFonts w:eastAsia="SimSun"/>
          <w:snapToGrid/>
          <w:lang w:bidi="en-US"/>
        </w:rPr>
        <w:t>et non de prendre une décision déterminante. L</w:t>
      </w:r>
      <w:r w:rsidR="00346F1B">
        <w:rPr>
          <w:rFonts w:eastAsia="SimSun"/>
          <w:snapToGrid/>
          <w:lang w:bidi="en-US"/>
        </w:rPr>
        <w:t>’</w:t>
      </w:r>
      <w:r w:rsidR="00241ACB">
        <w:rPr>
          <w:rFonts w:eastAsia="SimSun"/>
          <w:snapToGrid/>
          <w:lang w:bidi="en-US"/>
        </w:rPr>
        <w:t xml:space="preserve">Organe avait centré son examen sur une </w:t>
      </w:r>
      <w:r w:rsidR="00241ACB" w:rsidRPr="00241ACB">
        <w:rPr>
          <w:rFonts w:eastAsia="SimSun"/>
          <w:snapToGrid/>
          <w:lang w:bidi="en-US"/>
        </w:rPr>
        <w:t>évaluation</w:t>
      </w:r>
      <w:r w:rsidR="00241ACB">
        <w:rPr>
          <w:rFonts w:eastAsia="SimSun"/>
          <w:snapToGrid/>
          <w:lang w:bidi="en-US"/>
        </w:rPr>
        <w:t xml:space="preserve"> générale de la </w:t>
      </w:r>
      <w:r w:rsidR="00241ACB" w:rsidRPr="00241ACB">
        <w:rPr>
          <w:rFonts w:eastAsia="SimSun"/>
          <w:snapToGrid/>
          <w:lang w:bidi="en-US"/>
        </w:rPr>
        <w:t xml:space="preserve">proposition </w:t>
      </w:r>
      <w:r w:rsidR="00241ACB">
        <w:rPr>
          <w:rFonts w:eastAsia="SimSun"/>
          <w:snapToGrid/>
          <w:lang w:bidi="en-US"/>
        </w:rPr>
        <w:t xml:space="preserve">soumise à sélection. </w:t>
      </w:r>
      <w:r w:rsidR="007E5AB7">
        <w:rPr>
          <w:rFonts w:eastAsia="SimSun"/>
          <w:snapToGrid/>
          <w:lang w:bidi="en-US"/>
        </w:rPr>
        <w:t>Par ailleurs, i</w:t>
      </w:r>
      <w:r w:rsidR="00241ACB">
        <w:rPr>
          <w:rFonts w:eastAsia="SimSun"/>
          <w:snapToGrid/>
          <w:lang w:bidi="en-US"/>
        </w:rPr>
        <w:t xml:space="preserve">l a été </w:t>
      </w:r>
      <w:r w:rsidR="00B57F5D">
        <w:rPr>
          <w:rFonts w:eastAsia="SimSun"/>
          <w:snapToGrid/>
          <w:lang w:bidi="en-US"/>
        </w:rPr>
        <w:t>précisé que le matériel documentaire, y compris les photographies et les vidéos, constituait des éléments d</w:t>
      </w:r>
      <w:r w:rsidR="00346F1B">
        <w:rPr>
          <w:rFonts w:eastAsia="SimSun"/>
          <w:snapToGrid/>
          <w:lang w:bidi="en-US"/>
        </w:rPr>
        <w:t>’</w:t>
      </w:r>
      <w:r w:rsidR="00B57F5D">
        <w:rPr>
          <w:rFonts w:eastAsia="SimSun"/>
          <w:snapToGrid/>
          <w:lang w:bidi="en-US"/>
        </w:rPr>
        <w:t>information essentiels qui complétaient les données présentées dans le formulaire</w:t>
      </w:r>
      <w:r w:rsidR="007E5AB7">
        <w:rPr>
          <w:rFonts w:eastAsia="SimSun"/>
          <w:snapToGrid/>
          <w:lang w:bidi="en-US"/>
        </w:rPr>
        <w:t xml:space="preserve"> de </w:t>
      </w:r>
      <w:r w:rsidR="007E5AB7" w:rsidRPr="007E5AB7">
        <w:rPr>
          <w:rFonts w:eastAsia="SimSun"/>
          <w:snapToGrid/>
          <w:lang w:bidi="en-US"/>
        </w:rPr>
        <w:t>candidature</w:t>
      </w:r>
      <w:r w:rsidR="00B57F5D">
        <w:rPr>
          <w:rFonts w:eastAsia="SimSun"/>
          <w:snapToGrid/>
          <w:lang w:bidi="en-US"/>
        </w:rPr>
        <w:t>. L</w:t>
      </w:r>
      <w:r w:rsidR="00346F1B">
        <w:rPr>
          <w:rFonts w:eastAsia="SimSun"/>
          <w:snapToGrid/>
          <w:lang w:bidi="en-US"/>
        </w:rPr>
        <w:t>’</w:t>
      </w:r>
      <w:r w:rsidR="00B57F5D">
        <w:rPr>
          <w:rFonts w:eastAsia="SimSun"/>
          <w:snapToGrid/>
          <w:lang w:bidi="en-US"/>
        </w:rPr>
        <w:t xml:space="preserve">Organe avait noté plusieurs cas pour lesquels, la </w:t>
      </w:r>
      <w:r w:rsidR="00B57F5D" w:rsidRPr="00B57F5D">
        <w:rPr>
          <w:rFonts w:eastAsia="SimSun"/>
          <w:snapToGrid/>
          <w:lang w:bidi="en-US"/>
        </w:rPr>
        <w:t>description</w:t>
      </w:r>
      <w:r w:rsidR="00B57F5D">
        <w:rPr>
          <w:rFonts w:eastAsia="SimSun"/>
          <w:snapToGrid/>
          <w:lang w:bidi="en-US"/>
        </w:rPr>
        <w:t xml:space="preserve"> d</w:t>
      </w:r>
      <w:r w:rsidR="00346F1B">
        <w:rPr>
          <w:rFonts w:eastAsia="SimSun"/>
          <w:snapToGrid/>
          <w:lang w:bidi="en-US"/>
        </w:rPr>
        <w:t>’</w:t>
      </w:r>
      <w:r w:rsidR="00B57F5D">
        <w:rPr>
          <w:rFonts w:eastAsia="SimSun"/>
          <w:snapToGrid/>
          <w:lang w:bidi="en-US"/>
        </w:rPr>
        <w:t xml:space="preserve">un élément manquant de clarté, on avait du </w:t>
      </w:r>
      <w:r w:rsidR="0059257E">
        <w:rPr>
          <w:rFonts w:eastAsia="SimSun"/>
          <w:snapToGrid/>
          <w:lang w:bidi="en-US"/>
        </w:rPr>
        <w:t xml:space="preserve">se fier à la </w:t>
      </w:r>
      <w:r w:rsidR="0059257E" w:rsidRPr="0059257E">
        <w:rPr>
          <w:rFonts w:eastAsia="SimSun"/>
          <w:snapToGrid/>
          <w:lang w:bidi="en-US"/>
        </w:rPr>
        <w:t>documentation</w:t>
      </w:r>
      <w:r w:rsidR="0059257E">
        <w:rPr>
          <w:rFonts w:eastAsia="SimSun"/>
          <w:snapToGrid/>
          <w:lang w:bidi="en-US"/>
        </w:rPr>
        <w:t xml:space="preserve"> jointe. Le </w:t>
      </w:r>
      <w:r w:rsidR="0059257E" w:rsidRPr="0059257E">
        <w:rPr>
          <w:rFonts w:eastAsia="SimSun"/>
          <w:snapToGrid/>
          <w:lang w:bidi="en-US"/>
        </w:rPr>
        <w:t>Rapporteur</w:t>
      </w:r>
      <w:r w:rsidR="0059257E">
        <w:rPr>
          <w:rFonts w:eastAsia="SimSun"/>
          <w:snapToGrid/>
          <w:lang w:bidi="en-US"/>
        </w:rPr>
        <w:t xml:space="preserve"> a rappelé aux États soumissionnaires</w:t>
      </w:r>
      <w:r w:rsidR="00B57F5D">
        <w:rPr>
          <w:rFonts w:eastAsia="SimSun"/>
          <w:snapToGrid/>
          <w:lang w:bidi="en-US"/>
        </w:rPr>
        <w:t xml:space="preserve"> </w:t>
      </w:r>
      <w:r w:rsidR="0059257E">
        <w:rPr>
          <w:rFonts w:eastAsia="SimSun"/>
          <w:snapToGrid/>
          <w:lang w:bidi="en-US"/>
        </w:rPr>
        <w:t xml:space="preserve">que le matériel documentaire ne </w:t>
      </w:r>
      <w:r w:rsidR="007E5AB7">
        <w:rPr>
          <w:rFonts w:eastAsia="SimSun"/>
          <w:snapToGrid/>
          <w:lang w:bidi="en-US"/>
        </w:rPr>
        <w:t xml:space="preserve">saurait </w:t>
      </w:r>
      <w:r w:rsidR="0059257E">
        <w:rPr>
          <w:rFonts w:eastAsia="SimSun"/>
          <w:snapToGrid/>
          <w:lang w:bidi="en-US"/>
        </w:rPr>
        <w:t xml:space="preserve">se substituer aux </w:t>
      </w:r>
      <w:r w:rsidR="0059257E" w:rsidRPr="0059257E">
        <w:rPr>
          <w:rFonts w:eastAsia="SimSun"/>
          <w:snapToGrid/>
          <w:lang w:bidi="en-US"/>
        </w:rPr>
        <w:t>informations</w:t>
      </w:r>
      <w:r w:rsidR="0059257E">
        <w:rPr>
          <w:rFonts w:eastAsia="SimSun"/>
          <w:snapToGrid/>
          <w:lang w:bidi="en-US"/>
        </w:rPr>
        <w:t xml:space="preserve"> requises dans le </w:t>
      </w:r>
      <w:r w:rsidR="0059257E" w:rsidRPr="0059257E">
        <w:rPr>
          <w:rFonts w:eastAsia="SimSun"/>
          <w:snapToGrid/>
          <w:lang w:bidi="en-US"/>
        </w:rPr>
        <w:t>formulaire</w:t>
      </w:r>
      <w:r w:rsidR="0059257E">
        <w:rPr>
          <w:rFonts w:eastAsia="SimSun"/>
          <w:snapToGrid/>
          <w:lang w:bidi="en-US"/>
        </w:rPr>
        <w:t>. Dans le cas d</w:t>
      </w:r>
      <w:r w:rsidR="00346F1B">
        <w:rPr>
          <w:rFonts w:eastAsia="SimSun"/>
          <w:snapToGrid/>
          <w:lang w:bidi="en-US"/>
        </w:rPr>
        <w:t>’</w:t>
      </w:r>
      <w:r w:rsidR="0059257E">
        <w:rPr>
          <w:rFonts w:eastAsia="SimSun"/>
          <w:snapToGrid/>
          <w:lang w:bidi="en-US"/>
        </w:rPr>
        <w:t>une extension à d</w:t>
      </w:r>
      <w:r w:rsidR="00346F1B">
        <w:rPr>
          <w:rFonts w:eastAsia="SimSun"/>
          <w:snapToGrid/>
          <w:lang w:bidi="en-US"/>
        </w:rPr>
        <w:t>’</w:t>
      </w:r>
      <w:r w:rsidR="0059257E">
        <w:rPr>
          <w:rFonts w:eastAsia="SimSun"/>
          <w:snapToGrid/>
          <w:lang w:bidi="en-US"/>
        </w:rPr>
        <w:t>autres communautés (dans le même pays ou dans des pays différents)</w:t>
      </w:r>
      <w:r w:rsidR="0059257E" w:rsidRPr="0059257E">
        <w:rPr>
          <w:rFonts w:eastAsia="SimSun"/>
          <w:snapToGrid/>
          <w:lang w:bidi="en-US"/>
        </w:rPr>
        <w:t xml:space="preserve"> </w:t>
      </w:r>
      <w:r w:rsidR="0059257E">
        <w:rPr>
          <w:rFonts w:eastAsia="SimSun"/>
          <w:snapToGrid/>
          <w:lang w:bidi="en-US"/>
        </w:rPr>
        <w:t>d</w:t>
      </w:r>
      <w:r w:rsidR="00346F1B">
        <w:rPr>
          <w:rFonts w:eastAsia="SimSun"/>
          <w:snapToGrid/>
          <w:lang w:bidi="en-US"/>
        </w:rPr>
        <w:t>’</w:t>
      </w:r>
      <w:r w:rsidR="0059257E">
        <w:rPr>
          <w:rFonts w:eastAsia="SimSun"/>
          <w:snapToGrid/>
          <w:lang w:bidi="en-US"/>
        </w:rPr>
        <w:t>un élément déjà inscrit, l</w:t>
      </w:r>
      <w:r w:rsidR="00346F1B">
        <w:rPr>
          <w:rFonts w:eastAsia="SimSun"/>
          <w:snapToGrid/>
          <w:lang w:bidi="en-US"/>
        </w:rPr>
        <w:t>’</w:t>
      </w:r>
      <w:r w:rsidR="0059257E">
        <w:rPr>
          <w:rFonts w:eastAsia="SimSun"/>
          <w:snapToGrid/>
          <w:lang w:bidi="en-US"/>
        </w:rPr>
        <w:t xml:space="preserve">Organe avait décidé que les </w:t>
      </w:r>
      <w:r w:rsidR="0059257E" w:rsidRPr="0059257E">
        <w:rPr>
          <w:rFonts w:eastAsia="SimSun"/>
          <w:snapToGrid/>
          <w:lang w:bidi="en-US"/>
        </w:rPr>
        <w:t>informations</w:t>
      </w:r>
      <w:r w:rsidR="0059257E">
        <w:rPr>
          <w:rFonts w:eastAsia="SimSun"/>
          <w:snapToGrid/>
          <w:lang w:bidi="en-US"/>
        </w:rPr>
        <w:t xml:space="preserve"> présentées dans le nouveau dossier de </w:t>
      </w:r>
      <w:r w:rsidR="0059257E" w:rsidRPr="0059257E">
        <w:rPr>
          <w:rFonts w:eastAsia="SimSun"/>
          <w:snapToGrid/>
          <w:lang w:bidi="en-US"/>
        </w:rPr>
        <w:t>candidature</w:t>
      </w:r>
      <w:r w:rsidR="0059257E">
        <w:rPr>
          <w:rFonts w:eastAsia="SimSun"/>
          <w:snapToGrid/>
          <w:lang w:bidi="en-US"/>
        </w:rPr>
        <w:t xml:space="preserve"> devait être d</w:t>
      </w:r>
      <w:r w:rsidR="00346F1B">
        <w:rPr>
          <w:rFonts w:eastAsia="SimSun"/>
          <w:snapToGrid/>
          <w:lang w:bidi="en-US"/>
        </w:rPr>
        <w:t>’</w:t>
      </w:r>
      <w:r w:rsidR="0059257E">
        <w:rPr>
          <w:rFonts w:eastAsia="SimSun"/>
          <w:snapToGrid/>
          <w:lang w:bidi="en-US"/>
        </w:rPr>
        <w:t>un nive</w:t>
      </w:r>
      <w:r w:rsidR="00F978E2">
        <w:rPr>
          <w:rFonts w:eastAsia="SimSun"/>
          <w:snapToGrid/>
          <w:lang w:bidi="en-US"/>
        </w:rPr>
        <w:t>au suffisant pour satisfaire les</w:t>
      </w:r>
      <w:r w:rsidR="0059257E">
        <w:rPr>
          <w:rFonts w:eastAsia="SimSun"/>
          <w:snapToGrid/>
          <w:lang w:bidi="en-US"/>
        </w:rPr>
        <w:t xml:space="preserve"> critères dans l</w:t>
      </w:r>
      <w:r w:rsidR="00346F1B">
        <w:rPr>
          <w:rFonts w:eastAsia="SimSun"/>
          <w:snapToGrid/>
          <w:lang w:bidi="en-US"/>
        </w:rPr>
        <w:t>’</w:t>
      </w:r>
      <w:r w:rsidR="0059257E">
        <w:rPr>
          <w:rFonts w:eastAsia="SimSun"/>
          <w:snapToGrid/>
          <w:lang w:bidi="en-US"/>
        </w:rPr>
        <w:t>ensemble des pays/lieux concernés, y compris ceux concernés par l</w:t>
      </w:r>
      <w:r w:rsidR="00346F1B">
        <w:rPr>
          <w:rFonts w:eastAsia="SimSun"/>
          <w:snapToGrid/>
          <w:lang w:bidi="en-US"/>
        </w:rPr>
        <w:t>’</w:t>
      </w:r>
      <w:r w:rsidR="0059257E" w:rsidRPr="0059257E">
        <w:rPr>
          <w:rFonts w:eastAsia="SimSun"/>
          <w:snapToGrid/>
          <w:lang w:bidi="en-US"/>
        </w:rPr>
        <w:t>inscription</w:t>
      </w:r>
      <w:r w:rsidR="0059257E">
        <w:rPr>
          <w:rFonts w:eastAsia="SimSun"/>
          <w:snapToGrid/>
          <w:lang w:bidi="en-US"/>
        </w:rPr>
        <w:t xml:space="preserve"> initiale. Des préoccupations ont été exprimées </w:t>
      </w:r>
      <w:r w:rsidR="007E5AB7">
        <w:rPr>
          <w:rFonts w:eastAsia="SimSun"/>
          <w:snapToGrid/>
          <w:lang w:bidi="en-US"/>
        </w:rPr>
        <w:t xml:space="preserve">quant à </w:t>
      </w:r>
      <w:r w:rsidR="0059257E">
        <w:rPr>
          <w:rFonts w:eastAsia="SimSun"/>
          <w:snapToGrid/>
          <w:lang w:bidi="en-US"/>
        </w:rPr>
        <w:t xml:space="preserve">la pratique </w:t>
      </w:r>
      <w:r w:rsidR="007E5AB7">
        <w:rPr>
          <w:rFonts w:eastAsia="SimSun"/>
          <w:snapToGrid/>
          <w:lang w:bidi="en-US"/>
        </w:rPr>
        <w:t xml:space="preserve">du « recyclage » du </w:t>
      </w:r>
      <w:r w:rsidR="007E5AB7" w:rsidRPr="007E5AB7">
        <w:rPr>
          <w:rFonts w:eastAsia="SimSun"/>
          <w:snapToGrid/>
          <w:lang w:bidi="en-US"/>
        </w:rPr>
        <w:t>consentement</w:t>
      </w:r>
      <w:r w:rsidR="007E5AB7">
        <w:rPr>
          <w:rFonts w:eastAsia="SimSun"/>
          <w:snapToGrid/>
          <w:lang w:bidi="en-US"/>
        </w:rPr>
        <w:t xml:space="preserve"> des communautés qui était donné lors de l</w:t>
      </w:r>
      <w:r w:rsidR="00346F1B">
        <w:rPr>
          <w:rFonts w:eastAsia="SimSun"/>
          <w:snapToGrid/>
          <w:lang w:bidi="en-US"/>
        </w:rPr>
        <w:t>’</w:t>
      </w:r>
      <w:r w:rsidR="007E5AB7" w:rsidRPr="007E5AB7">
        <w:rPr>
          <w:rFonts w:eastAsia="SimSun"/>
          <w:snapToGrid/>
          <w:lang w:bidi="en-US"/>
        </w:rPr>
        <w:t>inscription</w:t>
      </w:r>
      <w:r w:rsidR="007E5AB7">
        <w:rPr>
          <w:rFonts w:eastAsia="SimSun"/>
          <w:snapToGrid/>
          <w:lang w:bidi="en-US"/>
        </w:rPr>
        <w:t xml:space="preserve"> initiale. Enfin, s</w:t>
      </w:r>
      <w:r w:rsidR="00346F1B">
        <w:rPr>
          <w:rFonts w:eastAsia="SimSun"/>
          <w:snapToGrid/>
          <w:lang w:bidi="en-US"/>
        </w:rPr>
        <w:t>’</w:t>
      </w:r>
      <w:r w:rsidR="007E5AB7">
        <w:rPr>
          <w:rFonts w:eastAsia="SimSun"/>
          <w:snapToGrid/>
          <w:lang w:bidi="en-US"/>
        </w:rPr>
        <w:t>agissant du mécanisme combiné de candidature à l</w:t>
      </w:r>
      <w:r w:rsidR="00346F1B">
        <w:rPr>
          <w:rFonts w:eastAsia="SimSun"/>
          <w:snapToGrid/>
          <w:lang w:bidi="en-US"/>
        </w:rPr>
        <w:t>’</w:t>
      </w:r>
      <w:r w:rsidR="007E5AB7" w:rsidRPr="007E5AB7">
        <w:rPr>
          <w:rFonts w:eastAsia="SimSun"/>
          <w:snapToGrid/>
          <w:lang w:bidi="en-US"/>
        </w:rPr>
        <w:t>inscription</w:t>
      </w:r>
      <w:r w:rsidR="007E5AB7">
        <w:rPr>
          <w:rFonts w:eastAsia="SimSun"/>
          <w:snapToGrid/>
          <w:lang w:bidi="en-US"/>
        </w:rPr>
        <w:t xml:space="preserve"> à la Liste de sauvegarde urgente avec une demande d</w:t>
      </w:r>
      <w:r w:rsidR="00346F1B">
        <w:rPr>
          <w:rFonts w:eastAsia="SimSun"/>
          <w:snapToGrid/>
          <w:lang w:bidi="en-US"/>
        </w:rPr>
        <w:t>’</w:t>
      </w:r>
      <w:r w:rsidR="007E5AB7">
        <w:rPr>
          <w:rFonts w:eastAsia="SimSun"/>
          <w:snapToGrid/>
          <w:lang w:bidi="en-US"/>
        </w:rPr>
        <w:t>assistance internationale, il a été précisé que, durant ce cycle, l</w:t>
      </w:r>
      <w:r w:rsidR="00346F1B">
        <w:rPr>
          <w:rFonts w:eastAsia="SimSun"/>
          <w:snapToGrid/>
          <w:lang w:bidi="en-US"/>
        </w:rPr>
        <w:t>’</w:t>
      </w:r>
      <w:r w:rsidR="007E5AB7">
        <w:rPr>
          <w:rFonts w:eastAsia="SimSun"/>
          <w:snapToGrid/>
          <w:lang w:bidi="en-US"/>
        </w:rPr>
        <w:t xml:space="preserve">Organe avait, pour la première fois, évalué un dossier de candidature utilisant ce mécanisme combiné. Avant son </w:t>
      </w:r>
      <w:r w:rsidR="007E5AB7" w:rsidRPr="007E5AB7">
        <w:rPr>
          <w:rFonts w:eastAsia="SimSun"/>
          <w:snapToGrid/>
          <w:lang w:bidi="en-US"/>
        </w:rPr>
        <w:t>évaluation</w:t>
      </w:r>
      <w:r w:rsidR="007E5AB7">
        <w:rPr>
          <w:rFonts w:eastAsia="SimSun"/>
          <w:snapToGrid/>
          <w:lang w:bidi="en-US"/>
        </w:rPr>
        <w:t xml:space="preserve">, les </w:t>
      </w:r>
      <w:r w:rsidR="00A46CAD">
        <w:rPr>
          <w:rFonts w:eastAsia="SimSun"/>
          <w:snapToGrid/>
          <w:lang w:bidi="en-US"/>
        </w:rPr>
        <w:t>membres</w:t>
      </w:r>
      <w:r w:rsidR="007E5AB7">
        <w:rPr>
          <w:rFonts w:eastAsia="SimSun"/>
          <w:snapToGrid/>
          <w:lang w:bidi="en-US"/>
        </w:rPr>
        <w:t xml:space="preserve"> de l</w:t>
      </w:r>
      <w:r w:rsidR="00346F1B">
        <w:rPr>
          <w:rFonts w:eastAsia="SimSun"/>
          <w:snapToGrid/>
          <w:lang w:bidi="en-US"/>
        </w:rPr>
        <w:t>’</w:t>
      </w:r>
      <w:r w:rsidR="007E5AB7">
        <w:rPr>
          <w:rFonts w:eastAsia="SimSun"/>
          <w:snapToGrid/>
          <w:lang w:bidi="en-US"/>
        </w:rPr>
        <w:t>Organe avai</w:t>
      </w:r>
      <w:r w:rsidR="00CA26E1">
        <w:rPr>
          <w:rFonts w:eastAsia="SimSun"/>
          <w:snapToGrid/>
          <w:lang w:bidi="en-US"/>
        </w:rPr>
        <w:t>en</w:t>
      </w:r>
      <w:r w:rsidR="007E5AB7">
        <w:rPr>
          <w:rFonts w:eastAsia="SimSun"/>
          <w:snapToGrid/>
          <w:lang w:bidi="en-US"/>
        </w:rPr>
        <w:t>t débattu de la pertinence de chaque critère et du nombre de scénarios envisageables pour des dossiers utilisant ce mécanisme combiné. Il avait été convenu qu</w:t>
      </w:r>
      <w:r w:rsidR="00346F1B">
        <w:rPr>
          <w:rFonts w:eastAsia="SimSun"/>
          <w:snapToGrid/>
          <w:lang w:bidi="en-US"/>
        </w:rPr>
        <w:t>’</w:t>
      </w:r>
      <w:r w:rsidR="007E5AB7">
        <w:rPr>
          <w:rFonts w:eastAsia="SimSun"/>
          <w:snapToGrid/>
          <w:lang w:bidi="en-US"/>
        </w:rPr>
        <w:t>une plus grande expérience était requise avant de pouvoir se prononcer sur l</w:t>
      </w:r>
      <w:r w:rsidR="00346F1B">
        <w:rPr>
          <w:rFonts w:eastAsia="SimSun"/>
          <w:snapToGrid/>
          <w:lang w:bidi="en-US"/>
        </w:rPr>
        <w:t>’</w:t>
      </w:r>
      <w:r w:rsidR="007E5AB7">
        <w:rPr>
          <w:rFonts w:eastAsia="SimSun"/>
          <w:snapToGrid/>
          <w:lang w:bidi="en-US"/>
        </w:rPr>
        <w:t>intérêt et</w:t>
      </w:r>
      <w:r w:rsidR="00311274">
        <w:rPr>
          <w:rFonts w:eastAsia="SimSun"/>
          <w:snapToGrid/>
          <w:lang w:bidi="en-US"/>
        </w:rPr>
        <w:t xml:space="preserve"> la pertinence de ce mécanisme.</w:t>
      </w:r>
    </w:p>
    <w:p w14:paraId="2125F029" w14:textId="0A9CA873" w:rsidR="00111296" w:rsidRPr="000A6378" w:rsidRDefault="007E5AB7" w:rsidP="00AF7860">
      <w:pPr>
        <w:pStyle w:val="Orateurengris"/>
        <w:spacing w:before="120"/>
        <w:ind w:left="709" w:hanging="709"/>
      </w:pPr>
      <w:r w:rsidRPr="00910856">
        <w:t>S</w:t>
      </w:r>
      <w:r w:rsidR="00346F1B">
        <w:t>’</w:t>
      </w:r>
      <w:r w:rsidRPr="00910856">
        <w:t>agissant de l</w:t>
      </w:r>
      <w:r w:rsidR="00346F1B">
        <w:t>’</w:t>
      </w:r>
      <w:r w:rsidRPr="00910856">
        <w:t xml:space="preserve">aperçu des dossiers, le </w:t>
      </w:r>
      <w:r w:rsidRPr="00910856">
        <w:rPr>
          <w:b/>
        </w:rPr>
        <w:t>Rapporteur</w:t>
      </w:r>
      <w:r w:rsidR="00450503">
        <w:t xml:space="preserve"> souhaitait </w:t>
      </w:r>
      <w:r w:rsidR="0071631C">
        <w:t xml:space="preserve">souligner trois points. </w:t>
      </w:r>
      <w:r w:rsidR="00111296" w:rsidRPr="00910856">
        <w:t>D</w:t>
      </w:r>
      <w:r w:rsidR="009E4A64" w:rsidRPr="00910856">
        <w:t>ans l</w:t>
      </w:r>
      <w:r w:rsidR="00346F1B">
        <w:t>’</w:t>
      </w:r>
      <w:r w:rsidR="009E4A64" w:rsidRPr="00910856">
        <w:t>ensemble, l</w:t>
      </w:r>
      <w:r w:rsidR="00346F1B">
        <w:t>’</w:t>
      </w:r>
      <w:r w:rsidR="009E4A64" w:rsidRPr="00910856">
        <w:t>Organe avait estimé que la qualité des dossiers de candidature s</w:t>
      </w:r>
      <w:r w:rsidR="00346F1B">
        <w:t>’</w:t>
      </w:r>
      <w:r w:rsidR="009E4A64" w:rsidRPr="00910856">
        <w:t>était améliorée par rapport aux cycles précédents. Premièrement, l</w:t>
      </w:r>
      <w:r w:rsidR="00346F1B">
        <w:t>’</w:t>
      </w:r>
      <w:r w:rsidR="009E4A64" w:rsidRPr="00910856">
        <w:t>Organe</w:t>
      </w:r>
      <w:r w:rsidR="00111296" w:rsidRPr="00910856">
        <w:t xml:space="preserve"> avait été</w:t>
      </w:r>
      <w:r w:rsidR="009E4A64" w:rsidRPr="00910856">
        <w:t xml:space="preserve"> sensible</w:t>
      </w:r>
      <w:r w:rsidR="00111296" w:rsidRPr="00910856">
        <w:t>, d</w:t>
      </w:r>
      <w:r w:rsidR="00346F1B">
        <w:t>’</w:t>
      </w:r>
      <w:r w:rsidR="00111296" w:rsidRPr="00910856">
        <w:t>une part,</w:t>
      </w:r>
      <w:r w:rsidR="009E4A64" w:rsidRPr="00910856">
        <w:t xml:space="preserve"> au nombre croissant de dossiers multinationaux et le</w:t>
      </w:r>
      <w:r w:rsidR="00111296" w:rsidRPr="00910856">
        <w:t>ur extension à de nouveaux pays</w:t>
      </w:r>
      <w:r w:rsidR="009E4A64" w:rsidRPr="00910856">
        <w:t xml:space="preserve"> </w:t>
      </w:r>
      <w:r w:rsidR="00111296" w:rsidRPr="00910856">
        <w:t>et, d</w:t>
      </w:r>
      <w:r w:rsidR="00346F1B">
        <w:t>’</w:t>
      </w:r>
      <w:r w:rsidR="00111296" w:rsidRPr="00910856">
        <w:t xml:space="preserve">autre part, au </w:t>
      </w:r>
      <w:r w:rsidR="009E4A64" w:rsidRPr="00910856">
        <w:t xml:space="preserve">niveau de coopération requis. </w:t>
      </w:r>
      <w:r w:rsidR="00111296" w:rsidRPr="00910856">
        <w:t>L</w:t>
      </w:r>
      <w:r w:rsidR="00346F1B">
        <w:t>’</w:t>
      </w:r>
      <w:r w:rsidR="009E4A64" w:rsidRPr="00910856">
        <w:t>Organe avait également pris note d</w:t>
      </w:r>
      <w:r w:rsidR="00346F1B">
        <w:t>’</w:t>
      </w:r>
      <w:r w:rsidR="009E4A64" w:rsidRPr="00910856">
        <w:t>un nombre accru de propo</w:t>
      </w:r>
      <w:r w:rsidR="00111296" w:rsidRPr="00910856">
        <w:t>sitions pour le Registre des me</w:t>
      </w:r>
      <w:r w:rsidR="009E4A64" w:rsidRPr="00910856">
        <w:t>illeures pr</w:t>
      </w:r>
      <w:r w:rsidR="00111296" w:rsidRPr="00910856">
        <w:t>atiques de sauvegarde, ainsi que d</w:t>
      </w:r>
      <w:r w:rsidR="00346F1B">
        <w:t>’</w:t>
      </w:r>
      <w:r w:rsidR="009E4A64" w:rsidRPr="00910856">
        <w:t>une première candidature co</w:t>
      </w:r>
      <w:r w:rsidR="00111296" w:rsidRPr="00910856">
        <w:t>mbinée, comme mentionné précédemment</w:t>
      </w:r>
      <w:r w:rsidR="009E4A64" w:rsidRPr="00910856">
        <w:t>. Deuxièmement, l</w:t>
      </w:r>
      <w:r w:rsidR="00346F1B">
        <w:t>’</w:t>
      </w:r>
      <w:r w:rsidR="009E4A64" w:rsidRPr="00910856">
        <w:t xml:space="preserve">Organe avait </w:t>
      </w:r>
      <w:r w:rsidR="00111296" w:rsidRPr="00910856">
        <w:t xml:space="preserve">jugé </w:t>
      </w:r>
      <w:r w:rsidR="009E4A64" w:rsidRPr="00910856">
        <w:t xml:space="preserve">que, dans ce cycle, les soumissions étaient variées et </w:t>
      </w:r>
      <w:r w:rsidR="00111296" w:rsidRPr="00910856">
        <w:t xml:space="preserve">abordaient </w:t>
      </w:r>
      <w:r w:rsidR="009E4A64" w:rsidRPr="00910856">
        <w:t>de nouvelles perspectives du PCI (telles que des formes d</w:t>
      </w:r>
      <w:r w:rsidR="00346F1B">
        <w:t>’</w:t>
      </w:r>
      <w:r w:rsidR="009E4A64" w:rsidRPr="00910856">
        <w:t>organisation sociale et de patrimoine culturel ancien à portée mondiale). De telles candidatures avaient donné lieu à d</w:t>
      </w:r>
      <w:r w:rsidR="00346F1B">
        <w:t>’</w:t>
      </w:r>
      <w:r w:rsidR="009E4A64" w:rsidRPr="00910856">
        <w:t xml:space="preserve">intéressantes discussions sur les contours du PCI et sur les différentes façons de voir les choses selon les contextes culturels et politiques. Plusieurs éléments étaient </w:t>
      </w:r>
      <w:r w:rsidR="00111296" w:rsidRPr="00910856">
        <w:t xml:space="preserve">associés </w:t>
      </w:r>
      <w:r w:rsidR="009E4A64" w:rsidRPr="00910856">
        <w:t>à des sites sacrés et/ou par</w:t>
      </w:r>
      <w:r w:rsidR="00111296" w:rsidRPr="00910856">
        <w:t xml:space="preserve">tagés par différentes religions, </w:t>
      </w:r>
      <w:r w:rsidR="000958B8" w:rsidRPr="00910856">
        <w:t xml:space="preserve">et </w:t>
      </w:r>
      <w:r w:rsidR="00111296" w:rsidRPr="00910856">
        <w:t>il semblait qu</w:t>
      </w:r>
      <w:r w:rsidR="00346F1B">
        <w:t>’</w:t>
      </w:r>
      <w:r w:rsidR="00111296" w:rsidRPr="00910856">
        <w:t>un intérêt a</w:t>
      </w:r>
      <w:r w:rsidR="000958B8" w:rsidRPr="00910856">
        <w:t>ccru se manifeste pour des obje</w:t>
      </w:r>
      <w:r w:rsidR="00111296" w:rsidRPr="00910856">
        <w:t>t</w:t>
      </w:r>
      <w:r w:rsidR="000958B8" w:rsidRPr="00910856">
        <w:t>s</w:t>
      </w:r>
      <w:r w:rsidR="00111296" w:rsidRPr="00910856">
        <w:t>/espaces associés à des éléments, renforçant ainsi le lien entre les aspects immatériels et matériels du patrimoine culturel. Enfin, l</w:t>
      </w:r>
      <w:r w:rsidR="00346F1B">
        <w:t>’</w:t>
      </w:r>
      <w:r w:rsidR="00111296" w:rsidRPr="00910856">
        <w:t xml:space="preserve">Organe avait </w:t>
      </w:r>
      <w:r w:rsidR="000958B8" w:rsidRPr="00910856">
        <w:t xml:space="preserve">souligné </w:t>
      </w:r>
      <w:r w:rsidR="00111296" w:rsidRPr="00910856">
        <w:t>la qualité de certains dossiers soumis pour le Registre des meilleures pratiques de sauvegarde. Il avait, par exemple, apprécié : les dossiers qui mettai</w:t>
      </w:r>
      <w:r w:rsidR="000958B8" w:rsidRPr="00910856">
        <w:t>en</w:t>
      </w:r>
      <w:r w:rsidR="00111296" w:rsidRPr="00910856">
        <w:t>t en valeur un lien réussi entre la revitalisation d</w:t>
      </w:r>
      <w:r w:rsidR="00346F1B">
        <w:t>’</w:t>
      </w:r>
      <w:r w:rsidR="00111296" w:rsidRPr="00910856">
        <w:t>un élément du PCI et le développement ainsi qu</w:t>
      </w:r>
      <w:r w:rsidR="00346F1B">
        <w:t>’</w:t>
      </w:r>
      <w:r w:rsidR="00111296" w:rsidRPr="00910856">
        <w:t>entre le patrimoine culturel immatériel et matériel ; l</w:t>
      </w:r>
      <w:r w:rsidR="00346F1B">
        <w:t>’</w:t>
      </w:r>
      <w:r w:rsidR="00111296" w:rsidRPr="00910856">
        <w:t xml:space="preserve">utilisation de </w:t>
      </w:r>
      <w:r w:rsidR="000958B8" w:rsidRPr="00910856">
        <w:t xml:space="preserve">mécanismes de suivi dédiés pour contrôler </w:t>
      </w:r>
      <w:r w:rsidR="00111296" w:rsidRPr="00910856">
        <w:t>l</w:t>
      </w:r>
      <w:r w:rsidR="00346F1B">
        <w:t>’</w:t>
      </w:r>
      <w:r w:rsidR="00111296" w:rsidRPr="00910856">
        <w:t>impact d</w:t>
      </w:r>
      <w:r w:rsidR="00346F1B">
        <w:t>’</w:t>
      </w:r>
      <w:r w:rsidR="00111296" w:rsidRPr="00910856">
        <w:t>une pratique ; et l</w:t>
      </w:r>
      <w:r w:rsidR="00346F1B">
        <w:t>’</w:t>
      </w:r>
      <w:r w:rsidR="00111296" w:rsidRPr="00910856">
        <w:t>attention accordée à l</w:t>
      </w:r>
      <w:r w:rsidR="00346F1B">
        <w:t>’</w:t>
      </w:r>
      <w:r w:rsidR="00111296" w:rsidRPr="00910856">
        <w:t>impact environnemental d</w:t>
      </w:r>
      <w:r w:rsidR="00346F1B">
        <w:t>’</w:t>
      </w:r>
      <w:r w:rsidR="00111296" w:rsidRPr="00910856">
        <w:t xml:space="preserve">une pratique et la façon </w:t>
      </w:r>
      <w:r w:rsidR="00311274">
        <w:t>dont celui-ci avait été abordé.</w:t>
      </w:r>
    </w:p>
    <w:p w14:paraId="5AA3BAAC" w14:textId="5516AB62" w:rsidR="006C7249" w:rsidRPr="006C7249" w:rsidRDefault="00EF0180" w:rsidP="00AF7860">
      <w:pPr>
        <w:pStyle w:val="Orateurengris"/>
        <w:spacing w:before="120"/>
        <w:ind w:left="709" w:hanging="709"/>
        <w:rPr>
          <w:rFonts w:eastAsia="SimSun"/>
          <w:snapToGrid/>
          <w:lang w:bidi="en-US"/>
        </w:rPr>
      </w:pPr>
      <w:r w:rsidRPr="00EF0180">
        <w:rPr>
          <w:rFonts w:eastAsia="SimSun"/>
          <w:snapToGrid/>
          <w:lang w:bidi="en-US"/>
        </w:rPr>
        <w:t xml:space="preserve">Le </w:t>
      </w:r>
      <w:r w:rsidRPr="00EF0180">
        <w:rPr>
          <w:rFonts w:eastAsia="SimSun"/>
          <w:b/>
          <w:snapToGrid/>
          <w:lang w:bidi="en-US"/>
        </w:rPr>
        <w:t>Rapporteur</w:t>
      </w:r>
      <w:r w:rsidRPr="00EF0180">
        <w:rPr>
          <w:rFonts w:eastAsia="SimSun"/>
          <w:snapToGrid/>
          <w:lang w:bidi="en-US"/>
        </w:rPr>
        <w:t xml:space="preserve"> a</w:t>
      </w:r>
      <w:r>
        <w:rPr>
          <w:rFonts w:eastAsia="SimSun"/>
          <w:snapToGrid/>
          <w:lang w:bidi="en-US"/>
        </w:rPr>
        <w:t xml:space="preserve"> signalé un</w:t>
      </w:r>
      <w:r w:rsidRPr="00EF0180">
        <w:rPr>
          <w:rFonts w:eastAsia="SimSun"/>
          <w:snapToGrid/>
          <w:lang w:bidi="en-US"/>
        </w:rPr>
        <w:t xml:space="preserve"> nombre surprenant de </w:t>
      </w:r>
      <w:r w:rsidRPr="00786502">
        <w:rPr>
          <w:rFonts w:eastAsia="SimSun"/>
          <w:b/>
          <w:snapToGrid/>
          <w:u w:val="single"/>
          <w:lang w:bidi="en-US"/>
        </w:rPr>
        <w:t>problèmes rencontrés</w:t>
      </w:r>
      <w:r>
        <w:rPr>
          <w:rFonts w:eastAsia="SimSun"/>
          <w:snapToGrid/>
          <w:lang w:bidi="en-US"/>
        </w:rPr>
        <w:t xml:space="preserve"> lors de </w:t>
      </w:r>
      <w:r w:rsidRPr="00EF0180">
        <w:rPr>
          <w:rFonts w:eastAsia="SimSun"/>
          <w:snapToGrid/>
          <w:lang w:bidi="en-US"/>
        </w:rPr>
        <w:t>l</w:t>
      </w:r>
      <w:r w:rsidR="00346F1B">
        <w:rPr>
          <w:rFonts w:eastAsia="SimSun"/>
          <w:snapToGrid/>
          <w:lang w:bidi="en-US"/>
        </w:rPr>
        <w:t>’</w:t>
      </w:r>
      <w:r w:rsidRPr="00EF0180">
        <w:rPr>
          <w:rFonts w:eastAsia="SimSun"/>
          <w:snapToGrid/>
          <w:lang w:bidi="en-US"/>
        </w:rPr>
        <w:t xml:space="preserve">évaluation </w:t>
      </w:r>
      <w:r>
        <w:rPr>
          <w:rFonts w:eastAsia="SimSun"/>
          <w:snapToGrid/>
          <w:lang w:bidi="en-US"/>
        </w:rPr>
        <w:t>des dossiers. Le premier problè</w:t>
      </w:r>
      <w:r w:rsidR="004C0C45">
        <w:rPr>
          <w:rFonts w:eastAsia="SimSun"/>
          <w:snapToGrid/>
          <w:lang w:bidi="en-US"/>
        </w:rPr>
        <w:t>me concernait les libellés fort peu précis</w:t>
      </w:r>
      <w:r>
        <w:rPr>
          <w:rFonts w:eastAsia="SimSun"/>
          <w:snapToGrid/>
          <w:lang w:bidi="en-US"/>
        </w:rPr>
        <w:t xml:space="preserve"> ou les traductions de piètre qualité qui conduisai</w:t>
      </w:r>
      <w:r w:rsidR="004C0C45">
        <w:rPr>
          <w:rFonts w:eastAsia="SimSun"/>
          <w:snapToGrid/>
          <w:lang w:bidi="en-US"/>
        </w:rPr>
        <w:t>en</w:t>
      </w:r>
      <w:r>
        <w:rPr>
          <w:rFonts w:eastAsia="SimSun"/>
          <w:snapToGrid/>
          <w:lang w:bidi="en-US"/>
        </w:rPr>
        <w:t>t l</w:t>
      </w:r>
      <w:r w:rsidR="00346F1B">
        <w:rPr>
          <w:rFonts w:eastAsia="SimSun"/>
          <w:snapToGrid/>
          <w:lang w:bidi="en-US"/>
        </w:rPr>
        <w:t>’</w:t>
      </w:r>
      <w:r>
        <w:rPr>
          <w:rFonts w:eastAsia="SimSun"/>
          <w:snapToGrid/>
          <w:lang w:bidi="en-US"/>
        </w:rPr>
        <w:t xml:space="preserve">Organe à des conjectures ou </w:t>
      </w:r>
      <w:r w:rsidR="004C0C45">
        <w:rPr>
          <w:rFonts w:eastAsia="SimSun"/>
          <w:snapToGrid/>
          <w:lang w:bidi="en-US"/>
        </w:rPr>
        <w:t xml:space="preserve">à </w:t>
      </w:r>
      <w:r>
        <w:rPr>
          <w:rFonts w:eastAsia="SimSun"/>
          <w:snapToGrid/>
          <w:lang w:bidi="en-US"/>
        </w:rPr>
        <w:t xml:space="preserve">un rejet des </w:t>
      </w:r>
      <w:r w:rsidRPr="00EF0180">
        <w:rPr>
          <w:rFonts w:eastAsia="SimSun"/>
          <w:snapToGrid/>
          <w:lang w:bidi="en-US"/>
        </w:rPr>
        <w:t>informations</w:t>
      </w:r>
      <w:r>
        <w:rPr>
          <w:rFonts w:eastAsia="SimSun"/>
          <w:snapToGrid/>
          <w:lang w:bidi="en-US"/>
        </w:rPr>
        <w:t xml:space="preserve"> communiquées, mettant ainsi l</w:t>
      </w:r>
      <w:r w:rsidR="00346F1B">
        <w:rPr>
          <w:rFonts w:eastAsia="SimSun"/>
          <w:snapToGrid/>
          <w:lang w:bidi="en-US"/>
        </w:rPr>
        <w:t>’</w:t>
      </w:r>
      <w:r>
        <w:rPr>
          <w:rFonts w:eastAsia="SimSun"/>
          <w:snapToGrid/>
          <w:lang w:bidi="en-US"/>
        </w:rPr>
        <w:t>État soumissionnaire dans une position désavantageuse. Il a été rappelé aux États soumissionnaires qu</w:t>
      </w:r>
      <w:r w:rsidR="00346F1B">
        <w:rPr>
          <w:rFonts w:eastAsia="SimSun"/>
          <w:snapToGrid/>
          <w:lang w:bidi="en-US"/>
        </w:rPr>
        <w:t>’</w:t>
      </w:r>
      <w:r>
        <w:rPr>
          <w:rFonts w:eastAsia="SimSun"/>
          <w:snapToGrid/>
          <w:lang w:bidi="en-US"/>
        </w:rPr>
        <w:t>ils devaient éviter un vocabulaire inapproprié</w:t>
      </w:r>
      <w:r w:rsidR="004C0C45">
        <w:rPr>
          <w:rFonts w:eastAsia="SimSun"/>
          <w:snapToGrid/>
          <w:lang w:bidi="en-US"/>
        </w:rPr>
        <w:t xml:space="preserve"> avec, </w:t>
      </w:r>
      <w:r w:rsidR="004C0C45" w:rsidRPr="004C0C45">
        <w:rPr>
          <w:rFonts w:eastAsia="SimSun"/>
          <w:snapToGrid/>
          <w:lang w:bidi="en-US"/>
        </w:rPr>
        <w:t>par exemple</w:t>
      </w:r>
      <w:r w:rsidR="004C0C45">
        <w:rPr>
          <w:rFonts w:eastAsia="SimSun"/>
          <w:snapToGrid/>
          <w:lang w:bidi="en-US"/>
        </w:rPr>
        <w:t xml:space="preserve">, </w:t>
      </w:r>
      <w:r>
        <w:rPr>
          <w:rFonts w:eastAsia="SimSun"/>
          <w:snapToGrid/>
          <w:lang w:bidi="en-US"/>
        </w:rPr>
        <w:t>des termes tels que « chefs d</w:t>
      </w:r>
      <w:r w:rsidR="00346F1B">
        <w:rPr>
          <w:rFonts w:eastAsia="SimSun"/>
          <w:snapToGrid/>
          <w:lang w:bidi="en-US"/>
        </w:rPr>
        <w:t>’</w:t>
      </w:r>
      <w:r>
        <w:rPr>
          <w:rFonts w:eastAsia="SimSun"/>
          <w:snapToGrid/>
          <w:lang w:bidi="en-US"/>
        </w:rPr>
        <w:t>œuvre » ou « </w:t>
      </w:r>
      <w:r w:rsidR="00912A73">
        <w:rPr>
          <w:rFonts w:eastAsia="SimSun"/>
          <w:snapToGrid/>
          <w:lang w:bidi="en-US"/>
        </w:rPr>
        <w:t xml:space="preserve">(caractère) </w:t>
      </w:r>
      <w:r>
        <w:rPr>
          <w:rFonts w:eastAsia="SimSun"/>
          <w:snapToGrid/>
          <w:lang w:bidi="en-US"/>
        </w:rPr>
        <w:t>unique », qui n</w:t>
      </w:r>
      <w:r w:rsidR="00346F1B">
        <w:rPr>
          <w:rFonts w:eastAsia="SimSun"/>
          <w:snapToGrid/>
          <w:lang w:bidi="en-US"/>
        </w:rPr>
        <w:t>’</w:t>
      </w:r>
      <w:r>
        <w:rPr>
          <w:rFonts w:eastAsia="SimSun"/>
          <w:snapToGrid/>
          <w:lang w:bidi="en-US"/>
        </w:rPr>
        <w:t>étai</w:t>
      </w:r>
      <w:r w:rsidR="00912A73">
        <w:rPr>
          <w:rFonts w:eastAsia="SimSun"/>
          <w:snapToGrid/>
          <w:lang w:bidi="en-US"/>
        </w:rPr>
        <w:t>ent pas conforme à l</w:t>
      </w:r>
      <w:r w:rsidR="00346F1B">
        <w:rPr>
          <w:rFonts w:eastAsia="SimSun"/>
          <w:snapToGrid/>
          <w:lang w:bidi="en-US"/>
        </w:rPr>
        <w:t>’</w:t>
      </w:r>
      <w:r w:rsidR="00912A73">
        <w:rPr>
          <w:rFonts w:eastAsia="SimSun"/>
          <w:snapToGrid/>
          <w:lang w:bidi="en-US"/>
        </w:rPr>
        <w:t xml:space="preserve">esprit de la </w:t>
      </w:r>
      <w:r w:rsidR="00912A73" w:rsidRPr="00912A73">
        <w:rPr>
          <w:rFonts w:eastAsia="SimSun"/>
          <w:snapToGrid/>
          <w:lang w:bidi="en-US"/>
        </w:rPr>
        <w:t>Convention</w:t>
      </w:r>
      <w:r w:rsidR="00912A73">
        <w:rPr>
          <w:rFonts w:eastAsia="SimSun"/>
          <w:snapToGrid/>
          <w:lang w:bidi="en-US"/>
        </w:rPr>
        <w:t>. S</w:t>
      </w:r>
      <w:r w:rsidR="00346F1B">
        <w:rPr>
          <w:rFonts w:eastAsia="SimSun"/>
          <w:snapToGrid/>
          <w:lang w:bidi="en-US"/>
        </w:rPr>
        <w:t>’</w:t>
      </w:r>
      <w:r w:rsidR="00912A73">
        <w:rPr>
          <w:rFonts w:eastAsia="SimSun"/>
          <w:snapToGrid/>
          <w:lang w:bidi="en-US"/>
        </w:rPr>
        <w:t>agissant du titre des éléments, l</w:t>
      </w:r>
      <w:r w:rsidR="00346F1B">
        <w:rPr>
          <w:rFonts w:eastAsia="SimSun"/>
          <w:snapToGrid/>
          <w:lang w:bidi="en-US"/>
        </w:rPr>
        <w:t>’</w:t>
      </w:r>
      <w:r w:rsidR="00912A73">
        <w:rPr>
          <w:rFonts w:eastAsia="SimSun"/>
          <w:snapToGrid/>
          <w:lang w:bidi="en-US"/>
        </w:rPr>
        <w:t xml:space="preserve">Organe </w:t>
      </w:r>
      <w:r w:rsidR="00DD7B6B">
        <w:rPr>
          <w:rFonts w:eastAsia="SimSun"/>
          <w:snapToGrid/>
          <w:lang w:bidi="en-US"/>
        </w:rPr>
        <w:t>souhaitait encourager</w:t>
      </w:r>
      <w:r w:rsidR="00912A73">
        <w:rPr>
          <w:rFonts w:eastAsia="SimSun"/>
          <w:snapToGrid/>
          <w:lang w:bidi="en-US"/>
        </w:rPr>
        <w:t xml:space="preserve"> les États soumissionnaire</w:t>
      </w:r>
      <w:r w:rsidR="004C0C45">
        <w:rPr>
          <w:rFonts w:eastAsia="SimSun"/>
          <w:snapToGrid/>
          <w:lang w:bidi="en-US"/>
        </w:rPr>
        <w:t>s</w:t>
      </w:r>
      <w:r w:rsidR="00912A73">
        <w:rPr>
          <w:rFonts w:eastAsia="SimSun"/>
          <w:snapToGrid/>
          <w:lang w:bidi="en-US"/>
        </w:rPr>
        <w:t xml:space="preserve"> à éviter toute référence ou insinuation inutile à « l</w:t>
      </w:r>
      <w:r w:rsidR="00346F1B">
        <w:rPr>
          <w:rFonts w:eastAsia="SimSun"/>
          <w:snapToGrid/>
          <w:lang w:bidi="en-US"/>
        </w:rPr>
        <w:t>’</w:t>
      </w:r>
      <w:r w:rsidR="00912A73">
        <w:rPr>
          <w:rFonts w:eastAsia="SimSun"/>
          <w:snapToGrid/>
          <w:lang w:bidi="en-US"/>
        </w:rPr>
        <w:t xml:space="preserve">exclusivité » ou « la propriété » dans le titre. Ainsi, un titre faisant référence à un pays ou un lieu est préférable à un adjectif de nationalité, </w:t>
      </w:r>
      <w:r w:rsidR="004C0C45">
        <w:rPr>
          <w:rFonts w:eastAsia="SimSun"/>
          <w:snapToGrid/>
          <w:lang w:bidi="en-US"/>
        </w:rPr>
        <w:t>et l</w:t>
      </w:r>
      <w:r w:rsidR="00346F1B">
        <w:rPr>
          <w:rFonts w:eastAsia="SimSun"/>
          <w:snapToGrid/>
          <w:lang w:bidi="en-US"/>
        </w:rPr>
        <w:t>’</w:t>
      </w:r>
      <w:r w:rsidR="00912A73">
        <w:rPr>
          <w:rFonts w:eastAsia="SimSun"/>
          <w:snapToGrid/>
          <w:lang w:bidi="en-US"/>
        </w:rPr>
        <w:t>Organe avait proposé une modification du titre chaque fois qu</w:t>
      </w:r>
      <w:r w:rsidR="00346F1B">
        <w:rPr>
          <w:rFonts w:eastAsia="SimSun"/>
          <w:snapToGrid/>
          <w:lang w:bidi="en-US"/>
        </w:rPr>
        <w:t>’</w:t>
      </w:r>
      <w:r w:rsidR="00912A73">
        <w:rPr>
          <w:rFonts w:eastAsia="SimSun"/>
          <w:snapToGrid/>
          <w:lang w:bidi="en-US"/>
        </w:rPr>
        <w:t>il l</w:t>
      </w:r>
      <w:r w:rsidR="00346F1B">
        <w:rPr>
          <w:rFonts w:eastAsia="SimSun"/>
          <w:snapToGrid/>
          <w:lang w:bidi="en-US"/>
        </w:rPr>
        <w:t>’</w:t>
      </w:r>
      <w:r w:rsidR="00912A73">
        <w:rPr>
          <w:rFonts w:eastAsia="SimSun"/>
          <w:snapToGrid/>
          <w:lang w:bidi="en-US"/>
        </w:rPr>
        <w:t xml:space="preserve">avait </w:t>
      </w:r>
      <w:r w:rsidR="004C0C45">
        <w:rPr>
          <w:rFonts w:eastAsia="SimSun"/>
          <w:snapToGrid/>
          <w:lang w:bidi="en-US"/>
        </w:rPr>
        <w:t xml:space="preserve">jugé </w:t>
      </w:r>
      <w:r w:rsidR="00912A73">
        <w:rPr>
          <w:rFonts w:eastAsia="SimSun"/>
          <w:snapToGrid/>
          <w:lang w:bidi="en-US"/>
        </w:rPr>
        <w:t xml:space="preserve">nécessaire. </w:t>
      </w:r>
      <w:r w:rsidR="00746D02">
        <w:rPr>
          <w:rFonts w:eastAsia="SimSun"/>
          <w:snapToGrid/>
          <w:lang w:bidi="en-US"/>
        </w:rPr>
        <w:t>L</w:t>
      </w:r>
      <w:r w:rsidR="00346F1B">
        <w:rPr>
          <w:rFonts w:eastAsia="SimSun"/>
          <w:snapToGrid/>
          <w:lang w:bidi="en-US"/>
        </w:rPr>
        <w:t>’</w:t>
      </w:r>
      <w:r w:rsidR="00746D02">
        <w:rPr>
          <w:rFonts w:eastAsia="SimSun"/>
          <w:snapToGrid/>
          <w:lang w:bidi="en-US"/>
        </w:rPr>
        <w:t xml:space="preserve">Organe encourageait </w:t>
      </w:r>
      <w:r w:rsidR="00746D02" w:rsidRPr="00746D02">
        <w:rPr>
          <w:rFonts w:eastAsia="SimSun"/>
          <w:snapToGrid/>
          <w:lang w:bidi="en-US"/>
        </w:rPr>
        <w:t>également</w:t>
      </w:r>
      <w:r w:rsidR="00746D02">
        <w:rPr>
          <w:rFonts w:eastAsia="SimSun"/>
          <w:snapToGrid/>
          <w:lang w:bidi="en-US"/>
        </w:rPr>
        <w:t xml:space="preserve"> les États parties à être précis lorsqu</w:t>
      </w:r>
      <w:r w:rsidR="00346F1B">
        <w:rPr>
          <w:rFonts w:eastAsia="SimSun"/>
          <w:snapToGrid/>
          <w:lang w:bidi="en-US"/>
        </w:rPr>
        <w:t>’</w:t>
      </w:r>
      <w:r w:rsidR="00746D02">
        <w:rPr>
          <w:rFonts w:eastAsia="SimSun"/>
          <w:snapToGrid/>
          <w:lang w:bidi="en-US"/>
        </w:rPr>
        <w:t>ils choisissaient un titre, évitant ainsi le risque de « monopolisation » d</w:t>
      </w:r>
      <w:r w:rsidR="00346F1B">
        <w:rPr>
          <w:rFonts w:eastAsia="SimSun"/>
          <w:snapToGrid/>
          <w:lang w:bidi="en-US"/>
        </w:rPr>
        <w:t>’</w:t>
      </w:r>
      <w:r w:rsidR="00746D02">
        <w:rPr>
          <w:rFonts w:eastAsia="SimSun"/>
          <w:snapToGrid/>
          <w:lang w:bidi="en-US"/>
        </w:rPr>
        <w:t>un élément ou d</w:t>
      </w:r>
      <w:r w:rsidR="00346F1B">
        <w:rPr>
          <w:rFonts w:eastAsia="SimSun"/>
          <w:snapToGrid/>
          <w:lang w:bidi="en-US"/>
        </w:rPr>
        <w:t>’</w:t>
      </w:r>
      <w:r w:rsidR="00746D02">
        <w:rPr>
          <w:rFonts w:eastAsia="SimSun"/>
          <w:snapToGrid/>
          <w:lang w:bidi="en-US"/>
        </w:rPr>
        <w:t>une forme d</w:t>
      </w:r>
      <w:r w:rsidR="00346F1B">
        <w:rPr>
          <w:rFonts w:eastAsia="SimSun"/>
          <w:snapToGrid/>
          <w:lang w:bidi="en-US"/>
        </w:rPr>
        <w:t>’</w:t>
      </w:r>
      <w:r w:rsidR="00746D02">
        <w:rPr>
          <w:rFonts w:eastAsia="SimSun"/>
          <w:snapToGrid/>
          <w:lang w:bidi="en-US"/>
        </w:rPr>
        <w:t>expression. L</w:t>
      </w:r>
      <w:r w:rsidR="00346F1B">
        <w:rPr>
          <w:rFonts w:eastAsia="SimSun"/>
          <w:snapToGrid/>
          <w:lang w:bidi="en-US"/>
        </w:rPr>
        <w:t>’</w:t>
      </w:r>
      <w:r w:rsidR="00746D02">
        <w:rPr>
          <w:rFonts w:eastAsia="SimSun"/>
          <w:snapToGrid/>
          <w:lang w:bidi="en-US"/>
        </w:rPr>
        <w:t xml:space="preserve">Organe </w:t>
      </w:r>
      <w:r w:rsidR="00DD7B6B">
        <w:rPr>
          <w:rFonts w:eastAsia="SimSun"/>
          <w:snapToGrid/>
          <w:lang w:bidi="en-US"/>
        </w:rPr>
        <w:t xml:space="preserve">avait </w:t>
      </w:r>
      <w:r w:rsidR="00746D02" w:rsidRPr="00746D02">
        <w:rPr>
          <w:rFonts w:eastAsia="SimSun"/>
          <w:snapToGrid/>
          <w:lang w:bidi="en-US"/>
        </w:rPr>
        <w:t>également</w:t>
      </w:r>
      <w:r w:rsidR="00746D02">
        <w:rPr>
          <w:rFonts w:eastAsia="SimSun"/>
          <w:snapToGrid/>
          <w:lang w:bidi="en-US"/>
        </w:rPr>
        <w:t xml:space="preserve"> </w:t>
      </w:r>
      <w:r w:rsidR="00DD7B6B">
        <w:rPr>
          <w:rFonts w:eastAsia="SimSun"/>
          <w:snapToGrid/>
          <w:lang w:bidi="en-US"/>
        </w:rPr>
        <w:t xml:space="preserve">exprimé </w:t>
      </w:r>
      <w:r w:rsidR="00746D02">
        <w:rPr>
          <w:rFonts w:eastAsia="SimSun"/>
          <w:snapToGrid/>
          <w:lang w:bidi="en-US"/>
        </w:rPr>
        <w:t xml:space="preserve">sa </w:t>
      </w:r>
      <w:r w:rsidR="00746D02" w:rsidRPr="00746D02">
        <w:rPr>
          <w:rFonts w:eastAsia="SimSun"/>
          <w:snapToGrid/>
          <w:lang w:bidi="en-US"/>
        </w:rPr>
        <w:t>préoccupation</w:t>
      </w:r>
      <w:r w:rsidR="00746D02">
        <w:rPr>
          <w:rFonts w:eastAsia="SimSun"/>
          <w:snapToGrid/>
          <w:lang w:bidi="en-US"/>
        </w:rPr>
        <w:t xml:space="preserve"> quant aux dossiers qui mettaient en avant un objectif de construction de la nation (ou nationaliste), car cela n</w:t>
      </w:r>
      <w:r w:rsidR="00346F1B">
        <w:rPr>
          <w:rFonts w:eastAsia="SimSun"/>
          <w:snapToGrid/>
          <w:lang w:bidi="en-US"/>
        </w:rPr>
        <w:t>’</w:t>
      </w:r>
      <w:r w:rsidR="00746D02">
        <w:rPr>
          <w:rFonts w:eastAsia="SimSun"/>
          <w:snapToGrid/>
          <w:lang w:bidi="en-US"/>
        </w:rPr>
        <w:t>était pas conforme à l</w:t>
      </w:r>
      <w:r w:rsidR="00346F1B">
        <w:rPr>
          <w:rFonts w:eastAsia="SimSun"/>
          <w:snapToGrid/>
          <w:lang w:bidi="en-US"/>
        </w:rPr>
        <w:t>’</w:t>
      </w:r>
      <w:r w:rsidR="00746D02">
        <w:rPr>
          <w:rFonts w:eastAsia="SimSun"/>
          <w:snapToGrid/>
          <w:lang w:bidi="en-US"/>
        </w:rPr>
        <w:t xml:space="preserve">esprit de la </w:t>
      </w:r>
      <w:r w:rsidR="00746D02" w:rsidRPr="00746D02">
        <w:rPr>
          <w:rFonts w:eastAsia="SimSun"/>
          <w:snapToGrid/>
          <w:lang w:bidi="en-US"/>
        </w:rPr>
        <w:t>Convention</w:t>
      </w:r>
      <w:r w:rsidR="00CA26E1">
        <w:rPr>
          <w:rFonts w:eastAsia="SimSun"/>
          <w:snapToGrid/>
          <w:lang w:bidi="en-US"/>
        </w:rPr>
        <w:t xml:space="preserve"> et pouvait donner</w:t>
      </w:r>
      <w:r w:rsidR="00746D02">
        <w:rPr>
          <w:rFonts w:eastAsia="SimSun"/>
          <w:snapToGrid/>
          <w:lang w:bidi="en-US"/>
        </w:rPr>
        <w:t xml:space="preserve"> de l</w:t>
      </w:r>
      <w:r w:rsidR="00346F1B">
        <w:rPr>
          <w:rFonts w:eastAsia="SimSun"/>
          <w:snapToGrid/>
          <w:lang w:bidi="en-US"/>
        </w:rPr>
        <w:t>’</w:t>
      </w:r>
      <w:r w:rsidR="00746D02">
        <w:rPr>
          <w:rFonts w:eastAsia="SimSun"/>
          <w:snapToGrid/>
          <w:lang w:bidi="en-US"/>
        </w:rPr>
        <w:t xml:space="preserve">importance aux </w:t>
      </w:r>
      <w:r w:rsidR="00746D02" w:rsidRPr="00746D02">
        <w:rPr>
          <w:rFonts w:eastAsia="SimSun"/>
          <w:snapToGrid/>
          <w:lang w:bidi="en-US"/>
        </w:rPr>
        <w:t>autorités</w:t>
      </w:r>
      <w:r w:rsidR="00746D02">
        <w:rPr>
          <w:rFonts w:eastAsia="SimSun"/>
          <w:snapToGrid/>
          <w:lang w:bidi="en-US"/>
        </w:rPr>
        <w:t xml:space="preserve"> aux dépens des détenteurs et des communautés de l</w:t>
      </w:r>
      <w:r w:rsidR="00346F1B">
        <w:rPr>
          <w:rFonts w:eastAsia="SimSun"/>
          <w:snapToGrid/>
          <w:lang w:bidi="en-US"/>
        </w:rPr>
        <w:t>’</w:t>
      </w:r>
      <w:r w:rsidR="00746D02">
        <w:rPr>
          <w:rFonts w:eastAsia="SimSun"/>
          <w:snapToGrid/>
          <w:lang w:bidi="en-US"/>
        </w:rPr>
        <w:t xml:space="preserve">élément en question. </w:t>
      </w:r>
      <w:r w:rsidR="00282800">
        <w:rPr>
          <w:rFonts w:eastAsia="SimSun"/>
          <w:snapToGrid/>
          <w:lang w:bidi="en-US"/>
        </w:rPr>
        <w:t xml:space="preserve">De même, de nombreux éléments avaient leurs racines dans des événements historiques violents (tels que la domination coloniale sur les populations </w:t>
      </w:r>
      <w:r w:rsidR="00282800" w:rsidRPr="00282800">
        <w:rPr>
          <w:rFonts w:eastAsia="SimSun"/>
          <w:snapToGrid/>
          <w:lang w:bidi="en-US"/>
        </w:rPr>
        <w:t>autochtones</w:t>
      </w:r>
      <w:r w:rsidR="004C0C45">
        <w:rPr>
          <w:rFonts w:eastAsia="SimSun"/>
          <w:snapToGrid/>
          <w:lang w:bidi="en-US"/>
        </w:rPr>
        <w:t xml:space="preserve">) dont la mémoire, </w:t>
      </w:r>
      <w:r w:rsidR="00282800">
        <w:rPr>
          <w:rFonts w:eastAsia="SimSun"/>
          <w:snapToGrid/>
          <w:lang w:bidi="en-US"/>
        </w:rPr>
        <w:t>dans ses expressions contemporaines de PCI</w:t>
      </w:r>
      <w:r w:rsidR="004C0C45">
        <w:rPr>
          <w:rFonts w:eastAsia="SimSun"/>
          <w:snapToGrid/>
          <w:lang w:bidi="en-US"/>
        </w:rPr>
        <w:t>,</w:t>
      </w:r>
      <w:r w:rsidR="00282800">
        <w:rPr>
          <w:rFonts w:eastAsia="SimSun"/>
          <w:snapToGrid/>
          <w:lang w:bidi="en-US"/>
        </w:rPr>
        <w:t xml:space="preserve"> pouvait à présent constituer un facteur d</w:t>
      </w:r>
      <w:r w:rsidR="00346F1B">
        <w:rPr>
          <w:rFonts w:eastAsia="SimSun"/>
          <w:snapToGrid/>
          <w:lang w:bidi="en-US"/>
        </w:rPr>
        <w:t>’</w:t>
      </w:r>
      <w:r w:rsidR="00282800">
        <w:rPr>
          <w:rFonts w:eastAsia="SimSun"/>
          <w:snapToGrid/>
          <w:lang w:bidi="en-US"/>
        </w:rPr>
        <w:t>unité. Lorsque c</w:t>
      </w:r>
      <w:r w:rsidR="00346F1B">
        <w:rPr>
          <w:rFonts w:eastAsia="SimSun"/>
          <w:snapToGrid/>
          <w:lang w:bidi="en-US"/>
        </w:rPr>
        <w:t>’</w:t>
      </w:r>
      <w:r w:rsidR="00282800">
        <w:rPr>
          <w:rFonts w:eastAsia="SimSun"/>
          <w:snapToGrid/>
          <w:lang w:bidi="en-US"/>
        </w:rPr>
        <w:t>était le cas, l</w:t>
      </w:r>
      <w:r w:rsidR="00346F1B">
        <w:rPr>
          <w:rFonts w:eastAsia="SimSun"/>
          <w:snapToGrid/>
          <w:lang w:bidi="en-US"/>
        </w:rPr>
        <w:t>’</w:t>
      </w:r>
      <w:r w:rsidR="00282800">
        <w:rPr>
          <w:rFonts w:eastAsia="SimSun"/>
          <w:snapToGrid/>
          <w:lang w:bidi="en-US"/>
        </w:rPr>
        <w:t xml:space="preserve">État soumissionnaire était encouragé à présenter le contexte </w:t>
      </w:r>
      <w:r w:rsidR="00282800" w:rsidRPr="00282800">
        <w:rPr>
          <w:rFonts w:eastAsia="SimSun"/>
          <w:snapToGrid/>
          <w:lang w:bidi="en-US"/>
        </w:rPr>
        <w:t>historique</w:t>
      </w:r>
      <w:r w:rsidR="00282800">
        <w:rPr>
          <w:rFonts w:eastAsia="SimSun"/>
          <w:snapToGrid/>
          <w:lang w:bidi="en-US"/>
        </w:rPr>
        <w:t xml:space="preserve"> de façon équilibré</w:t>
      </w:r>
      <w:r w:rsidR="004C0C45">
        <w:rPr>
          <w:rFonts w:eastAsia="SimSun"/>
          <w:snapToGrid/>
          <w:lang w:bidi="en-US"/>
        </w:rPr>
        <w:t>e</w:t>
      </w:r>
      <w:r w:rsidR="00282800">
        <w:rPr>
          <w:rFonts w:eastAsia="SimSun"/>
          <w:snapToGrid/>
          <w:lang w:bidi="en-US"/>
        </w:rPr>
        <w:t>. En ce qui concerne les droi</w:t>
      </w:r>
      <w:r w:rsidR="006C7249">
        <w:rPr>
          <w:rFonts w:eastAsia="SimSun"/>
          <w:snapToGrid/>
          <w:lang w:bidi="en-US"/>
        </w:rPr>
        <w:t>ts de l</w:t>
      </w:r>
      <w:r w:rsidR="00346F1B">
        <w:rPr>
          <w:rFonts w:eastAsia="SimSun"/>
          <w:snapToGrid/>
          <w:lang w:bidi="en-US"/>
        </w:rPr>
        <w:t>’</w:t>
      </w:r>
      <w:r w:rsidR="006C7249">
        <w:rPr>
          <w:rFonts w:eastAsia="SimSun"/>
          <w:snapToGrid/>
          <w:lang w:bidi="en-US"/>
        </w:rPr>
        <w:t xml:space="preserve">homme, si tous les dossiers de </w:t>
      </w:r>
      <w:r w:rsidR="006C7249" w:rsidRPr="006C7249">
        <w:rPr>
          <w:rFonts w:eastAsia="SimSun"/>
          <w:snapToGrid/>
          <w:lang w:bidi="en-US"/>
        </w:rPr>
        <w:t>candidature</w:t>
      </w:r>
      <w:r w:rsidR="006C7249">
        <w:rPr>
          <w:rFonts w:eastAsia="SimSun"/>
          <w:snapToGrid/>
          <w:lang w:bidi="en-US"/>
        </w:rPr>
        <w:t xml:space="preserve"> devaient être conformes à la disposition concernant les instruments relatifs aux droits de l</w:t>
      </w:r>
      <w:r w:rsidR="00346F1B">
        <w:rPr>
          <w:rFonts w:eastAsia="SimSun"/>
          <w:snapToGrid/>
          <w:lang w:bidi="en-US"/>
        </w:rPr>
        <w:t>’</w:t>
      </w:r>
      <w:r w:rsidR="006C7249">
        <w:rPr>
          <w:rFonts w:eastAsia="SimSun"/>
          <w:snapToGrid/>
          <w:lang w:bidi="en-US"/>
        </w:rPr>
        <w:t>homme, cela s</w:t>
      </w:r>
      <w:r w:rsidR="00346F1B">
        <w:rPr>
          <w:rFonts w:eastAsia="SimSun"/>
          <w:snapToGrid/>
          <w:lang w:bidi="en-US"/>
        </w:rPr>
        <w:t>’</w:t>
      </w:r>
      <w:r w:rsidR="006C7249">
        <w:rPr>
          <w:rFonts w:eastAsia="SimSun"/>
          <w:snapToGrid/>
          <w:lang w:bidi="en-US"/>
        </w:rPr>
        <w:t xml:space="preserve">avérait </w:t>
      </w:r>
      <w:r w:rsidR="006C7249" w:rsidRPr="006C7249">
        <w:rPr>
          <w:rFonts w:eastAsia="SimSun"/>
          <w:snapToGrid/>
          <w:lang w:bidi="en-US"/>
        </w:rPr>
        <w:t>particulièrement</w:t>
      </w:r>
      <w:r w:rsidR="006C7249">
        <w:rPr>
          <w:rFonts w:eastAsia="SimSun"/>
          <w:snapToGrid/>
          <w:lang w:bidi="en-US"/>
        </w:rPr>
        <w:t xml:space="preserve"> important pour certains types d</w:t>
      </w:r>
      <w:r w:rsidR="00346F1B">
        <w:rPr>
          <w:rFonts w:eastAsia="SimSun"/>
          <w:snapToGrid/>
          <w:lang w:bidi="en-US"/>
        </w:rPr>
        <w:t>’</w:t>
      </w:r>
      <w:r w:rsidR="006C7249">
        <w:rPr>
          <w:rFonts w:eastAsia="SimSun"/>
          <w:snapToGrid/>
          <w:lang w:bidi="en-US"/>
        </w:rPr>
        <w:t>éléments tels que les rites d</w:t>
      </w:r>
      <w:r w:rsidR="00346F1B">
        <w:rPr>
          <w:rFonts w:eastAsia="SimSun"/>
          <w:snapToGrid/>
          <w:lang w:bidi="en-US"/>
        </w:rPr>
        <w:t>’</w:t>
      </w:r>
      <w:r w:rsidR="006C7249">
        <w:rPr>
          <w:rFonts w:eastAsia="SimSun"/>
          <w:snapToGrid/>
          <w:lang w:bidi="en-US"/>
        </w:rPr>
        <w:t xml:space="preserve">initiation. De même, les droits des enfants devaient être pleinement respectés. Le </w:t>
      </w:r>
      <w:r w:rsidR="006C7249" w:rsidRPr="006C7249">
        <w:rPr>
          <w:rFonts w:eastAsia="SimSun"/>
          <w:snapToGrid/>
          <w:lang w:bidi="en-US"/>
        </w:rPr>
        <w:t>Rapporteur</w:t>
      </w:r>
      <w:r w:rsidR="006C7249">
        <w:rPr>
          <w:rFonts w:eastAsia="SimSun"/>
          <w:snapToGrid/>
          <w:lang w:bidi="en-US"/>
        </w:rPr>
        <w:t xml:space="preserve"> a rappelé aux États soumissionnaires qu</w:t>
      </w:r>
      <w:r w:rsidR="00346F1B">
        <w:rPr>
          <w:rFonts w:eastAsia="SimSun"/>
          <w:snapToGrid/>
          <w:lang w:bidi="en-US"/>
        </w:rPr>
        <w:t>’</w:t>
      </w:r>
      <w:r w:rsidR="006C7249">
        <w:rPr>
          <w:rFonts w:eastAsia="SimSun"/>
          <w:snapToGrid/>
          <w:lang w:bidi="en-US"/>
        </w:rPr>
        <w:t xml:space="preserve">ils devaient accorder toute leur attention aux droits des animaux, en prenant en </w:t>
      </w:r>
      <w:r w:rsidR="006C7249" w:rsidRPr="006C7249">
        <w:rPr>
          <w:rFonts w:eastAsia="SimSun"/>
          <w:snapToGrid/>
          <w:lang w:bidi="en-US"/>
        </w:rPr>
        <w:t>considération</w:t>
      </w:r>
      <w:r w:rsidR="006C7249">
        <w:rPr>
          <w:rFonts w:eastAsia="SimSun"/>
          <w:snapToGrid/>
          <w:lang w:bidi="en-US"/>
        </w:rPr>
        <w:t xml:space="preserve"> la pertinence culturelle dans le traitement des animaux qui devait être expliquée avec un très grand soin compte tenu de la portée </w:t>
      </w:r>
      <w:r w:rsidR="006C7249" w:rsidRPr="006C7249">
        <w:rPr>
          <w:rFonts w:eastAsia="SimSun"/>
          <w:snapToGrid/>
          <w:lang w:bidi="en-US"/>
        </w:rPr>
        <w:t>internationale</w:t>
      </w:r>
      <w:r w:rsidR="006C7249">
        <w:rPr>
          <w:rFonts w:eastAsia="SimSun"/>
          <w:snapToGrid/>
          <w:lang w:bidi="en-US"/>
        </w:rPr>
        <w:t xml:space="preserve"> des inscriptions. Certains dossiers posaient la question de la durabilité environnementale des pratiques, et, e</w:t>
      </w:r>
      <w:r w:rsidR="006C7249" w:rsidRPr="006C7249">
        <w:rPr>
          <w:rFonts w:eastAsia="SimSun"/>
          <w:snapToGrid/>
          <w:lang w:bidi="en-US"/>
        </w:rPr>
        <w:t>n conséquence</w:t>
      </w:r>
      <w:r w:rsidR="006C7249">
        <w:rPr>
          <w:rFonts w:eastAsia="SimSun"/>
          <w:snapToGrid/>
          <w:lang w:bidi="en-US"/>
        </w:rPr>
        <w:t>, de la viabilité d</w:t>
      </w:r>
      <w:r w:rsidR="00346F1B">
        <w:rPr>
          <w:rFonts w:eastAsia="SimSun"/>
          <w:snapToGrid/>
          <w:lang w:bidi="en-US"/>
        </w:rPr>
        <w:t>’</w:t>
      </w:r>
      <w:r w:rsidR="006C7249">
        <w:rPr>
          <w:rFonts w:eastAsia="SimSun"/>
          <w:snapToGrid/>
          <w:lang w:bidi="en-US"/>
        </w:rPr>
        <w:t>un élément, de l</w:t>
      </w:r>
      <w:r w:rsidR="00346F1B">
        <w:rPr>
          <w:rFonts w:eastAsia="SimSun"/>
          <w:snapToGrid/>
          <w:lang w:bidi="en-US"/>
        </w:rPr>
        <w:t>’</w:t>
      </w:r>
      <w:r w:rsidR="006C7249">
        <w:rPr>
          <w:rFonts w:eastAsia="SimSun"/>
          <w:snapToGrid/>
          <w:lang w:bidi="en-US"/>
        </w:rPr>
        <w:t>accès à des espèces protégées et des possibilités de substitution. Le cas échéant, les États parties étaient encouragés à aborder ce</w:t>
      </w:r>
      <w:r w:rsidR="00311274">
        <w:rPr>
          <w:rFonts w:eastAsia="SimSun"/>
          <w:snapToGrid/>
          <w:lang w:bidi="en-US"/>
        </w:rPr>
        <w:t>s questions de façon proactive.</w:t>
      </w:r>
    </w:p>
    <w:p w14:paraId="7BE04456" w14:textId="6AA7F4DB" w:rsidR="00F10EE3" w:rsidRPr="00F10EE3" w:rsidRDefault="009C4128" w:rsidP="00AF7860">
      <w:pPr>
        <w:pStyle w:val="Orateurengris"/>
        <w:spacing w:before="120"/>
        <w:ind w:left="709" w:hanging="709"/>
      </w:pPr>
      <w:r w:rsidRPr="009C4128">
        <w:t>En ce qui concerne</w:t>
      </w:r>
      <w:r>
        <w:t xml:space="preserve"> </w:t>
      </w:r>
      <w:r w:rsidRPr="009C4128">
        <w:rPr>
          <w:b/>
        </w:rPr>
        <w:t>la relation entre patrimoine culturel immatériel et matériel</w:t>
      </w:r>
      <w:r>
        <w:t>, nonobstant l</w:t>
      </w:r>
      <w:r w:rsidR="00346F1B">
        <w:t>’</w:t>
      </w:r>
      <w:r>
        <w:t xml:space="preserve">importance de cette relation, le </w:t>
      </w:r>
      <w:r w:rsidRPr="009C4128">
        <w:t>Rapporteur</w:t>
      </w:r>
      <w:r w:rsidR="00CA26E1">
        <w:t xml:space="preserve"> souhaitait</w:t>
      </w:r>
      <w:r>
        <w:t xml:space="preserve"> préciser que, s</w:t>
      </w:r>
      <w:r w:rsidR="00346F1B">
        <w:t>’</w:t>
      </w:r>
      <w:r>
        <w:t>agissant des menaces et des mesures de sauvegarde, les candidatures devaient se concentrer sur les aspects immatériels et éviter d</w:t>
      </w:r>
      <w:r w:rsidR="00346F1B">
        <w:t>’</w:t>
      </w:r>
      <w:r>
        <w:t>accorder une importance excessive au tou</w:t>
      </w:r>
      <w:r w:rsidR="00CA26E1">
        <w:t>risme et au site physique où était</w:t>
      </w:r>
      <w:r>
        <w:t xml:space="preserve"> pratiqué l</w:t>
      </w:r>
      <w:r w:rsidR="00346F1B">
        <w:t>’</w:t>
      </w:r>
      <w:r>
        <w:t>élément. Pour les dossiers concernant un sport (arts martiaux compris), celui-ci était considéré comme un élément un PCI. Dans ce cas, l</w:t>
      </w:r>
      <w:r w:rsidR="00346F1B">
        <w:t>’</w:t>
      </w:r>
      <w:r>
        <w:t>Organe</w:t>
      </w:r>
      <w:r w:rsidR="00DD7B6B">
        <w:t xml:space="preserve"> souhaitait</w:t>
      </w:r>
      <w:r>
        <w:t xml:space="preserve"> disposer d</w:t>
      </w:r>
      <w:r w:rsidR="00346F1B">
        <w:t>’</w:t>
      </w:r>
      <w:r w:rsidRPr="009C4128">
        <w:t>informations</w:t>
      </w:r>
      <w:r>
        <w:t xml:space="preserve"> pertinentes sur la </w:t>
      </w:r>
      <w:r w:rsidRPr="009C4128">
        <w:t xml:space="preserve">signification </w:t>
      </w:r>
      <w:r>
        <w:t>culturelle et sociale de la pratique</w:t>
      </w:r>
      <w:r w:rsidR="00F10EE3">
        <w:t>,</w:t>
      </w:r>
      <w:r>
        <w:t xml:space="preserve"> </w:t>
      </w:r>
      <w:r w:rsidR="00F10EE3">
        <w:t>et savoir si les communautés concernées ne se limitaient pas à la pratique commerciale du sport. L</w:t>
      </w:r>
      <w:r w:rsidR="00346F1B">
        <w:t>’</w:t>
      </w:r>
      <w:r w:rsidR="00F10EE3">
        <w:t>Organe réaffirmait la nécessité de définir et d</w:t>
      </w:r>
      <w:r w:rsidR="00346F1B">
        <w:t>’</w:t>
      </w:r>
      <w:r w:rsidR="00F10EE3">
        <w:t xml:space="preserve">identifier clairement les communautés, les groupes et, dans certains cas, les </w:t>
      </w:r>
      <w:r w:rsidR="00F10EE3" w:rsidRPr="00F10EE3">
        <w:t>individus</w:t>
      </w:r>
      <w:r w:rsidR="00F10EE3">
        <w:t xml:space="preserve"> concernés par un élément particulier, y compris la dimension de genre, et d</w:t>
      </w:r>
      <w:r w:rsidR="00346F1B">
        <w:t>’</w:t>
      </w:r>
      <w:r w:rsidR="00F10EE3">
        <w:t xml:space="preserve">appliquer cette </w:t>
      </w:r>
      <w:r w:rsidR="00F10EE3" w:rsidRPr="00F10EE3">
        <w:t>définition</w:t>
      </w:r>
      <w:r w:rsidR="00F10EE3">
        <w:t xml:space="preserve"> de façon cohérente. Des définitions vagues (telles que « tous les hommes du pays X » ou « toutes les femmes du pays Y ») rendaient l</w:t>
      </w:r>
      <w:r w:rsidR="00346F1B">
        <w:t>’</w:t>
      </w:r>
      <w:r w:rsidR="00F10EE3" w:rsidRPr="00F10EE3">
        <w:t>évaluation</w:t>
      </w:r>
      <w:r w:rsidR="00F10EE3">
        <w:t xml:space="preserve"> difficile. Enfin, les États soumissionnaires étaient encouragés à ne pas accorder une importance excessive aux représentations sur scène lorsqu</w:t>
      </w:r>
      <w:r w:rsidR="00346F1B">
        <w:t>’</w:t>
      </w:r>
      <w:r w:rsidR="00F10EE3">
        <w:t xml:space="preserve">ils soumettaient des vidéos </w:t>
      </w:r>
      <w:r w:rsidR="00DD7B6B">
        <w:t xml:space="preserve">et à inclure les </w:t>
      </w:r>
      <w:r w:rsidR="008D3EA7">
        <w:t xml:space="preserve">points de vue </w:t>
      </w:r>
      <w:r w:rsidR="00DD7B6B">
        <w:t xml:space="preserve">des communautés ainsi que des sous-titres aux vidéos afin que les évaluateurs puissent comprendre les paroles et autres </w:t>
      </w:r>
      <w:r w:rsidR="00DD7B6B" w:rsidRPr="00DD7B6B">
        <w:t>informations</w:t>
      </w:r>
      <w:r w:rsidR="00DD7B6B">
        <w:t>. L</w:t>
      </w:r>
      <w:r w:rsidR="00346F1B">
        <w:t>’</w:t>
      </w:r>
      <w:r w:rsidR="00DD7B6B">
        <w:t>Organe proposait de rendre cette</w:t>
      </w:r>
      <w:r w:rsidR="00311274">
        <w:t xml:space="preserve"> exigence explicite à l</w:t>
      </w:r>
      <w:r w:rsidR="00346F1B">
        <w:t>’</w:t>
      </w:r>
      <w:r w:rsidR="00311274">
        <w:t>avenir.</w:t>
      </w:r>
    </w:p>
    <w:p w14:paraId="65AC8F20" w14:textId="61B9B1BB" w:rsidR="00224D61" w:rsidRPr="00224D61" w:rsidRDefault="008D3EA7" w:rsidP="00AF7860">
      <w:pPr>
        <w:pStyle w:val="Orateurengris"/>
        <w:spacing w:before="120"/>
        <w:ind w:left="709" w:hanging="709"/>
      </w:pPr>
      <w:r w:rsidRPr="008D3EA7">
        <w:t xml:space="preserve">Le </w:t>
      </w:r>
      <w:r w:rsidRPr="008D3EA7">
        <w:rPr>
          <w:b/>
        </w:rPr>
        <w:t>Rapporteur</w:t>
      </w:r>
      <w:r w:rsidR="0040517F">
        <w:t xml:space="preserve"> souhaitait </w:t>
      </w:r>
      <w:r w:rsidRPr="008D3EA7">
        <w:t>co</w:t>
      </w:r>
      <w:r>
        <w:t xml:space="preserve">nclure son </w:t>
      </w:r>
      <w:r w:rsidRPr="008D3EA7">
        <w:t>intervention</w:t>
      </w:r>
      <w:r>
        <w:t xml:space="preserve"> en partageant quelques remarques sur les </w:t>
      </w:r>
      <w:r w:rsidRPr="008D3EA7">
        <w:rPr>
          <w:b/>
          <w:u w:val="single"/>
        </w:rPr>
        <w:t>critères spécifiques d</w:t>
      </w:r>
      <w:r w:rsidR="00346F1B">
        <w:rPr>
          <w:b/>
          <w:u w:val="single"/>
        </w:rPr>
        <w:t>’</w:t>
      </w:r>
      <w:r w:rsidRPr="008D3EA7">
        <w:rPr>
          <w:b/>
          <w:u w:val="single"/>
        </w:rPr>
        <w:t>inscription</w:t>
      </w:r>
      <w:r w:rsidR="001433F2">
        <w:t xml:space="preserve"> des deux L</w:t>
      </w:r>
      <w:r>
        <w:t>istes, la Liste représentative et la Liste de sauvegarde urgente. S</w:t>
      </w:r>
      <w:r w:rsidR="00346F1B">
        <w:t>’</w:t>
      </w:r>
      <w:r>
        <w:t xml:space="preserve">agissant des critères </w:t>
      </w:r>
      <w:r w:rsidRPr="008D3EA7">
        <w:rPr>
          <w:b/>
          <w:u w:val="single"/>
        </w:rPr>
        <w:t>R.1/U.1</w:t>
      </w:r>
      <w:r>
        <w:t>, l</w:t>
      </w:r>
      <w:r w:rsidR="00346F1B">
        <w:t>’</w:t>
      </w:r>
      <w:r>
        <w:t xml:space="preserve">Organe avait réfléchi aux façons de traiter les éléments de nature générique (comme, </w:t>
      </w:r>
      <w:r w:rsidRPr="008D3EA7">
        <w:t>par exemple</w:t>
      </w:r>
      <w:r>
        <w:t>, un système social, un forme d</w:t>
      </w:r>
      <w:r w:rsidR="00346F1B">
        <w:t>’</w:t>
      </w:r>
      <w:r w:rsidRPr="008D3EA7">
        <w:t>organisation</w:t>
      </w:r>
      <w:r>
        <w:t xml:space="preserve"> ou une croyance populaire), </w:t>
      </w:r>
      <w:r w:rsidRPr="008D3EA7">
        <w:t>en particulier</w:t>
      </w:r>
      <w:r>
        <w:t xml:space="preserve"> lorsque leur portée était large et que les détenteurs et praticiens n</w:t>
      </w:r>
      <w:r w:rsidR="00346F1B">
        <w:t>’</w:t>
      </w:r>
      <w:r>
        <w:t>étaient pas identifiés avec précision. Dans ces cas, l</w:t>
      </w:r>
      <w:r w:rsidR="00346F1B">
        <w:t>’</w:t>
      </w:r>
      <w:r>
        <w:t xml:space="preserve">Organe avait estimé que le dossier </w:t>
      </w:r>
      <w:r w:rsidR="005434FE">
        <w:t xml:space="preserve">devait </w:t>
      </w:r>
      <w:r>
        <w:t>démontre</w:t>
      </w:r>
      <w:r w:rsidR="005434FE">
        <w:t>r</w:t>
      </w:r>
      <w:r>
        <w:t xml:space="preserve"> que : i)</w:t>
      </w:r>
      <w:r w:rsidR="00FA30EA">
        <w:t xml:space="preserve"> </w:t>
      </w:r>
      <w:r>
        <w:t xml:space="preserve">les communautés </w:t>
      </w:r>
      <w:r w:rsidR="00FA30EA">
        <w:t>reconnaissaient l</w:t>
      </w:r>
      <w:r w:rsidR="00346F1B">
        <w:t>’</w:t>
      </w:r>
      <w:r w:rsidR="00FA30EA" w:rsidRPr="00FA30EA">
        <w:t>élément</w:t>
      </w:r>
      <w:r w:rsidR="00FA30EA">
        <w:t xml:space="preserve"> comme faisant partie de leur PCI et s</w:t>
      </w:r>
      <w:r w:rsidR="00346F1B">
        <w:t>’</w:t>
      </w:r>
      <w:r w:rsidR="00FA30EA">
        <w:t xml:space="preserve">identifiaient avec ses mécanismes de </w:t>
      </w:r>
      <w:r w:rsidR="00FA30EA" w:rsidRPr="00FA30EA">
        <w:t>transmission</w:t>
      </w:r>
      <w:r w:rsidR="00FA30EA">
        <w:t> ; ii) les praticiens s</w:t>
      </w:r>
      <w:r w:rsidR="00346F1B">
        <w:t>’</w:t>
      </w:r>
      <w:r w:rsidR="00FA30EA">
        <w:t xml:space="preserve">identifiaient à une </w:t>
      </w:r>
      <w:r w:rsidR="00FA30EA" w:rsidRPr="00FA30EA">
        <w:t>communauté</w:t>
      </w:r>
      <w:r w:rsidR="00FA30EA">
        <w:t xml:space="preserve"> spécifique au regard du sentiment d</w:t>
      </w:r>
      <w:r w:rsidR="00346F1B">
        <w:t>’</w:t>
      </w:r>
      <w:r w:rsidR="00FA30EA">
        <w:t xml:space="preserve">identité et de </w:t>
      </w:r>
      <w:r w:rsidR="00FA30EA" w:rsidRPr="00FA30EA">
        <w:t>continuité</w:t>
      </w:r>
      <w:r w:rsidR="00FA30EA">
        <w:t xml:space="preserve"> ; et iii) il existait </w:t>
      </w:r>
      <w:r w:rsidR="00ED68FA">
        <w:t>bien une preuve de la spécificité de l</w:t>
      </w:r>
      <w:r w:rsidR="00346F1B">
        <w:t>’</w:t>
      </w:r>
      <w:r w:rsidR="00ED68FA">
        <w:t>élément dans un contexte particulier. L</w:t>
      </w:r>
      <w:r w:rsidR="00346F1B">
        <w:t>’</w:t>
      </w:r>
      <w:r w:rsidR="00ED68FA">
        <w:t>Organe rappelait aux États soumissionnaires qu</w:t>
      </w:r>
      <w:r w:rsidR="00346F1B">
        <w:t>’</w:t>
      </w:r>
      <w:r w:rsidR="00ED68FA">
        <w:t>il convenait d</w:t>
      </w:r>
      <w:r w:rsidR="00346F1B">
        <w:t>’</w:t>
      </w:r>
      <w:r w:rsidR="00ED68FA">
        <w:t>éviter de mettre</w:t>
      </w:r>
      <w:r w:rsidR="00633960">
        <w:t xml:space="preserve"> </w:t>
      </w:r>
      <w:r w:rsidR="00ED68FA" w:rsidRPr="00633960">
        <w:t>en avant l</w:t>
      </w:r>
      <w:r w:rsidR="00346F1B">
        <w:t>’</w:t>
      </w:r>
      <w:r w:rsidR="00ED68FA" w:rsidRPr="00633960">
        <w:t>histoire d</w:t>
      </w:r>
      <w:r w:rsidR="00346F1B">
        <w:t>’</w:t>
      </w:r>
      <w:r w:rsidR="00ED68FA" w:rsidRPr="00633960">
        <w:t xml:space="preserve">une pratique </w:t>
      </w:r>
      <w:r w:rsidR="00C45789">
        <w:t xml:space="preserve">et les détails techniques au détriment </w:t>
      </w:r>
      <w:r w:rsidR="00633960">
        <w:t>de ses dimensions sociales et culturelles. S</w:t>
      </w:r>
      <w:r w:rsidR="00346F1B">
        <w:t>’</w:t>
      </w:r>
      <w:r w:rsidR="00633960">
        <w:t xml:space="preserve">agissant du critère </w:t>
      </w:r>
      <w:r w:rsidR="00633960" w:rsidRPr="00633960">
        <w:rPr>
          <w:b/>
          <w:u w:val="single"/>
        </w:rPr>
        <w:t>R.2</w:t>
      </w:r>
      <w:r w:rsidR="00C45789">
        <w:t xml:space="preserve">, il a été précisé que ce critère continuait à présenter des difficultés et que, bien souvent, les </w:t>
      </w:r>
      <w:r w:rsidR="00C45789" w:rsidRPr="00C45789">
        <w:t>informations</w:t>
      </w:r>
      <w:r w:rsidR="00C45789">
        <w:t xml:space="preserve"> </w:t>
      </w:r>
      <w:r w:rsidR="005434FE">
        <w:t>étaient constituées de</w:t>
      </w:r>
      <w:r w:rsidR="00C45789">
        <w:t xml:space="preserve"> déclarations d</w:t>
      </w:r>
      <w:r w:rsidR="00346F1B">
        <w:t>’</w:t>
      </w:r>
      <w:r w:rsidR="00C45789">
        <w:t xml:space="preserve">intention plutôt </w:t>
      </w:r>
      <w:r w:rsidR="001F38D6">
        <w:t>que de</w:t>
      </w:r>
      <w:r w:rsidR="00C45789">
        <w:t xml:space="preserve"> preuves détaillées. Dans beaucoup de dossiers, la réponse tendait à se concentrer à tort sur les conséquences de l</w:t>
      </w:r>
      <w:r w:rsidR="00346F1B">
        <w:t>’</w:t>
      </w:r>
      <w:r w:rsidR="00C45789" w:rsidRPr="00C45789">
        <w:t>inscription</w:t>
      </w:r>
      <w:r w:rsidR="00C45789">
        <w:t xml:space="preserve"> sur l</w:t>
      </w:r>
      <w:r w:rsidR="00346F1B">
        <w:t>’</w:t>
      </w:r>
      <w:r w:rsidR="00C45789">
        <w:t>élément à proprement parler. Au cours de ce cycle, pas moins de 11 des 21 dossiers de candidature pour lesquels un renvoi était recom</w:t>
      </w:r>
      <w:r w:rsidR="00F978E2">
        <w:t>mandé n</w:t>
      </w:r>
      <w:r w:rsidR="00346F1B">
        <w:t>’</w:t>
      </w:r>
      <w:r w:rsidR="00F978E2">
        <w:t>avaient pas satisfait le</w:t>
      </w:r>
      <w:r w:rsidR="00C45789">
        <w:t xml:space="preserve"> critère R.2. Ce critère constituant l</w:t>
      </w:r>
      <w:r w:rsidR="00346F1B">
        <w:t>’</w:t>
      </w:r>
      <w:r w:rsidR="00C45789">
        <w:t xml:space="preserve">essence </w:t>
      </w:r>
      <w:r w:rsidR="001F38D6">
        <w:t xml:space="preserve">même </w:t>
      </w:r>
      <w:r w:rsidR="00C45789">
        <w:t>de la Liste représentative, l</w:t>
      </w:r>
      <w:r w:rsidR="00346F1B">
        <w:t>’</w:t>
      </w:r>
      <w:r w:rsidR="00C45789">
        <w:t>Organe</w:t>
      </w:r>
      <w:r w:rsidR="00C06067">
        <w:t xml:space="preserve"> </w:t>
      </w:r>
      <w:r w:rsidR="001F38D6">
        <w:t>s</w:t>
      </w:r>
      <w:r w:rsidR="00346F1B">
        <w:t>’</w:t>
      </w:r>
      <w:r w:rsidR="00C06067">
        <w:t xml:space="preserve">était </w:t>
      </w:r>
      <w:r w:rsidR="001F38D6">
        <w:t>prononcé en faveur d</w:t>
      </w:r>
      <w:r w:rsidR="00346F1B">
        <w:t>’</w:t>
      </w:r>
      <w:r w:rsidR="00C45789">
        <w:t xml:space="preserve">une reformulation </w:t>
      </w:r>
      <w:r w:rsidR="00C06067">
        <w:t xml:space="preserve">des sous-questions du </w:t>
      </w:r>
      <w:r w:rsidR="00C06067" w:rsidRPr="00C06067">
        <w:t>formulaire</w:t>
      </w:r>
      <w:r w:rsidR="00C06067">
        <w:t xml:space="preserve"> de </w:t>
      </w:r>
      <w:r w:rsidR="00C06067" w:rsidRPr="00C06067">
        <w:t>candidature</w:t>
      </w:r>
      <w:r w:rsidR="00C06067">
        <w:t xml:space="preserve"> afin d</w:t>
      </w:r>
      <w:r w:rsidR="00346F1B">
        <w:t>’</w:t>
      </w:r>
      <w:r w:rsidR="00C06067">
        <w:t>éviter toute ambigüité à l</w:t>
      </w:r>
      <w:r w:rsidR="00346F1B">
        <w:t>’</w:t>
      </w:r>
      <w:r w:rsidR="00C06067">
        <w:t>avenir. S</w:t>
      </w:r>
      <w:r w:rsidR="00346F1B">
        <w:t>’</w:t>
      </w:r>
      <w:r w:rsidR="00C06067">
        <w:t xml:space="preserve">agissant du critère </w:t>
      </w:r>
      <w:r w:rsidR="00C06067" w:rsidRPr="00C06067">
        <w:rPr>
          <w:b/>
          <w:u w:val="single"/>
        </w:rPr>
        <w:t>U.2</w:t>
      </w:r>
      <w:r w:rsidR="00C06067">
        <w:t xml:space="preserve">, il </w:t>
      </w:r>
      <w:r w:rsidR="001F38D6">
        <w:t xml:space="preserve">a été </w:t>
      </w:r>
      <w:r w:rsidR="00C06067">
        <w:t xml:space="preserve">rappelé aux États soumissionnaires que ce critère concernait les menaces spécifiques pesant sur la </w:t>
      </w:r>
      <w:r w:rsidR="00C06067" w:rsidRPr="00C06067">
        <w:t>viabilité</w:t>
      </w:r>
      <w:r w:rsidR="00C06067">
        <w:t xml:space="preserve"> d</w:t>
      </w:r>
      <w:r w:rsidR="00346F1B">
        <w:t>’</w:t>
      </w:r>
      <w:r w:rsidR="00C06067">
        <w:t>un élément et non les menaces qui planaient sur le patrimoine culturel immatériel dans son ensemble. S</w:t>
      </w:r>
      <w:r w:rsidR="00346F1B">
        <w:t>’</w:t>
      </w:r>
      <w:r w:rsidR="00C06067">
        <w:t xml:space="preserve">agissant des critères </w:t>
      </w:r>
      <w:r w:rsidR="00C06067" w:rsidRPr="00C06067">
        <w:rPr>
          <w:b/>
        </w:rPr>
        <w:t>R.3/U.3</w:t>
      </w:r>
      <w:r w:rsidR="00C06067">
        <w:t>, l</w:t>
      </w:r>
      <w:r w:rsidR="00346F1B">
        <w:t>’</w:t>
      </w:r>
      <w:r w:rsidR="00C06067">
        <w:t xml:space="preserve">Organe souhaitait disposer de détails sur les mesures de sauvegarde proposées, </w:t>
      </w:r>
      <w:r w:rsidR="00C06067" w:rsidRPr="00C06067">
        <w:t>en particulier</w:t>
      </w:r>
      <w:r w:rsidR="00C06067">
        <w:t xml:space="preserve"> en ce qui concerne les éléments financiers, les calendri</w:t>
      </w:r>
      <w:r w:rsidR="00893F34">
        <w:t>ers et les preuves des engagements des États parties. En outre, l</w:t>
      </w:r>
      <w:r w:rsidR="00346F1B">
        <w:t>’</w:t>
      </w:r>
      <w:r w:rsidR="00893F34">
        <w:t>Organe recommandait que l</w:t>
      </w:r>
      <w:r w:rsidR="00346F1B">
        <w:t>’</w:t>
      </w:r>
      <w:r w:rsidR="00893F34">
        <w:t xml:space="preserve">on évite de formuler des intentions générales. Une approche centralisée « descendante » de la </w:t>
      </w:r>
      <w:r w:rsidR="00893F34" w:rsidRPr="00893F34">
        <w:t>préparation</w:t>
      </w:r>
      <w:r w:rsidR="00893F34">
        <w:t xml:space="preserve"> des mesures de sauvegarde avait </w:t>
      </w:r>
      <w:r w:rsidR="00893F34" w:rsidRPr="00893F34">
        <w:t>également</w:t>
      </w:r>
      <w:r w:rsidR="00893F34">
        <w:t xml:space="preserve"> été observée dans certains dossiers. L</w:t>
      </w:r>
      <w:r w:rsidR="00346F1B">
        <w:t>’</w:t>
      </w:r>
      <w:r w:rsidR="00893F34">
        <w:t>Organe souhaitait souligner l</w:t>
      </w:r>
      <w:r w:rsidR="00346F1B">
        <w:t>’</w:t>
      </w:r>
      <w:r w:rsidR="00893F34">
        <w:t xml:space="preserve">importance de démontrer le rôle central joué par les communautés dans la </w:t>
      </w:r>
      <w:r w:rsidR="00893F34" w:rsidRPr="00893F34">
        <w:t>préparation</w:t>
      </w:r>
      <w:r w:rsidR="00893F34">
        <w:t xml:space="preserve"> et la mise en œuvre des mesures de sauvegarde proposées. L</w:t>
      </w:r>
      <w:r w:rsidR="00346F1B">
        <w:t>’</w:t>
      </w:r>
      <w:r w:rsidR="00893F34">
        <w:t xml:space="preserve">Organe avait </w:t>
      </w:r>
      <w:r w:rsidR="00893F34" w:rsidRPr="00893F34">
        <w:t>également</w:t>
      </w:r>
      <w:r w:rsidR="00893F34">
        <w:t xml:space="preserve"> exprimé des inquiétudes quant à des situations où le </w:t>
      </w:r>
      <w:r w:rsidR="00D46448">
        <w:t>non-respect</w:t>
      </w:r>
      <w:r w:rsidR="00893F34">
        <w:t xml:space="preserve"> des mesures pouvait entrainer des sanctions légales coercitives qui n</w:t>
      </w:r>
      <w:r w:rsidR="00346F1B">
        <w:t>’</w:t>
      </w:r>
      <w:r w:rsidR="00893F34">
        <w:t>étaient pas précisées. L</w:t>
      </w:r>
      <w:r w:rsidR="00346F1B">
        <w:t>’</w:t>
      </w:r>
      <w:r w:rsidR="00893F34">
        <w:t xml:space="preserve">Organe souhaitait </w:t>
      </w:r>
      <w:r w:rsidR="00064A23" w:rsidRPr="00064A23">
        <w:t>également</w:t>
      </w:r>
      <w:r w:rsidR="00064A23">
        <w:t xml:space="preserve"> </w:t>
      </w:r>
      <w:r w:rsidR="00893F34">
        <w:t>insister sur l</w:t>
      </w:r>
      <w:r w:rsidR="00346F1B">
        <w:t>’</w:t>
      </w:r>
      <w:r w:rsidR="00893F34">
        <w:t xml:space="preserve">importance de </w:t>
      </w:r>
      <w:r w:rsidR="00064A23">
        <w:t>fournir des informations et des explications claires quant aux</w:t>
      </w:r>
      <w:r w:rsidR="00893F34">
        <w:t xml:space="preserve"> façons de </w:t>
      </w:r>
      <w:r w:rsidR="00064A23">
        <w:t xml:space="preserve">faire face aux impacts </w:t>
      </w:r>
      <w:r w:rsidR="00893F34">
        <w:t>négatif</w:t>
      </w:r>
      <w:r w:rsidR="00064A23">
        <w:t>s</w:t>
      </w:r>
      <w:r w:rsidR="00893F34">
        <w:t xml:space="preserve"> ou </w:t>
      </w:r>
      <w:r w:rsidR="00064A23">
        <w:t xml:space="preserve">aux </w:t>
      </w:r>
      <w:r w:rsidR="00893F34">
        <w:t>conséquence</w:t>
      </w:r>
      <w:r w:rsidR="00064A23">
        <w:t>s</w:t>
      </w:r>
      <w:r w:rsidR="00893F34">
        <w:t xml:space="preserve"> </w:t>
      </w:r>
      <w:r w:rsidR="00064A23">
        <w:t xml:space="preserve">involontaires </w:t>
      </w:r>
      <w:r w:rsidR="00893F34">
        <w:t>de l</w:t>
      </w:r>
      <w:r w:rsidR="00346F1B">
        <w:t>’</w:t>
      </w:r>
      <w:r w:rsidR="00893F34" w:rsidRPr="00893F34">
        <w:t>inscription</w:t>
      </w:r>
      <w:r w:rsidR="00893F34">
        <w:t>, tel</w:t>
      </w:r>
      <w:r w:rsidR="00064A23">
        <w:t>s</w:t>
      </w:r>
      <w:r w:rsidR="00893F34">
        <w:t xml:space="preserve"> que le tourisme et la </w:t>
      </w:r>
      <w:r w:rsidR="00893F34" w:rsidRPr="00893F34">
        <w:t>commercialisation</w:t>
      </w:r>
      <w:r w:rsidR="00893F34">
        <w:t xml:space="preserve"> excessive. </w:t>
      </w:r>
      <w:r w:rsidR="00064A23">
        <w:t>L</w:t>
      </w:r>
      <w:r w:rsidR="00346F1B">
        <w:t>’</w:t>
      </w:r>
      <w:r w:rsidR="00064A23">
        <w:t>Organe attirait l</w:t>
      </w:r>
      <w:r w:rsidR="00346F1B">
        <w:t>’</w:t>
      </w:r>
      <w:r w:rsidR="00064A23">
        <w:t xml:space="preserve">attention sur le risque </w:t>
      </w:r>
      <w:r w:rsidR="00CA26E1">
        <w:t xml:space="preserve">de </w:t>
      </w:r>
      <w:r w:rsidR="00064A23">
        <w:t>décontextualisation de l</w:t>
      </w:r>
      <w:r w:rsidR="00346F1B">
        <w:t>’</w:t>
      </w:r>
      <w:r w:rsidR="00064A23" w:rsidRPr="00064A23">
        <w:t>élément</w:t>
      </w:r>
      <w:r w:rsidR="00064A23">
        <w:t xml:space="preserve"> que les mesures de sauvegarde pouvaient entrainer. Dans le cas des dossiers multinationaux, l</w:t>
      </w:r>
      <w:r w:rsidR="00346F1B">
        <w:t>’</w:t>
      </w:r>
      <w:r w:rsidR="00064A23">
        <w:t>Organe soulignait l</w:t>
      </w:r>
      <w:r w:rsidR="00346F1B">
        <w:t>’</w:t>
      </w:r>
      <w:r w:rsidR="00064A23">
        <w:t xml:space="preserve">importance de la </w:t>
      </w:r>
      <w:r w:rsidR="00064A23" w:rsidRPr="00064A23">
        <w:t>coordination</w:t>
      </w:r>
      <w:r w:rsidR="00064A23">
        <w:t xml:space="preserve"> entre les pays lors de </w:t>
      </w:r>
      <w:r w:rsidR="00064A23" w:rsidRPr="00064A23">
        <w:t>l</w:t>
      </w:r>
      <w:r w:rsidR="00346F1B">
        <w:t>’</w:t>
      </w:r>
      <w:r w:rsidR="00064A23" w:rsidRPr="00064A23">
        <w:t>élaboration</w:t>
      </w:r>
      <w:r w:rsidR="00064A23">
        <w:t xml:space="preserve"> et de la mise en œuvre des mesures de sauvegarde. S</w:t>
      </w:r>
      <w:r w:rsidR="00346F1B">
        <w:t>’</w:t>
      </w:r>
      <w:r w:rsidR="00064A23">
        <w:t xml:space="preserve">agissant des critères </w:t>
      </w:r>
      <w:r w:rsidR="00064A23" w:rsidRPr="00064A23">
        <w:rPr>
          <w:b/>
          <w:u w:val="single"/>
        </w:rPr>
        <w:t>R.4/U.4</w:t>
      </w:r>
      <w:r w:rsidR="00064A23">
        <w:t>, bien qu</w:t>
      </w:r>
      <w:r w:rsidR="00346F1B">
        <w:t>’</w:t>
      </w:r>
      <w:r w:rsidR="00064A23">
        <w:t>il n</w:t>
      </w:r>
      <w:r w:rsidR="00346F1B">
        <w:t>’</w:t>
      </w:r>
      <w:r w:rsidR="00064A23">
        <w:t>y ait pas d</w:t>
      </w:r>
      <w:r w:rsidR="00346F1B">
        <w:t>’</w:t>
      </w:r>
      <w:r w:rsidR="00064A23">
        <w:t xml:space="preserve">exigence réglementaire quant au nombre, à la diversité et la forme des preuves de </w:t>
      </w:r>
      <w:r w:rsidR="00064A23" w:rsidRPr="00064A23">
        <w:t>consentement</w:t>
      </w:r>
      <w:r w:rsidR="00064A23">
        <w:t xml:space="preserve"> à fournir, le Comité avait manifesté une préférence pour les preuves personnalisées non standard et une large représentation des </w:t>
      </w:r>
      <w:r w:rsidR="00064A23" w:rsidRPr="00064A23">
        <w:t>détenteurs</w:t>
      </w:r>
      <w:r w:rsidR="00064A23">
        <w:t xml:space="preserve"> et praticiens </w:t>
      </w:r>
      <w:r w:rsidR="0043391F">
        <w:t>de l</w:t>
      </w:r>
      <w:r w:rsidR="00346F1B">
        <w:t>’</w:t>
      </w:r>
      <w:r w:rsidR="0043391F" w:rsidRPr="0043391F">
        <w:t>élément</w:t>
      </w:r>
      <w:r w:rsidR="0043391F">
        <w:t>. L</w:t>
      </w:r>
      <w:r w:rsidR="00346F1B">
        <w:t>’</w:t>
      </w:r>
      <w:r w:rsidR="0043391F">
        <w:t>Organe avait donc pris en compte la diversité des modèles, les pétitions seules n</w:t>
      </w:r>
      <w:r w:rsidR="00346F1B">
        <w:t>’</w:t>
      </w:r>
      <w:r w:rsidR="0043391F">
        <w:t xml:space="preserve">avaient </w:t>
      </w:r>
      <w:r w:rsidR="0043391F" w:rsidRPr="0043391F">
        <w:t>toutefois</w:t>
      </w:r>
      <w:r w:rsidR="0043391F">
        <w:t xml:space="preserve"> pas été jugées acceptables. L</w:t>
      </w:r>
      <w:r w:rsidR="00346F1B">
        <w:t>’</w:t>
      </w:r>
      <w:r w:rsidR="0043391F">
        <w:t xml:space="preserve">Organe avait </w:t>
      </w:r>
      <w:r w:rsidR="0043391F" w:rsidRPr="0043391F">
        <w:t>également</w:t>
      </w:r>
      <w:r w:rsidR="00120EA1">
        <w:t xml:space="preserve"> examiné des dossiers qui contenaient des </w:t>
      </w:r>
      <w:r w:rsidR="00120EA1" w:rsidRPr="00120EA1">
        <w:t>consentement</w:t>
      </w:r>
      <w:r w:rsidR="00120EA1">
        <w:t xml:space="preserve">s donnés par des « représentants » des communautés. Il était rappelé aux États parties que la </w:t>
      </w:r>
      <w:r w:rsidR="00120EA1" w:rsidRPr="00120EA1">
        <w:t>candidature</w:t>
      </w:r>
      <w:r w:rsidR="00120EA1">
        <w:t xml:space="preserve"> devait expliquer comment les communautés avaient été consultées et en quoi les intermédiaires étaient bel et bien des représentants de la communauté en question. S</w:t>
      </w:r>
      <w:r w:rsidR="00346F1B">
        <w:t>’</w:t>
      </w:r>
      <w:r w:rsidR="00120EA1">
        <w:t xml:space="preserve">agissant du critère </w:t>
      </w:r>
      <w:r w:rsidR="00120EA1" w:rsidRPr="001F38D6">
        <w:rPr>
          <w:b/>
          <w:u w:val="single"/>
        </w:rPr>
        <w:t>R.5/U.5</w:t>
      </w:r>
      <w:r w:rsidR="00120EA1">
        <w:t>, l</w:t>
      </w:r>
      <w:r w:rsidR="00346F1B">
        <w:t>’</w:t>
      </w:r>
      <w:r w:rsidR="00120EA1">
        <w:t xml:space="preserve">Organe ayant éprouvé des difficultés à trouver les </w:t>
      </w:r>
      <w:r w:rsidR="00120EA1" w:rsidRPr="00120EA1">
        <w:t>informations</w:t>
      </w:r>
      <w:r w:rsidR="00120EA1">
        <w:t xml:space="preserve"> requises et à établir une cohérence, il proposait une révision des formulaires afin que les États soumissionnaires</w:t>
      </w:r>
      <w:r w:rsidR="00036FF2">
        <w:t xml:space="preserve"> soient aidés dans la présentation systématique d</w:t>
      </w:r>
      <w:r w:rsidR="00346F1B">
        <w:t>’</w:t>
      </w:r>
      <w:r w:rsidR="00036FF2" w:rsidRPr="00036FF2">
        <w:t>informations</w:t>
      </w:r>
      <w:r w:rsidR="00036FF2">
        <w:t xml:space="preserve"> détaillées et exhaustives. Cela permettrait au Secrétariat de vérifier tous les champs et de demander toute information manquante à l</w:t>
      </w:r>
      <w:r w:rsidR="00346F1B">
        <w:t>’</w:t>
      </w:r>
      <w:r w:rsidR="00036FF2">
        <w:t>État soumissionnaire lors de l</w:t>
      </w:r>
      <w:r w:rsidR="00346F1B">
        <w:t>’</w:t>
      </w:r>
      <w:r w:rsidR="00036FF2">
        <w:t>examen de l</w:t>
      </w:r>
      <w:r w:rsidR="00346F1B">
        <w:t>’</w:t>
      </w:r>
      <w:r w:rsidR="00036FF2">
        <w:t>exhaustivité technique d</w:t>
      </w:r>
      <w:r w:rsidR="00346F1B">
        <w:t>’</w:t>
      </w:r>
      <w:r w:rsidR="00036FF2">
        <w:t>un dossier. S</w:t>
      </w:r>
      <w:r w:rsidR="00346F1B">
        <w:t>’</w:t>
      </w:r>
      <w:r w:rsidR="00036FF2">
        <w:t>agissant de la mise à jour des inventaires, et compte tenu de l</w:t>
      </w:r>
      <w:r w:rsidR="00346F1B">
        <w:t>’</w:t>
      </w:r>
      <w:r w:rsidR="00036FF2">
        <w:t>absence d</w:t>
      </w:r>
      <w:r w:rsidR="00346F1B">
        <w:t>’</w:t>
      </w:r>
      <w:r w:rsidR="00036FF2" w:rsidRPr="00036FF2">
        <w:t>orientations</w:t>
      </w:r>
      <w:r w:rsidR="00036FF2">
        <w:t xml:space="preserve"> précises concernant la fréquence requise pour cette mise à jour (dans l</w:t>
      </w:r>
      <w:r w:rsidR="00346F1B">
        <w:t>’</w:t>
      </w:r>
      <w:r w:rsidR="00036FF2">
        <w:t>attente d</w:t>
      </w:r>
      <w:r w:rsidR="00346F1B">
        <w:t>’</w:t>
      </w:r>
      <w:r w:rsidR="00036FF2">
        <w:t>une note d</w:t>
      </w:r>
      <w:r w:rsidR="00346F1B">
        <w:t>’</w:t>
      </w:r>
      <w:r w:rsidR="00036FF2">
        <w:t>orientation suite à la décision du Comité en 2015), l</w:t>
      </w:r>
      <w:r w:rsidR="00346F1B">
        <w:t>’</w:t>
      </w:r>
      <w:r w:rsidR="00036FF2">
        <w:t>Organe avait considéré la mention d</w:t>
      </w:r>
      <w:r w:rsidR="00346F1B">
        <w:t>’</w:t>
      </w:r>
      <w:r w:rsidR="00036FF2">
        <w:t>une mise à jour comme suffisante, y compris lorsqu</w:t>
      </w:r>
      <w:r w:rsidR="00346F1B">
        <w:t>’</w:t>
      </w:r>
      <w:r w:rsidR="00036FF2">
        <w:t>il s</w:t>
      </w:r>
      <w:r w:rsidR="00346F1B">
        <w:t>’</w:t>
      </w:r>
      <w:r w:rsidR="00036FF2">
        <w:t>agissait d</w:t>
      </w:r>
      <w:r w:rsidR="00346F1B">
        <w:t>’</w:t>
      </w:r>
      <w:r w:rsidR="00036FF2">
        <w:t>une simple volonté déclarée d</w:t>
      </w:r>
      <w:r w:rsidR="00346F1B">
        <w:t>’</w:t>
      </w:r>
      <w:r w:rsidR="00036FF2">
        <w:t xml:space="preserve">établir un </w:t>
      </w:r>
      <w:r w:rsidR="00036FF2" w:rsidRPr="00036FF2">
        <w:t>mécanisme</w:t>
      </w:r>
      <w:r w:rsidR="00036FF2">
        <w:t xml:space="preserve"> de mise à jour. Lorsque les </w:t>
      </w:r>
      <w:r w:rsidR="00036FF2" w:rsidRPr="00036FF2">
        <w:t>informations</w:t>
      </w:r>
      <w:r w:rsidR="00036FF2">
        <w:t xml:space="preserve"> sur la mise à jour n</w:t>
      </w:r>
      <w:r w:rsidR="00346F1B">
        <w:t>’</w:t>
      </w:r>
      <w:r w:rsidR="00036FF2">
        <w:t xml:space="preserve">étaient disponibles que dans les documents </w:t>
      </w:r>
      <w:r w:rsidR="00A7163F">
        <w:t>connexes ou par l</w:t>
      </w:r>
      <w:r w:rsidR="00346F1B">
        <w:t>’</w:t>
      </w:r>
      <w:r w:rsidR="00A7163F">
        <w:t>intermédiair</w:t>
      </w:r>
      <w:r w:rsidR="001F38D6">
        <w:t>e de liens Internet, elles n</w:t>
      </w:r>
      <w:r w:rsidR="00346F1B">
        <w:t>’</w:t>
      </w:r>
      <w:r w:rsidR="001F38D6">
        <w:t>avaient</w:t>
      </w:r>
      <w:r w:rsidR="00A7163F">
        <w:t xml:space="preserve"> été considérées comme des preuves admissibles que lorsqu</w:t>
      </w:r>
      <w:r w:rsidR="00346F1B">
        <w:t>’</w:t>
      </w:r>
      <w:r w:rsidR="00A7163F">
        <w:t>elles étaient disponibles en anglais ou en français. Pour ce cycle, l</w:t>
      </w:r>
      <w:r w:rsidR="00346F1B">
        <w:t>’</w:t>
      </w:r>
      <w:r w:rsidR="00A7163F">
        <w:t>Organe avait recommandé le renvoi de dix dossiers de candidature en raison de l</w:t>
      </w:r>
      <w:r w:rsidR="00346F1B">
        <w:t>’</w:t>
      </w:r>
      <w:r w:rsidR="00A7163F">
        <w:t>absence d</w:t>
      </w:r>
      <w:r w:rsidR="00346F1B">
        <w:t>’</w:t>
      </w:r>
      <w:r w:rsidR="00A7163F">
        <w:t xml:space="preserve">un </w:t>
      </w:r>
      <w:r w:rsidR="00A7163F" w:rsidRPr="00A7163F">
        <w:t>mécanisme</w:t>
      </w:r>
      <w:r w:rsidR="00A7163F">
        <w:t xml:space="preserve"> de mise à jour, dont huit en raison de cette seule absence. Le </w:t>
      </w:r>
      <w:r w:rsidR="00A7163F" w:rsidRPr="00A7163F">
        <w:t>Rapporteur</w:t>
      </w:r>
      <w:r w:rsidR="00A7163F">
        <w:t xml:space="preserve"> espérait que cette note d</w:t>
      </w:r>
      <w:r w:rsidR="00346F1B">
        <w:t>’</w:t>
      </w:r>
      <w:r w:rsidR="00A7163F">
        <w:t xml:space="preserve">orientation sur la </w:t>
      </w:r>
      <w:r w:rsidR="00A7163F" w:rsidRPr="00A7163F">
        <w:t>réalisation</w:t>
      </w:r>
      <w:r w:rsidR="00A7163F">
        <w:t xml:space="preserve"> d</w:t>
      </w:r>
      <w:r w:rsidR="00346F1B">
        <w:t>’</w:t>
      </w:r>
      <w:r w:rsidR="00A7163F">
        <w:t xml:space="preserve">inventaires, en cours de </w:t>
      </w:r>
      <w:r w:rsidR="00A7163F" w:rsidRPr="00A7163F">
        <w:t>préparation</w:t>
      </w:r>
      <w:r w:rsidR="00A7163F">
        <w:t xml:space="preserve">, aiderait les États </w:t>
      </w:r>
      <w:r w:rsidR="00CA26E1">
        <w:t xml:space="preserve">soumissionnaires à satisfaire </w:t>
      </w:r>
      <w:r w:rsidR="00A7163F">
        <w:t xml:space="preserve">toutes les exigences liées au </w:t>
      </w:r>
      <w:r w:rsidR="00A7163F" w:rsidRPr="00A7163F">
        <w:t>critère</w:t>
      </w:r>
      <w:r w:rsidR="00A7163F">
        <w:t xml:space="preserve"> R.5/U.5. </w:t>
      </w:r>
      <w:r w:rsidR="00224D61">
        <w:t>En ce</w:t>
      </w:r>
      <w:r w:rsidR="00A7163F" w:rsidRPr="00A7163F">
        <w:t xml:space="preserve"> qui concerne</w:t>
      </w:r>
      <w:r w:rsidR="00A7163F">
        <w:t xml:space="preserve"> les </w:t>
      </w:r>
      <w:r w:rsidR="00A7163F" w:rsidRPr="00A7163F">
        <w:rPr>
          <w:b/>
          <w:u w:val="single"/>
        </w:rPr>
        <w:t>extraits d</w:t>
      </w:r>
      <w:r w:rsidR="00346F1B">
        <w:rPr>
          <w:b/>
          <w:u w:val="single"/>
        </w:rPr>
        <w:t>’</w:t>
      </w:r>
      <w:r w:rsidR="00A7163F" w:rsidRPr="00A7163F">
        <w:rPr>
          <w:b/>
          <w:u w:val="single"/>
        </w:rPr>
        <w:t>inventaire</w:t>
      </w:r>
      <w:r w:rsidR="00A7163F">
        <w:t>, le Comité av</w:t>
      </w:r>
      <w:r w:rsidR="00224D61">
        <w:t>ait décidé que l</w:t>
      </w:r>
      <w:r w:rsidR="00346F1B">
        <w:t>’</w:t>
      </w:r>
      <w:r w:rsidR="00224D61">
        <w:t>inclusion d</w:t>
      </w:r>
      <w:r w:rsidR="00346F1B">
        <w:t>’</w:t>
      </w:r>
      <w:r w:rsidR="00224D61">
        <w:t>un</w:t>
      </w:r>
      <w:r w:rsidR="00A7163F">
        <w:t xml:space="preserve"> élément ne saurait se justifier par la s</w:t>
      </w:r>
      <w:r w:rsidR="00224D61">
        <w:t>eule insertion d</w:t>
      </w:r>
      <w:r w:rsidR="00346F1B">
        <w:t>’</w:t>
      </w:r>
      <w:r w:rsidR="00224D61">
        <w:t xml:space="preserve">une liste et devait présenter une </w:t>
      </w:r>
      <w:r w:rsidR="00224D61" w:rsidRPr="00224D61">
        <w:t>description</w:t>
      </w:r>
      <w:r w:rsidR="00224D61">
        <w:t xml:space="preserve"> et un extrait. Dans l</w:t>
      </w:r>
      <w:r w:rsidR="00346F1B">
        <w:t>’</w:t>
      </w:r>
      <w:r w:rsidR="00224D61">
        <w:t xml:space="preserve">attente de </w:t>
      </w:r>
      <w:r w:rsidR="00224D61" w:rsidRPr="00224D61">
        <w:t>l</w:t>
      </w:r>
      <w:r w:rsidR="00346F1B">
        <w:t>’</w:t>
      </w:r>
      <w:r w:rsidR="00224D61" w:rsidRPr="00224D61">
        <w:t>élaboration</w:t>
      </w:r>
      <w:r w:rsidR="00224D61">
        <w:t xml:space="preserve"> d</w:t>
      </w:r>
      <w:r w:rsidR="00346F1B">
        <w:t>’</w:t>
      </w:r>
      <w:r w:rsidR="00224D61">
        <w:t>une note d</w:t>
      </w:r>
      <w:r w:rsidR="00346F1B">
        <w:t>’</w:t>
      </w:r>
      <w:r w:rsidR="00224D61">
        <w:t>orientation sur les inventaires, l</w:t>
      </w:r>
      <w:r w:rsidR="00346F1B">
        <w:t>’</w:t>
      </w:r>
      <w:r w:rsidR="00224D61">
        <w:t>Organe avait jugé opportun d</w:t>
      </w:r>
      <w:r w:rsidR="00346F1B">
        <w:t>’</w:t>
      </w:r>
      <w:r w:rsidR="00224D61">
        <w:t>adopter une certaine flexibilité et de privilégier l</w:t>
      </w:r>
      <w:r w:rsidR="00346F1B">
        <w:t>’</w:t>
      </w:r>
      <w:r w:rsidR="00224D61">
        <w:t>obligation faite aux États parties de dresser des inventaires « de façon adaptée à [leur] situation », comme le stipulait l</w:t>
      </w:r>
      <w:r w:rsidR="00346F1B">
        <w:t>’</w:t>
      </w:r>
      <w:r w:rsidR="00224D61">
        <w:t xml:space="preserve">article 12 de la </w:t>
      </w:r>
      <w:r w:rsidR="00224D61" w:rsidRPr="00224D61">
        <w:t>Convention</w:t>
      </w:r>
      <w:r w:rsidR="00224D61">
        <w:t>. L</w:t>
      </w:r>
      <w:r w:rsidR="00346F1B">
        <w:t>’</w:t>
      </w:r>
      <w:r w:rsidR="00224D61">
        <w:t xml:space="preserve">Organe avait </w:t>
      </w:r>
      <w:r w:rsidR="00224D61" w:rsidRPr="00224D61">
        <w:t>également</w:t>
      </w:r>
      <w:r w:rsidR="00224D61">
        <w:t xml:space="preserve"> estimé que, dans le cas d</w:t>
      </w:r>
      <w:r w:rsidR="00346F1B">
        <w:t>’</w:t>
      </w:r>
      <w:r w:rsidR="00224D61">
        <w:t>une extension d</w:t>
      </w:r>
      <w:r w:rsidR="00346F1B">
        <w:t>’</w:t>
      </w:r>
      <w:r w:rsidR="00224D61">
        <w:t xml:space="preserve">un élément déjà inscrit sur la Liste représentative, un </w:t>
      </w:r>
      <w:r w:rsidR="00224D61" w:rsidRPr="00224D61">
        <w:t>inventaire</w:t>
      </w:r>
      <w:r w:rsidR="00224D61">
        <w:t xml:space="preserve"> des différentes parties de l</w:t>
      </w:r>
      <w:r w:rsidR="00346F1B">
        <w:t>’</w:t>
      </w:r>
      <w:r w:rsidR="00224D61">
        <w:t>élément serait accepté en lieu et place de l</w:t>
      </w:r>
      <w:r w:rsidR="00346F1B">
        <w:t>’</w:t>
      </w:r>
      <w:r w:rsidR="00224D61">
        <w:t>inclusion dans un inventaire de l</w:t>
      </w:r>
      <w:r w:rsidR="00346F1B">
        <w:t>’</w:t>
      </w:r>
      <w:r w:rsidR="00224D61">
        <w:t>élé</w:t>
      </w:r>
      <w:r w:rsidR="00311274">
        <w:t>ment proposé dans son ensemble.</w:t>
      </w:r>
    </w:p>
    <w:p w14:paraId="66AD73C7" w14:textId="2BE438B0" w:rsidR="00CF4E77" w:rsidRPr="00793D22" w:rsidRDefault="001F38D6" w:rsidP="00AF7860">
      <w:pPr>
        <w:pStyle w:val="Orateurengris"/>
        <w:spacing w:before="120"/>
        <w:ind w:left="709" w:hanging="709"/>
      </w:pPr>
      <w:r>
        <w:t>S</w:t>
      </w:r>
      <w:r w:rsidR="00346F1B">
        <w:t>’</w:t>
      </w:r>
      <w:r>
        <w:t xml:space="preserve">agissant de la </w:t>
      </w:r>
      <w:r w:rsidRPr="001F38D6">
        <w:rPr>
          <w:b/>
          <w:u w:val="single"/>
        </w:rPr>
        <w:t>candidature à l</w:t>
      </w:r>
      <w:r w:rsidR="00346F1B">
        <w:rPr>
          <w:b/>
          <w:u w:val="single"/>
        </w:rPr>
        <w:t>’</w:t>
      </w:r>
      <w:r w:rsidRPr="001F38D6">
        <w:rPr>
          <w:b/>
          <w:u w:val="single"/>
        </w:rPr>
        <w:t xml:space="preserve">inscription sur la Liste de </w:t>
      </w:r>
      <w:r w:rsidR="00F42644">
        <w:rPr>
          <w:b/>
          <w:u w:val="single"/>
        </w:rPr>
        <w:t>sauvegarde urgente combinée à</w:t>
      </w:r>
      <w:r w:rsidRPr="001F38D6">
        <w:rPr>
          <w:b/>
          <w:u w:val="single"/>
        </w:rPr>
        <w:t xml:space="preserve"> une demande d</w:t>
      </w:r>
      <w:r w:rsidR="00346F1B">
        <w:rPr>
          <w:b/>
          <w:u w:val="single"/>
        </w:rPr>
        <w:t>’</w:t>
      </w:r>
      <w:r w:rsidRPr="001F38D6">
        <w:rPr>
          <w:b/>
          <w:u w:val="single"/>
        </w:rPr>
        <w:t>assistance internationale</w:t>
      </w:r>
      <w:r>
        <w:rPr>
          <w:b/>
        </w:rPr>
        <w:t xml:space="preserve">, </w:t>
      </w:r>
      <w:r>
        <w:t xml:space="preserve">le </w:t>
      </w:r>
      <w:r w:rsidRPr="001F38D6">
        <w:rPr>
          <w:b/>
        </w:rPr>
        <w:t>Rapporteur</w:t>
      </w:r>
      <w:r>
        <w:t xml:space="preserve"> a expliqué que l</w:t>
      </w:r>
      <w:r w:rsidR="00346F1B">
        <w:t>’</w:t>
      </w:r>
      <w:r>
        <w:t>Organe avait rencontré un certain nombre de difficultés lors de l</w:t>
      </w:r>
      <w:r w:rsidR="00346F1B">
        <w:t>’</w:t>
      </w:r>
      <w:r w:rsidRPr="001F38D6">
        <w:t>évaluation</w:t>
      </w:r>
      <w:r>
        <w:t xml:space="preserve"> de son premier dossier soumis avec le </w:t>
      </w:r>
      <w:r w:rsidRPr="001F38D6">
        <w:t>formulaire</w:t>
      </w:r>
      <w:r>
        <w:t xml:space="preserve"> ICH-01bis. </w:t>
      </w:r>
      <w:r w:rsidR="004B778B">
        <w:t>Premièrement, il avait noté plusieurs incohérences entre les critères d</w:t>
      </w:r>
      <w:r w:rsidR="00346F1B">
        <w:t>’</w:t>
      </w:r>
      <w:r w:rsidR="004B778B">
        <w:t>attribution de l</w:t>
      </w:r>
      <w:r w:rsidR="00346F1B">
        <w:t>’</w:t>
      </w:r>
      <w:r w:rsidR="004B778B">
        <w:t xml:space="preserve">assistance internationale, tels que définis dans les Directives opérationnelles, et les questions du </w:t>
      </w:r>
      <w:r w:rsidR="004B778B" w:rsidRPr="004B778B">
        <w:t>formulaire</w:t>
      </w:r>
      <w:r w:rsidR="004B778B">
        <w:t xml:space="preserve">, ainsi que dans la définition des objectifs et des résultats donnée dans les différentes sections du </w:t>
      </w:r>
      <w:r w:rsidR="004B778B" w:rsidRPr="004B778B">
        <w:t>formulaire</w:t>
      </w:r>
      <w:r w:rsidR="004B778B">
        <w:t>. En outre, l</w:t>
      </w:r>
      <w:r w:rsidR="00346F1B">
        <w:t>’</w:t>
      </w:r>
      <w:r w:rsidR="004B778B">
        <w:t xml:space="preserve">Organe avait observé que la </w:t>
      </w:r>
      <w:r w:rsidR="004B778B" w:rsidRPr="004B778B">
        <w:t>considération</w:t>
      </w:r>
      <w:r w:rsidR="004B778B">
        <w:t xml:space="preserve"> 10.a (portée nationale) pouvait ne pas toujours s</w:t>
      </w:r>
      <w:r w:rsidR="00346F1B">
        <w:t>’</w:t>
      </w:r>
      <w:r w:rsidR="004B778B">
        <w:t>appliquer et – cet aspect n</w:t>
      </w:r>
      <w:r w:rsidR="00346F1B">
        <w:t>’</w:t>
      </w:r>
      <w:r w:rsidR="004B778B">
        <w:t xml:space="preserve">étant pas repris dans le </w:t>
      </w:r>
      <w:r w:rsidR="004B778B" w:rsidRPr="004B778B">
        <w:t>formulaire</w:t>
      </w:r>
      <w:r w:rsidR="004B778B">
        <w:t xml:space="preserve"> – l</w:t>
      </w:r>
      <w:r w:rsidR="00346F1B">
        <w:t>’</w:t>
      </w:r>
      <w:r w:rsidR="004B778B">
        <w:t xml:space="preserve">État soumissionnaire ne saurait être obligé de communiquer des </w:t>
      </w:r>
      <w:r w:rsidR="004B778B" w:rsidRPr="004B778B">
        <w:t>informations</w:t>
      </w:r>
      <w:r w:rsidR="004B778B">
        <w:t xml:space="preserve"> à ce sujet. S</w:t>
      </w:r>
      <w:r w:rsidR="00346F1B">
        <w:t>’</w:t>
      </w:r>
      <w:r w:rsidR="004B778B">
        <w:t xml:space="preserve">agissant du </w:t>
      </w:r>
      <w:r w:rsidR="004B778B" w:rsidRPr="004B778B">
        <w:rPr>
          <w:b/>
          <w:u w:val="single"/>
        </w:rPr>
        <w:t>Registre des meilleures pratiques de sauvegarde</w:t>
      </w:r>
      <w:r w:rsidR="004B778B">
        <w:t xml:space="preserve">, les points suivants avaient été soulevés. Le </w:t>
      </w:r>
      <w:r w:rsidR="004B778B" w:rsidRPr="004B778B">
        <w:t>Rapporteur</w:t>
      </w:r>
      <w:r w:rsidR="004B778B">
        <w:t xml:space="preserve"> a expliqué que, dans l</w:t>
      </w:r>
      <w:r w:rsidR="00346F1B">
        <w:t>’</w:t>
      </w:r>
      <w:r w:rsidR="004B778B">
        <w:t>ensemble, l</w:t>
      </w:r>
      <w:r w:rsidR="00346F1B">
        <w:t>’</w:t>
      </w:r>
      <w:r w:rsidR="004B778B">
        <w:t>Organe adhérait à l</w:t>
      </w:r>
      <w:r w:rsidR="00346F1B">
        <w:t>’</w:t>
      </w:r>
      <w:r w:rsidR="004B778B">
        <w:t xml:space="preserve">objectif du Registre des meilleures pratiques de sauvegarde, </w:t>
      </w:r>
      <w:r w:rsidR="00AF1992">
        <w:t xml:space="preserve">c.-à-d. </w:t>
      </w:r>
      <w:r w:rsidR="004B778B">
        <w:t xml:space="preserve">reconnaître les pratiques qui reflétaient le mieux les principes et objectifs de la </w:t>
      </w:r>
      <w:r w:rsidR="004B778B" w:rsidRPr="004B778B">
        <w:t>Convention</w:t>
      </w:r>
      <w:r w:rsidR="004B778B">
        <w:t xml:space="preserve"> tout en faisant preuve d</w:t>
      </w:r>
      <w:r w:rsidR="00346F1B">
        <w:t>’</w:t>
      </w:r>
      <w:r w:rsidR="004B778B" w:rsidRPr="004B778B">
        <w:t>efficacité</w:t>
      </w:r>
      <w:r w:rsidR="004B778B">
        <w:t xml:space="preserve"> en matière de </w:t>
      </w:r>
      <w:r w:rsidR="004B778B" w:rsidRPr="004B778B">
        <w:t>sauvegarde</w:t>
      </w:r>
      <w:r w:rsidR="004B778B">
        <w:t xml:space="preserve">. </w:t>
      </w:r>
      <w:r w:rsidR="00CF4E77">
        <w:t>L</w:t>
      </w:r>
      <w:r w:rsidR="00346F1B">
        <w:t>’</w:t>
      </w:r>
      <w:r w:rsidR="00CF4E77">
        <w:t xml:space="preserve">Organe estimait que les moyens de </w:t>
      </w:r>
      <w:r w:rsidR="00AF1992">
        <w:t>sauvegarder le</w:t>
      </w:r>
      <w:r w:rsidR="00CF4E77">
        <w:t xml:space="preserve"> patrimoine culturel immatériel, tels qu</w:t>
      </w:r>
      <w:r w:rsidR="00346F1B">
        <w:t>’</w:t>
      </w:r>
      <w:r w:rsidR="00CF4E77">
        <w:t>une mesure ou une politique, voire l</w:t>
      </w:r>
      <w:r w:rsidR="00346F1B">
        <w:t>’</w:t>
      </w:r>
      <w:r w:rsidR="00CF4E77" w:rsidRPr="00CF4E77">
        <w:t>établissement</w:t>
      </w:r>
      <w:r w:rsidR="00CF4E77">
        <w:t xml:space="preserve"> de partenariats intersectoriels, étaient admissibles et même souhaitables. Tout en reco</w:t>
      </w:r>
      <w:r w:rsidR="00AF1992">
        <w:t>nnaissant que le Registre avai</w:t>
      </w:r>
      <w:r w:rsidR="00CF4E77">
        <w:t xml:space="preserve">t été conçu pour répondre aux besoins particuliers des pays en </w:t>
      </w:r>
      <w:r w:rsidR="00CF4E77" w:rsidRPr="00CF4E77">
        <w:t>développement</w:t>
      </w:r>
      <w:r w:rsidR="00CF4E77">
        <w:t>, l</w:t>
      </w:r>
      <w:r w:rsidR="00346F1B">
        <w:t>’</w:t>
      </w:r>
      <w:r w:rsidR="00CF4E77">
        <w:t xml:space="preserve">Organe était </w:t>
      </w:r>
      <w:r w:rsidR="00CF4E77" w:rsidRPr="00CF4E77">
        <w:t>également</w:t>
      </w:r>
      <w:r w:rsidR="00CF4E77">
        <w:t xml:space="preserve"> conscient qu</w:t>
      </w:r>
      <w:r w:rsidR="00346F1B">
        <w:t>’</w:t>
      </w:r>
      <w:r w:rsidR="00CF4E77">
        <w:t>il pouvait jouer un rôle fort utile dans la mise en avant des bonnes pratiques partout ailleurs. L</w:t>
      </w:r>
      <w:r w:rsidR="00346F1B">
        <w:t>’</w:t>
      </w:r>
      <w:r w:rsidR="00CF4E77">
        <w:t>Organe avait donc souhaité souligner qu</w:t>
      </w:r>
      <w:r w:rsidR="00346F1B">
        <w:t>’</w:t>
      </w:r>
      <w:r w:rsidR="00CF4E77">
        <w:t xml:space="preserve">une pratique de </w:t>
      </w:r>
      <w:r w:rsidR="00CF4E77" w:rsidRPr="00CF4E77">
        <w:t>sauvegarde</w:t>
      </w:r>
      <w:r w:rsidR="00CF4E77">
        <w:t xml:space="preserve"> dev</w:t>
      </w:r>
      <w:r w:rsidR="00337D5F">
        <w:t>r</w:t>
      </w:r>
      <w:r w:rsidR="00CF4E77">
        <w:t>ait être pertinente et adaptée au contexte local, et qu</w:t>
      </w:r>
      <w:r w:rsidR="00346F1B">
        <w:t>’</w:t>
      </w:r>
      <w:r w:rsidR="00CF4E77">
        <w:t>il conv</w:t>
      </w:r>
      <w:r w:rsidR="00337D5F">
        <w:t>i</w:t>
      </w:r>
      <w:r w:rsidR="00CF4E77">
        <w:t>en</w:t>
      </w:r>
      <w:r w:rsidR="00337D5F">
        <w:t>dr</w:t>
      </w:r>
      <w:r w:rsidR="00CF4E77">
        <w:t xml:space="preserve">ait </w:t>
      </w:r>
      <w:r w:rsidR="00CF4E77" w:rsidRPr="00CF4E77">
        <w:t>également</w:t>
      </w:r>
      <w:r w:rsidR="00CF4E77">
        <w:t xml:space="preserve"> d</w:t>
      </w:r>
      <w:r w:rsidR="00346F1B">
        <w:t>’</w:t>
      </w:r>
      <w:r w:rsidR="00CF4E77">
        <w:t>en tirer des enseignements. S</w:t>
      </w:r>
      <w:r w:rsidR="00346F1B">
        <w:t>’</w:t>
      </w:r>
      <w:r w:rsidR="00CF4E77">
        <w:t>agissant du nom du registre, l</w:t>
      </w:r>
      <w:r w:rsidR="00346F1B">
        <w:t>’</w:t>
      </w:r>
      <w:r w:rsidR="00CF4E77">
        <w:t>Organe avait noté qu</w:t>
      </w:r>
      <w:r w:rsidR="00346F1B">
        <w:t>’</w:t>
      </w:r>
      <w:r w:rsidR="00CF4E77">
        <w:t>il existait une certaine confusion entre l</w:t>
      </w:r>
      <w:r w:rsidR="00346F1B">
        <w:t>’</w:t>
      </w:r>
      <w:r w:rsidR="00CF4E77">
        <w:t xml:space="preserve">objectif du « Registre des programmes, projets et activités sélectionnés comme reflétant le mieux les principes et objectifs de la </w:t>
      </w:r>
      <w:r w:rsidR="00CF4E77" w:rsidRPr="00CF4E77">
        <w:t>Convention</w:t>
      </w:r>
      <w:r w:rsidR="00CF4E77">
        <w:t xml:space="preserve"> » qui, </w:t>
      </w:r>
      <w:r w:rsidR="00715DFA" w:rsidRPr="00715DFA">
        <w:t>conformément</w:t>
      </w:r>
      <w:r w:rsidR="00715DFA">
        <w:t xml:space="preserve"> à son libellé officiel,</w:t>
      </w:r>
      <w:r w:rsidR="00CF4E77">
        <w:t xml:space="preserve"> </w:t>
      </w:r>
      <w:r w:rsidR="00715DFA">
        <w:t xml:space="preserve">était de </w:t>
      </w:r>
      <w:r w:rsidR="00CF4E77">
        <w:t>sélection</w:t>
      </w:r>
      <w:r w:rsidR="00715DFA">
        <w:t>ner</w:t>
      </w:r>
      <w:r w:rsidR="00CF4E77">
        <w:t xml:space="preserve"> de</w:t>
      </w:r>
      <w:r w:rsidR="00715DFA">
        <w:t>s</w:t>
      </w:r>
      <w:r w:rsidR="00CF4E77">
        <w:t xml:space="preserve"> pratiques de </w:t>
      </w:r>
      <w:r w:rsidR="00CF4E77" w:rsidRPr="00CF4E77">
        <w:t>sauvegarde</w:t>
      </w:r>
      <w:r w:rsidR="00715DFA">
        <w:t xml:space="preserve"> efficaces en vue de leur promotion, de leur diffusion et , </w:t>
      </w:r>
      <w:r w:rsidR="00715DFA" w:rsidRPr="00715DFA">
        <w:t>éventuellement</w:t>
      </w:r>
      <w:r w:rsidR="00715DFA">
        <w:t xml:space="preserve">, de leur reproduction ailleurs dans le monde, et son nom </w:t>
      </w:r>
      <w:r w:rsidR="00793D22">
        <w:t>d</w:t>
      </w:r>
      <w:r w:rsidR="00346F1B">
        <w:t>’</w:t>
      </w:r>
      <w:r w:rsidR="00793D22">
        <w:t xml:space="preserve">usage </w:t>
      </w:r>
      <w:r w:rsidR="00715DFA" w:rsidRPr="00793D22">
        <w:t>« Registre les meilleures pratiques de sauvegarde » qui mettait l</w:t>
      </w:r>
      <w:r w:rsidR="00346F1B">
        <w:t>’</w:t>
      </w:r>
      <w:r w:rsidR="00715DFA" w:rsidRPr="00793D22">
        <w:t>accent sur le registre en tant que mécanisme destiné à sélectionner uniquement les « meilleures » pratiques de sauvegarde. Dans ce contexte, l</w:t>
      </w:r>
      <w:r w:rsidR="00346F1B">
        <w:t>’</w:t>
      </w:r>
      <w:r w:rsidR="00715DFA" w:rsidRPr="00793D22">
        <w:t>Organe recommandait d</w:t>
      </w:r>
      <w:r w:rsidR="00346F1B">
        <w:t>’</w:t>
      </w:r>
      <w:r w:rsidR="00715DFA" w:rsidRPr="00793D22">
        <w:t>utiliser le nom d</w:t>
      </w:r>
      <w:r w:rsidR="00346F1B">
        <w:t>’</w:t>
      </w:r>
      <w:r w:rsidR="00715DFA" w:rsidRPr="00793D22">
        <w:t>usage de « Registre des bonnes pratiques de sauvegarde » reflétant ainsi mieux la finalité du Registre et l</w:t>
      </w:r>
      <w:r w:rsidR="00346F1B">
        <w:t>’</w:t>
      </w:r>
      <w:r w:rsidR="00715DFA" w:rsidRPr="00793D22">
        <w:t>esprit de la Convention. L</w:t>
      </w:r>
      <w:r w:rsidR="00346F1B">
        <w:t>’</w:t>
      </w:r>
      <w:r w:rsidR="00715DFA" w:rsidRPr="00793D22">
        <w:t>Organe attirait l</w:t>
      </w:r>
      <w:r w:rsidR="00346F1B">
        <w:t>’</w:t>
      </w:r>
      <w:r w:rsidR="00715DFA" w:rsidRPr="00793D22">
        <w:t>attention des États soumissionnaires sur la nécessité de démontrer en quoi la pratique r</w:t>
      </w:r>
      <w:r w:rsidR="00793D22">
        <w:t xml:space="preserve">eflétait les </w:t>
      </w:r>
      <w:r w:rsidR="00715DFA" w:rsidRPr="00793D22">
        <w:t>principes et objectifs de la Convention au lieu de faire un simple récit de la mise en œuvre du programme ou de l</w:t>
      </w:r>
      <w:r w:rsidR="00346F1B">
        <w:t>’</w:t>
      </w:r>
      <w:r w:rsidR="00715DFA" w:rsidRPr="00793D22">
        <w:t>activité en question,</w:t>
      </w:r>
      <w:r w:rsidR="00327638" w:rsidRPr="00793D22">
        <w:t xml:space="preserve"> tout en démontrant dans quelle mesure</w:t>
      </w:r>
      <w:r w:rsidR="00715DFA" w:rsidRPr="00793D22">
        <w:t xml:space="preserve"> le p</w:t>
      </w:r>
      <w:r w:rsidR="00793D22">
        <w:t>rogramme ou l</w:t>
      </w:r>
      <w:r w:rsidR="00346F1B">
        <w:t>’</w:t>
      </w:r>
      <w:r w:rsidR="00793D22">
        <w:t>activité contribuait</w:t>
      </w:r>
      <w:r w:rsidR="00715DFA" w:rsidRPr="00793D22">
        <w:t xml:space="preserve"> « efficacement » </w:t>
      </w:r>
      <w:r w:rsidR="00327638" w:rsidRPr="00793D22">
        <w:t>à la viabilité du PCI concerné, et le rôle des communautés à cet égard. Il était donc conseillé aux États soumissionnaires de s</w:t>
      </w:r>
      <w:r w:rsidR="00346F1B">
        <w:t>’</w:t>
      </w:r>
      <w:r w:rsidR="00327638" w:rsidRPr="00793D22">
        <w:t xml:space="preserve">abstenir de décrire des intentions ou </w:t>
      </w:r>
      <w:r w:rsidR="00793D22">
        <w:t xml:space="preserve">des </w:t>
      </w:r>
      <w:r w:rsidR="00327638" w:rsidRPr="00793D22">
        <w:t>initiatives à venir et – le cas échéant – de démontrer le consentement de la diversité des détenteurs participant au programme ou à l</w:t>
      </w:r>
      <w:r w:rsidR="00346F1B">
        <w:t>’</w:t>
      </w:r>
      <w:r w:rsidR="00327638" w:rsidRPr="00793D22">
        <w:t xml:space="preserve">activité proposé(e). </w:t>
      </w:r>
      <w:r w:rsidR="00AB1DE7" w:rsidRPr="00793D22">
        <w:t>S</w:t>
      </w:r>
      <w:r w:rsidR="00346F1B">
        <w:t>’</w:t>
      </w:r>
      <w:r w:rsidR="00AB1DE7" w:rsidRPr="00793D22">
        <w:t xml:space="preserve">agissant du critère </w:t>
      </w:r>
      <w:r w:rsidR="00AB1DE7" w:rsidRPr="00793D22">
        <w:rPr>
          <w:b/>
          <w:u w:val="single"/>
        </w:rPr>
        <w:t>P.6</w:t>
      </w:r>
      <w:r w:rsidR="00AB1DE7" w:rsidRPr="00793D22">
        <w:t xml:space="preserve"> (l</w:t>
      </w:r>
      <w:r w:rsidR="00346F1B">
        <w:t>’</w:t>
      </w:r>
      <w:r w:rsidR="00AB1DE7" w:rsidRPr="00793D22">
        <w:t>utilisation du projet en tant que modèle), l</w:t>
      </w:r>
      <w:r w:rsidR="00346F1B">
        <w:t>’</w:t>
      </w:r>
      <w:r w:rsidR="00AB1DE7" w:rsidRPr="00793D22">
        <w:t>Organe avait décidé d</w:t>
      </w:r>
      <w:r w:rsidR="00346F1B">
        <w:t>’</w:t>
      </w:r>
      <w:r w:rsidR="00AB1DE7" w:rsidRPr="00793D22">
        <w:t>interpréter ce critère de façon à inclure les programmes ou activités qui pourraient servir de modèle théorique et/ou être ancré(e)s dans un</w:t>
      </w:r>
      <w:r w:rsidR="00D46448">
        <w:t>e</w:t>
      </w:r>
      <w:r w:rsidR="00AB1DE7" w:rsidRPr="00793D22">
        <w:t xml:space="preserve"> pratique particulière. En ce qui concerne le critère </w:t>
      </w:r>
      <w:r w:rsidR="00AB1DE7" w:rsidRPr="00793D22">
        <w:rPr>
          <w:b/>
          <w:u w:val="single"/>
        </w:rPr>
        <w:t>P.7</w:t>
      </w:r>
      <w:r w:rsidR="00AB1DE7" w:rsidRPr="00793D22">
        <w:t>, l</w:t>
      </w:r>
      <w:r w:rsidR="00346F1B">
        <w:t>’</w:t>
      </w:r>
      <w:r w:rsidR="00AB1DE7" w:rsidRPr="00793D22">
        <w:t>Organe rappelait que ce critère se rapportait à la volonté de l</w:t>
      </w:r>
      <w:r w:rsidR="00346F1B">
        <w:t>’</w:t>
      </w:r>
      <w:r w:rsidR="00AB1DE7" w:rsidRPr="00793D22">
        <w:t xml:space="preserve">État et des autres parties prenantes de promouvoir la pratique concernée. Compte tenu de la difficulté </w:t>
      </w:r>
      <w:r w:rsidR="007F5AB8" w:rsidRPr="00793D22">
        <w:t xml:space="preserve">à </w:t>
      </w:r>
      <w:r w:rsidR="00793D22">
        <w:t>mesurer cette</w:t>
      </w:r>
      <w:r w:rsidR="00AB1DE7" w:rsidRPr="00793D22">
        <w:t xml:space="preserve"> détermination, les État</w:t>
      </w:r>
      <w:r w:rsidR="007F5AB8" w:rsidRPr="00793D22">
        <w:t>s</w:t>
      </w:r>
      <w:r w:rsidR="00AB1DE7" w:rsidRPr="00793D22">
        <w:t xml:space="preserve"> soumissionnaires étaient encouragés à f</w:t>
      </w:r>
      <w:r w:rsidR="007F5AB8" w:rsidRPr="00793D22">
        <w:t>ournir des preuves démontrant une telle</w:t>
      </w:r>
      <w:r w:rsidR="00AB1DE7" w:rsidRPr="00793D22">
        <w:t xml:space="preserve"> </w:t>
      </w:r>
      <w:r w:rsidR="007F5AB8" w:rsidRPr="00793D22">
        <w:t>volonté de la part des personnes concernées. S</w:t>
      </w:r>
      <w:r w:rsidR="00346F1B">
        <w:t>’</w:t>
      </w:r>
      <w:r w:rsidR="007F5AB8" w:rsidRPr="00793D22">
        <w:t xml:space="preserve">agissant du critère </w:t>
      </w:r>
      <w:r w:rsidR="007F5AB8" w:rsidRPr="00793D22">
        <w:rPr>
          <w:b/>
          <w:u w:val="single"/>
        </w:rPr>
        <w:t>P.8</w:t>
      </w:r>
      <w:r w:rsidR="007F5AB8" w:rsidRPr="00793D22">
        <w:t xml:space="preserve"> sur l</w:t>
      </w:r>
      <w:r w:rsidR="00346F1B">
        <w:t>’</w:t>
      </w:r>
      <w:r w:rsidR="007F5AB8" w:rsidRPr="00793D22">
        <w:t>évaluation, l</w:t>
      </w:r>
      <w:r w:rsidR="00346F1B">
        <w:t>’</w:t>
      </w:r>
      <w:r w:rsidR="007F5AB8" w:rsidRPr="00793D22">
        <w:t>Organe rappelait aux États parties que ce critère concernait l</w:t>
      </w:r>
      <w:r w:rsidR="00346F1B">
        <w:t>’</w:t>
      </w:r>
      <w:r w:rsidR="007F5AB8" w:rsidRPr="00793D22">
        <w:t>impact du programme ou de l</w:t>
      </w:r>
      <w:r w:rsidR="00346F1B">
        <w:t>’</w:t>
      </w:r>
      <w:r w:rsidR="007F5AB8" w:rsidRPr="00793D22">
        <w:t>activité proposé</w:t>
      </w:r>
      <w:r w:rsidR="00793D22">
        <w:t>(</w:t>
      </w:r>
      <w:r w:rsidR="007F5AB8" w:rsidRPr="00793D22">
        <w:t>e</w:t>
      </w:r>
      <w:r w:rsidR="00793D22">
        <w:t>)</w:t>
      </w:r>
      <w:r w:rsidR="007F5AB8" w:rsidRPr="00793D22">
        <w:t xml:space="preserve"> pour sélection et non de toute autre mesure de sauvegarde. Enfin, concernant le critère </w:t>
      </w:r>
      <w:r w:rsidR="007F5AB8" w:rsidRPr="00793D22">
        <w:rPr>
          <w:b/>
          <w:u w:val="single"/>
        </w:rPr>
        <w:t>P.9</w:t>
      </w:r>
      <w:r w:rsidR="007F5AB8" w:rsidRPr="00793D22">
        <w:t xml:space="preserve">, </w:t>
      </w:r>
      <w:r w:rsidR="00BD7BE7" w:rsidRPr="00793D22">
        <w:t>(capacité du programme ou de l</w:t>
      </w:r>
      <w:r w:rsidR="00346F1B">
        <w:t>’</w:t>
      </w:r>
      <w:r w:rsidR="00BD7BE7" w:rsidRPr="00793D22">
        <w:t>activité à être appliqué(e) dans les pays en développement), l</w:t>
      </w:r>
      <w:r w:rsidR="00346F1B">
        <w:t>’</w:t>
      </w:r>
      <w:r w:rsidR="00BD7BE7" w:rsidRPr="00793D22">
        <w:t>Organe avait constaté la difficulté d</w:t>
      </w:r>
      <w:r w:rsidR="00346F1B">
        <w:t>’</w:t>
      </w:r>
      <w:r w:rsidR="00BD7BE7" w:rsidRPr="00793D22">
        <w:t>appliquer ce critère, en particulier lorsqu</w:t>
      </w:r>
      <w:r w:rsidR="00346F1B">
        <w:t>’</w:t>
      </w:r>
      <w:r w:rsidR="00BD7BE7" w:rsidRPr="00793D22">
        <w:t>une pratique de sauvegarde (notamment dans les pays développés) n</w:t>
      </w:r>
      <w:r w:rsidR="00346F1B">
        <w:t>’</w:t>
      </w:r>
      <w:r w:rsidR="00BD7BE7" w:rsidRPr="00793D22">
        <w:t>avait pas été conçue initialement en tenant compte de ce critère. L</w:t>
      </w:r>
      <w:r w:rsidR="00346F1B">
        <w:t>’</w:t>
      </w:r>
      <w:r w:rsidR="00BD7BE7" w:rsidRPr="00793D22">
        <w:t>Organe proposait d</w:t>
      </w:r>
      <w:r w:rsidR="00346F1B">
        <w:t>’</w:t>
      </w:r>
      <w:r w:rsidR="00BD7BE7" w:rsidRPr="00793D22">
        <w:t>axer le critère sur la « reproductiblité » ou sur l</w:t>
      </w:r>
      <w:r w:rsidR="00346F1B">
        <w:t>’</w:t>
      </w:r>
      <w:r w:rsidR="00BD7BE7" w:rsidRPr="00793D22">
        <w:t>encouragement à la coopération internationale ou au développement durable</w:t>
      </w:r>
      <w:r w:rsidR="00311274">
        <w:t>.</w:t>
      </w:r>
    </w:p>
    <w:p w14:paraId="30008197" w14:textId="3AF058C3" w:rsidR="00793D22" w:rsidRPr="00793D22" w:rsidRDefault="00793D22" w:rsidP="00AF7860">
      <w:pPr>
        <w:pStyle w:val="Orateurengris"/>
        <w:spacing w:before="120"/>
        <w:ind w:left="709" w:hanging="709"/>
      </w:pPr>
      <w:r w:rsidRPr="00793D22">
        <w:t xml:space="preserve">Le </w:t>
      </w:r>
      <w:r w:rsidRPr="00793D22">
        <w:rPr>
          <w:b/>
        </w:rPr>
        <w:t>Président</w:t>
      </w:r>
      <w:r w:rsidRPr="00793D22">
        <w:t xml:space="preserve"> a remercié le Rapporteur pour sa présentation</w:t>
      </w:r>
      <w:r>
        <w:t>, et a souligné qu</w:t>
      </w:r>
      <w:r w:rsidR="00346F1B">
        <w:t>’</w:t>
      </w:r>
      <w:r>
        <w:t>il avait soulevé des quest</w:t>
      </w:r>
      <w:r w:rsidR="00337D5F">
        <w:t>ions importantes qui contribueraie</w:t>
      </w:r>
      <w:r>
        <w:t>nt au débat du Comité. Avant d</w:t>
      </w:r>
      <w:r w:rsidR="00346F1B">
        <w:t>’</w:t>
      </w:r>
      <w:r>
        <w:t xml:space="preserve">ouvrir la discussion générale, il a donné la parole au </w:t>
      </w:r>
      <w:r w:rsidRPr="00793D22">
        <w:t>Secrétaire</w:t>
      </w:r>
      <w:r>
        <w:t xml:space="preserve"> afin que celui-ci communique des </w:t>
      </w:r>
      <w:r w:rsidRPr="00793D22">
        <w:t>informations</w:t>
      </w:r>
      <w:r w:rsidR="00311274">
        <w:t xml:space="preserve"> complémentaires.</w:t>
      </w:r>
    </w:p>
    <w:p w14:paraId="3133983A" w14:textId="3CB7DD90" w:rsidR="00577EC3" w:rsidRPr="00577EC3" w:rsidRDefault="00793D22" w:rsidP="00AF7860">
      <w:pPr>
        <w:pStyle w:val="Orateurengris"/>
        <w:spacing w:before="120"/>
        <w:ind w:left="709" w:hanging="709"/>
      </w:pPr>
      <w:r w:rsidRPr="00793D22">
        <w:t xml:space="preserve">Le </w:t>
      </w:r>
      <w:r w:rsidRPr="00793D22">
        <w:rPr>
          <w:b/>
        </w:rPr>
        <w:t>Secrétaire</w:t>
      </w:r>
      <w:r w:rsidRPr="00793D22">
        <w:t xml:space="preserve"> a </w:t>
      </w:r>
      <w:r>
        <w:t xml:space="preserve">informé le Comité de deux </w:t>
      </w:r>
      <w:r w:rsidR="00E4146D">
        <w:t>sujets concernant des actions qui avaient été men</w:t>
      </w:r>
      <w:r w:rsidR="00663493">
        <w:t>ées par le Secrétariat à propos d</w:t>
      </w:r>
      <w:r w:rsidR="00E4146D">
        <w:t>u critère R.5, l</w:t>
      </w:r>
      <w:r w:rsidR="00346F1B">
        <w:t>’</w:t>
      </w:r>
      <w:r w:rsidR="00E4146D">
        <w:t>inclusion de l</w:t>
      </w:r>
      <w:r w:rsidR="00346F1B">
        <w:t>’</w:t>
      </w:r>
      <w:r w:rsidR="00E4146D" w:rsidRPr="00E4146D">
        <w:t>élément</w:t>
      </w:r>
      <w:r w:rsidR="00663493">
        <w:t xml:space="preserve"> dans un inventaire, et de la correspondance en ce qui concerne l</w:t>
      </w:r>
      <w:r w:rsidR="00E4146D" w:rsidRPr="00663493">
        <w:t>es candidatures, depuis la procédure d</w:t>
      </w:r>
      <w:r w:rsidR="00346F1B">
        <w:t>’</w:t>
      </w:r>
      <w:r w:rsidR="00E4146D" w:rsidRPr="00663493">
        <w:t>évaluation de l</w:t>
      </w:r>
      <w:r w:rsidR="00346F1B">
        <w:t>’</w:t>
      </w:r>
      <w:r w:rsidR="00E4146D" w:rsidRPr="00663493">
        <w:t>Organe d</w:t>
      </w:r>
      <w:r w:rsidR="00346F1B">
        <w:t>’</w:t>
      </w:r>
      <w:r w:rsidR="00E4146D" w:rsidRPr="00663493">
        <w:t xml:space="preserve">évaluation en 2016. </w:t>
      </w:r>
      <w:r w:rsidR="00663493">
        <w:t>C</w:t>
      </w:r>
      <w:r w:rsidR="00663493" w:rsidRPr="00663493">
        <w:t>omme les précédents Organes d</w:t>
      </w:r>
      <w:r w:rsidR="00346F1B">
        <w:t>’</w:t>
      </w:r>
      <w:r w:rsidR="00663493" w:rsidRPr="00663493">
        <w:t>évaluation avaient pu en faire</w:t>
      </w:r>
      <w:r w:rsidR="00663493">
        <w:t xml:space="preserve"> l</w:t>
      </w:r>
      <w:r w:rsidR="00346F1B">
        <w:t>’</w:t>
      </w:r>
      <w:r w:rsidR="00663493">
        <w:t>expérience, les problèmes rencontrés avec l</w:t>
      </w:r>
      <w:r w:rsidR="00663493" w:rsidRPr="00663493">
        <w:t>es critères R.5 et U.5</w:t>
      </w:r>
      <w:r w:rsidR="00663493">
        <w:t xml:space="preserve"> perduraient. </w:t>
      </w:r>
      <w:r w:rsidR="00E4146D" w:rsidRPr="00663493">
        <w:t>Conformément à la décision 10.COM 10, et après consultation de l</w:t>
      </w:r>
      <w:r w:rsidR="00346F1B">
        <w:t>’</w:t>
      </w:r>
      <w:r w:rsidR="00E4146D" w:rsidRPr="00663493">
        <w:t>Organe d</w:t>
      </w:r>
      <w:r w:rsidR="00346F1B">
        <w:t>’</w:t>
      </w:r>
      <w:r w:rsidR="00E4146D" w:rsidRPr="00663493">
        <w:t>évaluation du cycle 2016, le Secrétaire avait révisé la présentation de la section 10 des formulaires de candidature ICH 01 et ICH 02 afin d</w:t>
      </w:r>
      <w:r w:rsidR="00346F1B">
        <w:t>’</w:t>
      </w:r>
      <w:r w:rsidR="00E4146D" w:rsidRPr="00663493">
        <w:t>aider les États soumissionnaires à présenter de façon systématique des informations détaillées et exhaustives sur l</w:t>
      </w:r>
      <w:r w:rsidR="00346F1B">
        <w:t>’</w:t>
      </w:r>
      <w:r w:rsidR="00E4146D" w:rsidRPr="00663493">
        <w:t>inclusion de l</w:t>
      </w:r>
      <w:r w:rsidR="00346F1B">
        <w:t>’</w:t>
      </w:r>
      <w:r w:rsidR="00E4146D" w:rsidRPr="00663493">
        <w:t>élément dans un inventaire. Les objectifs de cette révision étaient de réduire le risque d</w:t>
      </w:r>
      <w:r w:rsidR="00346F1B">
        <w:t>’</w:t>
      </w:r>
      <w:r w:rsidR="00E4146D" w:rsidRPr="00663493">
        <w:t>omettre des informations et de permettre au Secrétariat d</w:t>
      </w:r>
      <w:r w:rsidR="00346F1B">
        <w:t>’</w:t>
      </w:r>
      <w:r w:rsidR="00E4146D" w:rsidRPr="00663493">
        <w:t xml:space="preserve">identifier </w:t>
      </w:r>
      <w:r w:rsidR="00577EC3">
        <w:t>d</w:t>
      </w:r>
      <w:r w:rsidR="00E4146D" w:rsidRPr="00663493">
        <w:t>es informations manquantes pendant le traitement technique du dossier avant sa soumission à l</w:t>
      </w:r>
      <w:r w:rsidR="00346F1B">
        <w:t>’</w:t>
      </w:r>
      <w:r w:rsidR="00E4146D" w:rsidRPr="00663493">
        <w:t>Organe d</w:t>
      </w:r>
      <w:r w:rsidR="00346F1B">
        <w:t>’</w:t>
      </w:r>
      <w:r w:rsidR="00E4146D" w:rsidRPr="00663493">
        <w:t xml:space="preserve">évaluation. Ces formulaires révisés étaient disponibles depuis le 7 novembre 2016. Le Secrétariat </w:t>
      </w:r>
      <w:r w:rsidR="00FC6B77" w:rsidRPr="00663493">
        <w:t xml:space="preserve">œuvrait </w:t>
      </w:r>
      <w:r w:rsidR="00E4146D" w:rsidRPr="00663493">
        <w:t>également à l</w:t>
      </w:r>
      <w:r w:rsidR="00346F1B">
        <w:t>’</w:t>
      </w:r>
      <w:r w:rsidR="00E4146D" w:rsidRPr="00663493">
        <w:t xml:space="preserve">élaboration, toujours en cours, </w:t>
      </w:r>
      <w:r w:rsidR="00FC6B77" w:rsidRPr="00663493">
        <w:t>d</w:t>
      </w:r>
      <w:r w:rsidR="00346F1B">
        <w:t>’</w:t>
      </w:r>
      <w:r w:rsidR="00FC6B77" w:rsidRPr="00663493">
        <w:t>une note d</w:t>
      </w:r>
      <w:r w:rsidR="00346F1B">
        <w:t>’</w:t>
      </w:r>
      <w:r w:rsidR="00FC6B77" w:rsidRPr="00663493">
        <w:t>orientation sur l</w:t>
      </w:r>
      <w:r w:rsidR="00346F1B">
        <w:t>’</w:t>
      </w:r>
      <w:r w:rsidR="00FC6B77" w:rsidRPr="00663493">
        <w:t>inventaire du PCI, destinée à conseiller les États parties à propos des critères R.5 et U.5. Cette note serait finalisée avant la prochaine session du Comité. S</w:t>
      </w:r>
      <w:r w:rsidR="00346F1B">
        <w:t>’</w:t>
      </w:r>
      <w:r w:rsidR="00FC6B77" w:rsidRPr="00663493">
        <w:t>agissant de la correspondance adressée par le public ou d</w:t>
      </w:r>
      <w:r w:rsidR="00346F1B">
        <w:t>’</w:t>
      </w:r>
      <w:r w:rsidR="00FC6B77" w:rsidRPr="00663493">
        <w:t xml:space="preserve">autres parties concernées, </w:t>
      </w:r>
      <w:r w:rsidR="00663FE4" w:rsidRPr="00663493">
        <w:t>le Secrétariat avait reçu, pour le cycle 2</w:t>
      </w:r>
      <w:r w:rsidR="00663493">
        <w:t>016, plusieurs</w:t>
      </w:r>
      <w:r w:rsidR="00663FE4" w:rsidRPr="00663493">
        <w:t xml:space="preserve"> lettres et courriers électroniques à propos de certaines candidatures soumises au cours de ce cycle. Conformément aux procédures établies par le Comité dans sa décision 7.COM 15, la correspondance avait été transmise aux États soumissionnaires concernés afin qu</w:t>
      </w:r>
      <w:r w:rsidR="00346F1B">
        <w:t>’</w:t>
      </w:r>
      <w:r w:rsidR="00663FE4" w:rsidRPr="00663493">
        <w:t>ils puissent y répondre. Lors de leur réception – au moins quatre semaines avant la réunion de l</w:t>
      </w:r>
      <w:r w:rsidR="00346F1B">
        <w:t>’</w:t>
      </w:r>
      <w:r w:rsidR="00663FE4" w:rsidRPr="00663493">
        <w:t>Organe d</w:t>
      </w:r>
      <w:r w:rsidR="00346F1B">
        <w:t>’</w:t>
      </w:r>
      <w:r w:rsidR="00663FE4" w:rsidRPr="00663493">
        <w:t>évaluation – les lettres et réponses des États soumissionnaires étaient mises en ligne sur le site Internet du Comité et mises à disposition de l</w:t>
      </w:r>
      <w:r w:rsidR="00346F1B">
        <w:t>’</w:t>
      </w:r>
      <w:r w:rsidR="00663FE4" w:rsidRPr="00663493">
        <w:t>Organe d</w:t>
      </w:r>
      <w:r w:rsidR="00346F1B">
        <w:t>’</w:t>
      </w:r>
      <w:r w:rsidR="00663FE4" w:rsidRPr="00663493">
        <w:t xml:space="preserve">évaluation. </w:t>
      </w:r>
      <w:r w:rsidR="00577EC3">
        <w:t>L</w:t>
      </w:r>
      <w:r w:rsidR="00663493" w:rsidRPr="00663493">
        <w:t>e Comité pouvait également consulter cette correspondance en ligne</w:t>
      </w:r>
      <w:r w:rsidR="00577EC3">
        <w:t>, y compris les lettres reçues entre le 20 août et le 27 octobre 2016, celles-ci ne pouvant être mises à disposition de l</w:t>
      </w:r>
      <w:r w:rsidR="00346F1B">
        <w:t>’</w:t>
      </w:r>
      <w:r w:rsidR="00577EC3">
        <w:t>Organe d</w:t>
      </w:r>
      <w:r w:rsidR="00346F1B">
        <w:t>’</w:t>
      </w:r>
      <w:r w:rsidR="00577EC3">
        <w:t xml:space="preserve">évaluation, </w:t>
      </w:r>
      <w:r w:rsidR="00577EC3" w:rsidRPr="00577EC3">
        <w:t>conformément</w:t>
      </w:r>
      <w:r w:rsidR="00577EC3">
        <w:t xml:space="preserve"> à la </w:t>
      </w:r>
      <w:r w:rsidR="00577EC3" w:rsidRPr="00577EC3">
        <w:t>décision</w:t>
      </w:r>
      <w:r w:rsidR="00577EC3">
        <w:t xml:space="preserve"> 7.COM 15. Le Secrétariat avait toutefois reçu plusieurs lettres et courriers électroniques anonymes à propos des candidatures. Le Bureau du Comité, qui s</w:t>
      </w:r>
      <w:r w:rsidR="00346F1B">
        <w:t>’</w:t>
      </w:r>
      <w:r w:rsidR="00577EC3">
        <w:t>était réuni le 20 octobre 2016, avait été informé que le Secrétariat ne transmettrait pas cette correspondance aux États soumissionnaires en raison de son caractère anonyme. Le Secrétariat espérait que le Comité consentirait à cette pratique destinée à protéger la procédure de traitement de la correspondance relative aux candidatures de possibles dérives liées à la correspondance anonyme.</w:t>
      </w:r>
    </w:p>
    <w:p w14:paraId="7B58F4E8" w14:textId="629F615D" w:rsidR="00577EC3" w:rsidRPr="00577EC3" w:rsidRDefault="00577EC3" w:rsidP="00AF7860">
      <w:pPr>
        <w:pStyle w:val="Orateurengris"/>
        <w:spacing w:before="120"/>
        <w:ind w:left="709" w:hanging="709"/>
      </w:pPr>
      <w:r w:rsidRPr="00577EC3">
        <w:t xml:space="preserve">Après avoir remercié le Secrétaire, le </w:t>
      </w:r>
      <w:r w:rsidRPr="00577EC3">
        <w:rPr>
          <w:b/>
        </w:rPr>
        <w:t>Président</w:t>
      </w:r>
      <w:r w:rsidRPr="00577EC3">
        <w:t xml:space="preserve"> a o</w:t>
      </w:r>
      <w:r w:rsidR="00CE77AD">
        <w:t>uvert le débat général</w:t>
      </w:r>
      <w:r w:rsidR="00311274">
        <w:t xml:space="preserve"> sur le rapport.</w:t>
      </w:r>
    </w:p>
    <w:p w14:paraId="360339D7" w14:textId="67F75F9B" w:rsidR="00577EC3" w:rsidRPr="00577EC3" w:rsidRDefault="00CE77AD" w:rsidP="00AF7860">
      <w:pPr>
        <w:pStyle w:val="Orateurengris"/>
        <w:spacing w:before="120"/>
        <w:ind w:left="709" w:hanging="709"/>
        <w:rPr>
          <w:color w:val="000000"/>
        </w:rPr>
      </w:pPr>
      <w:r>
        <w:rPr>
          <w:color w:val="000000"/>
        </w:rPr>
        <w:t xml:space="preserve">La </w:t>
      </w:r>
      <w:r w:rsidRPr="00CE77AD">
        <w:rPr>
          <w:color w:val="000000"/>
        </w:rPr>
        <w:t>délégation</w:t>
      </w:r>
      <w:r>
        <w:rPr>
          <w:color w:val="000000"/>
        </w:rPr>
        <w:t xml:space="preserve"> de l</w:t>
      </w:r>
      <w:r w:rsidR="00346F1B">
        <w:rPr>
          <w:color w:val="000000"/>
        </w:rPr>
        <w:t>’</w:t>
      </w:r>
      <w:r w:rsidRPr="00CE77AD">
        <w:rPr>
          <w:b/>
          <w:color w:val="000000"/>
        </w:rPr>
        <w:t>Inde</w:t>
      </w:r>
      <w:r>
        <w:rPr>
          <w:color w:val="000000"/>
        </w:rPr>
        <w:t xml:space="preserve"> a félicité l</w:t>
      </w:r>
      <w:r w:rsidR="00346F1B">
        <w:rPr>
          <w:color w:val="000000"/>
        </w:rPr>
        <w:t>’</w:t>
      </w:r>
      <w:r>
        <w:rPr>
          <w:color w:val="000000"/>
        </w:rPr>
        <w:t>Organe d</w:t>
      </w:r>
      <w:r w:rsidR="00346F1B">
        <w:rPr>
          <w:color w:val="000000"/>
        </w:rPr>
        <w:t>’</w:t>
      </w:r>
      <w:r>
        <w:rPr>
          <w:color w:val="000000"/>
        </w:rPr>
        <w:t xml:space="preserve">évaluation pour la </w:t>
      </w:r>
      <w:r w:rsidRPr="00CE77AD">
        <w:rPr>
          <w:color w:val="000000"/>
        </w:rPr>
        <w:t>présentation</w:t>
      </w:r>
      <w:r>
        <w:rPr>
          <w:color w:val="000000"/>
        </w:rPr>
        <w:t xml:space="preserve"> de son rapport très exhaustif et pour son travail, ajoutant que traiter 50 dossiers de </w:t>
      </w:r>
      <w:r w:rsidRPr="00CE77AD">
        <w:rPr>
          <w:color w:val="000000"/>
        </w:rPr>
        <w:t>candidature</w:t>
      </w:r>
      <w:r>
        <w:rPr>
          <w:color w:val="000000"/>
        </w:rPr>
        <w:t xml:space="preserve"> en un an n</w:t>
      </w:r>
      <w:r w:rsidR="00346F1B">
        <w:rPr>
          <w:color w:val="000000"/>
        </w:rPr>
        <w:t>’</w:t>
      </w:r>
      <w:r>
        <w:rPr>
          <w:color w:val="000000"/>
        </w:rPr>
        <w:t xml:space="preserve">était pas un mince exploit. La </w:t>
      </w:r>
      <w:r w:rsidRPr="00CE77AD">
        <w:rPr>
          <w:color w:val="000000"/>
        </w:rPr>
        <w:t>délégation</w:t>
      </w:r>
      <w:r>
        <w:rPr>
          <w:color w:val="000000"/>
        </w:rPr>
        <w:t xml:space="preserve"> avait toutefois noté qu</w:t>
      </w:r>
      <w:r w:rsidR="00346F1B">
        <w:rPr>
          <w:color w:val="000000"/>
        </w:rPr>
        <w:t>’</w:t>
      </w:r>
      <w:r>
        <w:rPr>
          <w:color w:val="000000"/>
        </w:rPr>
        <w:t>il y avait plus de cas de renvoi qu</w:t>
      </w:r>
      <w:r w:rsidR="00346F1B">
        <w:rPr>
          <w:color w:val="000000"/>
        </w:rPr>
        <w:t>’</w:t>
      </w:r>
      <w:r>
        <w:rPr>
          <w:color w:val="000000"/>
        </w:rPr>
        <w:t>elle ne l</w:t>
      </w:r>
      <w:r w:rsidR="00346F1B">
        <w:rPr>
          <w:color w:val="000000"/>
        </w:rPr>
        <w:t>’</w:t>
      </w:r>
      <w:r>
        <w:rPr>
          <w:color w:val="000000"/>
        </w:rPr>
        <w:t>aurait souhaité et elle s</w:t>
      </w:r>
      <w:r w:rsidR="00346F1B">
        <w:rPr>
          <w:color w:val="000000"/>
        </w:rPr>
        <w:t>’</w:t>
      </w:r>
      <w:r>
        <w:rPr>
          <w:color w:val="000000"/>
        </w:rPr>
        <w:t xml:space="preserve">interrogeait sur les raisons de cette situation, </w:t>
      </w:r>
      <w:r w:rsidRPr="00CE77AD">
        <w:rPr>
          <w:color w:val="000000"/>
        </w:rPr>
        <w:t>en particulier</w:t>
      </w:r>
      <w:r>
        <w:rPr>
          <w:color w:val="000000"/>
        </w:rPr>
        <w:t xml:space="preserve"> </w:t>
      </w:r>
      <w:r w:rsidRPr="00CE77AD">
        <w:rPr>
          <w:color w:val="000000"/>
        </w:rPr>
        <w:t>parce que</w:t>
      </w:r>
      <w:r>
        <w:rPr>
          <w:color w:val="000000"/>
        </w:rPr>
        <w:t xml:space="preserve"> les </w:t>
      </w:r>
      <w:r w:rsidR="008A3BB3">
        <w:rPr>
          <w:color w:val="000000"/>
        </w:rPr>
        <w:t>m</w:t>
      </w:r>
      <w:r w:rsidR="00A46CAD">
        <w:rPr>
          <w:color w:val="000000"/>
        </w:rPr>
        <w:t>embres du Comité</w:t>
      </w:r>
      <w:r>
        <w:rPr>
          <w:color w:val="000000"/>
        </w:rPr>
        <w:t xml:space="preserve"> et les États parties n</w:t>
      </w:r>
      <w:r w:rsidR="00346F1B">
        <w:rPr>
          <w:color w:val="000000"/>
        </w:rPr>
        <w:t>’</w:t>
      </w:r>
      <w:r>
        <w:rPr>
          <w:color w:val="000000"/>
        </w:rPr>
        <w:t>avaient pas l</w:t>
      </w:r>
      <w:r w:rsidR="00346F1B">
        <w:rPr>
          <w:color w:val="000000"/>
        </w:rPr>
        <w:t>’</w:t>
      </w:r>
      <w:r w:rsidRPr="00CE77AD">
        <w:rPr>
          <w:color w:val="000000"/>
        </w:rPr>
        <w:t>opportunité</w:t>
      </w:r>
      <w:r>
        <w:rPr>
          <w:color w:val="000000"/>
        </w:rPr>
        <w:t xml:space="preserve"> d</w:t>
      </w:r>
      <w:r w:rsidR="003D37D9">
        <w:rPr>
          <w:color w:val="000000"/>
        </w:rPr>
        <w:t xml:space="preserve">e préciser les </w:t>
      </w:r>
      <w:r w:rsidR="003D37D9" w:rsidRPr="003D37D9">
        <w:rPr>
          <w:color w:val="000000"/>
        </w:rPr>
        <w:t>informations</w:t>
      </w:r>
      <w:r w:rsidR="003D37D9">
        <w:rPr>
          <w:color w:val="000000"/>
        </w:rPr>
        <w:t xml:space="preserve"> soumises ou</w:t>
      </w:r>
      <w:r>
        <w:rPr>
          <w:color w:val="000000"/>
        </w:rPr>
        <w:t xml:space="preserve"> de fournir des </w:t>
      </w:r>
      <w:r w:rsidRPr="00CE77AD">
        <w:rPr>
          <w:color w:val="000000"/>
        </w:rPr>
        <w:t>informations</w:t>
      </w:r>
      <w:r w:rsidR="003D37D9">
        <w:rPr>
          <w:color w:val="000000"/>
        </w:rPr>
        <w:t xml:space="preserve"> complémentaires, ce qui aurai</w:t>
      </w:r>
      <w:r w:rsidR="00C82A4D">
        <w:rPr>
          <w:color w:val="000000"/>
        </w:rPr>
        <w:t xml:space="preserve">t facilité la procédure. Elle a fait référence à la </w:t>
      </w:r>
      <w:r w:rsidR="00C82A4D" w:rsidRPr="00C82A4D">
        <w:rPr>
          <w:color w:val="000000"/>
        </w:rPr>
        <w:t>Convention</w:t>
      </w:r>
      <w:r w:rsidR="00C82A4D">
        <w:rPr>
          <w:color w:val="000000"/>
        </w:rPr>
        <w:t xml:space="preserve"> de 1972 qui proposait </w:t>
      </w:r>
      <w:r w:rsidR="003D37D9">
        <w:rPr>
          <w:color w:val="000000"/>
        </w:rPr>
        <w:t xml:space="preserve">dans </w:t>
      </w:r>
      <w:r w:rsidR="00C82A4D">
        <w:rPr>
          <w:color w:val="000000"/>
        </w:rPr>
        <w:t xml:space="preserve">la procédure un créneau clairement identifié au cours duquel les États parties communiquaient des </w:t>
      </w:r>
      <w:r w:rsidR="00C82A4D" w:rsidRPr="00C82A4D">
        <w:rPr>
          <w:color w:val="000000"/>
        </w:rPr>
        <w:t>informations</w:t>
      </w:r>
      <w:r w:rsidR="00C82A4D">
        <w:rPr>
          <w:color w:val="000000"/>
        </w:rPr>
        <w:t xml:space="preserve"> complémentaires qui permettaient inévitablement d</w:t>
      </w:r>
      <w:r w:rsidR="00346F1B">
        <w:rPr>
          <w:color w:val="000000"/>
        </w:rPr>
        <w:t>’</w:t>
      </w:r>
      <w:r w:rsidR="00C82A4D">
        <w:rPr>
          <w:color w:val="000000"/>
        </w:rPr>
        <w:t>améliorer les chances de réussite et d</w:t>
      </w:r>
      <w:r w:rsidR="00346F1B">
        <w:rPr>
          <w:color w:val="000000"/>
        </w:rPr>
        <w:t>’</w:t>
      </w:r>
      <w:r w:rsidR="00C82A4D" w:rsidRPr="00C82A4D">
        <w:rPr>
          <w:color w:val="000000"/>
        </w:rPr>
        <w:t>inscription</w:t>
      </w:r>
      <w:r w:rsidR="00C82A4D">
        <w:rPr>
          <w:color w:val="000000"/>
        </w:rPr>
        <w:t>, ce qui, après tout, était l</w:t>
      </w:r>
      <w:r w:rsidR="00346F1B">
        <w:rPr>
          <w:color w:val="000000"/>
        </w:rPr>
        <w:t>’</w:t>
      </w:r>
      <w:r w:rsidR="00C82A4D">
        <w:rPr>
          <w:color w:val="000000"/>
        </w:rPr>
        <w:t xml:space="preserve">objectif car cela </w:t>
      </w:r>
      <w:r w:rsidR="003D37D9">
        <w:rPr>
          <w:color w:val="000000"/>
        </w:rPr>
        <w:t xml:space="preserve">encourageait </w:t>
      </w:r>
      <w:r w:rsidR="00C82A4D">
        <w:rPr>
          <w:color w:val="000000"/>
        </w:rPr>
        <w:t>les communautés dans les pays d</w:t>
      </w:r>
      <w:r w:rsidR="00346F1B">
        <w:rPr>
          <w:color w:val="000000"/>
        </w:rPr>
        <w:t>’</w:t>
      </w:r>
      <w:r w:rsidR="00C82A4D">
        <w:rPr>
          <w:color w:val="000000"/>
        </w:rPr>
        <w:t xml:space="preserve">origine des candidatures. La </w:t>
      </w:r>
      <w:r w:rsidR="00C82A4D" w:rsidRPr="00C82A4D">
        <w:rPr>
          <w:color w:val="000000"/>
        </w:rPr>
        <w:t>délégation</w:t>
      </w:r>
      <w:r w:rsidR="00C82A4D">
        <w:rPr>
          <w:color w:val="000000"/>
        </w:rPr>
        <w:t xml:space="preserve"> a donc recommandé que la </w:t>
      </w:r>
      <w:r w:rsidR="00C82A4D" w:rsidRPr="00C82A4D">
        <w:rPr>
          <w:color w:val="000000"/>
        </w:rPr>
        <w:t>Convention</w:t>
      </w:r>
      <w:r w:rsidR="00C82A4D">
        <w:rPr>
          <w:color w:val="000000"/>
        </w:rPr>
        <w:t xml:space="preserve"> prévoie un créneau dans la chronologie de </w:t>
      </w:r>
      <w:r w:rsidR="003D37D9">
        <w:rPr>
          <w:color w:val="000000"/>
        </w:rPr>
        <w:t xml:space="preserve">la </w:t>
      </w:r>
      <w:r w:rsidR="00C82A4D">
        <w:rPr>
          <w:color w:val="000000"/>
        </w:rPr>
        <w:t xml:space="preserve">procédure au cours duquel les États parties pourraient préciser les </w:t>
      </w:r>
      <w:r w:rsidR="00C82A4D" w:rsidRPr="00C82A4D">
        <w:rPr>
          <w:color w:val="000000"/>
        </w:rPr>
        <w:t>informations</w:t>
      </w:r>
      <w:r w:rsidR="00C82A4D">
        <w:rPr>
          <w:color w:val="000000"/>
        </w:rPr>
        <w:t xml:space="preserve"> soumises et communiquer des </w:t>
      </w:r>
      <w:r w:rsidR="00C82A4D" w:rsidRPr="00C82A4D">
        <w:rPr>
          <w:color w:val="000000"/>
        </w:rPr>
        <w:t>informations</w:t>
      </w:r>
      <w:r w:rsidR="00C82A4D">
        <w:rPr>
          <w:color w:val="000000"/>
        </w:rPr>
        <w:t xml:space="preserve"> complémentaires. </w:t>
      </w:r>
      <w:r w:rsidR="00C30CE3">
        <w:rPr>
          <w:color w:val="000000"/>
        </w:rPr>
        <w:t>En outre, comme le précisait le rapport, 11 États parties n</w:t>
      </w:r>
      <w:r w:rsidR="00346F1B">
        <w:rPr>
          <w:color w:val="000000"/>
        </w:rPr>
        <w:t>’</w:t>
      </w:r>
      <w:r w:rsidR="00C30CE3">
        <w:rPr>
          <w:color w:val="000000"/>
        </w:rPr>
        <w:t xml:space="preserve">avaient pas réussi à </w:t>
      </w:r>
      <w:r w:rsidR="00F978E2">
        <w:rPr>
          <w:color w:val="000000"/>
        </w:rPr>
        <w:t>satisfaire le</w:t>
      </w:r>
      <w:r w:rsidR="00C30CE3">
        <w:rPr>
          <w:color w:val="000000"/>
        </w:rPr>
        <w:t xml:space="preserve"> critère R.2. </w:t>
      </w:r>
      <w:r w:rsidR="00F2142E">
        <w:rPr>
          <w:color w:val="000000"/>
        </w:rPr>
        <w:t xml:space="preserve">Il était donc important que le Secrétariat </w:t>
      </w:r>
      <w:r w:rsidR="00930B1A">
        <w:rPr>
          <w:color w:val="000000"/>
        </w:rPr>
        <w:t>apporte des éclaircissements sur</w:t>
      </w:r>
      <w:r w:rsidR="00F2142E">
        <w:rPr>
          <w:color w:val="000000"/>
        </w:rPr>
        <w:t xml:space="preserve"> le cri</w:t>
      </w:r>
      <w:r w:rsidR="00930B1A">
        <w:rPr>
          <w:color w:val="000000"/>
        </w:rPr>
        <w:t>tère R.2 afin que les États soumissionnaires sachent à quoi s</w:t>
      </w:r>
      <w:r w:rsidR="00346F1B">
        <w:rPr>
          <w:color w:val="000000"/>
        </w:rPr>
        <w:t>’</w:t>
      </w:r>
      <w:r w:rsidR="00930B1A">
        <w:rPr>
          <w:color w:val="000000"/>
        </w:rPr>
        <w:t xml:space="preserve">attendre. Grâce aux nouvelles </w:t>
      </w:r>
      <w:r w:rsidR="00930B1A" w:rsidRPr="00930B1A">
        <w:rPr>
          <w:color w:val="000000"/>
        </w:rPr>
        <w:t>orientations</w:t>
      </w:r>
      <w:r w:rsidR="00930B1A">
        <w:rPr>
          <w:color w:val="000000"/>
        </w:rPr>
        <w:t xml:space="preserve"> en vigueur, il était désormais difficile de faire une </w:t>
      </w:r>
      <w:r w:rsidR="00930B1A" w:rsidRPr="00930B1A">
        <w:rPr>
          <w:color w:val="000000"/>
        </w:rPr>
        <w:t>interprétation</w:t>
      </w:r>
      <w:r w:rsidR="00930B1A">
        <w:rPr>
          <w:color w:val="000000"/>
        </w:rPr>
        <w:t xml:space="preserve"> erronée du </w:t>
      </w:r>
      <w:r w:rsidR="00930B1A" w:rsidRPr="00930B1A">
        <w:rPr>
          <w:color w:val="000000"/>
        </w:rPr>
        <w:t>critère</w:t>
      </w:r>
      <w:r w:rsidR="00930B1A">
        <w:rPr>
          <w:color w:val="000000"/>
        </w:rPr>
        <w:t xml:space="preserve"> R.5. À ce sujet, la </w:t>
      </w:r>
      <w:r w:rsidR="00930B1A" w:rsidRPr="00930B1A">
        <w:rPr>
          <w:color w:val="000000"/>
        </w:rPr>
        <w:t>délégation</w:t>
      </w:r>
      <w:r w:rsidR="00930B1A">
        <w:rPr>
          <w:color w:val="000000"/>
        </w:rPr>
        <w:t xml:space="preserve"> a exprimé le souhait qu</w:t>
      </w:r>
      <w:r w:rsidR="00346F1B">
        <w:rPr>
          <w:color w:val="000000"/>
        </w:rPr>
        <w:t>’</w:t>
      </w:r>
      <w:r w:rsidR="00930B1A">
        <w:rPr>
          <w:color w:val="000000"/>
        </w:rPr>
        <w:t>une discussion plus approfondie soit organisée et a proposé qu</w:t>
      </w:r>
      <w:r w:rsidR="00346F1B">
        <w:rPr>
          <w:color w:val="000000"/>
        </w:rPr>
        <w:t>’</w:t>
      </w:r>
      <w:r w:rsidR="00930B1A">
        <w:rPr>
          <w:color w:val="000000"/>
        </w:rPr>
        <w:t xml:space="preserve">un </w:t>
      </w:r>
      <w:r w:rsidR="00881A0A">
        <w:rPr>
          <w:color w:val="000000"/>
        </w:rPr>
        <w:t>g</w:t>
      </w:r>
      <w:r w:rsidR="00930B1A" w:rsidRPr="00930B1A">
        <w:rPr>
          <w:color w:val="000000"/>
        </w:rPr>
        <w:t>roupe de travail</w:t>
      </w:r>
      <w:r w:rsidR="00930B1A">
        <w:rPr>
          <w:color w:val="000000"/>
        </w:rPr>
        <w:t xml:space="preserve"> </w:t>
      </w:r>
      <w:r w:rsidR="00881A0A">
        <w:rPr>
          <w:color w:val="000000"/>
        </w:rPr>
        <w:t xml:space="preserve">à composition </w:t>
      </w:r>
      <w:r w:rsidR="00930B1A">
        <w:rPr>
          <w:color w:val="000000"/>
        </w:rPr>
        <w:t>non limité</w:t>
      </w:r>
      <w:r w:rsidR="00881A0A">
        <w:rPr>
          <w:color w:val="000000"/>
        </w:rPr>
        <w:t>e</w:t>
      </w:r>
      <w:r w:rsidR="00930B1A">
        <w:rPr>
          <w:color w:val="000000"/>
        </w:rPr>
        <w:t xml:space="preserve"> soit mis en place, composé d</w:t>
      </w:r>
      <w:r w:rsidR="00346F1B">
        <w:rPr>
          <w:color w:val="000000"/>
        </w:rPr>
        <w:t>’</w:t>
      </w:r>
      <w:r w:rsidR="00930B1A">
        <w:rPr>
          <w:color w:val="000000"/>
        </w:rPr>
        <w:t xml:space="preserve">États parties et </w:t>
      </w:r>
      <w:r w:rsidR="00930B1A" w:rsidRPr="00930B1A">
        <w:rPr>
          <w:color w:val="000000"/>
        </w:rPr>
        <w:t>également</w:t>
      </w:r>
      <w:r w:rsidR="002567C8">
        <w:rPr>
          <w:color w:val="000000"/>
        </w:rPr>
        <w:t xml:space="preserve"> ouvert aux o</w:t>
      </w:r>
      <w:r w:rsidR="00930B1A">
        <w:rPr>
          <w:color w:val="000000"/>
        </w:rPr>
        <w:t>bservateurs, afin de formuler des recommandations qui seraient soumises à l</w:t>
      </w:r>
      <w:r w:rsidR="00346F1B">
        <w:rPr>
          <w:color w:val="000000"/>
        </w:rPr>
        <w:t>’</w:t>
      </w:r>
      <w:r w:rsidR="00930B1A">
        <w:rPr>
          <w:color w:val="000000"/>
        </w:rPr>
        <w:t>adoption du prochain Comité, puis de l</w:t>
      </w:r>
      <w:r w:rsidR="00346F1B">
        <w:rPr>
          <w:color w:val="000000"/>
        </w:rPr>
        <w:t>’</w:t>
      </w:r>
      <w:r w:rsidR="00930B1A">
        <w:rPr>
          <w:color w:val="000000"/>
        </w:rPr>
        <w:t xml:space="preserve">Assemblée générale, ce qui conduirait à une plus grande interaction, </w:t>
      </w:r>
      <w:r w:rsidR="003D37D9">
        <w:rPr>
          <w:color w:val="000000"/>
        </w:rPr>
        <w:t>une meilleure transparence et un dialogue renforcé entre l</w:t>
      </w:r>
      <w:r w:rsidR="00346F1B">
        <w:rPr>
          <w:color w:val="000000"/>
        </w:rPr>
        <w:t>’</w:t>
      </w:r>
      <w:r w:rsidR="003D37D9">
        <w:rPr>
          <w:color w:val="000000"/>
        </w:rPr>
        <w:t>Organe d</w:t>
      </w:r>
      <w:r w:rsidR="00346F1B">
        <w:rPr>
          <w:color w:val="000000"/>
        </w:rPr>
        <w:t>’</w:t>
      </w:r>
      <w:r w:rsidR="003D37D9">
        <w:rPr>
          <w:color w:val="000000"/>
        </w:rPr>
        <w:t>é</w:t>
      </w:r>
      <w:r w:rsidR="00311274">
        <w:rPr>
          <w:color w:val="000000"/>
        </w:rPr>
        <w:t>valuation et les États parties.</w:t>
      </w:r>
    </w:p>
    <w:p w14:paraId="597B8785" w14:textId="28B771DC" w:rsidR="003D37D9" w:rsidRDefault="003D37D9" w:rsidP="00AF7860">
      <w:pPr>
        <w:pStyle w:val="Orateurengris"/>
        <w:tabs>
          <w:tab w:val="left" w:pos="5529"/>
        </w:tabs>
        <w:spacing w:before="120"/>
        <w:ind w:left="709" w:hanging="709"/>
        <w:rPr>
          <w:color w:val="000000"/>
        </w:rPr>
      </w:pPr>
      <w:r w:rsidRPr="003D37D9">
        <w:rPr>
          <w:color w:val="000000"/>
        </w:rPr>
        <w:t xml:space="preserve">La délégation de la </w:t>
      </w:r>
      <w:r w:rsidRPr="00CF1699">
        <w:rPr>
          <w:b/>
          <w:color w:val="000000"/>
        </w:rPr>
        <w:t>Palestine</w:t>
      </w:r>
      <w:r w:rsidRPr="003D37D9">
        <w:rPr>
          <w:color w:val="000000"/>
        </w:rPr>
        <w:t xml:space="preserve"> a remercié le Rapporteur</w:t>
      </w:r>
      <w:r>
        <w:rPr>
          <w:color w:val="000000"/>
        </w:rPr>
        <w:t xml:space="preserve"> et le Secrétariat pour leur </w:t>
      </w:r>
      <w:r w:rsidR="00CF1699">
        <w:rPr>
          <w:color w:val="000000"/>
        </w:rPr>
        <w:t>rapport</w:t>
      </w:r>
      <w:r>
        <w:rPr>
          <w:color w:val="000000"/>
        </w:rPr>
        <w:t xml:space="preserve"> très clair et le document de travail. Elle a </w:t>
      </w:r>
      <w:r w:rsidRPr="003D37D9">
        <w:rPr>
          <w:color w:val="000000"/>
        </w:rPr>
        <w:t>également</w:t>
      </w:r>
      <w:r>
        <w:rPr>
          <w:color w:val="000000"/>
        </w:rPr>
        <w:t xml:space="preserve"> remercié l</w:t>
      </w:r>
      <w:r w:rsidR="00346F1B">
        <w:rPr>
          <w:color w:val="000000"/>
        </w:rPr>
        <w:t>’</w:t>
      </w:r>
      <w:r>
        <w:rPr>
          <w:color w:val="000000"/>
        </w:rPr>
        <w:t xml:space="preserve">Inde pour ses remarques qui </w:t>
      </w:r>
      <w:r w:rsidR="00CF1699">
        <w:rPr>
          <w:color w:val="000000"/>
        </w:rPr>
        <w:t>s</w:t>
      </w:r>
      <w:r w:rsidR="00346F1B">
        <w:rPr>
          <w:color w:val="000000"/>
        </w:rPr>
        <w:t>’</w:t>
      </w:r>
      <w:r w:rsidR="00CF1699">
        <w:rPr>
          <w:color w:val="000000"/>
        </w:rPr>
        <w:t xml:space="preserve">accordaient avec </w:t>
      </w:r>
      <w:r>
        <w:rPr>
          <w:color w:val="000000"/>
        </w:rPr>
        <w:t>sa propre opinion sur le sujet, à savoir ce qui devrait être fait par les États soumissionnaires afin d</w:t>
      </w:r>
      <w:r w:rsidR="00346F1B">
        <w:rPr>
          <w:color w:val="000000"/>
        </w:rPr>
        <w:t>’</w:t>
      </w:r>
      <w:r>
        <w:rPr>
          <w:color w:val="000000"/>
        </w:rPr>
        <w:t>améliorer leurs chances de réussite. Même si elle appréciait le travail accompli par l</w:t>
      </w:r>
      <w:r w:rsidR="00346F1B">
        <w:rPr>
          <w:color w:val="000000"/>
        </w:rPr>
        <w:t>’</w:t>
      </w:r>
      <w:r>
        <w:rPr>
          <w:color w:val="000000"/>
        </w:rPr>
        <w:t>Organe d</w:t>
      </w:r>
      <w:r w:rsidR="00346F1B">
        <w:rPr>
          <w:color w:val="000000"/>
        </w:rPr>
        <w:t>’</w:t>
      </w:r>
      <w:r>
        <w:rPr>
          <w:color w:val="000000"/>
        </w:rPr>
        <w:t>évaluation, elle estimait qu</w:t>
      </w:r>
      <w:r w:rsidR="00346F1B">
        <w:rPr>
          <w:color w:val="000000"/>
        </w:rPr>
        <w:t>’</w:t>
      </w:r>
      <w:r>
        <w:rPr>
          <w:color w:val="000000"/>
        </w:rPr>
        <w:t xml:space="preserve">il restait encore beaucoup à faire pour améliorer les méthodes mises en œuvre, renforçant ainsi les chances des États soumissionnaires. La </w:t>
      </w:r>
      <w:r w:rsidRPr="003D37D9">
        <w:rPr>
          <w:color w:val="000000"/>
        </w:rPr>
        <w:t>délégation</w:t>
      </w:r>
      <w:r w:rsidR="006067DF">
        <w:rPr>
          <w:color w:val="000000"/>
        </w:rPr>
        <w:t xml:space="preserve"> souhaitait</w:t>
      </w:r>
      <w:r>
        <w:rPr>
          <w:color w:val="000000"/>
        </w:rPr>
        <w:t xml:space="preserve"> que le </w:t>
      </w:r>
      <w:r w:rsidRPr="003D37D9">
        <w:rPr>
          <w:color w:val="000000"/>
        </w:rPr>
        <w:t>Rapporteur</w:t>
      </w:r>
      <w:r>
        <w:rPr>
          <w:color w:val="000000"/>
        </w:rPr>
        <w:t xml:space="preserve"> apporte des éclaircissements sur l</w:t>
      </w:r>
      <w:r w:rsidR="00346F1B">
        <w:rPr>
          <w:color w:val="000000"/>
        </w:rPr>
        <w:t>’</w:t>
      </w:r>
      <w:r w:rsidRPr="003D37D9">
        <w:rPr>
          <w:color w:val="000000"/>
        </w:rPr>
        <w:t>utilisation</w:t>
      </w:r>
      <w:r>
        <w:rPr>
          <w:color w:val="000000"/>
        </w:rPr>
        <w:t xml:space="preserve"> du Registre des </w:t>
      </w:r>
      <w:r w:rsidRPr="00CF1699">
        <w:rPr>
          <w:i/>
          <w:color w:val="000000"/>
        </w:rPr>
        <w:t>meilleures pratiques de sauvegarde</w:t>
      </w:r>
      <w:r>
        <w:rPr>
          <w:color w:val="000000"/>
        </w:rPr>
        <w:t xml:space="preserve"> et du Registre des </w:t>
      </w:r>
      <w:r w:rsidRPr="00CF1699">
        <w:rPr>
          <w:i/>
          <w:color w:val="000000"/>
        </w:rPr>
        <w:t>bonnes pratiques de sauvegarde</w:t>
      </w:r>
      <w:r>
        <w:rPr>
          <w:color w:val="000000"/>
        </w:rPr>
        <w:t xml:space="preserve">. </w:t>
      </w:r>
      <w:r w:rsidR="00CF1699">
        <w:rPr>
          <w:color w:val="000000"/>
        </w:rPr>
        <w:t xml:space="preserve">La </w:t>
      </w:r>
      <w:r w:rsidR="00CF1699" w:rsidRPr="00CF1699">
        <w:rPr>
          <w:color w:val="000000"/>
        </w:rPr>
        <w:t>délégation</w:t>
      </w:r>
      <w:r w:rsidR="00CF1699">
        <w:rPr>
          <w:color w:val="000000"/>
        </w:rPr>
        <w:t xml:space="preserve"> appréciait beaucoup le difficile travail du Secrétaria</w:t>
      </w:r>
      <w:r w:rsidR="006067DF">
        <w:rPr>
          <w:color w:val="000000"/>
        </w:rPr>
        <w:t>t mais estimait</w:t>
      </w:r>
      <w:r w:rsidR="00CF1699">
        <w:rPr>
          <w:color w:val="000000"/>
        </w:rPr>
        <w:t xml:space="preserve"> que le projet de décision proposé était trop long car il comprenait certains </w:t>
      </w:r>
      <w:r w:rsidR="00CF1699" w:rsidRPr="00CF1699">
        <w:rPr>
          <w:color w:val="000000"/>
        </w:rPr>
        <w:t>p</w:t>
      </w:r>
      <w:r w:rsidR="00CF1699">
        <w:rPr>
          <w:color w:val="000000"/>
        </w:rPr>
        <w:t xml:space="preserve">aragraphes opérationnels </w:t>
      </w:r>
      <w:r w:rsidR="006067DF">
        <w:rPr>
          <w:color w:val="000000"/>
        </w:rPr>
        <w:t xml:space="preserve">qui pouvaient être omis. Elle a </w:t>
      </w:r>
      <w:r w:rsidR="00CF1699">
        <w:rPr>
          <w:color w:val="000000"/>
        </w:rPr>
        <w:t>suggéré de s</w:t>
      </w:r>
      <w:r w:rsidR="00346F1B">
        <w:rPr>
          <w:color w:val="000000"/>
        </w:rPr>
        <w:t>’</w:t>
      </w:r>
      <w:r w:rsidR="00CF1699">
        <w:rPr>
          <w:color w:val="000000"/>
        </w:rPr>
        <w:t>en tenir à l</w:t>
      </w:r>
      <w:r w:rsidR="00346F1B">
        <w:rPr>
          <w:color w:val="000000"/>
        </w:rPr>
        <w:t>’</w:t>
      </w:r>
      <w:r w:rsidR="00CF1699">
        <w:rPr>
          <w:color w:val="000000"/>
        </w:rPr>
        <w:t xml:space="preserve">objectif de la décision et de conserver le contenu des </w:t>
      </w:r>
      <w:r w:rsidR="00CF1699" w:rsidRPr="00CF1699">
        <w:rPr>
          <w:color w:val="000000"/>
        </w:rPr>
        <w:t>p</w:t>
      </w:r>
      <w:r w:rsidR="00CF1699">
        <w:rPr>
          <w:color w:val="000000"/>
        </w:rPr>
        <w:t xml:space="preserve">aragraphes opérationnels dans le </w:t>
      </w:r>
      <w:r w:rsidR="00311274">
        <w:rPr>
          <w:color w:val="000000"/>
        </w:rPr>
        <w:t>préambule non numéroté.</w:t>
      </w:r>
    </w:p>
    <w:p w14:paraId="78B05DBB" w14:textId="7A4A330A" w:rsidR="003D37D9" w:rsidRPr="003D37D9" w:rsidRDefault="00921AAC" w:rsidP="00AF7860">
      <w:pPr>
        <w:pStyle w:val="Orateurengris"/>
        <w:tabs>
          <w:tab w:val="left" w:pos="5529"/>
        </w:tabs>
        <w:spacing w:before="120"/>
        <w:ind w:left="709" w:hanging="709"/>
        <w:rPr>
          <w:color w:val="000000"/>
        </w:rPr>
      </w:pPr>
      <w:r>
        <w:rPr>
          <w:color w:val="000000"/>
        </w:rPr>
        <w:t xml:space="preserve">Le </w:t>
      </w:r>
      <w:r w:rsidRPr="00921AAC">
        <w:rPr>
          <w:b/>
          <w:color w:val="000000"/>
        </w:rPr>
        <w:t>Président</w:t>
      </w:r>
      <w:r>
        <w:rPr>
          <w:color w:val="000000"/>
        </w:rPr>
        <w:t xml:space="preserve"> a donné la parole au </w:t>
      </w:r>
      <w:r w:rsidRPr="00921AAC">
        <w:rPr>
          <w:color w:val="000000"/>
        </w:rPr>
        <w:t>Rapporteur</w:t>
      </w:r>
      <w:r w:rsidR="00311274">
        <w:rPr>
          <w:color w:val="000000"/>
        </w:rPr>
        <w:t xml:space="preserve"> afin qu</w:t>
      </w:r>
      <w:r w:rsidR="00346F1B">
        <w:rPr>
          <w:color w:val="000000"/>
        </w:rPr>
        <w:t>’</w:t>
      </w:r>
      <w:r w:rsidR="00311274">
        <w:rPr>
          <w:color w:val="000000"/>
        </w:rPr>
        <w:t>il réponde.</w:t>
      </w:r>
    </w:p>
    <w:p w14:paraId="50077844" w14:textId="3064ADC2" w:rsidR="008C7495" w:rsidRPr="008C7495" w:rsidRDefault="008C7495" w:rsidP="00AF7860">
      <w:pPr>
        <w:pStyle w:val="Orateurengris"/>
        <w:spacing w:before="120"/>
        <w:ind w:left="709" w:hanging="709"/>
        <w:rPr>
          <w:color w:val="000000"/>
        </w:rPr>
      </w:pPr>
      <w:r w:rsidRPr="008C7495">
        <w:rPr>
          <w:color w:val="000000"/>
        </w:rPr>
        <w:t xml:space="preserve">Le </w:t>
      </w:r>
      <w:r w:rsidRPr="008C7495">
        <w:rPr>
          <w:b/>
          <w:color w:val="000000"/>
        </w:rPr>
        <w:t>Rapporteur</w:t>
      </w:r>
      <w:r w:rsidRPr="008C7495">
        <w:rPr>
          <w:color w:val="000000"/>
        </w:rPr>
        <w:t xml:space="preserve"> a précisé </w:t>
      </w:r>
      <w:r>
        <w:rPr>
          <w:color w:val="000000"/>
        </w:rPr>
        <w:t xml:space="preserve">que le nom officiel du </w:t>
      </w:r>
      <w:r w:rsidRPr="008C7495">
        <w:rPr>
          <w:color w:val="000000"/>
        </w:rPr>
        <w:t>mécanisme</w:t>
      </w:r>
      <w:r>
        <w:rPr>
          <w:color w:val="000000"/>
        </w:rPr>
        <w:t xml:space="preserve"> était « Registre des programmes, projets et activités reflétant le mieux les principes et objectifs de la </w:t>
      </w:r>
      <w:r w:rsidRPr="008C7495">
        <w:rPr>
          <w:color w:val="000000"/>
        </w:rPr>
        <w:t>Convention</w:t>
      </w:r>
      <w:r>
        <w:rPr>
          <w:color w:val="000000"/>
        </w:rPr>
        <w:t> », bien que son nom d</w:t>
      </w:r>
      <w:r w:rsidR="00346F1B">
        <w:rPr>
          <w:color w:val="000000"/>
        </w:rPr>
        <w:t>’</w:t>
      </w:r>
      <w:r>
        <w:rPr>
          <w:color w:val="000000"/>
        </w:rPr>
        <w:t>usage également utilisé soit « Registre des meilleures pratiques de sauvegarde ». L</w:t>
      </w:r>
      <w:r w:rsidR="00346F1B">
        <w:rPr>
          <w:color w:val="000000"/>
        </w:rPr>
        <w:t>’</w:t>
      </w:r>
      <w:r>
        <w:rPr>
          <w:color w:val="000000"/>
        </w:rPr>
        <w:t>Organe d</w:t>
      </w:r>
      <w:r w:rsidR="00346F1B">
        <w:rPr>
          <w:color w:val="000000"/>
        </w:rPr>
        <w:t>’</w:t>
      </w:r>
      <w:r>
        <w:rPr>
          <w:color w:val="000000"/>
        </w:rPr>
        <w:t>évaluation s</w:t>
      </w:r>
      <w:r w:rsidR="00346F1B">
        <w:rPr>
          <w:color w:val="000000"/>
        </w:rPr>
        <w:t>’</w:t>
      </w:r>
      <w:r>
        <w:rPr>
          <w:color w:val="000000"/>
        </w:rPr>
        <w:t>était toutefois interrogé pour savoir si le nom d</w:t>
      </w:r>
      <w:r w:rsidR="00346F1B">
        <w:rPr>
          <w:color w:val="000000"/>
        </w:rPr>
        <w:t>’</w:t>
      </w:r>
      <w:r>
        <w:rPr>
          <w:color w:val="000000"/>
        </w:rPr>
        <w:t xml:space="preserve">usage « Registre des bonnes pratiques de </w:t>
      </w:r>
      <w:r w:rsidRPr="008C7495">
        <w:rPr>
          <w:color w:val="000000"/>
        </w:rPr>
        <w:t>sauvegarde</w:t>
      </w:r>
      <w:r>
        <w:rPr>
          <w:color w:val="000000"/>
        </w:rPr>
        <w:t> » ne pourrait pas être utilisé pour les raisons présentées dans le rapport. S</w:t>
      </w:r>
      <w:r w:rsidR="00346F1B">
        <w:rPr>
          <w:color w:val="000000"/>
        </w:rPr>
        <w:t>’</w:t>
      </w:r>
      <w:r>
        <w:rPr>
          <w:color w:val="000000"/>
        </w:rPr>
        <w:t>agissant</w:t>
      </w:r>
      <w:r w:rsidR="00C8312D">
        <w:rPr>
          <w:color w:val="000000"/>
        </w:rPr>
        <w:t xml:space="preserve"> du créneau qui permettrait </w:t>
      </w:r>
      <w:r>
        <w:rPr>
          <w:color w:val="000000"/>
        </w:rPr>
        <w:t>aux État soumissionnaire de dialoguer avec l</w:t>
      </w:r>
      <w:r w:rsidR="00346F1B">
        <w:rPr>
          <w:color w:val="000000"/>
        </w:rPr>
        <w:t>’</w:t>
      </w:r>
      <w:r>
        <w:rPr>
          <w:color w:val="000000"/>
        </w:rPr>
        <w:t>Organe d</w:t>
      </w:r>
      <w:r w:rsidR="00346F1B">
        <w:rPr>
          <w:color w:val="000000"/>
        </w:rPr>
        <w:t>’</w:t>
      </w:r>
      <w:r>
        <w:rPr>
          <w:color w:val="000000"/>
        </w:rPr>
        <w:t xml:space="preserve">évaluation, la </w:t>
      </w:r>
      <w:r w:rsidRPr="008C7495">
        <w:rPr>
          <w:color w:val="000000"/>
        </w:rPr>
        <w:t>Rapporteur</w:t>
      </w:r>
      <w:r>
        <w:rPr>
          <w:color w:val="000000"/>
        </w:rPr>
        <w:t xml:space="preserve"> avait le sentiment que le Secrétariat serait pl</w:t>
      </w:r>
      <w:r w:rsidR="00311274">
        <w:rPr>
          <w:color w:val="000000"/>
        </w:rPr>
        <w:t>us à même de préciser ce point.</w:t>
      </w:r>
    </w:p>
    <w:p w14:paraId="54C4F5CF" w14:textId="3D59CFC1" w:rsidR="00C8312D" w:rsidRPr="00C8312D" w:rsidRDefault="00C8312D" w:rsidP="00AF7860">
      <w:pPr>
        <w:pStyle w:val="Orateurengris"/>
        <w:spacing w:before="120"/>
        <w:ind w:left="709" w:hanging="709"/>
        <w:rPr>
          <w:color w:val="000000"/>
        </w:rPr>
      </w:pPr>
      <w:r w:rsidRPr="00C8312D">
        <w:rPr>
          <w:color w:val="000000"/>
        </w:rPr>
        <w:t xml:space="preserve">Le </w:t>
      </w:r>
      <w:r w:rsidRPr="00C8312D">
        <w:rPr>
          <w:b/>
          <w:color w:val="000000"/>
        </w:rPr>
        <w:t>Secrétaire</w:t>
      </w:r>
      <w:r w:rsidRPr="00C8312D">
        <w:rPr>
          <w:color w:val="000000"/>
        </w:rPr>
        <w:t xml:space="preserve"> a pris note </w:t>
      </w:r>
      <w:r>
        <w:rPr>
          <w:color w:val="000000"/>
        </w:rPr>
        <w:t xml:space="preserve">du </w:t>
      </w:r>
      <w:r w:rsidRPr="00C8312D">
        <w:rPr>
          <w:color w:val="000000"/>
        </w:rPr>
        <w:t>commentaire</w:t>
      </w:r>
      <w:r>
        <w:rPr>
          <w:color w:val="000000"/>
        </w:rPr>
        <w:t xml:space="preserve"> relatif au projet de décision. Toutefois, la procédure du point 10 de l</w:t>
      </w:r>
      <w:r w:rsidR="00346F1B">
        <w:rPr>
          <w:color w:val="000000"/>
        </w:rPr>
        <w:t>’</w:t>
      </w:r>
      <w:r w:rsidRPr="00C8312D">
        <w:rPr>
          <w:color w:val="000000"/>
        </w:rPr>
        <w:t>ordre du jour</w:t>
      </w:r>
      <w:r>
        <w:rPr>
          <w:color w:val="000000"/>
        </w:rPr>
        <w:t xml:space="preserve"> prévoyait d</w:t>
      </w:r>
      <w:r w:rsidR="00346F1B">
        <w:rPr>
          <w:color w:val="000000"/>
        </w:rPr>
        <w:t>’</w:t>
      </w:r>
      <w:r>
        <w:rPr>
          <w:color w:val="000000"/>
        </w:rPr>
        <w:t>adopter dans un premier temps les décisions sur les candidatures [au titre des points 10.a, 10.b et 10.c de l</w:t>
      </w:r>
      <w:r w:rsidR="00346F1B">
        <w:rPr>
          <w:color w:val="000000"/>
        </w:rPr>
        <w:t>’</w:t>
      </w:r>
      <w:r w:rsidRPr="00C8312D">
        <w:rPr>
          <w:color w:val="000000"/>
        </w:rPr>
        <w:t>ordre du jour</w:t>
      </w:r>
      <w:r>
        <w:rPr>
          <w:color w:val="000000"/>
        </w:rPr>
        <w:t>], puis une décision générale « chapeau ». Le Comité pouvait évidemment choisir de débattre de la méthode de travail à ce moment de la session, mais il y avait un risque que ce débat retarde l</w:t>
      </w:r>
      <w:r w:rsidR="00346F1B">
        <w:rPr>
          <w:color w:val="000000"/>
        </w:rPr>
        <w:t>’</w:t>
      </w:r>
      <w:r>
        <w:rPr>
          <w:color w:val="000000"/>
        </w:rPr>
        <w:t xml:space="preserve">examen des dossiers de candidature qui était impatiemment attendu par de nombreuses personnes. Le </w:t>
      </w:r>
      <w:r w:rsidRPr="00C8312D">
        <w:rPr>
          <w:color w:val="000000"/>
        </w:rPr>
        <w:t>Secrétaire</w:t>
      </w:r>
      <w:r>
        <w:rPr>
          <w:color w:val="000000"/>
        </w:rPr>
        <w:t xml:space="preserve"> a expliqué que le point 10 était structuré de façon à ce que le débat sur la procédure et les futurs travaux de l</w:t>
      </w:r>
      <w:r w:rsidR="00346F1B">
        <w:rPr>
          <w:color w:val="000000"/>
        </w:rPr>
        <w:t>’</w:t>
      </w:r>
      <w:r>
        <w:rPr>
          <w:color w:val="000000"/>
        </w:rPr>
        <w:t>Organe d</w:t>
      </w:r>
      <w:r w:rsidR="00346F1B">
        <w:rPr>
          <w:color w:val="000000"/>
        </w:rPr>
        <w:t>’</w:t>
      </w:r>
      <w:r>
        <w:rPr>
          <w:color w:val="000000"/>
        </w:rPr>
        <w:t>évaluation se déroule après l</w:t>
      </w:r>
      <w:r w:rsidR="00346F1B">
        <w:rPr>
          <w:color w:val="000000"/>
        </w:rPr>
        <w:t>’</w:t>
      </w:r>
      <w:r>
        <w:rPr>
          <w:color w:val="000000"/>
        </w:rPr>
        <w:t>examen de tous les dossiers de candidature.</w:t>
      </w:r>
    </w:p>
    <w:p w14:paraId="74AF1318" w14:textId="20B4FA30" w:rsidR="00D016D1" w:rsidRPr="00D016D1" w:rsidRDefault="00D016D1" w:rsidP="00AF7860">
      <w:pPr>
        <w:pStyle w:val="Orateurengris"/>
        <w:spacing w:before="120"/>
        <w:ind w:left="709" w:hanging="709"/>
        <w:rPr>
          <w:color w:val="000000"/>
        </w:rPr>
      </w:pPr>
      <w:r w:rsidRPr="00D016D1">
        <w:rPr>
          <w:color w:val="000000"/>
        </w:rPr>
        <w:t xml:space="preserve">Le </w:t>
      </w:r>
      <w:r w:rsidRPr="00D016D1">
        <w:rPr>
          <w:b/>
          <w:color w:val="000000"/>
        </w:rPr>
        <w:t>Président</w:t>
      </w:r>
      <w:r w:rsidRPr="00D016D1">
        <w:rPr>
          <w:color w:val="000000"/>
        </w:rPr>
        <w:t xml:space="preserve"> a confirmé que le </w:t>
      </w:r>
      <w:r>
        <w:rPr>
          <w:color w:val="000000"/>
        </w:rPr>
        <w:t>Comité reviendra</w:t>
      </w:r>
      <w:r w:rsidR="00311274">
        <w:rPr>
          <w:color w:val="000000"/>
        </w:rPr>
        <w:t>it sur les questions soulevées.</w:t>
      </w:r>
    </w:p>
    <w:p w14:paraId="776870B6" w14:textId="46210956" w:rsidR="00D016D1" w:rsidRDefault="00910856" w:rsidP="00AF7860">
      <w:pPr>
        <w:pStyle w:val="Orateurengris"/>
        <w:spacing w:before="120"/>
        <w:ind w:left="709" w:hanging="709"/>
        <w:rPr>
          <w:color w:val="000000"/>
        </w:rPr>
      </w:pPr>
      <w:r w:rsidRPr="00910856">
        <w:rPr>
          <w:color w:val="000000"/>
        </w:rPr>
        <w:t xml:space="preserve">La délégation du </w:t>
      </w:r>
      <w:r w:rsidRPr="00910856">
        <w:rPr>
          <w:b/>
          <w:color w:val="000000"/>
        </w:rPr>
        <w:t>Sénégal</w:t>
      </w:r>
      <w:r w:rsidRPr="00910856">
        <w:rPr>
          <w:color w:val="000000"/>
        </w:rPr>
        <w:t xml:space="preserve"> a félicité le </w:t>
      </w:r>
      <w:r>
        <w:rPr>
          <w:color w:val="000000"/>
        </w:rPr>
        <w:t>Secrétariat et l</w:t>
      </w:r>
      <w:r w:rsidR="00346F1B">
        <w:rPr>
          <w:color w:val="000000"/>
        </w:rPr>
        <w:t>’</w:t>
      </w:r>
      <w:r>
        <w:rPr>
          <w:color w:val="000000"/>
        </w:rPr>
        <w:t>Organe d</w:t>
      </w:r>
      <w:r w:rsidR="00346F1B">
        <w:rPr>
          <w:color w:val="000000"/>
        </w:rPr>
        <w:t>’</w:t>
      </w:r>
      <w:r>
        <w:rPr>
          <w:color w:val="000000"/>
        </w:rPr>
        <w:t>évaluation pour toute la procédure d</w:t>
      </w:r>
      <w:r w:rsidR="00346F1B">
        <w:rPr>
          <w:color w:val="000000"/>
        </w:rPr>
        <w:t>’</w:t>
      </w:r>
      <w:r w:rsidRPr="00910856">
        <w:rPr>
          <w:color w:val="000000"/>
        </w:rPr>
        <w:t>évaluation</w:t>
      </w:r>
      <w:r>
        <w:rPr>
          <w:color w:val="000000"/>
        </w:rPr>
        <w:t xml:space="preserve"> des dossiers de candidature, </w:t>
      </w:r>
      <w:r w:rsidRPr="00910856">
        <w:rPr>
          <w:color w:val="000000"/>
        </w:rPr>
        <w:t>en particulier</w:t>
      </w:r>
      <w:r>
        <w:rPr>
          <w:color w:val="000000"/>
        </w:rPr>
        <w:t xml:space="preserve"> le Secrétariat pour la phase de </w:t>
      </w:r>
      <w:r w:rsidRPr="00910856">
        <w:rPr>
          <w:color w:val="000000"/>
        </w:rPr>
        <w:t>préparation</w:t>
      </w:r>
      <w:r>
        <w:rPr>
          <w:color w:val="000000"/>
        </w:rPr>
        <w:t xml:space="preserve"> avec son </w:t>
      </w:r>
      <w:r w:rsidRPr="00910856">
        <w:rPr>
          <w:color w:val="000000"/>
        </w:rPr>
        <w:t>évaluation</w:t>
      </w:r>
      <w:r>
        <w:rPr>
          <w:color w:val="000000"/>
        </w:rPr>
        <w:t xml:space="preserve"> technique. La </w:t>
      </w:r>
      <w:r w:rsidRPr="00910856">
        <w:rPr>
          <w:color w:val="000000"/>
        </w:rPr>
        <w:t>délégation</w:t>
      </w:r>
      <w:r>
        <w:rPr>
          <w:color w:val="000000"/>
        </w:rPr>
        <w:t xml:space="preserve"> a dit apprécier l</w:t>
      </w:r>
      <w:r w:rsidR="00346F1B">
        <w:rPr>
          <w:color w:val="000000"/>
        </w:rPr>
        <w:t>’</w:t>
      </w:r>
      <w:r>
        <w:rPr>
          <w:color w:val="000000"/>
        </w:rPr>
        <w:t>énorme travail réalisé et a salué l</w:t>
      </w:r>
      <w:r w:rsidR="00346F1B">
        <w:rPr>
          <w:color w:val="000000"/>
        </w:rPr>
        <w:t>’</w:t>
      </w:r>
      <w:r>
        <w:rPr>
          <w:color w:val="000000"/>
        </w:rPr>
        <w:t>expertise de l</w:t>
      </w:r>
      <w:r w:rsidR="00346F1B">
        <w:rPr>
          <w:color w:val="000000"/>
        </w:rPr>
        <w:t>’</w:t>
      </w:r>
      <w:r>
        <w:rPr>
          <w:color w:val="000000"/>
        </w:rPr>
        <w:t>Organe d</w:t>
      </w:r>
      <w:r w:rsidR="00346F1B">
        <w:rPr>
          <w:color w:val="000000"/>
        </w:rPr>
        <w:t>’</w:t>
      </w:r>
      <w:r>
        <w:rPr>
          <w:color w:val="000000"/>
        </w:rPr>
        <w:t>évaluation.</w:t>
      </w:r>
    </w:p>
    <w:p w14:paraId="50B1797F" w14:textId="5398E4B8" w:rsidR="00910856" w:rsidRPr="00910856" w:rsidRDefault="00910856" w:rsidP="00AF7860">
      <w:pPr>
        <w:pStyle w:val="Orateurengris"/>
        <w:spacing w:before="120"/>
        <w:ind w:left="709" w:hanging="709"/>
        <w:rPr>
          <w:color w:val="000000"/>
        </w:rPr>
      </w:pPr>
      <w:r w:rsidRPr="00910856">
        <w:rPr>
          <w:color w:val="000000"/>
        </w:rPr>
        <w:t>L</w:t>
      </w:r>
      <w:r w:rsidR="00346F1B">
        <w:rPr>
          <w:color w:val="000000"/>
        </w:rPr>
        <w:t>’</w:t>
      </w:r>
      <w:r w:rsidRPr="00910856">
        <w:rPr>
          <w:color w:val="000000"/>
        </w:rPr>
        <w:t xml:space="preserve">intervention a été interrompue par la délégation de Cuba, le </w:t>
      </w:r>
      <w:r w:rsidRPr="00910856">
        <w:rPr>
          <w:b/>
          <w:color w:val="000000"/>
        </w:rPr>
        <w:t>Président</w:t>
      </w:r>
      <w:r w:rsidRPr="00910856">
        <w:rPr>
          <w:color w:val="000000"/>
        </w:rPr>
        <w:t xml:space="preserve"> a </w:t>
      </w:r>
      <w:r w:rsidR="00786502">
        <w:rPr>
          <w:color w:val="000000"/>
        </w:rPr>
        <w:t>pris note d</w:t>
      </w:r>
      <w:r w:rsidR="00346F1B">
        <w:rPr>
          <w:color w:val="000000"/>
        </w:rPr>
        <w:t>’</w:t>
      </w:r>
      <w:r w:rsidRPr="00910856">
        <w:rPr>
          <w:color w:val="000000"/>
        </w:rPr>
        <w:t>une motion d</w:t>
      </w:r>
      <w:r w:rsidR="00346F1B">
        <w:rPr>
          <w:color w:val="000000"/>
        </w:rPr>
        <w:t>’</w:t>
      </w:r>
      <w:r w:rsidRPr="00910856">
        <w:rPr>
          <w:color w:val="000000"/>
        </w:rPr>
        <w:t>ordre de la part de Cuba</w:t>
      </w:r>
      <w:r>
        <w:rPr>
          <w:color w:val="000000"/>
        </w:rPr>
        <w:t>.</w:t>
      </w:r>
    </w:p>
    <w:p w14:paraId="27F7356C" w14:textId="6900AE13" w:rsidR="00786502" w:rsidRPr="00786502" w:rsidRDefault="00786502" w:rsidP="00AF7860">
      <w:pPr>
        <w:pStyle w:val="Orateurengris"/>
        <w:spacing w:before="120"/>
        <w:ind w:left="709" w:hanging="709"/>
        <w:rPr>
          <w:color w:val="000000"/>
        </w:rPr>
      </w:pPr>
      <w:r w:rsidRPr="00786502">
        <w:rPr>
          <w:color w:val="000000"/>
        </w:rPr>
        <w:t xml:space="preserve">La délégation de </w:t>
      </w:r>
      <w:r w:rsidRPr="00786502">
        <w:rPr>
          <w:b/>
          <w:color w:val="000000"/>
        </w:rPr>
        <w:t>Cuba</w:t>
      </w:r>
      <w:r>
        <w:rPr>
          <w:color w:val="000000"/>
        </w:rPr>
        <w:t xml:space="preserve"> a convenu que le travail du Comité serait facilité si le débat était reporté plus tard, ajoutant que le report du débat ne signifiait pas que le Comité doive directement passer à l</w:t>
      </w:r>
      <w:r w:rsidR="00346F1B">
        <w:rPr>
          <w:color w:val="000000"/>
        </w:rPr>
        <w:t>’</w:t>
      </w:r>
      <w:r>
        <w:rPr>
          <w:color w:val="000000"/>
        </w:rPr>
        <w:t>adoption des décisions présentées à l</w:t>
      </w:r>
      <w:r w:rsidR="00346F1B">
        <w:rPr>
          <w:color w:val="000000"/>
        </w:rPr>
        <w:t>’</w:t>
      </w:r>
      <w:r>
        <w:rPr>
          <w:color w:val="000000"/>
        </w:rPr>
        <w:t>écran sans e</w:t>
      </w:r>
      <w:r w:rsidR="00311274">
        <w:rPr>
          <w:color w:val="000000"/>
        </w:rPr>
        <w:t>n avoir préalablement débattu.</w:t>
      </w:r>
    </w:p>
    <w:p w14:paraId="7297C271" w14:textId="334A6738" w:rsidR="00786502" w:rsidRPr="00786502" w:rsidRDefault="00786502" w:rsidP="00AF7860">
      <w:pPr>
        <w:pStyle w:val="Orateurengris"/>
        <w:spacing w:before="120"/>
        <w:ind w:left="709" w:hanging="709"/>
        <w:rPr>
          <w:rFonts w:eastAsia="Calibri"/>
          <w:bCs/>
          <w:iCs/>
        </w:rPr>
      </w:pPr>
      <w:r w:rsidRPr="00786502">
        <w:rPr>
          <w:rFonts w:eastAsia="Calibri"/>
          <w:bCs/>
          <w:iCs/>
        </w:rPr>
        <w:t xml:space="preserve">La délégation de </w:t>
      </w:r>
      <w:r w:rsidRPr="00786502">
        <w:rPr>
          <w:rFonts w:eastAsia="Calibri"/>
          <w:b/>
          <w:bCs/>
          <w:iCs/>
        </w:rPr>
        <w:t>Chypre</w:t>
      </w:r>
      <w:r w:rsidRPr="00786502">
        <w:rPr>
          <w:rFonts w:eastAsia="Calibri"/>
          <w:bCs/>
          <w:iCs/>
        </w:rPr>
        <w:t xml:space="preserve"> a demandé au Président de préciser si </w:t>
      </w:r>
      <w:r w:rsidR="00184C3B">
        <w:rPr>
          <w:rFonts w:eastAsia="Calibri"/>
          <w:bCs/>
          <w:iCs/>
        </w:rPr>
        <w:t>le débat sur le point 10 était reporté après l</w:t>
      </w:r>
      <w:r w:rsidR="00346F1B">
        <w:rPr>
          <w:rFonts w:eastAsia="Calibri"/>
          <w:bCs/>
          <w:iCs/>
        </w:rPr>
        <w:t>’</w:t>
      </w:r>
      <w:r w:rsidR="00184C3B">
        <w:rPr>
          <w:rFonts w:eastAsia="Calibri"/>
          <w:bCs/>
          <w:iCs/>
        </w:rPr>
        <w:t>examen des dossiers, comme cela avait été dit, ou si on le poursuivait maintenant ce qui empêchait d</w:t>
      </w:r>
      <w:r w:rsidR="00346F1B">
        <w:rPr>
          <w:rFonts w:eastAsia="Calibri"/>
          <w:bCs/>
          <w:iCs/>
        </w:rPr>
        <w:t>’</w:t>
      </w:r>
      <w:r w:rsidR="00184C3B">
        <w:rPr>
          <w:rFonts w:eastAsia="Calibri"/>
          <w:bCs/>
          <w:iCs/>
        </w:rPr>
        <w:t>avancer.</w:t>
      </w:r>
    </w:p>
    <w:p w14:paraId="24660D34" w14:textId="04E2B7D4" w:rsidR="00184C3B" w:rsidRPr="00184C3B" w:rsidRDefault="00184C3B" w:rsidP="00AF7860">
      <w:pPr>
        <w:pStyle w:val="Orateurengris"/>
        <w:spacing w:before="120"/>
        <w:ind w:left="709" w:hanging="709"/>
        <w:rPr>
          <w:rFonts w:eastAsia="Calibri"/>
          <w:bCs/>
          <w:iCs/>
        </w:rPr>
      </w:pPr>
      <w:r>
        <w:rPr>
          <w:rFonts w:eastAsia="Calibri"/>
          <w:bCs/>
          <w:iCs/>
        </w:rPr>
        <w:t xml:space="preserve">Le </w:t>
      </w:r>
      <w:r w:rsidRPr="00184C3B">
        <w:rPr>
          <w:rFonts w:eastAsia="Calibri"/>
          <w:b/>
          <w:bCs/>
          <w:iCs/>
        </w:rPr>
        <w:t>Président</w:t>
      </w:r>
      <w:r>
        <w:rPr>
          <w:rFonts w:eastAsia="Calibri"/>
          <w:bCs/>
          <w:iCs/>
        </w:rPr>
        <w:t xml:space="preserve"> a pris note d</w:t>
      </w:r>
      <w:r w:rsidR="00346F1B">
        <w:rPr>
          <w:rFonts w:eastAsia="Calibri"/>
          <w:bCs/>
          <w:iCs/>
        </w:rPr>
        <w:t>’</w:t>
      </w:r>
      <w:r>
        <w:rPr>
          <w:rFonts w:eastAsia="Calibri"/>
          <w:bCs/>
          <w:iCs/>
        </w:rPr>
        <w:t>une autre mot</w:t>
      </w:r>
      <w:r w:rsidR="00311274">
        <w:rPr>
          <w:rFonts w:eastAsia="Calibri"/>
          <w:bCs/>
          <w:iCs/>
        </w:rPr>
        <w:t>ion d</w:t>
      </w:r>
      <w:r w:rsidR="00346F1B">
        <w:rPr>
          <w:rFonts w:eastAsia="Calibri"/>
          <w:bCs/>
          <w:iCs/>
        </w:rPr>
        <w:t>’</w:t>
      </w:r>
      <w:r w:rsidR="00311274">
        <w:rPr>
          <w:rFonts w:eastAsia="Calibri"/>
          <w:bCs/>
          <w:iCs/>
        </w:rPr>
        <w:t>ordre de la part de Cuba.</w:t>
      </w:r>
    </w:p>
    <w:p w14:paraId="41164543" w14:textId="20481681" w:rsidR="00184C3B" w:rsidRDefault="00184C3B" w:rsidP="00AF7860">
      <w:pPr>
        <w:pStyle w:val="Orateurengris"/>
        <w:spacing w:before="120"/>
        <w:ind w:left="709" w:hanging="709"/>
        <w:rPr>
          <w:rFonts w:eastAsia="Calibri"/>
          <w:bCs/>
          <w:iCs/>
        </w:rPr>
      </w:pPr>
      <w:r>
        <w:rPr>
          <w:rFonts w:eastAsia="Calibri"/>
          <w:bCs/>
          <w:iCs/>
        </w:rPr>
        <w:t xml:space="preserve">La </w:t>
      </w:r>
      <w:r w:rsidRPr="00184C3B">
        <w:rPr>
          <w:rFonts w:eastAsia="Calibri"/>
          <w:bCs/>
          <w:iCs/>
        </w:rPr>
        <w:t>délégation</w:t>
      </w:r>
      <w:r>
        <w:rPr>
          <w:rFonts w:eastAsia="Calibri"/>
          <w:bCs/>
          <w:iCs/>
        </w:rPr>
        <w:t xml:space="preserve"> de </w:t>
      </w:r>
      <w:r w:rsidRPr="00184C3B">
        <w:rPr>
          <w:rFonts w:eastAsia="Calibri"/>
          <w:b/>
          <w:bCs/>
          <w:iCs/>
        </w:rPr>
        <w:t>Cuba</w:t>
      </w:r>
      <w:r>
        <w:rPr>
          <w:rFonts w:eastAsia="Calibri"/>
          <w:bCs/>
          <w:iCs/>
        </w:rPr>
        <w:t xml:space="preserve"> était heureuse que le débat se dé</w:t>
      </w:r>
      <w:r w:rsidR="00326E63">
        <w:rPr>
          <w:rFonts w:eastAsia="Calibri"/>
          <w:bCs/>
          <w:iCs/>
        </w:rPr>
        <w:t xml:space="preserve">roule à ce stade de la session mais, </w:t>
      </w:r>
      <w:r>
        <w:rPr>
          <w:rFonts w:eastAsia="Calibri"/>
          <w:bCs/>
          <w:iCs/>
        </w:rPr>
        <w:t>comme le Secrétariat avait proposé une autre méthode de travail, elle voulait être certaine que le débat sur ce point ne serait pas escamoté, ajoutant que le Comité ne devait pas passer à la décision avant qu</w:t>
      </w:r>
      <w:r w:rsidR="00346F1B">
        <w:rPr>
          <w:rFonts w:eastAsia="Calibri"/>
          <w:bCs/>
          <w:iCs/>
        </w:rPr>
        <w:t>’</w:t>
      </w:r>
      <w:r>
        <w:rPr>
          <w:rFonts w:eastAsia="Calibri"/>
          <w:bCs/>
          <w:iCs/>
        </w:rPr>
        <w:t>une discussion ait eu lieu au préalable. Le Comité pouvait donc décider d</w:t>
      </w:r>
      <w:r w:rsidR="00346F1B">
        <w:rPr>
          <w:rFonts w:eastAsia="Calibri"/>
          <w:bCs/>
          <w:iCs/>
        </w:rPr>
        <w:t>’</w:t>
      </w:r>
      <w:r>
        <w:rPr>
          <w:rFonts w:eastAsia="Calibri"/>
          <w:bCs/>
          <w:iCs/>
        </w:rPr>
        <w:t>avoir cette discussion à ce stade de la session ou à n</w:t>
      </w:r>
      <w:r w:rsidR="00346F1B">
        <w:rPr>
          <w:rFonts w:eastAsia="Calibri"/>
          <w:bCs/>
          <w:iCs/>
        </w:rPr>
        <w:t>’</w:t>
      </w:r>
      <w:r>
        <w:rPr>
          <w:rFonts w:eastAsia="Calibri"/>
          <w:bCs/>
          <w:iCs/>
        </w:rPr>
        <w:t xml:space="preserve">importe quel </w:t>
      </w:r>
      <w:r w:rsidR="00326E63">
        <w:rPr>
          <w:rFonts w:eastAsia="Calibri"/>
          <w:bCs/>
          <w:iCs/>
        </w:rPr>
        <w:t xml:space="preserve">autre </w:t>
      </w:r>
      <w:r>
        <w:rPr>
          <w:rFonts w:eastAsia="Calibri"/>
          <w:bCs/>
          <w:iCs/>
        </w:rPr>
        <w:t>moment, tant qu</w:t>
      </w:r>
      <w:r w:rsidR="00346F1B">
        <w:rPr>
          <w:rFonts w:eastAsia="Calibri"/>
          <w:bCs/>
          <w:iCs/>
        </w:rPr>
        <w:t>’</w:t>
      </w:r>
      <w:r>
        <w:rPr>
          <w:rFonts w:eastAsia="Calibri"/>
          <w:bCs/>
          <w:iCs/>
        </w:rPr>
        <w:t>on parvenait à un consensus en ce sens et que la</w:t>
      </w:r>
      <w:r w:rsidR="00311274">
        <w:rPr>
          <w:rFonts w:eastAsia="Calibri"/>
          <w:bCs/>
          <w:iCs/>
        </w:rPr>
        <w:t xml:space="preserve"> discussion n</w:t>
      </w:r>
      <w:r w:rsidR="00346F1B">
        <w:rPr>
          <w:rFonts w:eastAsia="Calibri"/>
          <w:bCs/>
          <w:iCs/>
        </w:rPr>
        <w:t>’</w:t>
      </w:r>
      <w:r w:rsidR="00311274">
        <w:rPr>
          <w:rFonts w:eastAsia="Calibri"/>
          <w:bCs/>
          <w:iCs/>
        </w:rPr>
        <w:t>était pas éludée.</w:t>
      </w:r>
    </w:p>
    <w:p w14:paraId="6CE5DA33" w14:textId="13D4B9B3" w:rsidR="00326E63" w:rsidRPr="00326E63" w:rsidRDefault="00326E63" w:rsidP="00AF7860">
      <w:pPr>
        <w:pStyle w:val="Orateurengris"/>
        <w:spacing w:before="120"/>
        <w:ind w:left="709" w:hanging="709"/>
        <w:rPr>
          <w:rFonts w:eastAsia="Calibri"/>
          <w:bCs/>
          <w:iCs/>
        </w:rPr>
      </w:pPr>
      <w:r>
        <w:rPr>
          <w:rFonts w:eastAsia="Calibri"/>
          <w:bCs/>
          <w:iCs/>
        </w:rPr>
        <w:t xml:space="preserve">Le </w:t>
      </w:r>
      <w:r w:rsidRPr="00326E63">
        <w:rPr>
          <w:rFonts w:eastAsia="Calibri"/>
          <w:b/>
          <w:bCs/>
          <w:iCs/>
        </w:rPr>
        <w:t>Président</w:t>
      </w:r>
      <w:r>
        <w:rPr>
          <w:rFonts w:eastAsia="Calibri"/>
          <w:bCs/>
          <w:iCs/>
        </w:rPr>
        <w:t xml:space="preserve"> a pris note d</w:t>
      </w:r>
      <w:r w:rsidR="00346F1B">
        <w:rPr>
          <w:rFonts w:eastAsia="Calibri"/>
          <w:bCs/>
          <w:iCs/>
        </w:rPr>
        <w:t>’</w:t>
      </w:r>
      <w:r>
        <w:rPr>
          <w:rFonts w:eastAsia="Calibri"/>
          <w:bCs/>
          <w:iCs/>
        </w:rPr>
        <w:t>une autre motion d</w:t>
      </w:r>
      <w:r w:rsidR="00346F1B">
        <w:rPr>
          <w:rFonts w:eastAsia="Calibri"/>
          <w:bCs/>
          <w:iCs/>
        </w:rPr>
        <w:t>’</w:t>
      </w:r>
      <w:r w:rsidR="00311274">
        <w:rPr>
          <w:rFonts w:eastAsia="Calibri"/>
          <w:bCs/>
          <w:iCs/>
        </w:rPr>
        <w:t>ordre de la part de l</w:t>
      </w:r>
      <w:r w:rsidR="00346F1B">
        <w:rPr>
          <w:rFonts w:eastAsia="Calibri"/>
          <w:bCs/>
          <w:iCs/>
        </w:rPr>
        <w:t>’</w:t>
      </w:r>
      <w:r w:rsidR="00311274">
        <w:rPr>
          <w:rFonts w:eastAsia="Calibri"/>
          <w:bCs/>
          <w:iCs/>
        </w:rPr>
        <w:t>Algérie.</w:t>
      </w:r>
    </w:p>
    <w:p w14:paraId="0A7F90B0" w14:textId="208145F6" w:rsidR="00326E63" w:rsidRPr="00DD1FC3" w:rsidRDefault="00DD1FC3" w:rsidP="00AF7860">
      <w:pPr>
        <w:pStyle w:val="Orateurengris"/>
        <w:spacing w:before="120"/>
        <w:ind w:left="709" w:hanging="709"/>
        <w:rPr>
          <w:rFonts w:eastAsia="Calibri"/>
          <w:bCs/>
          <w:iCs/>
        </w:rPr>
      </w:pPr>
      <w:r w:rsidRPr="00DD1FC3">
        <w:rPr>
          <w:rFonts w:eastAsia="Calibri"/>
          <w:bCs/>
          <w:iCs/>
        </w:rPr>
        <w:t>La délégation de l</w:t>
      </w:r>
      <w:r w:rsidR="00346F1B">
        <w:rPr>
          <w:rFonts w:eastAsia="Calibri"/>
          <w:bCs/>
          <w:iCs/>
        </w:rPr>
        <w:t>’</w:t>
      </w:r>
      <w:r w:rsidRPr="00DD1FC3">
        <w:rPr>
          <w:rFonts w:eastAsia="Calibri"/>
          <w:b/>
          <w:bCs/>
          <w:iCs/>
        </w:rPr>
        <w:t>Algérie</w:t>
      </w:r>
      <w:r w:rsidRPr="00DD1FC3">
        <w:rPr>
          <w:rFonts w:eastAsia="Calibri"/>
          <w:bCs/>
          <w:iCs/>
        </w:rPr>
        <w:t xml:space="preserve"> </w:t>
      </w:r>
      <w:r>
        <w:rPr>
          <w:rFonts w:eastAsia="Calibri"/>
          <w:bCs/>
          <w:iCs/>
        </w:rPr>
        <w:t>a souligné que le Président avait fait la proposition, à laquelle avait souscrit le Secrétaire, de suspendre la décision sur le point 10 et de revenir à son adoption suite à l</w:t>
      </w:r>
      <w:r w:rsidR="00346F1B">
        <w:rPr>
          <w:rFonts w:eastAsia="Calibri"/>
          <w:bCs/>
          <w:iCs/>
        </w:rPr>
        <w:t>’</w:t>
      </w:r>
      <w:r>
        <w:rPr>
          <w:rFonts w:eastAsia="Calibri"/>
          <w:bCs/>
          <w:iCs/>
        </w:rPr>
        <w:t xml:space="preserve">évaluation de tous les dossiers de candidature, car plusieurs amendements au projet de décision avaient été présentés </w:t>
      </w:r>
      <w:r w:rsidR="00242F40">
        <w:rPr>
          <w:rFonts w:eastAsia="Calibri"/>
          <w:bCs/>
          <w:iCs/>
        </w:rPr>
        <w:t xml:space="preserve">qui </w:t>
      </w:r>
      <w:r>
        <w:rPr>
          <w:rFonts w:eastAsia="Calibri"/>
          <w:bCs/>
          <w:iCs/>
        </w:rPr>
        <w:t>nécessitai</w:t>
      </w:r>
      <w:r w:rsidR="00242F40">
        <w:rPr>
          <w:rFonts w:eastAsia="Calibri"/>
          <w:bCs/>
          <w:iCs/>
        </w:rPr>
        <w:t>en</w:t>
      </w:r>
      <w:r>
        <w:rPr>
          <w:rFonts w:eastAsia="Calibri"/>
          <w:bCs/>
          <w:iCs/>
        </w:rPr>
        <w:t>t d</w:t>
      </w:r>
      <w:r w:rsidR="00346F1B">
        <w:rPr>
          <w:rFonts w:eastAsia="Calibri"/>
          <w:bCs/>
          <w:iCs/>
        </w:rPr>
        <w:t>’</w:t>
      </w:r>
      <w:r>
        <w:rPr>
          <w:rFonts w:eastAsia="Calibri"/>
          <w:bCs/>
          <w:iCs/>
        </w:rPr>
        <w:t xml:space="preserve">importantes discussions. La </w:t>
      </w:r>
      <w:r w:rsidRPr="00DD1FC3">
        <w:rPr>
          <w:rFonts w:eastAsia="Calibri"/>
          <w:bCs/>
          <w:iCs/>
        </w:rPr>
        <w:t>délégation</w:t>
      </w:r>
      <w:r>
        <w:rPr>
          <w:rFonts w:eastAsia="Calibri"/>
          <w:bCs/>
          <w:iCs/>
        </w:rPr>
        <w:t xml:space="preserve"> était donc favorable à ce que l</w:t>
      </w:r>
      <w:r w:rsidR="00346F1B">
        <w:rPr>
          <w:rFonts w:eastAsia="Calibri"/>
          <w:bCs/>
          <w:iCs/>
        </w:rPr>
        <w:t>’</w:t>
      </w:r>
      <w:r>
        <w:rPr>
          <w:rFonts w:eastAsia="Calibri"/>
          <w:bCs/>
          <w:iCs/>
        </w:rPr>
        <w:t>on avance</w:t>
      </w:r>
      <w:r w:rsidR="00ED791A">
        <w:rPr>
          <w:rFonts w:eastAsia="Calibri"/>
          <w:bCs/>
          <w:iCs/>
        </w:rPr>
        <w:t>,</w:t>
      </w:r>
      <w:r>
        <w:rPr>
          <w:rFonts w:eastAsia="Calibri"/>
          <w:bCs/>
          <w:iCs/>
        </w:rPr>
        <w:t xml:space="preserve"> à condition, bien sûr, </w:t>
      </w:r>
      <w:r w:rsidR="00ED791A">
        <w:rPr>
          <w:rFonts w:eastAsia="Calibri"/>
          <w:bCs/>
          <w:iCs/>
        </w:rPr>
        <w:t xml:space="preserve">que </w:t>
      </w:r>
      <w:r>
        <w:rPr>
          <w:rFonts w:eastAsia="Calibri"/>
          <w:bCs/>
          <w:iCs/>
        </w:rPr>
        <w:t xml:space="preserve">le Comité </w:t>
      </w:r>
      <w:r w:rsidR="00311274">
        <w:rPr>
          <w:rFonts w:eastAsia="Calibri"/>
          <w:bCs/>
          <w:iCs/>
        </w:rPr>
        <w:t>revienne au point 10 plus tard.</w:t>
      </w:r>
    </w:p>
    <w:p w14:paraId="42C33E91" w14:textId="15DEE0D7" w:rsidR="00ED791A" w:rsidRPr="00ED791A" w:rsidRDefault="00ED791A" w:rsidP="00AF7860">
      <w:pPr>
        <w:pStyle w:val="Orateurengris"/>
        <w:spacing w:before="120"/>
        <w:ind w:left="709" w:hanging="709"/>
        <w:rPr>
          <w:rFonts w:eastAsia="Calibri"/>
          <w:bCs/>
          <w:iCs/>
        </w:rPr>
      </w:pPr>
      <w:r w:rsidRPr="00ED791A">
        <w:rPr>
          <w:rFonts w:eastAsia="Calibri"/>
          <w:bCs/>
          <w:iCs/>
        </w:rPr>
        <w:t xml:space="preserve">Le </w:t>
      </w:r>
      <w:r w:rsidRPr="00ED791A">
        <w:rPr>
          <w:rFonts w:eastAsia="Calibri"/>
          <w:b/>
          <w:bCs/>
          <w:iCs/>
        </w:rPr>
        <w:t>Président</w:t>
      </w:r>
      <w:r>
        <w:rPr>
          <w:rFonts w:eastAsia="Calibri"/>
          <w:bCs/>
          <w:iCs/>
        </w:rPr>
        <w:t xml:space="preserve"> a demandé au Comité s</w:t>
      </w:r>
      <w:r w:rsidR="00346F1B">
        <w:rPr>
          <w:rFonts w:eastAsia="Calibri"/>
          <w:bCs/>
          <w:iCs/>
        </w:rPr>
        <w:t>’</w:t>
      </w:r>
      <w:r>
        <w:rPr>
          <w:rFonts w:eastAsia="Calibri"/>
          <w:bCs/>
          <w:iCs/>
        </w:rPr>
        <w:t xml:space="preserve">il souscrivait à la </w:t>
      </w:r>
      <w:r w:rsidRPr="00ED791A">
        <w:rPr>
          <w:rFonts w:eastAsia="Calibri"/>
          <w:bCs/>
          <w:iCs/>
        </w:rPr>
        <w:t xml:space="preserve">proposition </w:t>
      </w:r>
      <w:r>
        <w:rPr>
          <w:rFonts w:eastAsia="Calibri"/>
          <w:bCs/>
          <w:iCs/>
        </w:rPr>
        <w:t>de l</w:t>
      </w:r>
      <w:r w:rsidR="00346F1B">
        <w:rPr>
          <w:rFonts w:eastAsia="Calibri"/>
          <w:bCs/>
          <w:iCs/>
        </w:rPr>
        <w:t>’</w:t>
      </w:r>
      <w:r>
        <w:rPr>
          <w:rFonts w:eastAsia="Calibri"/>
          <w:bCs/>
          <w:iCs/>
        </w:rPr>
        <w:t>A</w:t>
      </w:r>
      <w:r w:rsidR="00311274">
        <w:rPr>
          <w:rFonts w:eastAsia="Calibri"/>
          <w:bCs/>
          <w:iCs/>
        </w:rPr>
        <w:t>lgérie.</w:t>
      </w:r>
    </w:p>
    <w:p w14:paraId="77DBD64C" w14:textId="00119CDB" w:rsidR="00ED791A" w:rsidRPr="00ED791A" w:rsidRDefault="00ED791A" w:rsidP="00AF7860">
      <w:pPr>
        <w:pStyle w:val="Orateurengris"/>
        <w:spacing w:before="120"/>
        <w:ind w:left="709" w:hanging="709"/>
        <w:rPr>
          <w:rFonts w:eastAsia="Calibri"/>
        </w:rPr>
      </w:pPr>
      <w:r>
        <w:rPr>
          <w:rFonts w:eastAsia="Calibri"/>
        </w:rPr>
        <w:t xml:space="preserve">La </w:t>
      </w:r>
      <w:r w:rsidRPr="00ED791A">
        <w:rPr>
          <w:rFonts w:eastAsia="Calibri"/>
        </w:rPr>
        <w:t>délégation</w:t>
      </w:r>
      <w:r>
        <w:rPr>
          <w:rFonts w:eastAsia="Calibri"/>
        </w:rPr>
        <w:t xml:space="preserve"> de la </w:t>
      </w:r>
      <w:r w:rsidRPr="007D1B37">
        <w:rPr>
          <w:rFonts w:eastAsia="Calibri"/>
          <w:b/>
        </w:rPr>
        <w:t>Palestine</w:t>
      </w:r>
      <w:r w:rsidR="007D1B37">
        <w:rPr>
          <w:rFonts w:eastAsia="Calibri"/>
        </w:rPr>
        <w:t xml:space="preserve"> avait compris, selon l</w:t>
      </w:r>
      <w:r w:rsidR="00346F1B">
        <w:rPr>
          <w:rFonts w:eastAsia="Calibri"/>
        </w:rPr>
        <w:t>’</w:t>
      </w:r>
      <w:r w:rsidR="007D1B37">
        <w:rPr>
          <w:rFonts w:eastAsia="Calibri"/>
        </w:rPr>
        <w:t xml:space="preserve">explication donnée par le </w:t>
      </w:r>
      <w:r w:rsidR="007D1B37" w:rsidRPr="007D1B37">
        <w:rPr>
          <w:rFonts w:eastAsia="Calibri"/>
        </w:rPr>
        <w:t>Secrétaire</w:t>
      </w:r>
      <w:r w:rsidR="007D1B37">
        <w:rPr>
          <w:rFonts w:eastAsia="Calibri"/>
        </w:rPr>
        <w:t>, qu</w:t>
      </w:r>
      <w:r w:rsidR="00346F1B">
        <w:rPr>
          <w:rFonts w:eastAsia="Calibri"/>
        </w:rPr>
        <w:t>’</w:t>
      </w:r>
      <w:r w:rsidR="007D1B37">
        <w:rPr>
          <w:rFonts w:eastAsia="Calibri"/>
        </w:rPr>
        <w:t>il y aurait un débat général sur le point 10 et que l</w:t>
      </w:r>
      <w:r w:rsidR="00346F1B">
        <w:rPr>
          <w:rFonts w:eastAsia="Calibri"/>
        </w:rPr>
        <w:t>’</w:t>
      </w:r>
      <w:r w:rsidR="007D1B37">
        <w:rPr>
          <w:rFonts w:eastAsia="Calibri"/>
        </w:rPr>
        <w:t>adoption finale de la décision 10 serait suspendue le temps de l</w:t>
      </w:r>
      <w:r w:rsidR="00346F1B">
        <w:rPr>
          <w:rFonts w:eastAsia="Calibri"/>
        </w:rPr>
        <w:t>’</w:t>
      </w:r>
      <w:r w:rsidR="007D1B37" w:rsidRPr="007D1B37">
        <w:rPr>
          <w:rFonts w:eastAsia="Calibri"/>
        </w:rPr>
        <w:t>inscription</w:t>
      </w:r>
      <w:r w:rsidR="00311274">
        <w:rPr>
          <w:rFonts w:eastAsia="Calibri"/>
        </w:rPr>
        <w:t xml:space="preserve"> des éléments.</w:t>
      </w:r>
    </w:p>
    <w:p w14:paraId="3154F455" w14:textId="1A089631" w:rsidR="009F5C0E" w:rsidRPr="009F5C0E" w:rsidRDefault="007D1B37" w:rsidP="00AF7860">
      <w:pPr>
        <w:pStyle w:val="Orateurengris"/>
        <w:spacing w:before="120"/>
        <w:ind w:left="709" w:hanging="709"/>
        <w:rPr>
          <w:rFonts w:eastAsia="Calibri"/>
        </w:rPr>
      </w:pPr>
      <w:r>
        <w:rPr>
          <w:rFonts w:eastAsia="Calibri"/>
        </w:rPr>
        <w:t xml:space="preserve">Le </w:t>
      </w:r>
      <w:r w:rsidRPr="007D1B37">
        <w:rPr>
          <w:rFonts w:eastAsia="Calibri"/>
          <w:b/>
        </w:rPr>
        <w:t>Secrétaire</w:t>
      </w:r>
      <w:r>
        <w:rPr>
          <w:rFonts w:eastAsia="Calibri"/>
        </w:rPr>
        <w:t xml:space="preserve"> a expliqué que la procédure proposée était identique à celle suivie lors des précédentes sessions, à savoir suspendre le débat et le projet de décision générale au titre du point 10</w:t>
      </w:r>
      <w:r w:rsidR="009F5C0E">
        <w:rPr>
          <w:rFonts w:eastAsia="Calibri"/>
        </w:rPr>
        <w:t xml:space="preserve"> et poursuivre la session avec l</w:t>
      </w:r>
      <w:r w:rsidR="00346F1B">
        <w:rPr>
          <w:rFonts w:eastAsia="Calibri"/>
        </w:rPr>
        <w:t>’</w:t>
      </w:r>
      <w:r w:rsidR="009F5C0E">
        <w:rPr>
          <w:rFonts w:eastAsia="Calibri"/>
        </w:rPr>
        <w:t xml:space="preserve">examen de tous les dossiers de candidature, puis revenir au débat général sur le point 10 et à son projet de décision. Le </w:t>
      </w:r>
      <w:r w:rsidR="009F5C0E" w:rsidRPr="009F5C0E">
        <w:rPr>
          <w:rFonts w:eastAsia="Calibri"/>
        </w:rPr>
        <w:t>Secrétaire</w:t>
      </w:r>
      <w:r w:rsidR="009F5C0E">
        <w:rPr>
          <w:rFonts w:eastAsia="Calibri"/>
        </w:rPr>
        <w:t xml:space="preserve"> a par ailleurs expliqué que le projet de décision était long car il couvrait les quatre mécanismes de la </w:t>
      </w:r>
      <w:r w:rsidR="009F5C0E" w:rsidRPr="009F5C0E">
        <w:rPr>
          <w:rFonts w:eastAsia="Calibri"/>
        </w:rPr>
        <w:t>Convention</w:t>
      </w:r>
      <w:r w:rsidR="009F5C0E">
        <w:rPr>
          <w:rFonts w:eastAsia="Calibri"/>
        </w:rPr>
        <w:t>. En outre, à ce stade de la session, le Comité n</w:t>
      </w:r>
      <w:r w:rsidR="00346F1B">
        <w:rPr>
          <w:rFonts w:eastAsia="Calibri"/>
        </w:rPr>
        <w:t>’</w:t>
      </w:r>
      <w:r w:rsidR="009F5C0E">
        <w:rPr>
          <w:rFonts w:eastAsia="Calibri"/>
        </w:rPr>
        <w:t>avait à adopter aucune décision mais qu</w:t>
      </w:r>
      <w:r w:rsidR="00346F1B">
        <w:rPr>
          <w:rFonts w:eastAsia="Calibri"/>
        </w:rPr>
        <w:t>’</w:t>
      </w:r>
      <w:r w:rsidR="009F5C0E">
        <w:rPr>
          <w:rFonts w:eastAsia="Calibri"/>
        </w:rPr>
        <w:t>à tout moment, il</w:t>
      </w:r>
      <w:r w:rsidR="00311274">
        <w:rPr>
          <w:rFonts w:eastAsia="Calibri"/>
        </w:rPr>
        <w:t xml:space="preserve"> était libre d</w:t>
      </w:r>
      <w:r w:rsidR="00346F1B">
        <w:rPr>
          <w:rFonts w:eastAsia="Calibri"/>
        </w:rPr>
        <w:t>’</w:t>
      </w:r>
      <w:r w:rsidR="00311274">
        <w:rPr>
          <w:rFonts w:eastAsia="Calibri"/>
        </w:rPr>
        <w:t>ouvrir un débat.</w:t>
      </w:r>
    </w:p>
    <w:p w14:paraId="6E0BDC65" w14:textId="667D5EBE" w:rsidR="009F5C0E" w:rsidRDefault="009F5C0E" w:rsidP="00AF7860">
      <w:pPr>
        <w:pStyle w:val="Orateurengris"/>
        <w:spacing w:before="120"/>
        <w:ind w:left="709" w:hanging="709"/>
        <w:rPr>
          <w:rFonts w:eastAsia="Calibri"/>
        </w:rPr>
      </w:pPr>
      <w:r>
        <w:rPr>
          <w:rFonts w:eastAsia="Calibri"/>
        </w:rPr>
        <w:t xml:space="preserve">La </w:t>
      </w:r>
      <w:r w:rsidRPr="009F5C0E">
        <w:rPr>
          <w:rFonts w:eastAsia="Calibri"/>
        </w:rPr>
        <w:t>délégation</w:t>
      </w:r>
      <w:r>
        <w:rPr>
          <w:rFonts w:eastAsia="Calibri"/>
        </w:rPr>
        <w:t xml:space="preserve"> de la </w:t>
      </w:r>
      <w:r w:rsidRPr="009F5C0E">
        <w:rPr>
          <w:rFonts w:eastAsia="Calibri"/>
          <w:b/>
        </w:rPr>
        <w:t>Turquie</w:t>
      </w:r>
      <w:r w:rsidR="00DC5F3D">
        <w:rPr>
          <w:rFonts w:eastAsia="Calibri"/>
        </w:rPr>
        <w:t xml:space="preserve"> souscrivait</w:t>
      </w:r>
      <w:r>
        <w:rPr>
          <w:rFonts w:eastAsia="Calibri"/>
        </w:rPr>
        <w:t xml:space="preserve"> à la </w:t>
      </w:r>
      <w:r w:rsidRPr="009F5C0E">
        <w:rPr>
          <w:rFonts w:eastAsia="Calibri"/>
        </w:rPr>
        <w:t>déclaration</w:t>
      </w:r>
      <w:r>
        <w:rPr>
          <w:rFonts w:eastAsia="Calibri"/>
        </w:rPr>
        <w:t xml:space="preserve"> de la Palestine selon laquelle le Comité devrait poursuivre le débat général sur le point 10 de l</w:t>
      </w:r>
      <w:r w:rsidR="00346F1B">
        <w:rPr>
          <w:rFonts w:eastAsia="Calibri"/>
        </w:rPr>
        <w:t>’</w:t>
      </w:r>
      <w:r w:rsidRPr="009F5C0E">
        <w:rPr>
          <w:rFonts w:eastAsia="Calibri"/>
        </w:rPr>
        <w:t>ordre du jour</w:t>
      </w:r>
      <w:r>
        <w:rPr>
          <w:rFonts w:eastAsia="Calibri"/>
        </w:rPr>
        <w:t xml:space="preserve">, en réponse au rapport du </w:t>
      </w:r>
      <w:r w:rsidRPr="009F5C0E">
        <w:rPr>
          <w:rFonts w:eastAsia="Calibri"/>
        </w:rPr>
        <w:t>Rapporteur</w:t>
      </w:r>
      <w:r>
        <w:rPr>
          <w:rFonts w:eastAsia="Calibri"/>
        </w:rPr>
        <w:t>, et suspendre l</w:t>
      </w:r>
      <w:r w:rsidR="00346F1B">
        <w:rPr>
          <w:rFonts w:eastAsia="Calibri"/>
        </w:rPr>
        <w:t>’</w:t>
      </w:r>
      <w:r>
        <w:rPr>
          <w:rFonts w:eastAsia="Calibri"/>
        </w:rPr>
        <w:t>adoption du projet de décision</w:t>
      </w:r>
      <w:r w:rsidR="00ED046D">
        <w:rPr>
          <w:rFonts w:eastAsia="Calibri"/>
        </w:rPr>
        <w:t xml:space="preserve"> le temps des </w:t>
      </w:r>
      <w:r>
        <w:rPr>
          <w:rFonts w:eastAsia="Calibri"/>
        </w:rPr>
        <w:t>inscriptions, comme cela avait été la pratique</w:t>
      </w:r>
      <w:r w:rsidR="00311274">
        <w:rPr>
          <w:rFonts w:eastAsia="Calibri"/>
        </w:rPr>
        <w:t xml:space="preserve"> lors des précédentes sessions.</w:t>
      </w:r>
    </w:p>
    <w:p w14:paraId="2B424919" w14:textId="3AAA5D25" w:rsidR="00ED046D" w:rsidRDefault="00ED046D" w:rsidP="00AF7860">
      <w:pPr>
        <w:pStyle w:val="Orateurengris"/>
        <w:spacing w:before="120"/>
        <w:ind w:left="709" w:hanging="709"/>
        <w:rPr>
          <w:rFonts w:eastAsia="Calibri"/>
        </w:rPr>
      </w:pPr>
      <w:r>
        <w:rPr>
          <w:rFonts w:eastAsia="Calibri"/>
        </w:rPr>
        <w:t xml:space="preserve">Le </w:t>
      </w:r>
      <w:r w:rsidRPr="00ED046D">
        <w:rPr>
          <w:rFonts w:eastAsia="Calibri"/>
          <w:b/>
        </w:rPr>
        <w:t>Président</w:t>
      </w:r>
      <w:r>
        <w:rPr>
          <w:rFonts w:eastAsia="Calibri"/>
        </w:rPr>
        <w:t xml:space="preserve"> a précisé que c</w:t>
      </w:r>
      <w:r w:rsidR="00346F1B">
        <w:rPr>
          <w:rFonts w:eastAsia="Calibri"/>
        </w:rPr>
        <w:t>’</w:t>
      </w:r>
      <w:r>
        <w:rPr>
          <w:rFonts w:eastAsia="Calibri"/>
        </w:rPr>
        <w:t xml:space="preserve">était bien sur cette </w:t>
      </w:r>
      <w:r w:rsidRPr="00ED046D">
        <w:rPr>
          <w:rFonts w:eastAsia="Calibri"/>
        </w:rPr>
        <w:t xml:space="preserve">proposition </w:t>
      </w:r>
      <w:r>
        <w:rPr>
          <w:rFonts w:eastAsia="Calibri"/>
        </w:rPr>
        <w:t>qu</w:t>
      </w:r>
      <w:r w:rsidR="00346F1B">
        <w:rPr>
          <w:rFonts w:eastAsia="Calibri"/>
        </w:rPr>
        <w:t>’</w:t>
      </w:r>
      <w:r>
        <w:rPr>
          <w:rFonts w:eastAsia="Calibri"/>
        </w:rPr>
        <w:t>il co</w:t>
      </w:r>
      <w:r w:rsidR="00311274">
        <w:rPr>
          <w:rFonts w:eastAsia="Calibri"/>
        </w:rPr>
        <w:t>nvenait de s</w:t>
      </w:r>
      <w:r w:rsidR="00346F1B">
        <w:rPr>
          <w:rFonts w:eastAsia="Calibri"/>
        </w:rPr>
        <w:t>’</w:t>
      </w:r>
      <w:r w:rsidR="00311274">
        <w:rPr>
          <w:rFonts w:eastAsia="Calibri"/>
        </w:rPr>
        <w:t>entendre.</w:t>
      </w:r>
    </w:p>
    <w:p w14:paraId="62FA78FD" w14:textId="6289F059" w:rsidR="00ED046D" w:rsidRDefault="00ED046D" w:rsidP="00AF7860">
      <w:pPr>
        <w:pStyle w:val="Orateurengris"/>
        <w:spacing w:before="120"/>
        <w:ind w:left="709" w:hanging="709"/>
        <w:rPr>
          <w:rFonts w:eastAsia="Calibri"/>
        </w:rPr>
      </w:pPr>
      <w:r>
        <w:rPr>
          <w:rFonts w:eastAsia="Calibri"/>
        </w:rPr>
        <w:t xml:space="preserve">La </w:t>
      </w:r>
      <w:r w:rsidRPr="00ED046D">
        <w:rPr>
          <w:rFonts w:eastAsia="Calibri"/>
        </w:rPr>
        <w:t>délégation</w:t>
      </w:r>
      <w:r>
        <w:rPr>
          <w:rFonts w:eastAsia="Calibri"/>
        </w:rPr>
        <w:t xml:space="preserve"> de l</w:t>
      </w:r>
      <w:r w:rsidR="00346F1B">
        <w:rPr>
          <w:rFonts w:eastAsia="Calibri"/>
        </w:rPr>
        <w:t>’</w:t>
      </w:r>
      <w:r w:rsidRPr="00ED046D">
        <w:rPr>
          <w:rFonts w:eastAsia="Calibri"/>
          <w:b/>
        </w:rPr>
        <w:t>Inde</w:t>
      </w:r>
      <w:r w:rsidR="00DC5F3D">
        <w:rPr>
          <w:rFonts w:eastAsia="Calibri"/>
        </w:rPr>
        <w:t xml:space="preserve"> soutenait</w:t>
      </w:r>
      <w:r>
        <w:rPr>
          <w:rFonts w:eastAsia="Calibri"/>
        </w:rPr>
        <w:t xml:space="preserve"> les remarques formulées par la Palestine.</w:t>
      </w:r>
    </w:p>
    <w:p w14:paraId="3CE1AE34" w14:textId="1D287328" w:rsidR="00ED046D" w:rsidRPr="00ED046D" w:rsidRDefault="00ED046D" w:rsidP="00AF7860">
      <w:pPr>
        <w:pStyle w:val="Orateurengris"/>
        <w:spacing w:before="120"/>
        <w:ind w:left="709" w:hanging="709"/>
        <w:rPr>
          <w:rFonts w:eastAsia="Calibri"/>
          <w:bCs/>
          <w:iCs/>
        </w:rPr>
      </w:pPr>
      <w:r>
        <w:rPr>
          <w:rFonts w:eastAsia="Calibri"/>
          <w:bCs/>
          <w:iCs/>
        </w:rPr>
        <w:t xml:space="preserve">La </w:t>
      </w:r>
      <w:r w:rsidRPr="00ED046D">
        <w:rPr>
          <w:rFonts w:eastAsia="Calibri"/>
          <w:bCs/>
          <w:iCs/>
        </w:rPr>
        <w:t>délégation</w:t>
      </w:r>
      <w:r>
        <w:rPr>
          <w:rFonts w:eastAsia="Calibri"/>
          <w:bCs/>
          <w:iCs/>
        </w:rPr>
        <w:t xml:space="preserve"> du </w:t>
      </w:r>
      <w:r w:rsidRPr="00ED046D">
        <w:rPr>
          <w:rFonts w:eastAsia="Calibri"/>
          <w:b/>
          <w:bCs/>
          <w:iCs/>
        </w:rPr>
        <w:t>Sénégal</w:t>
      </w:r>
      <w:r w:rsidR="00DC5F3D">
        <w:rPr>
          <w:rFonts w:eastAsia="Calibri"/>
          <w:bCs/>
          <w:iCs/>
        </w:rPr>
        <w:t xml:space="preserve"> </w:t>
      </w:r>
      <w:r>
        <w:rPr>
          <w:rFonts w:eastAsia="Calibri"/>
          <w:bCs/>
          <w:iCs/>
        </w:rPr>
        <w:t>souscri</w:t>
      </w:r>
      <w:r w:rsidR="00DC5F3D">
        <w:rPr>
          <w:rFonts w:eastAsia="Calibri"/>
          <w:bCs/>
          <w:iCs/>
        </w:rPr>
        <w:t>vai</w:t>
      </w:r>
      <w:r>
        <w:rPr>
          <w:rFonts w:eastAsia="Calibri"/>
          <w:bCs/>
          <w:iCs/>
        </w:rPr>
        <w:t xml:space="preserve">t à la </w:t>
      </w:r>
      <w:r w:rsidRPr="00ED046D">
        <w:rPr>
          <w:rFonts w:eastAsia="Calibri"/>
          <w:bCs/>
          <w:iCs/>
        </w:rPr>
        <w:t xml:space="preserve">proposition </w:t>
      </w:r>
      <w:r w:rsidR="00311274">
        <w:rPr>
          <w:rFonts w:eastAsia="Calibri"/>
          <w:bCs/>
          <w:iCs/>
        </w:rPr>
        <w:t>de la Turquie et de l</w:t>
      </w:r>
      <w:r w:rsidR="00346F1B">
        <w:rPr>
          <w:rFonts w:eastAsia="Calibri"/>
          <w:bCs/>
          <w:iCs/>
        </w:rPr>
        <w:t>’</w:t>
      </w:r>
      <w:r w:rsidR="00311274">
        <w:rPr>
          <w:rFonts w:eastAsia="Calibri"/>
          <w:bCs/>
          <w:iCs/>
        </w:rPr>
        <w:t>Inde.</w:t>
      </w:r>
    </w:p>
    <w:p w14:paraId="56D72FAB" w14:textId="47A1FFBE" w:rsidR="00ED046D" w:rsidRPr="00ED046D" w:rsidRDefault="00ED046D" w:rsidP="00AF7860">
      <w:pPr>
        <w:pStyle w:val="Orateurengris"/>
        <w:spacing w:before="120"/>
        <w:ind w:left="709" w:hanging="709"/>
        <w:rPr>
          <w:rFonts w:eastAsia="Calibri"/>
          <w:bCs/>
          <w:iCs/>
        </w:rPr>
      </w:pPr>
      <w:r>
        <w:rPr>
          <w:rFonts w:eastAsia="Calibri"/>
          <w:bCs/>
          <w:iCs/>
        </w:rPr>
        <w:t xml:space="preserve">La </w:t>
      </w:r>
      <w:r w:rsidRPr="00ED046D">
        <w:rPr>
          <w:rFonts w:eastAsia="Calibri"/>
          <w:bCs/>
          <w:iCs/>
        </w:rPr>
        <w:t>délégation</w:t>
      </w:r>
      <w:r>
        <w:rPr>
          <w:rFonts w:eastAsia="Calibri"/>
          <w:bCs/>
          <w:iCs/>
        </w:rPr>
        <w:t xml:space="preserve"> du </w:t>
      </w:r>
      <w:r w:rsidRPr="00ED046D">
        <w:rPr>
          <w:rFonts w:eastAsia="Calibri"/>
          <w:b/>
          <w:bCs/>
          <w:iCs/>
        </w:rPr>
        <w:t>Liban</w:t>
      </w:r>
      <w:r w:rsidR="00DC5F3D">
        <w:rPr>
          <w:rFonts w:eastAsia="Calibri"/>
          <w:bCs/>
          <w:iCs/>
        </w:rPr>
        <w:t xml:space="preserve"> soutenait </w:t>
      </w:r>
      <w:r w:rsidRPr="00ED046D">
        <w:rPr>
          <w:rFonts w:eastAsia="Calibri"/>
          <w:bCs/>
          <w:iCs/>
        </w:rPr>
        <w:t>également</w:t>
      </w:r>
      <w:r>
        <w:rPr>
          <w:rFonts w:eastAsia="Calibri"/>
          <w:bCs/>
          <w:iCs/>
        </w:rPr>
        <w:t xml:space="preserve"> les remarques formulées par l</w:t>
      </w:r>
      <w:r w:rsidR="00346F1B">
        <w:rPr>
          <w:rFonts w:eastAsia="Calibri"/>
          <w:bCs/>
          <w:iCs/>
        </w:rPr>
        <w:t>’</w:t>
      </w:r>
      <w:r w:rsidR="00311274">
        <w:rPr>
          <w:rFonts w:eastAsia="Calibri"/>
          <w:bCs/>
          <w:iCs/>
        </w:rPr>
        <w:t>Inde et la Palestine.</w:t>
      </w:r>
    </w:p>
    <w:p w14:paraId="4838517A" w14:textId="68786B45" w:rsidR="00ED046D" w:rsidRDefault="00ED046D" w:rsidP="00AF7860">
      <w:pPr>
        <w:pStyle w:val="Orateurengris"/>
        <w:spacing w:before="120"/>
        <w:ind w:left="709" w:hanging="709"/>
        <w:rPr>
          <w:rFonts w:eastAsia="Calibri"/>
        </w:rPr>
      </w:pPr>
      <w:r>
        <w:rPr>
          <w:rFonts w:eastAsia="Calibri"/>
        </w:rPr>
        <w:t xml:space="preserve">Le </w:t>
      </w:r>
      <w:r w:rsidRPr="00ED046D">
        <w:rPr>
          <w:rFonts w:eastAsia="Calibri"/>
          <w:b/>
        </w:rPr>
        <w:t>Président</w:t>
      </w:r>
      <w:r>
        <w:rPr>
          <w:rFonts w:eastAsia="Calibri"/>
        </w:rPr>
        <w:t xml:space="preserve"> a pris note du cons</w:t>
      </w:r>
      <w:r w:rsidR="002567C8">
        <w:rPr>
          <w:rFonts w:eastAsia="Calibri"/>
        </w:rPr>
        <w:t>ensus et a donné la parole aux o</w:t>
      </w:r>
      <w:r>
        <w:rPr>
          <w:rFonts w:eastAsia="Calibri"/>
        </w:rPr>
        <w:t>bservateurs.</w:t>
      </w:r>
    </w:p>
    <w:p w14:paraId="15830F92" w14:textId="19DB2DA3" w:rsidR="008C525E" w:rsidRDefault="008C525E" w:rsidP="002B4948">
      <w:pPr>
        <w:pStyle w:val="Orateurengris"/>
        <w:spacing w:before="120"/>
        <w:ind w:left="709" w:hanging="709"/>
        <w:rPr>
          <w:rFonts w:eastAsia="Calibri"/>
        </w:rPr>
      </w:pPr>
      <w:r>
        <w:rPr>
          <w:rFonts w:eastAsia="Calibri"/>
        </w:rPr>
        <w:t xml:space="preserve">Le </w:t>
      </w:r>
      <w:r w:rsidRPr="008C525E">
        <w:rPr>
          <w:rFonts w:eastAsia="Calibri"/>
          <w:b/>
        </w:rPr>
        <w:t>Président</w:t>
      </w:r>
      <w:r>
        <w:rPr>
          <w:rFonts w:eastAsia="Calibri"/>
        </w:rPr>
        <w:t xml:space="preserve"> a pris note d</w:t>
      </w:r>
      <w:r w:rsidR="00346F1B">
        <w:rPr>
          <w:rFonts w:eastAsia="Calibri"/>
        </w:rPr>
        <w:t>’</w:t>
      </w:r>
      <w:r>
        <w:rPr>
          <w:rFonts w:eastAsia="Calibri"/>
        </w:rPr>
        <w:t>une motion</w:t>
      </w:r>
      <w:r w:rsidR="00311274">
        <w:rPr>
          <w:rFonts w:eastAsia="Calibri"/>
        </w:rPr>
        <w:t xml:space="preserve"> d</w:t>
      </w:r>
      <w:r w:rsidR="00346F1B">
        <w:rPr>
          <w:rFonts w:eastAsia="Calibri"/>
        </w:rPr>
        <w:t>’</w:t>
      </w:r>
      <w:r w:rsidR="00311274">
        <w:rPr>
          <w:rFonts w:eastAsia="Calibri"/>
        </w:rPr>
        <w:t>ordre de la part du Sénégal.</w:t>
      </w:r>
    </w:p>
    <w:p w14:paraId="730BC1EE" w14:textId="24A424AE" w:rsidR="008C525E" w:rsidRPr="008C525E" w:rsidRDefault="008C525E" w:rsidP="002B4948">
      <w:pPr>
        <w:pStyle w:val="Orateurengris"/>
        <w:spacing w:before="120"/>
        <w:ind w:left="709" w:hanging="709"/>
        <w:rPr>
          <w:rFonts w:eastAsia="Calibri"/>
          <w:bCs/>
          <w:iCs/>
        </w:rPr>
      </w:pPr>
      <w:r w:rsidRPr="008C525E">
        <w:rPr>
          <w:rFonts w:eastAsia="Calibri"/>
          <w:bCs/>
          <w:iCs/>
        </w:rPr>
        <w:t>La délégation</w:t>
      </w:r>
      <w:r>
        <w:rPr>
          <w:rFonts w:eastAsia="Calibri"/>
          <w:bCs/>
          <w:iCs/>
        </w:rPr>
        <w:t xml:space="preserve"> du </w:t>
      </w:r>
      <w:r w:rsidRPr="008C525E">
        <w:rPr>
          <w:rFonts w:eastAsia="Calibri"/>
          <w:b/>
          <w:bCs/>
          <w:iCs/>
        </w:rPr>
        <w:t>Sénégal</w:t>
      </w:r>
      <w:r>
        <w:rPr>
          <w:rFonts w:eastAsia="Calibri"/>
          <w:bCs/>
          <w:iCs/>
        </w:rPr>
        <w:t xml:space="preserve"> avait souhaité</w:t>
      </w:r>
      <w:r w:rsidRPr="008C525E">
        <w:rPr>
          <w:rFonts w:eastAsia="Calibri"/>
          <w:bCs/>
          <w:iCs/>
        </w:rPr>
        <w:t xml:space="preserve"> s</w:t>
      </w:r>
      <w:r w:rsidR="00346F1B">
        <w:rPr>
          <w:rFonts w:eastAsia="Calibri"/>
          <w:bCs/>
          <w:iCs/>
        </w:rPr>
        <w:t>’</w:t>
      </w:r>
      <w:r w:rsidRPr="008C525E">
        <w:rPr>
          <w:rFonts w:eastAsia="Calibri"/>
          <w:bCs/>
          <w:iCs/>
        </w:rPr>
        <w:t>exprimer mais avait été</w:t>
      </w:r>
      <w:r>
        <w:rPr>
          <w:rFonts w:eastAsia="Calibri"/>
          <w:bCs/>
          <w:iCs/>
        </w:rPr>
        <w:t xml:space="preserve"> interr</w:t>
      </w:r>
      <w:r w:rsidR="00DC5F3D">
        <w:rPr>
          <w:rFonts w:eastAsia="Calibri"/>
          <w:bCs/>
          <w:iCs/>
        </w:rPr>
        <w:t>ompu</w:t>
      </w:r>
      <w:r>
        <w:rPr>
          <w:rFonts w:eastAsia="Calibri"/>
          <w:bCs/>
          <w:iCs/>
        </w:rPr>
        <w:t xml:space="preserve"> en raison d</w:t>
      </w:r>
      <w:r w:rsidR="00346F1B">
        <w:rPr>
          <w:rFonts w:eastAsia="Calibri"/>
          <w:bCs/>
          <w:iCs/>
        </w:rPr>
        <w:t>’</w:t>
      </w:r>
      <w:r>
        <w:rPr>
          <w:rFonts w:eastAsia="Calibri"/>
          <w:bCs/>
          <w:iCs/>
        </w:rPr>
        <w:t>une motion d</w:t>
      </w:r>
      <w:r w:rsidR="00346F1B">
        <w:rPr>
          <w:rFonts w:eastAsia="Calibri"/>
          <w:bCs/>
          <w:iCs/>
        </w:rPr>
        <w:t>’</w:t>
      </w:r>
      <w:r>
        <w:rPr>
          <w:rFonts w:eastAsia="Calibri"/>
          <w:bCs/>
          <w:iCs/>
        </w:rPr>
        <w:t xml:space="preserve">ordre, elle souhaitait désormais poursuivre son </w:t>
      </w:r>
      <w:r w:rsidRPr="008C525E">
        <w:rPr>
          <w:rFonts w:eastAsia="Calibri"/>
          <w:bCs/>
          <w:iCs/>
        </w:rPr>
        <w:t>intervention</w:t>
      </w:r>
      <w:r>
        <w:rPr>
          <w:rFonts w:eastAsia="Calibri"/>
          <w:bCs/>
          <w:iCs/>
        </w:rPr>
        <w:t>.</w:t>
      </w:r>
    </w:p>
    <w:p w14:paraId="1037C71B" w14:textId="62810C6E" w:rsidR="008C525E" w:rsidRPr="008C525E" w:rsidRDefault="008C525E" w:rsidP="002B4948">
      <w:pPr>
        <w:pStyle w:val="Orateurengris"/>
        <w:spacing w:before="120"/>
        <w:ind w:left="709" w:hanging="709"/>
        <w:rPr>
          <w:rFonts w:eastAsia="Calibri"/>
          <w:bCs/>
          <w:iCs/>
        </w:rPr>
      </w:pPr>
      <w:r>
        <w:rPr>
          <w:rFonts w:eastAsia="Calibri"/>
          <w:bCs/>
          <w:iCs/>
        </w:rPr>
        <w:t xml:space="preserve">Le </w:t>
      </w:r>
      <w:r w:rsidRPr="008C525E">
        <w:rPr>
          <w:rFonts w:eastAsia="Calibri"/>
          <w:b/>
          <w:bCs/>
          <w:iCs/>
        </w:rPr>
        <w:t>Président</w:t>
      </w:r>
      <w:r>
        <w:rPr>
          <w:rFonts w:eastAsia="Calibri"/>
          <w:bCs/>
          <w:iCs/>
        </w:rPr>
        <w:t xml:space="preserve"> a expliqué que de nombreux changements étaient intervenus dans la liste des orateurs. Il a précisé que le Comité poursuivrait son débat, puis suspendrait la décision. Une motion d</w:t>
      </w:r>
      <w:r w:rsidR="00346F1B">
        <w:rPr>
          <w:rFonts w:eastAsia="Calibri"/>
          <w:bCs/>
          <w:iCs/>
        </w:rPr>
        <w:t>’</w:t>
      </w:r>
      <w:r>
        <w:rPr>
          <w:rFonts w:eastAsia="Calibri"/>
          <w:bCs/>
          <w:iCs/>
        </w:rPr>
        <w:t xml:space="preserve">ordre </w:t>
      </w:r>
      <w:r w:rsidR="00DC5F3D">
        <w:rPr>
          <w:rFonts w:eastAsia="Calibri"/>
          <w:bCs/>
          <w:iCs/>
        </w:rPr>
        <w:t xml:space="preserve">a été </w:t>
      </w:r>
      <w:r w:rsidR="00833C35">
        <w:rPr>
          <w:rFonts w:eastAsia="Calibri"/>
          <w:bCs/>
          <w:iCs/>
        </w:rPr>
        <w:t xml:space="preserve">proposée </w:t>
      </w:r>
      <w:r w:rsidR="00311274">
        <w:rPr>
          <w:rFonts w:eastAsia="Calibri"/>
          <w:bCs/>
          <w:iCs/>
        </w:rPr>
        <w:t>par l</w:t>
      </w:r>
      <w:r w:rsidR="00346F1B">
        <w:rPr>
          <w:rFonts w:eastAsia="Calibri"/>
          <w:bCs/>
          <w:iCs/>
        </w:rPr>
        <w:t>’</w:t>
      </w:r>
      <w:r w:rsidR="00311274">
        <w:rPr>
          <w:rFonts w:eastAsia="Calibri"/>
          <w:bCs/>
          <w:iCs/>
        </w:rPr>
        <w:t>Algérie.</w:t>
      </w:r>
    </w:p>
    <w:p w14:paraId="03D823E9" w14:textId="331D12EC" w:rsidR="0061495F" w:rsidRPr="0061495F" w:rsidRDefault="008C525E" w:rsidP="002B4948">
      <w:pPr>
        <w:pStyle w:val="Orateurengris"/>
        <w:spacing w:before="120"/>
        <w:ind w:left="709" w:hanging="709"/>
        <w:rPr>
          <w:rFonts w:eastAsia="Calibri"/>
          <w:bCs/>
          <w:iCs/>
        </w:rPr>
      </w:pPr>
      <w:r>
        <w:rPr>
          <w:rFonts w:eastAsia="Calibri"/>
          <w:bCs/>
          <w:iCs/>
        </w:rPr>
        <w:t xml:space="preserve">La </w:t>
      </w:r>
      <w:r w:rsidRPr="008C525E">
        <w:rPr>
          <w:rFonts w:eastAsia="Calibri"/>
          <w:bCs/>
          <w:iCs/>
        </w:rPr>
        <w:t>délégation</w:t>
      </w:r>
      <w:r>
        <w:rPr>
          <w:rFonts w:eastAsia="Calibri"/>
          <w:bCs/>
          <w:iCs/>
        </w:rPr>
        <w:t xml:space="preserve"> de l</w:t>
      </w:r>
      <w:r w:rsidR="00346F1B">
        <w:rPr>
          <w:rFonts w:eastAsia="Calibri"/>
          <w:bCs/>
          <w:iCs/>
        </w:rPr>
        <w:t>’</w:t>
      </w:r>
      <w:r w:rsidRPr="0061495F">
        <w:rPr>
          <w:rFonts w:eastAsia="Calibri"/>
          <w:b/>
          <w:bCs/>
          <w:iCs/>
        </w:rPr>
        <w:t>Algérie</w:t>
      </w:r>
      <w:r>
        <w:rPr>
          <w:rFonts w:eastAsia="Calibri"/>
          <w:bCs/>
          <w:iCs/>
        </w:rPr>
        <w:t xml:space="preserve"> avait compris que le débat sur le point 10 et l</w:t>
      </w:r>
      <w:r w:rsidR="00346F1B">
        <w:rPr>
          <w:rFonts w:eastAsia="Calibri"/>
          <w:bCs/>
          <w:iCs/>
        </w:rPr>
        <w:t>’</w:t>
      </w:r>
      <w:r>
        <w:rPr>
          <w:rFonts w:eastAsia="Calibri"/>
          <w:bCs/>
          <w:iCs/>
        </w:rPr>
        <w:t>adoption du projet de décision seraient suspendus le temps de l</w:t>
      </w:r>
      <w:r w:rsidR="00346F1B">
        <w:rPr>
          <w:rFonts w:eastAsia="Calibri"/>
          <w:bCs/>
          <w:iCs/>
        </w:rPr>
        <w:t>’</w:t>
      </w:r>
      <w:r>
        <w:rPr>
          <w:rFonts w:eastAsia="Calibri"/>
          <w:bCs/>
          <w:iCs/>
        </w:rPr>
        <w:t xml:space="preserve">adoption des candidatures, ajoutant que le point 10 ne pouvait être ainsi scindé, c.-à-d. organiser un débat général sur une décision à ce stade de la session, puis rouvrir le débat deux jours plus tard pour adopter le projet de décision. La </w:t>
      </w:r>
      <w:r w:rsidRPr="008C525E">
        <w:rPr>
          <w:rFonts w:eastAsia="Calibri"/>
          <w:bCs/>
          <w:iCs/>
        </w:rPr>
        <w:t>délégation</w:t>
      </w:r>
      <w:r>
        <w:rPr>
          <w:rFonts w:eastAsia="Calibri"/>
          <w:bCs/>
          <w:iCs/>
        </w:rPr>
        <w:t xml:space="preserve"> ne se satisfaisait pas de cette façon de procéder </w:t>
      </w:r>
      <w:r w:rsidR="0061495F" w:rsidRPr="0061495F">
        <w:rPr>
          <w:rFonts w:eastAsia="Calibri"/>
          <w:bCs/>
          <w:iCs/>
        </w:rPr>
        <w:t>parce que</w:t>
      </w:r>
      <w:r w:rsidR="0061495F">
        <w:rPr>
          <w:rFonts w:eastAsia="Calibri"/>
          <w:bCs/>
          <w:iCs/>
        </w:rPr>
        <w:t xml:space="preserve"> les discussions pendant le débat général étaient pertinentes pour la décision. </w:t>
      </w:r>
      <w:r w:rsidR="0061495F" w:rsidRPr="0061495F">
        <w:rPr>
          <w:rFonts w:eastAsia="Calibri"/>
          <w:bCs/>
          <w:iCs/>
        </w:rPr>
        <w:t>En conséquence</w:t>
      </w:r>
      <w:r w:rsidR="0061495F">
        <w:rPr>
          <w:rFonts w:eastAsia="Calibri"/>
          <w:bCs/>
          <w:iCs/>
        </w:rPr>
        <w:t>, soit le Comité avançait et passait à l</w:t>
      </w:r>
      <w:r w:rsidR="00346F1B">
        <w:rPr>
          <w:rFonts w:eastAsia="Calibri"/>
          <w:bCs/>
          <w:iCs/>
        </w:rPr>
        <w:t>’</w:t>
      </w:r>
      <w:r w:rsidR="0061495F">
        <w:rPr>
          <w:rFonts w:eastAsia="Calibri"/>
          <w:bCs/>
          <w:iCs/>
        </w:rPr>
        <w:t>examen des dossiers de candidature, soit il commençait son débat sur le point 10 et le poursuivait par l</w:t>
      </w:r>
      <w:r w:rsidR="00346F1B">
        <w:rPr>
          <w:rFonts w:eastAsia="Calibri"/>
          <w:bCs/>
          <w:iCs/>
        </w:rPr>
        <w:t>’</w:t>
      </w:r>
      <w:r w:rsidR="0061495F">
        <w:rPr>
          <w:rFonts w:eastAsia="Calibri"/>
          <w:bCs/>
          <w:iCs/>
        </w:rPr>
        <w:t>adoption du projet de décision, mais il ne pouvait envisager une partie à ce stade de la session et une autre plus tard.</w:t>
      </w:r>
    </w:p>
    <w:p w14:paraId="4AE83F52" w14:textId="68D7391F" w:rsidR="0061495F" w:rsidRDefault="0061495F" w:rsidP="002B4948">
      <w:pPr>
        <w:pStyle w:val="Orateurengris"/>
        <w:spacing w:before="120"/>
        <w:ind w:left="709" w:hanging="709"/>
        <w:rPr>
          <w:rFonts w:eastAsia="Calibri"/>
        </w:rPr>
      </w:pPr>
      <w:r>
        <w:rPr>
          <w:rFonts w:eastAsia="Calibri"/>
        </w:rPr>
        <w:t xml:space="preserve">Le </w:t>
      </w:r>
      <w:r w:rsidRPr="0061495F">
        <w:rPr>
          <w:rFonts w:eastAsia="Calibri"/>
          <w:b/>
        </w:rPr>
        <w:t>Président</w:t>
      </w:r>
      <w:r>
        <w:rPr>
          <w:rFonts w:eastAsia="Calibri"/>
        </w:rPr>
        <w:t xml:space="preserve"> a rappelé que bien que l</w:t>
      </w:r>
      <w:r w:rsidR="00346F1B">
        <w:rPr>
          <w:rFonts w:eastAsia="Calibri"/>
        </w:rPr>
        <w:t>’</w:t>
      </w:r>
      <w:r>
        <w:rPr>
          <w:rFonts w:eastAsia="Calibri"/>
        </w:rPr>
        <w:t>Organe d</w:t>
      </w:r>
      <w:r w:rsidR="00346F1B">
        <w:rPr>
          <w:rFonts w:eastAsia="Calibri"/>
        </w:rPr>
        <w:t>’</w:t>
      </w:r>
      <w:r>
        <w:rPr>
          <w:rFonts w:eastAsia="Calibri"/>
        </w:rPr>
        <w:t>évaluation ait présenté son rapport, il n</w:t>
      </w:r>
      <w:r w:rsidR="00346F1B">
        <w:rPr>
          <w:rFonts w:eastAsia="Calibri"/>
        </w:rPr>
        <w:t>’</w:t>
      </w:r>
      <w:r>
        <w:rPr>
          <w:rFonts w:eastAsia="Calibri"/>
        </w:rPr>
        <w:t>était pas demandé au Comité d</w:t>
      </w:r>
      <w:r w:rsidR="00346F1B">
        <w:rPr>
          <w:rFonts w:eastAsia="Calibri"/>
        </w:rPr>
        <w:t>’</w:t>
      </w:r>
      <w:r>
        <w:rPr>
          <w:rFonts w:eastAsia="Calibri"/>
        </w:rPr>
        <w:t>adopter le projet de décision 10 à ce stade de la session. Une option était que le Comité poursuive le débat, procède à l</w:t>
      </w:r>
      <w:r w:rsidR="00346F1B">
        <w:rPr>
          <w:rFonts w:eastAsia="Calibri"/>
        </w:rPr>
        <w:t>’</w:t>
      </w:r>
      <w:r w:rsidRPr="0061495F">
        <w:rPr>
          <w:rFonts w:eastAsia="Calibri"/>
        </w:rPr>
        <w:t>évaluation</w:t>
      </w:r>
      <w:r>
        <w:rPr>
          <w:rFonts w:eastAsia="Calibri"/>
        </w:rPr>
        <w:t xml:space="preserve"> des candidatures puis revienne à l</w:t>
      </w:r>
      <w:r w:rsidR="00346F1B">
        <w:rPr>
          <w:rFonts w:eastAsia="Calibri"/>
        </w:rPr>
        <w:t>’</w:t>
      </w:r>
      <w:r>
        <w:rPr>
          <w:rFonts w:eastAsia="Calibri"/>
        </w:rPr>
        <w:t xml:space="preserve">adoption de la décision. À défaut, il pouvait choisir la </w:t>
      </w:r>
      <w:r w:rsidRPr="0061495F">
        <w:rPr>
          <w:rFonts w:eastAsia="Calibri"/>
        </w:rPr>
        <w:t xml:space="preserve">proposition </w:t>
      </w:r>
      <w:r>
        <w:rPr>
          <w:rFonts w:eastAsia="Calibri"/>
        </w:rPr>
        <w:t xml:space="preserve">qui consistait à suspendre le débat </w:t>
      </w:r>
      <w:r w:rsidR="00485A47">
        <w:rPr>
          <w:rFonts w:eastAsia="Calibri"/>
        </w:rPr>
        <w:t xml:space="preserve">à ce stade </w:t>
      </w:r>
      <w:r>
        <w:rPr>
          <w:rFonts w:eastAsia="Calibri"/>
        </w:rPr>
        <w:t>jusqu</w:t>
      </w:r>
      <w:r w:rsidR="00346F1B">
        <w:rPr>
          <w:rFonts w:eastAsia="Calibri"/>
        </w:rPr>
        <w:t>’</w:t>
      </w:r>
      <w:r>
        <w:rPr>
          <w:rFonts w:eastAsia="Calibri"/>
        </w:rPr>
        <w:t>à la déc</w:t>
      </w:r>
      <w:r w:rsidR="00311274">
        <w:rPr>
          <w:rFonts w:eastAsia="Calibri"/>
        </w:rPr>
        <w:t>ision générale sur le point 10.</w:t>
      </w:r>
    </w:p>
    <w:p w14:paraId="7ACAB45C" w14:textId="184646C5" w:rsidR="00485A47" w:rsidRPr="00485A47" w:rsidRDefault="00485A47" w:rsidP="002B4948">
      <w:pPr>
        <w:pStyle w:val="Orateurengris"/>
        <w:spacing w:before="120"/>
        <w:ind w:left="709" w:hanging="709"/>
        <w:rPr>
          <w:rFonts w:eastAsia="Calibri"/>
        </w:rPr>
      </w:pPr>
      <w:r>
        <w:rPr>
          <w:rFonts w:eastAsia="Calibri"/>
        </w:rPr>
        <w:t xml:space="preserve">La </w:t>
      </w:r>
      <w:r w:rsidRPr="00485A47">
        <w:rPr>
          <w:rFonts w:eastAsia="Calibri"/>
        </w:rPr>
        <w:t>délégation</w:t>
      </w:r>
      <w:r>
        <w:rPr>
          <w:rFonts w:eastAsia="Calibri"/>
        </w:rPr>
        <w:t xml:space="preserve"> de </w:t>
      </w:r>
      <w:r w:rsidRPr="00485A47">
        <w:rPr>
          <w:rFonts w:eastAsia="Calibri"/>
          <w:b/>
        </w:rPr>
        <w:t>Cuba</w:t>
      </w:r>
      <w:r>
        <w:rPr>
          <w:rFonts w:eastAsia="Calibri"/>
        </w:rPr>
        <w:t xml:space="preserve"> a fait remarquer que le Comité tournait en rond, et a précisé qu</w:t>
      </w:r>
      <w:r w:rsidR="00346F1B">
        <w:rPr>
          <w:rFonts w:eastAsia="Calibri"/>
        </w:rPr>
        <w:t>’</w:t>
      </w:r>
      <w:r>
        <w:rPr>
          <w:rFonts w:eastAsia="Calibri"/>
        </w:rPr>
        <w:t>elle souscrivait aux propos de l</w:t>
      </w:r>
      <w:r w:rsidR="00346F1B">
        <w:rPr>
          <w:rFonts w:eastAsia="Calibri"/>
        </w:rPr>
        <w:t>’</w:t>
      </w:r>
      <w:r>
        <w:rPr>
          <w:rFonts w:eastAsia="Calibri"/>
        </w:rPr>
        <w:t>Algérie. Elle comprenait qu</w:t>
      </w:r>
      <w:r w:rsidR="00346F1B">
        <w:rPr>
          <w:rFonts w:eastAsia="Calibri"/>
        </w:rPr>
        <w:t>’</w:t>
      </w:r>
      <w:r>
        <w:rPr>
          <w:rFonts w:eastAsia="Calibri"/>
        </w:rPr>
        <w:t>il était important d</w:t>
      </w:r>
      <w:r w:rsidR="00346F1B">
        <w:rPr>
          <w:rFonts w:eastAsia="Calibri"/>
        </w:rPr>
        <w:t>’</w:t>
      </w:r>
      <w:r>
        <w:rPr>
          <w:rFonts w:eastAsia="Calibri"/>
        </w:rPr>
        <w:t>avancer et d</w:t>
      </w:r>
      <w:r w:rsidR="00346F1B">
        <w:rPr>
          <w:rFonts w:eastAsia="Calibri"/>
        </w:rPr>
        <w:t>’</w:t>
      </w:r>
      <w:r>
        <w:rPr>
          <w:rFonts w:eastAsia="Calibri"/>
        </w:rPr>
        <w:t xml:space="preserve">aider le Secrétariat dans son travail mais le Comité ne </w:t>
      </w:r>
      <w:r w:rsidRPr="00DC5F3D">
        <w:rPr>
          <w:rFonts w:eastAsia="Calibri"/>
        </w:rPr>
        <w:t>devrait</w:t>
      </w:r>
      <w:r>
        <w:rPr>
          <w:rFonts w:eastAsia="Calibri"/>
        </w:rPr>
        <w:t xml:space="preserve"> jamais interrompre un débat. Néanmoins, elle a proposé soit de suspendre le débat et le reprendre lors de l</w:t>
      </w:r>
      <w:r w:rsidR="00346F1B">
        <w:rPr>
          <w:rFonts w:eastAsia="Calibri"/>
        </w:rPr>
        <w:t>’</w:t>
      </w:r>
      <w:r>
        <w:rPr>
          <w:rFonts w:eastAsia="Calibri"/>
        </w:rPr>
        <w:t xml:space="preserve">adoption de la </w:t>
      </w:r>
      <w:r w:rsidRPr="00485A47">
        <w:rPr>
          <w:rFonts w:eastAsia="Calibri"/>
        </w:rPr>
        <w:t>décision</w:t>
      </w:r>
      <w:r>
        <w:rPr>
          <w:rFonts w:eastAsia="Calibri"/>
        </w:rPr>
        <w:t xml:space="preserve">, soit de débattre à ce stade de la session, dans ce cas le Comité adopterait </w:t>
      </w:r>
      <w:r w:rsidRPr="00485A47">
        <w:rPr>
          <w:rFonts w:eastAsia="Calibri"/>
        </w:rPr>
        <w:t>également</w:t>
      </w:r>
      <w:r>
        <w:rPr>
          <w:rFonts w:eastAsia="Calibri"/>
        </w:rPr>
        <w:t xml:space="preserve"> la décision. </w:t>
      </w:r>
      <w:r w:rsidR="007D0E4F">
        <w:rPr>
          <w:rFonts w:eastAsia="Calibri"/>
        </w:rPr>
        <w:t xml:space="preserve">Le choix entre les deux options reposait </w:t>
      </w:r>
      <w:r w:rsidRPr="00485A47">
        <w:rPr>
          <w:rFonts w:eastAsia="Calibri"/>
        </w:rPr>
        <w:t>également</w:t>
      </w:r>
      <w:r>
        <w:rPr>
          <w:rFonts w:eastAsia="Calibri"/>
        </w:rPr>
        <w:t xml:space="preserve"> </w:t>
      </w:r>
      <w:r w:rsidR="007D0E4F">
        <w:rPr>
          <w:rFonts w:eastAsia="Calibri"/>
        </w:rPr>
        <w:t xml:space="preserve">sur </w:t>
      </w:r>
      <w:r>
        <w:rPr>
          <w:rFonts w:eastAsia="Calibri"/>
        </w:rPr>
        <w:t xml:space="preserve">la disponibilité du </w:t>
      </w:r>
      <w:r w:rsidRPr="00485A47">
        <w:rPr>
          <w:rFonts w:eastAsia="Calibri"/>
        </w:rPr>
        <w:t>Rapporteur</w:t>
      </w:r>
      <w:r>
        <w:rPr>
          <w:rFonts w:eastAsia="Calibri"/>
        </w:rPr>
        <w:t xml:space="preserve"> de l</w:t>
      </w:r>
      <w:r w:rsidR="00346F1B">
        <w:rPr>
          <w:rFonts w:eastAsia="Calibri"/>
        </w:rPr>
        <w:t>’</w:t>
      </w:r>
      <w:r>
        <w:rPr>
          <w:rFonts w:eastAsia="Calibri"/>
        </w:rPr>
        <w:t>Organe d</w:t>
      </w:r>
      <w:r w:rsidR="00346F1B">
        <w:rPr>
          <w:rFonts w:eastAsia="Calibri"/>
        </w:rPr>
        <w:t>’</w:t>
      </w:r>
      <w:r>
        <w:rPr>
          <w:rFonts w:eastAsia="Calibri"/>
        </w:rPr>
        <w:t>évaluation lors de l</w:t>
      </w:r>
      <w:r w:rsidR="00346F1B">
        <w:rPr>
          <w:rFonts w:eastAsia="Calibri"/>
        </w:rPr>
        <w:t>’</w:t>
      </w:r>
      <w:r>
        <w:rPr>
          <w:rFonts w:eastAsia="Calibri"/>
        </w:rPr>
        <w:t>adoption, à défaut de quoi, l</w:t>
      </w:r>
      <w:r w:rsidR="00346F1B">
        <w:rPr>
          <w:rFonts w:eastAsia="Calibri"/>
        </w:rPr>
        <w:t>’</w:t>
      </w:r>
      <w:r>
        <w:rPr>
          <w:rFonts w:eastAsia="Calibri"/>
        </w:rPr>
        <w:t xml:space="preserve">adoption </w:t>
      </w:r>
      <w:r w:rsidRPr="00DC5F3D">
        <w:rPr>
          <w:rFonts w:eastAsia="Calibri"/>
        </w:rPr>
        <w:t>dev</w:t>
      </w:r>
      <w:r w:rsidR="00DC5F3D" w:rsidRPr="00DC5F3D">
        <w:rPr>
          <w:rFonts w:eastAsia="Calibri"/>
        </w:rPr>
        <w:t>r</w:t>
      </w:r>
      <w:r w:rsidRPr="00DC5F3D">
        <w:rPr>
          <w:rFonts w:eastAsia="Calibri"/>
        </w:rPr>
        <w:t>ait</w:t>
      </w:r>
      <w:r>
        <w:rPr>
          <w:rFonts w:eastAsia="Calibri"/>
        </w:rPr>
        <w:t xml:space="preserve"> avoir lieu immédiatement.</w:t>
      </w:r>
    </w:p>
    <w:p w14:paraId="65A0C3A6" w14:textId="37BE6227" w:rsidR="00811C53" w:rsidRDefault="007D0E4F" w:rsidP="002B4948">
      <w:pPr>
        <w:pStyle w:val="Orateurengris"/>
        <w:spacing w:before="120"/>
        <w:ind w:left="709" w:hanging="709"/>
        <w:rPr>
          <w:rFonts w:eastAsia="Calibri"/>
        </w:rPr>
      </w:pPr>
      <w:r>
        <w:rPr>
          <w:rFonts w:eastAsia="Calibri"/>
        </w:rPr>
        <w:t xml:space="preserve">Le </w:t>
      </w:r>
      <w:r w:rsidRPr="007D0E4F">
        <w:rPr>
          <w:rFonts w:eastAsia="Calibri"/>
          <w:b/>
        </w:rPr>
        <w:t>Président</w:t>
      </w:r>
      <w:r>
        <w:rPr>
          <w:rFonts w:eastAsia="Calibri"/>
        </w:rPr>
        <w:t xml:space="preserve"> a demandé au </w:t>
      </w:r>
      <w:r w:rsidRPr="007D0E4F">
        <w:rPr>
          <w:rFonts w:eastAsia="Calibri"/>
        </w:rPr>
        <w:t>Secrétaire</w:t>
      </w:r>
      <w:r>
        <w:rPr>
          <w:rFonts w:eastAsia="Calibri"/>
        </w:rPr>
        <w:t xml:space="preserve"> de commenter les deux options d</w:t>
      </w:r>
      <w:r w:rsidR="00311274">
        <w:rPr>
          <w:rFonts w:eastAsia="Calibri"/>
        </w:rPr>
        <w:t>u point de vue de la procédure.</w:t>
      </w:r>
    </w:p>
    <w:p w14:paraId="5F822CC1" w14:textId="16EF294D" w:rsidR="007D0E4F" w:rsidRDefault="007D0E4F" w:rsidP="002B4948">
      <w:pPr>
        <w:pStyle w:val="Orateurengris"/>
        <w:spacing w:before="120"/>
        <w:ind w:left="709" w:hanging="709"/>
        <w:rPr>
          <w:rFonts w:eastAsia="Calibri"/>
        </w:rPr>
      </w:pPr>
      <w:r>
        <w:rPr>
          <w:rFonts w:eastAsia="Calibri"/>
        </w:rPr>
        <w:t xml:space="preserve">Le </w:t>
      </w:r>
      <w:r w:rsidRPr="007D0E4F">
        <w:rPr>
          <w:rFonts w:eastAsia="Calibri"/>
          <w:b/>
        </w:rPr>
        <w:t>Secrétaire</w:t>
      </w:r>
      <w:r>
        <w:rPr>
          <w:rFonts w:eastAsia="Calibri"/>
        </w:rPr>
        <w:t xml:space="preserve"> a expliqué que la </w:t>
      </w:r>
      <w:r w:rsidRPr="007D0E4F">
        <w:rPr>
          <w:rFonts w:eastAsia="Calibri"/>
        </w:rPr>
        <w:t xml:space="preserve">proposition </w:t>
      </w:r>
      <w:r>
        <w:rPr>
          <w:rFonts w:eastAsia="Calibri"/>
        </w:rPr>
        <w:t>de suspendre le projet de décision était motivée par le fait que l</w:t>
      </w:r>
      <w:r w:rsidR="00841743">
        <w:rPr>
          <w:rFonts w:eastAsia="Calibri"/>
        </w:rPr>
        <w:t>a décision nécessitait un débat</w:t>
      </w:r>
      <w:r>
        <w:rPr>
          <w:rFonts w:eastAsia="Calibri"/>
        </w:rPr>
        <w:t xml:space="preserve"> qui ne concernait pas uniquement le rapport de l</w:t>
      </w:r>
      <w:r w:rsidR="00346F1B">
        <w:rPr>
          <w:rFonts w:eastAsia="Calibri"/>
        </w:rPr>
        <w:t>’</w:t>
      </w:r>
      <w:r>
        <w:rPr>
          <w:rFonts w:eastAsia="Calibri"/>
        </w:rPr>
        <w:t>Organe d</w:t>
      </w:r>
      <w:r w:rsidR="00346F1B">
        <w:rPr>
          <w:rFonts w:eastAsia="Calibri"/>
        </w:rPr>
        <w:t>’</w:t>
      </w:r>
      <w:r>
        <w:rPr>
          <w:rFonts w:eastAsia="Calibri"/>
        </w:rPr>
        <w:t xml:space="preserve">évaluation </w:t>
      </w:r>
      <w:r w:rsidR="00841743">
        <w:rPr>
          <w:rFonts w:eastAsia="Calibri"/>
        </w:rPr>
        <w:t xml:space="preserve">déjà présenté </w:t>
      </w:r>
      <w:r>
        <w:rPr>
          <w:rFonts w:eastAsia="Calibri"/>
        </w:rPr>
        <w:t xml:space="preserve">mais </w:t>
      </w:r>
      <w:r w:rsidRPr="007D0E4F">
        <w:rPr>
          <w:rFonts w:eastAsia="Calibri"/>
        </w:rPr>
        <w:t>également</w:t>
      </w:r>
      <w:r>
        <w:rPr>
          <w:rFonts w:eastAsia="Calibri"/>
        </w:rPr>
        <w:t xml:space="preserve"> chaque </w:t>
      </w:r>
      <w:r w:rsidRPr="007D0E4F">
        <w:rPr>
          <w:rFonts w:eastAsia="Calibri"/>
        </w:rPr>
        <w:t>élément</w:t>
      </w:r>
      <w:r>
        <w:rPr>
          <w:rFonts w:eastAsia="Calibri"/>
        </w:rPr>
        <w:t xml:space="preserve"> à inscrire, </w:t>
      </w:r>
      <w:r w:rsidR="00841743">
        <w:rPr>
          <w:rFonts w:eastAsia="Calibri"/>
        </w:rPr>
        <w:t xml:space="preserve">chaque </w:t>
      </w:r>
      <w:r w:rsidRPr="007D0E4F">
        <w:rPr>
          <w:rFonts w:eastAsia="Calibri"/>
        </w:rPr>
        <w:t xml:space="preserve">proposition </w:t>
      </w:r>
      <w:r>
        <w:rPr>
          <w:rFonts w:eastAsia="Calibri"/>
        </w:rPr>
        <w:t xml:space="preserve">à sélectionner ou </w:t>
      </w:r>
      <w:r w:rsidR="00841743">
        <w:rPr>
          <w:rFonts w:eastAsia="Calibri"/>
        </w:rPr>
        <w:t xml:space="preserve">chaque </w:t>
      </w:r>
      <w:r>
        <w:rPr>
          <w:rFonts w:eastAsia="Calibri"/>
        </w:rPr>
        <w:t>dem</w:t>
      </w:r>
      <w:r w:rsidR="00841743">
        <w:rPr>
          <w:rFonts w:eastAsia="Calibri"/>
        </w:rPr>
        <w:t>ande d</w:t>
      </w:r>
      <w:r w:rsidR="00346F1B">
        <w:rPr>
          <w:rFonts w:eastAsia="Calibri"/>
        </w:rPr>
        <w:t>’</w:t>
      </w:r>
      <w:r w:rsidR="00841743">
        <w:rPr>
          <w:rFonts w:eastAsia="Calibri"/>
        </w:rPr>
        <w:t>assistance à approuver, c.-à-d. la totalité du travail réalisé par l</w:t>
      </w:r>
      <w:r w:rsidR="00346F1B">
        <w:rPr>
          <w:rFonts w:eastAsia="Calibri"/>
        </w:rPr>
        <w:t>’</w:t>
      </w:r>
      <w:r w:rsidR="00841743">
        <w:rPr>
          <w:rFonts w:eastAsia="Calibri"/>
        </w:rPr>
        <w:t>Organe d</w:t>
      </w:r>
      <w:r w:rsidR="00346F1B">
        <w:rPr>
          <w:rFonts w:eastAsia="Calibri"/>
        </w:rPr>
        <w:t>’</w:t>
      </w:r>
      <w:r w:rsidR="00841743">
        <w:rPr>
          <w:rFonts w:eastAsia="Calibri"/>
        </w:rPr>
        <w:t xml:space="preserve">évaluation. Le </w:t>
      </w:r>
      <w:r w:rsidR="00841743" w:rsidRPr="00841743">
        <w:rPr>
          <w:rFonts w:eastAsia="Calibri"/>
        </w:rPr>
        <w:t>Secrétaire</w:t>
      </w:r>
      <w:r w:rsidR="00841743">
        <w:rPr>
          <w:rFonts w:eastAsia="Calibri"/>
        </w:rPr>
        <w:t xml:space="preserve"> avait bien compris que les commentaires concernaient alors le rapport de l</w:t>
      </w:r>
      <w:r w:rsidR="00346F1B">
        <w:rPr>
          <w:rFonts w:eastAsia="Calibri"/>
        </w:rPr>
        <w:t>’</w:t>
      </w:r>
      <w:r w:rsidR="00841743">
        <w:rPr>
          <w:rFonts w:eastAsia="Calibri"/>
        </w:rPr>
        <w:t>Organe d</w:t>
      </w:r>
      <w:r w:rsidR="00346F1B">
        <w:rPr>
          <w:rFonts w:eastAsia="Calibri"/>
        </w:rPr>
        <w:t>’</w:t>
      </w:r>
      <w:r w:rsidR="00841743">
        <w:rPr>
          <w:rFonts w:eastAsia="Calibri"/>
        </w:rPr>
        <w:t>évaluation, ajoutant que les commentaires relatifs à la décision pouvaient certes être utiles, ou pas, à ce stade de la session mais que dans tous les cas, le Comité devrait rouvrir le débat lors de l</w:t>
      </w:r>
      <w:r w:rsidR="00346F1B">
        <w:rPr>
          <w:rFonts w:eastAsia="Calibri"/>
        </w:rPr>
        <w:t>’</w:t>
      </w:r>
      <w:r w:rsidR="00841743">
        <w:rPr>
          <w:rFonts w:eastAsia="Calibri"/>
        </w:rPr>
        <w:t xml:space="preserve">adoption de la </w:t>
      </w:r>
      <w:r w:rsidR="00841743" w:rsidRPr="00841743">
        <w:rPr>
          <w:rFonts w:eastAsia="Calibri"/>
        </w:rPr>
        <w:t>décision</w:t>
      </w:r>
      <w:r w:rsidR="00841743">
        <w:rPr>
          <w:rFonts w:eastAsia="Calibri"/>
        </w:rPr>
        <w:t xml:space="preserve">. Le </w:t>
      </w:r>
      <w:r w:rsidR="00841743" w:rsidRPr="00841743">
        <w:rPr>
          <w:rFonts w:eastAsia="Calibri"/>
        </w:rPr>
        <w:t>Secrétaire</w:t>
      </w:r>
      <w:r w:rsidR="00841743">
        <w:rPr>
          <w:rFonts w:eastAsia="Calibri"/>
        </w:rPr>
        <w:t xml:space="preserve"> a tenu à rassurer le Comité que l</w:t>
      </w:r>
      <w:r w:rsidR="00346F1B">
        <w:rPr>
          <w:rFonts w:eastAsia="Calibri"/>
        </w:rPr>
        <w:t>’</w:t>
      </w:r>
      <w:r w:rsidR="00841743">
        <w:rPr>
          <w:rFonts w:eastAsia="Calibri"/>
        </w:rPr>
        <w:t>Organe d</w:t>
      </w:r>
      <w:r w:rsidR="00346F1B">
        <w:rPr>
          <w:rFonts w:eastAsia="Calibri"/>
        </w:rPr>
        <w:t>’</w:t>
      </w:r>
      <w:r w:rsidR="00841743">
        <w:rPr>
          <w:rFonts w:eastAsia="Calibri"/>
        </w:rPr>
        <w:t>évaluation serait présent pour la totalité du point</w:t>
      </w:r>
      <w:r w:rsidR="00311274">
        <w:rPr>
          <w:rFonts w:eastAsia="Calibri"/>
        </w:rPr>
        <w:t xml:space="preserve"> 10, y compris ses sous-points.</w:t>
      </w:r>
    </w:p>
    <w:p w14:paraId="6A3183F3" w14:textId="37338909" w:rsidR="00841743" w:rsidRDefault="00841743" w:rsidP="002B4948">
      <w:pPr>
        <w:pStyle w:val="Orateurengris"/>
        <w:spacing w:before="120"/>
        <w:ind w:left="709" w:hanging="709"/>
        <w:rPr>
          <w:rFonts w:eastAsia="Calibri"/>
        </w:rPr>
      </w:pPr>
      <w:r>
        <w:rPr>
          <w:rFonts w:eastAsia="Calibri"/>
        </w:rPr>
        <w:t xml:space="preserve">Le </w:t>
      </w:r>
      <w:r w:rsidRPr="00841743">
        <w:rPr>
          <w:rFonts w:eastAsia="Calibri"/>
          <w:b/>
        </w:rPr>
        <w:t>Président</w:t>
      </w:r>
      <w:r>
        <w:rPr>
          <w:rFonts w:eastAsia="Calibri"/>
        </w:rPr>
        <w:t xml:space="preserve"> a par ailleurs précisé que le projet de décision 10 ne concernait pas uniquement le rapport de l</w:t>
      </w:r>
      <w:r w:rsidR="00346F1B">
        <w:rPr>
          <w:rFonts w:eastAsia="Calibri"/>
        </w:rPr>
        <w:t>’</w:t>
      </w:r>
      <w:r>
        <w:rPr>
          <w:rFonts w:eastAsia="Calibri"/>
        </w:rPr>
        <w:t>Organe d</w:t>
      </w:r>
      <w:r w:rsidR="00346F1B">
        <w:rPr>
          <w:rFonts w:eastAsia="Calibri"/>
        </w:rPr>
        <w:t>’</w:t>
      </w:r>
      <w:r>
        <w:rPr>
          <w:rFonts w:eastAsia="Calibri"/>
        </w:rPr>
        <w:t xml:space="preserve">évaluation mais </w:t>
      </w:r>
      <w:r w:rsidRPr="00841743">
        <w:rPr>
          <w:rFonts w:eastAsia="Calibri"/>
        </w:rPr>
        <w:t>également</w:t>
      </w:r>
      <w:r>
        <w:rPr>
          <w:rFonts w:eastAsia="Calibri"/>
        </w:rPr>
        <w:t xml:space="preserve"> les sous-points 10.a, 10.b et </w:t>
      </w:r>
      <w:r w:rsidR="002567C8">
        <w:rPr>
          <w:rFonts w:eastAsia="Calibri"/>
        </w:rPr>
        <w:t xml:space="preserve">10.c. Il a donné la parole aux </w:t>
      </w:r>
      <w:r w:rsidR="00A46CAD">
        <w:rPr>
          <w:rFonts w:eastAsia="Calibri"/>
        </w:rPr>
        <w:t>membres du Comité</w:t>
      </w:r>
      <w:r w:rsidR="007221C7">
        <w:rPr>
          <w:rFonts w:eastAsia="Calibri"/>
        </w:rPr>
        <w:t xml:space="preserve"> </w:t>
      </w:r>
      <w:r>
        <w:rPr>
          <w:rFonts w:eastAsia="Calibri"/>
        </w:rPr>
        <w:t>désireux d</w:t>
      </w:r>
      <w:r w:rsidR="00346F1B">
        <w:rPr>
          <w:rFonts w:eastAsia="Calibri"/>
        </w:rPr>
        <w:t>’</w:t>
      </w:r>
      <w:r>
        <w:rPr>
          <w:rFonts w:eastAsia="Calibri"/>
        </w:rPr>
        <w:t>intervenir à ce stade, avant de passer aux points 10.a, 10.b et 10.c, suivis de la</w:t>
      </w:r>
      <w:r w:rsidR="00311274">
        <w:rPr>
          <w:rFonts w:eastAsia="Calibri"/>
        </w:rPr>
        <w:t xml:space="preserve"> décision 10 dans son ensemble.</w:t>
      </w:r>
    </w:p>
    <w:p w14:paraId="72CC7C94" w14:textId="5478F4EA" w:rsidR="007221C7" w:rsidRPr="007221C7" w:rsidRDefault="007221C7" w:rsidP="002B4948">
      <w:pPr>
        <w:pStyle w:val="Orateurengris"/>
        <w:spacing w:before="120"/>
        <w:ind w:left="709" w:hanging="709"/>
        <w:rPr>
          <w:rFonts w:eastAsia="Calibri"/>
        </w:rPr>
      </w:pPr>
      <w:r>
        <w:rPr>
          <w:rFonts w:eastAsia="Calibri"/>
        </w:rPr>
        <w:t xml:space="preserve">Le </w:t>
      </w:r>
      <w:r w:rsidRPr="00404995">
        <w:rPr>
          <w:rFonts w:eastAsia="Calibri"/>
          <w:b/>
        </w:rPr>
        <w:t>Secrétaire</w:t>
      </w:r>
      <w:r w:rsidR="00404995">
        <w:rPr>
          <w:rFonts w:eastAsia="Calibri"/>
        </w:rPr>
        <w:t xml:space="preserve"> avait compris</w:t>
      </w:r>
      <w:r>
        <w:rPr>
          <w:rFonts w:eastAsia="Calibri"/>
        </w:rPr>
        <w:t xml:space="preserve"> que la procédure d</w:t>
      </w:r>
      <w:r w:rsidR="00346F1B">
        <w:rPr>
          <w:rFonts w:eastAsia="Calibri"/>
        </w:rPr>
        <w:t>’</w:t>
      </w:r>
      <w:r w:rsidRPr="007221C7">
        <w:rPr>
          <w:rFonts w:eastAsia="Calibri"/>
        </w:rPr>
        <w:t>évaluation</w:t>
      </w:r>
      <w:r>
        <w:rPr>
          <w:rFonts w:eastAsia="Calibri"/>
        </w:rPr>
        <w:t xml:space="preserve"> </w:t>
      </w:r>
      <w:r w:rsidR="00404995">
        <w:rPr>
          <w:rFonts w:eastAsia="Calibri"/>
        </w:rPr>
        <w:t xml:space="preserve">en tant que telle </w:t>
      </w:r>
      <w:r>
        <w:rPr>
          <w:rFonts w:eastAsia="Calibri"/>
        </w:rPr>
        <w:t xml:space="preserve">avait suscité des préoccupations </w:t>
      </w:r>
      <w:r w:rsidR="00404995">
        <w:rPr>
          <w:rFonts w:eastAsia="Calibri"/>
        </w:rPr>
        <w:t>et que l</w:t>
      </w:r>
      <w:r w:rsidR="002567C8">
        <w:rPr>
          <w:rFonts w:eastAsia="Calibri"/>
        </w:rPr>
        <w:t xml:space="preserve">es </w:t>
      </w:r>
      <w:r w:rsidR="00A46CAD">
        <w:rPr>
          <w:rFonts w:eastAsia="Calibri"/>
        </w:rPr>
        <w:t>membres du Comité</w:t>
      </w:r>
      <w:r>
        <w:rPr>
          <w:rFonts w:eastAsia="Calibri"/>
        </w:rPr>
        <w:t xml:space="preserve"> souhaitant faire des propositions craignaient de ne plus </w:t>
      </w:r>
      <w:r w:rsidR="00645B25">
        <w:rPr>
          <w:rFonts w:eastAsia="Calibri"/>
        </w:rPr>
        <w:t xml:space="preserve">en </w:t>
      </w:r>
      <w:r>
        <w:rPr>
          <w:rFonts w:eastAsia="Calibri"/>
        </w:rPr>
        <w:t xml:space="preserve">avoir </w:t>
      </w:r>
      <w:r w:rsidR="00645B25">
        <w:rPr>
          <w:rFonts w:eastAsia="Calibri"/>
        </w:rPr>
        <w:t>l</w:t>
      </w:r>
      <w:r w:rsidR="00346F1B">
        <w:rPr>
          <w:rFonts w:eastAsia="Calibri"/>
        </w:rPr>
        <w:t>’</w:t>
      </w:r>
      <w:r w:rsidRPr="007221C7">
        <w:rPr>
          <w:rFonts w:eastAsia="Calibri"/>
        </w:rPr>
        <w:t>opportunité</w:t>
      </w:r>
      <w:r>
        <w:rPr>
          <w:rFonts w:eastAsia="Calibri"/>
        </w:rPr>
        <w:t xml:space="preserve">. Le </w:t>
      </w:r>
      <w:r w:rsidRPr="007221C7">
        <w:rPr>
          <w:rFonts w:eastAsia="Calibri"/>
        </w:rPr>
        <w:t>Secrétaire</w:t>
      </w:r>
      <w:r>
        <w:rPr>
          <w:rFonts w:eastAsia="Calibri"/>
        </w:rPr>
        <w:t xml:space="preserve"> a </w:t>
      </w:r>
      <w:r w:rsidR="00645B25">
        <w:rPr>
          <w:rFonts w:eastAsia="Calibri"/>
        </w:rPr>
        <w:t xml:space="preserve">rassuré le Comité que ce ne serait pas le cas et que – par </w:t>
      </w:r>
      <w:r>
        <w:rPr>
          <w:rFonts w:eastAsia="Calibri"/>
        </w:rPr>
        <w:t xml:space="preserve">souci de cohérence avec les années précédentes – le moment le plus approprié était </w:t>
      </w:r>
      <w:r w:rsidR="00645B25">
        <w:rPr>
          <w:rFonts w:eastAsia="Calibri"/>
        </w:rPr>
        <w:t xml:space="preserve">celui </w:t>
      </w:r>
      <w:r>
        <w:rPr>
          <w:rFonts w:eastAsia="Calibri"/>
        </w:rPr>
        <w:t>pré</w:t>
      </w:r>
      <w:r w:rsidR="002567C8">
        <w:rPr>
          <w:rFonts w:eastAsia="Calibri"/>
        </w:rPr>
        <w:t xml:space="preserve">cédant la décision lorsque les </w:t>
      </w:r>
      <w:r w:rsidR="00A46CAD">
        <w:rPr>
          <w:rFonts w:eastAsia="Calibri"/>
        </w:rPr>
        <w:t>membres</w:t>
      </w:r>
      <w:r>
        <w:rPr>
          <w:rFonts w:eastAsia="Calibri"/>
        </w:rPr>
        <w:t xml:space="preserve"> pouvaient tirer parti de l</w:t>
      </w:r>
      <w:r w:rsidR="00346F1B">
        <w:rPr>
          <w:rFonts w:eastAsia="Calibri"/>
        </w:rPr>
        <w:t>’</w:t>
      </w:r>
      <w:r>
        <w:rPr>
          <w:rFonts w:eastAsia="Calibri"/>
        </w:rPr>
        <w:t>expérience acquise durant tout le débat sur le travail de l</w:t>
      </w:r>
      <w:r w:rsidR="00346F1B">
        <w:rPr>
          <w:rFonts w:eastAsia="Calibri"/>
        </w:rPr>
        <w:t>’</w:t>
      </w:r>
      <w:r>
        <w:rPr>
          <w:rFonts w:eastAsia="Calibri"/>
        </w:rPr>
        <w:t>Organe d</w:t>
      </w:r>
      <w:r w:rsidR="00346F1B">
        <w:rPr>
          <w:rFonts w:eastAsia="Calibri"/>
        </w:rPr>
        <w:t>’</w:t>
      </w:r>
      <w:r>
        <w:rPr>
          <w:rFonts w:eastAsia="Calibri"/>
        </w:rPr>
        <w:t xml:space="preserve">évaluation. Il semblait donc opportun que la parole soit donnée aux commentaires sur le rapport lui-même, tandis que les commentaires sur la procédure et sur toute </w:t>
      </w:r>
      <w:r w:rsidRPr="007221C7">
        <w:rPr>
          <w:rFonts w:eastAsia="Calibri"/>
        </w:rPr>
        <w:t xml:space="preserve">proposition </w:t>
      </w:r>
      <w:r>
        <w:rPr>
          <w:rFonts w:eastAsia="Calibri"/>
        </w:rPr>
        <w:t>visant à l</w:t>
      </w:r>
      <w:r w:rsidR="00346F1B">
        <w:rPr>
          <w:rFonts w:eastAsia="Calibri"/>
        </w:rPr>
        <w:t>’</w:t>
      </w:r>
      <w:r>
        <w:rPr>
          <w:rFonts w:eastAsia="Calibri"/>
        </w:rPr>
        <w:t>améliorer ou l</w:t>
      </w:r>
      <w:r w:rsidR="00346F1B">
        <w:rPr>
          <w:rFonts w:eastAsia="Calibri"/>
        </w:rPr>
        <w:t>’</w:t>
      </w:r>
      <w:r>
        <w:rPr>
          <w:rFonts w:eastAsia="Calibri"/>
        </w:rPr>
        <w:t xml:space="preserve">affiner </w:t>
      </w:r>
      <w:r w:rsidR="00404995" w:rsidRPr="00DC5F3D">
        <w:rPr>
          <w:rFonts w:eastAsia="Calibri"/>
        </w:rPr>
        <w:t>devraien</w:t>
      </w:r>
      <w:r w:rsidR="00D86863" w:rsidRPr="00DC5F3D">
        <w:rPr>
          <w:rFonts w:eastAsia="Calibri"/>
        </w:rPr>
        <w:t>t</w:t>
      </w:r>
      <w:r w:rsidR="00D86863">
        <w:rPr>
          <w:rFonts w:eastAsia="Calibri"/>
        </w:rPr>
        <w:t xml:space="preserve"> être formulés après la discussion des sous-points, </w:t>
      </w:r>
      <w:r w:rsidR="00051BE5">
        <w:rPr>
          <w:rFonts w:eastAsia="Calibri"/>
        </w:rPr>
        <w:t xml:space="preserve">ouvrant la voie </w:t>
      </w:r>
      <w:r w:rsidR="00404995">
        <w:rPr>
          <w:rFonts w:eastAsia="Calibri"/>
        </w:rPr>
        <w:t>à un débat général.</w:t>
      </w:r>
    </w:p>
    <w:p w14:paraId="5DD40218" w14:textId="4B563C36" w:rsidR="00404995" w:rsidRPr="00404995" w:rsidRDefault="00404995" w:rsidP="002B4948">
      <w:pPr>
        <w:pStyle w:val="Orateurengris"/>
        <w:spacing w:before="120"/>
        <w:ind w:left="709" w:hanging="709"/>
        <w:rPr>
          <w:rFonts w:eastAsia="Calibri"/>
        </w:rPr>
      </w:pPr>
      <w:r>
        <w:rPr>
          <w:rFonts w:eastAsia="Calibri"/>
        </w:rPr>
        <w:t>Faisant référence à l</w:t>
      </w:r>
      <w:r w:rsidR="00346F1B">
        <w:rPr>
          <w:rFonts w:eastAsia="Calibri"/>
        </w:rPr>
        <w:t>’</w:t>
      </w:r>
      <w:r w:rsidRPr="00404995">
        <w:rPr>
          <w:rFonts w:eastAsia="Calibri"/>
        </w:rPr>
        <w:t>intervention</w:t>
      </w:r>
      <w:r>
        <w:rPr>
          <w:rFonts w:eastAsia="Calibri"/>
        </w:rPr>
        <w:t xml:space="preserve"> de </w:t>
      </w:r>
      <w:r w:rsidRPr="00DC5F3D">
        <w:rPr>
          <w:rFonts w:eastAsia="Calibri"/>
        </w:rPr>
        <w:t>l</w:t>
      </w:r>
      <w:r w:rsidR="00346F1B">
        <w:rPr>
          <w:rFonts w:eastAsia="Calibri"/>
        </w:rPr>
        <w:t>’</w:t>
      </w:r>
      <w:r w:rsidRPr="00DC5F3D">
        <w:rPr>
          <w:rFonts w:eastAsia="Calibri"/>
        </w:rPr>
        <w:t>Inde</w:t>
      </w:r>
      <w:r>
        <w:rPr>
          <w:rFonts w:eastAsia="Calibri"/>
        </w:rPr>
        <w:t xml:space="preserve">, le </w:t>
      </w:r>
      <w:r w:rsidRPr="00DC5F3D">
        <w:rPr>
          <w:rFonts w:eastAsia="Calibri"/>
          <w:b/>
        </w:rPr>
        <w:t>Président</w:t>
      </w:r>
      <w:r>
        <w:rPr>
          <w:rFonts w:eastAsia="Calibri"/>
        </w:rPr>
        <w:t xml:space="preserve"> a précisé que la </w:t>
      </w:r>
      <w:r w:rsidRPr="00404995">
        <w:rPr>
          <w:rFonts w:eastAsia="Calibri"/>
        </w:rPr>
        <w:t xml:space="preserve">proposition </w:t>
      </w:r>
      <w:r>
        <w:rPr>
          <w:rFonts w:eastAsia="Calibri"/>
        </w:rPr>
        <w:t>de la délégation serait examinée lors de l</w:t>
      </w:r>
      <w:r w:rsidR="00346F1B">
        <w:rPr>
          <w:rFonts w:eastAsia="Calibri"/>
        </w:rPr>
        <w:t>’</w:t>
      </w:r>
      <w:r>
        <w:rPr>
          <w:rFonts w:eastAsia="Calibri"/>
        </w:rPr>
        <w:t>adoption du projet de décision mais pas</w:t>
      </w:r>
      <w:r w:rsidR="00645B25">
        <w:rPr>
          <w:rFonts w:eastAsia="Calibri"/>
        </w:rPr>
        <w:t xml:space="preserve"> à ce stade de la session</w:t>
      </w:r>
      <w:r>
        <w:rPr>
          <w:rFonts w:eastAsia="Calibri"/>
        </w:rPr>
        <w:t>. Il a ensuite donné la parole aux intervenants afin qu</w:t>
      </w:r>
      <w:r w:rsidR="00346F1B">
        <w:rPr>
          <w:rFonts w:eastAsia="Calibri"/>
        </w:rPr>
        <w:t>’</w:t>
      </w:r>
      <w:r w:rsidR="00311274">
        <w:rPr>
          <w:rFonts w:eastAsia="Calibri"/>
        </w:rPr>
        <w:t>ils formulent des commentaires.</w:t>
      </w:r>
    </w:p>
    <w:p w14:paraId="4EE49668" w14:textId="223086CD" w:rsidR="00645B25" w:rsidRPr="00645B25" w:rsidRDefault="00645B25" w:rsidP="002B4948">
      <w:pPr>
        <w:pStyle w:val="Orateurengris"/>
        <w:spacing w:before="120"/>
        <w:ind w:left="709" w:hanging="709"/>
        <w:rPr>
          <w:rFonts w:eastAsia="Calibri"/>
        </w:rPr>
      </w:pPr>
      <w:r w:rsidRPr="00645B25">
        <w:rPr>
          <w:rFonts w:eastAsia="Calibri"/>
        </w:rPr>
        <w:t>Compte tenu des éclaircissements apportés, la délégation de l</w:t>
      </w:r>
      <w:r w:rsidR="00346F1B">
        <w:rPr>
          <w:rFonts w:eastAsia="Calibri"/>
        </w:rPr>
        <w:t>’</w:t>
      </w:r>
      <w:r w:rsidRPr="00645B25">
        <w:rPr>
          <w:rFonts w:eastAsia="Calibri"/>
          <w:b/>
        </w:rPr>
        <w:t>Algérie</w:t>
      </w:r>
      <w:r w:rsidRPr="00645B25">
        <w:rPr>
          <w:rFonts w:eastAsia="Calibri"/>
        </w:rPr>
        <w:t xml:space="preserve"> a suggéré de passer au point 10.a.</w:t>
      </w:r>
    </w:p>
    <w:p w14:paraId="7F5CF1C3" w14:textId="280C70E6" w:rsidR="0003014C" w:rsidRPr="0003014C" w:rsidRDefault="0003014C" w:rsidP="002B4948">
      <w:pPr>
        <w:pStyle w:val="Orateurengris"/>
        <w:spacing w:before="120"/>
        <w:ind w:left="709" w:hanging="709"/>
        <w:rPr>
          <w:rFonts w:eastAsia="Calibri"/>
        </w:rPr>
      </w:pPr>
      <w:r>
        <w:rPr>
          <w:rFonts w:eastAsia="Calibri"/>
        </w:rPr>
        <w:t xml:space="preserve">La </w:t>
      </w:r>
      <w:r w:rsidRPr="0003014C">
        <w:rPr>
          <w:rFonts w:eastAsia="Calibri"/>
        </w:rPr>
        <w:t>délégation</w:t>
      </w:r>
      <w:r>
        <w:rPr>
          <w:rFonts w:eastAsia="Calibri"/>
        </w:rPr>
        <w:t xml:space="preserve"> de la </w:t>
      </w:r>
      <w:r w:rsidRPr="0003014C">
        <w:rPr>
          <w:rFonts w:eastAsia="Calibri"/>
          <w:b/>
        </w:rPr>
        <w:t>Turquie</w:t>
      </w:r>
      <w:r>
        <w:rPr>
          <w:rFonts w:eastAsia="Calibri"/>
        </w:rPr>
        <w:t xml:space="preserve"> a demandé si le Comité passait bien au débat géné</w:t>
      </w:r>
      <w:r w:rsidR="00311274">
        <w:rPr>
          <w:rFonts w:eastAsia="Calibri"/>
        </w:rPr>
        <w:t>ral sur les inscriptions.</w:t>
      </w:r>
    </w:p>
    <w:p w14:paraId="0DDB1EAE" w14:textId="50C4F17E" w:rsidR="0003014C" w:rsidRPr="0003014C" w:rsidRDefault="0003014C" w:rsidP="002B4948">
      <w:pPr>
        <w:pStyle w:val="Orateurengris"/>
        <w:spacing w:before="120"/>
        <w:ind w:left="709" w:hanging="709"/>
        <w:rPr>
          <w:rFonts w:eastAsia="Calibri"/>
        </w:rPr>
      </w:pPr>
      <w:r>
        <w:rPr>
          <w:rFonts w:eastAsia="Calibri"/>
        </w:rPr>
        <w:t xml:space="preserve">La </w:t>
      </w:r>
      <w:r w:rsidRPr="0003014C">
        <w:rPr>
          <w:rFonts w:eastAsia="Calibri"/>
        </w:rPr>
        <w:t>délégation</w:t>
      </w:r>
      <w:r>
        <w:rPr>
          <w:rFonts w:eastAsia="Calibri"/>
        </w:rPr>
        <w:t xml:space="preserve"> du </w:t>
      </w:r>
      <w:r w:rsidRPr="0003014C">
        <w:rPr>
          <w:rFonts w:eastAsia="Calibri"/>
          <w:b/>
        </w:rPr>
        <w:t>Sénégal</w:t>
      </w:r>
      <w:r>
        <w:rPr>
          <w:rFonts w:eastAsia="Calibri"/>
        </w:rPr>
        <w:t xml:space="preserve"> a admis que tout cela était assez confus mais qu</w:t>
      </w:r>
      <w:r w:rsidR="00346F1B">
        <w:rPr>
          <w:rFonts w:eastAsia="Calibri"/>
        </w:rPr>
        <w:t>’</w:t>
      </w:r>
      <w:r>
        <w:rPr>
          <w:rFonts w:eastAsia="Calibri"/>
        </w:rPr>
        <w:t>il semblait plus logique de formuler des commentaires sur l</w:t>
      </w:r>
      <w:r w:rsidR="00346F1B">
        <w:rPr>
          <w:rFonts w:eastAsia="Calibri"/>
        </w:rPr>
        <w:t>’</w:t>
      </w:r>
      <w:r w:rsidRPr="0003014C">
        <w:rPr>
          <w:rFonts w:eastAsia="Calibri"/>
        </w:rPr>
        <w:t>amélioration</w:t>
      </w:r>
      <w:r>
        <w:rPr>
          <w:rFonts w:eastAsia="Calibri"/>
        </w:rPr>
        <w:t xml:space="preserve"> des méthodes de travail de l</w:t>
      </w:r>
      <w:r w:rsidR="00346F1B">
        <w:rPr>
          <w:rFonts w:eastAsia="Calibri"/>
        </w:rPr>
        <w:t>’</w:t>
      </w:r>
      <w:r>
        <w:rPr>
          <w:rFonts w:eastAsia="Calibri"/>
        </w:rPr>
        <w:t>Organe lors de la prise de décision. À cet effet, elle a accordé son soutien aux remarques de l</w:t>
      </w:r>
      <w:r w:rsidR="00346F1B">
        <w:rPr>
          <w:rFonts w:eastAsia="Calibri"/>
        </w:rPr>
        <w:t>’</w:t>
      </w:r>
      <w:r>
        <w:rPr>
          <w:rFonts w:eastAsia="Calibri"/>
        </w:rPr>
        <w:t>Algérie.</w:t>
      </w:r>
    </w:p>
    <w:p w14:paraId="0D69B558" w14:textId="6D5F8509" w:rsidR="0003014C" w:rsidRPr="0003014C" w:rsidRDefault="0003014C" w:rsidP="002B4948">
      <w:pPr>
        <w:pStyle w:val="Orateurengris"/>
        <w:spacing w:before="120"/>
        <w:ind w:left="709" w:hanging="709"/>
        <w:rPr>
          <w:rFonts w:eastAsia="Calibri"/>
        </w:rPr>
      </w:pPr>
      <w:r>
        <w:rPr>
          <w:rFonts w:eastAsia="Calibri"/>
        </w:rPr>
        <w:t>Compte tenu des explications</w:t>
      </w:r>
      <w:r w:rsidR="001C4437">
        <w:rPr>
          <w:rFonts w:eastAsia="Calibri"/>
        </w:rPr>
        <w:t xml:space="preserve"> données</w:t>
      </w:r>
      <w:r>
        <w:rPr>
          <w:rFonts w:eastAsia="Calibri"/>
        </w:rPr>
        <w:t xml:space="preserve">, la </w:t>
      </w:r>
      <w:r w:rsidRPr="0003014C">
        <w:rPr>
          <w:rFonts w:eastAsia="Calibri"/>
        </w:rPr>
        <w:t>délégation</w:t>
      </w:r>
      <w:r>
        <w:rPr>
          <w:rFonts w:eastAsia="Calibri"/>
        </w:rPr>
        <w:t xml:space="preserve"> de la </w:t>
      </w:r>
      <w:r w:rsidRPr="0003014C">
        <w:rPr>
          <w:rFonts w:eastAsia="Calibri"/>
          <w:b/>
        </w:rPr>
        <w:t>Côte d</w:t>
      </w:r>
      <w:r w:rsidR="00346F1B">
        <w:rPr>
          <w:rFonts w:eastAsia="Calibri"/>
          <w:b/>
        </w:rPr>
        <w:t>’</w:t>
      </w:r>
      <w:r w:rsidRPr="0003014C">
        <w:rPr>
          <w:rFonts w:eastAsia="Calibri"/>
          <w:b/>
        </w:rPr>
        <w:t>Ivoire</w:t>
      </w:r>
      <w:r w:rsidR="00DC5F3D">
        <w:rPr>
          <w:rFonts w:eastAsia="Calibri"/>
        </w:rPr>
        <w:t xml:space="preserve"> estimait</w:t>
      </w:r>
      <w:r>
        <w:rPr>
          <w:rFonts w:eastAsia="Calibri"/>
        </w:rPr>
        <w:t xml:space="preserve"> </w:t>
      </w:r>
      <w:r w:rsidRPr="0003014C">
        <w:rPr>
          <w:rFonts w:eastAsia="Calibri"/>
        </w:rPr>
        <w:t>également</w:t>
      </w:r>
      <w:r>
        <w:rPr>
          <w:rFonts w:eastAsia="Calibri"/>
        </w:rPr>
        <w:t xml:space="preserve"> qu</w:t>
      </w:r>
      <w:r w:rsidR="00346F1B">
        <w:rPr>
          <w:rFonts w:eastAsia="Calibri"/>
        </w:rPr>
        <w:t>’</w:t>
      </w:r>
      <w:r>
        <w:rPr>
          <w:rFonts w:eastAsia="Calibri"/>
        </w:rPr>
        <w:t xml:space="preserve">il serait judicieux de passer </w:t>
      </w:r>
      <w:r w:rsidR="001C4437">
        <w:rPr>
          <w:rFonts w:eastAsia="Calibri"/>
        </w:rPr>
        <w:t xml:space="preserve">alors </w:t>
      </w:r>
      <w:r>
        <w:rPr>
          <w:rFonts w:eastAsia="Calibri"/>
        </w:rPr>
        <w:t>aux candidatures puis de re</w:t>
      </w:r>
      <w:r w:rsidR="001C4437">
        <w:rPr>
          <w:rFonts w:eastAsia="Calibri"/>
        </w:rPr>
        <w:t xml:space="preserve">venir au débat général plus tard </w:t>
      </w:r>
      <w:r>
        <w:rPr>
          <w:rFonts w:eastAsia="Calibri"/>
        </w:rPr>
        <w:t>car les observations du Comité</w:t>
      </w:r>
      <w:r w:rsidR="00311274">
        <w:rPr>
          <w:rFonts w:eastAsia="Calibri"/>
        </w:rPr>
        <w:t xml:space="preserve"> pourraient alimenter ce débat.</w:t>
      </w:r>
    </w:p>
    <w:p w14:paraId="6993B9BE" w14:textId="7F0249C1" w:rsidR="001C4437" w:rsidRPr="001C4437" w:rsidRDefault="001C4437" w:rsidP="002B4948">
      <w:pPr>
        <w:pStyle w:val="Orateurengris"/>
        <w:spacing w:before="120"/>
        <w:ind w:left="709" w:hanging="709"/>
        <w:rPr>
          <w:rFonts w:eastAsia="Calibri"/>
        </w:rPr>
      </w:pPr>
      <w:r>
        <w:rPr>
          <w:rFonts w:eastAsia="Calibri"/>
        </w:rPr>
        <w:t xml:space="preserve">La </w:t>
      </w:r>
      <w:r w:rsidRPr="001C4437">
        <w:rPr>
          <w:rFonts w:eastAsia="Calibri"/>
        </w:rPr>
        <w:t>délégation</w:t>
      </w:r>
      <w:r>
        <w:rPr>
          <w:rFonts w:eastAsia="Calibri"/>
        </w:rPr>
        <w:t xml:space="preserve"> de l</w:t>
      </w:r>
      <w:r w:rsidR="00346F1B">
        <w:rPr>
          <w:rFonts w:eastAsia="Calibri"/>
        </w:rPr>
        <w:t>’</w:t>
      </w:r>
      <w:r w:rsidRPr="001C4437">
        <w:rPr>
          <w:rFonts w:eastAsia="Calibri"/>
          <w:b/>
        </w:rPr>
        <w:t>Autriche</w:t>
      </w:r>
      <w:r>
        <w:rPr>
          <w:rFonts w:eastAsia="Calibri"/>
        </w:rPr>
        <w:t xml:space="preserve"> a fait remarquer que</w:t>
      </w:r>
      <w:r w:rsidR="000B33B7">
        <w:rPr>
          <w:rFonts w:eastAsia="Calibri"/>
        </w:rPr>
        <w:t>, comme l</w:t>
      </w:r>
      <w:r w:rsidR="00346F1B">
        <w:rPr>
          <w:rFonts w:eastAsia="Calibri"/>
        </w:rPr>
        <w:t>’</w:t>
      </w:r>
      <w:r w:rsidR="000B33B7">
        <w:rPr>
          <w:rFonts w:eastAsia="Calibri"/>
        </w:rPr>
        <w:t xml:space="preserve">avait expliqué le </w:t>
      </w:r>
      <w:r w:rsidR="000B33B7" w:rsidRPr="000B33B7">
        <w:rPr>
          <w:rFonts w:eastAsia="Calibri"/>
        </w:rPr>
        <w:t>Secrétaire</w:t>
      </w:r>
      <w:r w:rsidR="000B33B7">
        <w:rPr>
          <w:rFonts w:eastAsia="Calibri"/>
        </w:rPr>
        <w:t xml:space="preserve">, </w:t>
      </w:r>
      <w:r>
        <w:rPr>
          <w:rFonts w:eastAsia="Calibri"/>
        </w:rPr>
        <w:t xml:space="preserve">la pratique habituelle était que suite à la </w:t>
      </w:r>
      <w:r w:rsidRPr="001C4437">
        <w:rPr>
          <w:rFonts w:eastAsia="Calibri"/>
        </w:rPr>
        <w:t>présentation</w:t>
      </w:r>
      <w:r w:rsidR="000B33B7">
        <w:rPr>
          <w:rFonts w:eastAsia="Calibri"/>
        </w:rPr>
        <w:t xml:space="preserve"> du rapport de </w:t>
      </w:r>
      <w:r>
        <w:rPr>
          <w:rFonts w:eastAsia="Calibri"/>
        </w:rPr>
        <w:t>l</w:t>
      </w:r>
      <w:r w:rsidR="00346F1B">
        <w:rPr>
          <w:rFonts w:eastAsia="Calibri"/>
        </w:rPr>
        <w:t>’</w:t>
      </w:r>
      <w:r>
        <w:rPr>
          <w:rFonts w:eastAsia="Calibri"/>
        </w:rPr>
        <w:t>Organe d</w:t>
      </w:r>
      <w:r w:rsidR="00346F1B">
        <w:rPr>
          <w:rFonts w:eastAsia="Calibri"/>
        </w:rPr>
        <w:t>’</w:t>
      </w:r>
      <w:r>
        <w:rPr>
          <w:rFonts w:eastAsia="Calibri"/>
        </w:rPr>
        <w:t>évaluation, il y avait un débat général sur ce qui</w:t>
      </w:r>
      <w:r w:rsidR="000B33B7">
        <w:rPr>
          <w:rFonts w:eastAsia="Calibri"/>
        </w:rPr>
        <w:t xml:space="preserve"> s</w:t>
      </w:r>
      <w:r w:rsidR="00346F1B">
        <w:rPr>
          <w:rFonts w:eastAsia="Calibri"/>
        </w:rPr>
        <w:t>’</w:t>
      </w:r>
      <w:r w:rsidR="000B33B7">
        <w:rPr>
          <w:rFonts w:eastAsia="Calibri"/>
        </w:rPr>
        <w:t>était bien passé, ou pas, pendant les évaluations. Toutefois, elle pouvait accepter d</w:t>
      </w:r>
      <w:r w:rsidR="00346F1B">
        <w:rPr>
          <w:rFonts w:eastAsia="Calibri"/>
        </w:rPr>
        <w:t>’</w:t>
      </w:r>
      <w:r w:rsidR="000B33B7">
        <w:rPr>
          <w:rFonts w:eastAsia="Calibri"/>
        </w:rPr>
        <w:t>avancer dans le débat</w:t>
      </w:r>
      <w:r w:rsidR="00311274">
        <w:rPr>
          <w:rFonts w:eastAsia="Calibri"/>
        </w:rPr>
        <w:t xml:space="preserve"> et de repousser la discussion.</w:t>
      </w:r>
    </w:p>
    <w:p w14:paraId="6F4C2585" w14:textId="6703915A" w:rsidR="00B846EB" w:rsidRPr="00311274" w:rsidRDefault="000B33B7" w:rsidP="002B4948">
      <w:pPr>
        <w:pStyle w:val="Orateurengris"/>
        <w:spacing w:before="120"/>
        <w:ind w:left="709" w:hanging="709"/>
        <w:rPr>
          <w:rFonts w:eastAsia="Calibri"/>
        </w:rPr>
      </w:pPr>
      <w:r>
        <w:rPr>
          <w:rFonts w:eastAsia="Calibri"/>
        </w:rPr>
        <w:t xml:space="preserve">Le </w:t>
      </w:r>
      <w:r w:rsidRPr="000B33B7">
        <w:rPr>
          <w:rFonts w:eastAsia="Calibri"/>
          <w:b/>
        </w:rPr>
        <w:t>Président</w:t>
      </w:r>
      <w:r>
        <w:rPr>
          <w:rFonts w:eastAsia="Calibri"/>
        </w:rPr>
        <w:t xml:space="preserve"> s</w:t>
      </w:r>
      <w:r w:rsidR="00346F1B">
        <w:rPr>
          <w:rFonts w:eastAsia="Calibri"/>
        </w:rPr>
        <w:t>’</w:t>
      </w:r>
      <w:r>
        <w:rPr>
          <w:rFonts w:eastAsia="Calibri"/>
        </w:rPr>
        <w:t>est aligné sur les nombreuses interventions en faveur d</w:t>
      </w:r>
      <w:r w:rsidR="00346F1B">
        <w:rPr>
          <w:rFonts w:eastAsia="Calibri"/>
        </w:rPr>
        <w:t>’</w:t>
      </w:r>
      <w:r>
        <w:rPr>
          <w:rFonts w:eastAsia="Calibri"/>
        </w:rPr>
        <w:t>une suspension du débat et d</w:t>
      </w:r>
      <w:r w:rsidR="00346F1B">
        <w:rPr>
          <w:rFonts w:eastAsia="Calibri"/>
        </w:rPr>
        <w:t>’</w:t>
      </w:r>
      <w:r>
        <w:rPr>
          <w:rFonts w:eastAsia="Calibri"/>
        </w:rPr>
        <w:t>un passage au point 10.a, l</w:t>
      </w:r>
      <w:r w:rsidR="00346F1B">
        <w:rPr>
          <w:rFonts w:eastAsia="Calibri"/>
        </w:rPr>
        <w:t>’</w:t>
      </w:r>
      <w:r>
        <w:rPr>
          <w:rFonts w:eastAsia="Calibri"/>
        </w:rPr>
        <w:t>adoption du point 10 étant repoussée à apr</w:t>
      </w:r>
      <w:r w:rsidR="00311274">
        <w:rPr>
          <w:rFonts w:eastAsia="Calibri"/>
        </w:rPr>
        <w:t>ès l</w:t>
      </w:r>
      <w:r w:rsidR="00346F1B">
        <w:rPr>
          <w:rFonts w:eastAsia="Calibri"/>
        </w:rPr>
        <w:t>’</w:t>
      </w:r>
      <w:r w:rsidR="00311274">
        <w:rPr>
          <w:rFonts w:eastAsia="Calibri"/>
        </w:rPr>
        <w:t>examen de ses sous-points.</w:t>
      </w:r>
    </w:p>
    <w:p w14:paraId="345C5FD1" w14:textId="105BC46B" w:rsidR="00311274" w:rsidRDefault="00C835A1" w:rsidP="00311274">
      <w:pPr>
        <w:pStyle w:val="Orateurengris"/>
        <w:keepNext/>
        <w:numPr>
          <w:ilvl w:val="0"/>
          <w:numId w:val="0"/>
        </w:numPr>
        <w:spacing w:before="360" w:after="60"/>
        <w:jc w:val="left"/>
        <w:outlineLvl w:val="0"/>
        <w:rPr>
          <w:b/>
          <w:u w:val="single"/>
        </w:rPr>
      </w:pPr>
      <w:bookmarkStart w:id="11" w:name="Item10a"/>
      <w:r>
        <w:rPr>
          <w:b/>
          <w:u w:val="single"/>
        </w:rPr>
        <w:t>POINT 10.a</w:t>
      </w:r>
      <w:r w:rsidR="00FA4FCF" w:rsidRPr="00FA4FCF">
        <w:rPr>
          <w:b/>
          <w:u w:val="single"/>
        </w:rPr>
        <w:t xml:space="preserve"> DE L</w:t>
      </w:r>
      <w:r w:rsidR="00346F1B">
        <w:rPr>
          <w:b/>
          <w:u w:val="single"/>
        </w:rPr>
        <w:t>’</w:t>
      </w:r>
      <w:r w:rsidR="00FA4FCF" w:rsidRPr="00FA4FCF">
        <w:rPr>
          <w:b/>
          <w:u w:val="single"/>
        </w:rPr>
        <w:t>ORDRE DU JOUR :</w:t>
      </w:r>
      <w:bookmarkEnd w:id="11"/>
    </w:p>
    <w:p w14:paraId="7FF97B5F" w14:textId="56D4A5D9" w:rsidR="00FA4FCF" w:rsidRPr="00311274" w:rsidRDefault="00FA4FCF" w:rsidP="00311274">
      <w:pPr>
        <w:pStyle w:val="Orateurengris"/>
        <w:keepNext/>
        <w:numPr>
          <w:ilvl w:val="0"/>
          <w:numId w:val="0"/>
        </w:numPr>
        <w:jc w:val="left"/>
        <w:outlineLvl w:val="0"/>
        <w:rPr>
          <w:rFonts w:eastAsiaTheme="minorEastAsia"/>
          <w:b/>
          <w:color w:val="323133"/>
          <w:lang w:eastAsia="ja-JP"/>
        </w:rPr>
      </w:pPr>
      <w:r>
        <w:rPr>
          <w:rFonts w:eastAsiaTheme="minorEastAsia"/>
          <w:b/>
          <w:color w:val="323133"/>
          <w:lang w:eastAsia="ja-JP"/>
        </w:rPr>
        <w:t xml:space="preserve">EXAMEN DES </w:t>
      </w:r>
      <w:r w:rsidRPr="00FA4FCF">
        <w:rPr>
          <w:rFonts w:eastAsiaTheme="minorEastAsia"/>
          <w:b/>
          <w:color w:val="323133"/>
          <w:lang w:eastAsia="ja-JP"/>
        </w:rPr>
        <w:t>CANDIDATURE</w:t>
      </w:r>
      <w:r>
        <w:rPr>
          <w:rFonts w:eastAsiaTheme="minorEastAsia"/>
          <w:b/>
          <w:color w:val="323133"/>
          <w:lang w:eastAsia="ja-JP"/>
        </w:rPr>
        <w:t xml:space="preserve">S POUR </w:t>
      </w:r>
      <w:r w:rsidRPr="00FA4FCF">
        <w:rPr>
          <w:rFonts w:eastAsiaTheme="minorEastAsia"/>
          <w:b/>
          <w:color w:val="323133"/>
          <w:lang w:eastAsia="ja-JP"/>
        </w:rPr>
        <w:t>INSCRIPTION</w:t>
      </w:r>
      <w:r>
        <w:rPr>
          <w:rFonts w:eastAsiaTheme="minorEastAsia"/>
          <w:b/>
          <w:color w:val="323133"/>
          <w:lang w:eastAsia="ja-JP"/>
        </w:rPr>
        <w:t xml:space="preserve"> SUR LA LISTE DU PATRIMOINE CULTUREL IMMATÉRIEL NÉCESSITANT UNE </w:t>
      </w:r>
      <w:r w:rsidRPr="00FA4FCF">
        <w:rPr>
          <w:rFonts w:eastAsiaTheme="minorEastAsia"/>
          <w:b/>
          <w:color w:val="323133"/>
          <w:lang w:eastAsia="ja-JP"/>
        </w:rPr>
        <w:t>SAUVEGARDE</w:t>
      </w:r>
      <w:r>
        <w:rPr>
          <w:rFonts w:eastAsiaTheme="minorEastAsia"/>
          <w:b/>
          <w:color w:val="323133"/>
          <w:lang w:eastAsia="ja-JP"/>
        </w:rPr>
        <w:t xml:space="preserve"> URGENTE</w:t>
      </w:r>
    </w:p>
    <w:p w14:paraId="44C0F1BF" w14:textId="7AF6405B" w:rsidR="00FF3407" w:rsidRPr="000A6378" w:rsidRDefault="00B846EB" w:rsidP="00883380">
      <w:pPr>
        <w:pStyle w:val="NormalWeb"/>
        <w:keepNext/>
        <w:tabs>
          <w:tab w:val="left" w:pos="709"/>
          <w:tab w:val="left" w:pos="1418"/>
          <w:tab w:val="left" w:pos="2126"/>
          <w:tab w:val="left" w:pos="2835"/>
        </w:tabs>
        <w:spacing w:before="120" w:beforeAutospacing="0" w:after="60" w:afterAutospacing="0"/>
        <w:ind w:left="709" w:hanging="709"/>
        <w:rPr>
          <w:rFonts w:ascii="Arial" w:hAnsi="Arial" w:cs="Arial"/>
          <w:i/>
          <w:sz w:val="22"/>
          <w:szCs w:val="22"/>
          <w:lang w:eastAsia="fr-FR"/>
        </w:rPr>
      </w:pPr>
      <w:r w:rsidRPr="00FA4FCF">
        <w:rPr>
          <w:rFonts w:ascii="Arial" w:hAnsi="Arial" w:cs="Arial"/>
          <w:b/>
          <w:sz w:val="22"/>
          <w:szCs w:val="22"/>
          <w:lang w:val="fr-FR"/>
        </w:rPr>
        <w:tab/>
      </w:r>
      <w:r w:rsidR="00FF3407" w:rsidRPr="000A6378">
        <w:rPr>
          <w:rFonts w:ascii="Arial" w:hAnsi="Arial" w:cs="Arial"/>
          <w:b/>
          <w:sz w:val="22"/>
          <w:szCs w:val="22"/>
        </w:rPr>
        <w:t>Document</w:t>
      </w:r>
      <w:r w:rsidR="00FF3407" w:rsidRPr="000A6378">
        <w:rPr>
          <w:rFonts w:ascii="Arial" w:hAnsi="Arial" w:cs="Arial"/>
          <w:b/>
          <w:sz w:val="22"/>
          <w:szCs w:val="22"/>
        </w:rPr>
        <w:tab/>
      </w:r>
      <w:hyperlink r:id="rId40" w:history="1">
        <w:r w:rsidR="00FF3407" w:rsidRPr="000A6378">
          <w:rPr>
            <w:rStyle w:val="Hyperlink"/>
            <w:rFonts w:ascii="Arial" w:hAnsi="Arial" w:cs="Arial"/>
            <w:i/>
            <w:sz w:val="22"/>
            <w:szCs w:val="22"/>
            <w:lang w:eastAsia="fr-FR"/>
          </w:rPr>
          <w:t>ITH/16/11.COM/10.a+Add.</w:t>
        </w:r>
      </w:hyperlink>
    </w:p>
    <w:p w14:paraId="39426534" w14:textId="06FE0EC4" w:rsidR="00FF3407" w:rsidRPr="00FA4FCF" w:rsidRDefault="00B846EB" w:rsidP="002B4948">
      <w:pPr>
        <w:pStyle w:val="NormalWeb"/>
        <w:keepNext/>
        <w:tabs>
          <w:tab w:val="left" w:pos="709"/>
          <w:tab w:val="left" w:pos="1418"/>
          <w:tab w:val="left" w:pos="2126"/>
          <w:tab w:val="left" w:pos="2835"/>
        </w:tabs>
        <w:spacing w:before="0" w:beforeAutospacing="0" w:after="60" w:afterAutospacing="0"/>
        <w:ind w:left="709" w:hanging="709"/>
        <w:rPr>
          <w:rFonts w:ascii="Arial" w:hAnsi="Arial" w:cs="Arial"/>
          <w:b/>
          <w:sz w:val="22"/>
          <w:szCs w:val="22"/>
          <w:lang w:val="fr-FR" w:eastAsia="fr-FR"/>
        </w:rPr>
      </w:pPr>
      <w:r w:rsidRPr="000A6378">
        <w:rPr>
          <w:rFonts w:ascii="Arial" w:hAnsi="Arial" w:cs="Arial"/>
          <w:b/>
          <w:sz w:val="22"/>
          <w:szCs w:val="22"/>
          <w:lang w:eastAsia="fr-FR"/>
        </w:rPr>
        <w:tab/>
      </w:r>
      <w:r w:rsidR="00FF3407" w:rsidRPr="00FA4FCF">
        <w:rPr>
          <w:rFonts w:ascii="Arial" w:hAnsi="Arial" w:cs="Arial"/>
          <w:b/>
          <w:sz w:val="22"/>
          <w:szCs w:val="22"/>
          <w:lang w:val="fr-FR" w:eastAsia="fr-FR"/>
        </w:rPr>
        <w:t xml:space="preserve">Nominations </w:t>
      </w:r>
      <w:r w:rsidRPr="00FA4FCF">
        <w:rPr>
          <w:rFonts w:ascii="Arial" w:hAnsi="Arial" w:cs="Arial"/>
          <w:b/>
          <w:sz w:val="22"/>
          <w:szCs w:val="22"/>
          <w:lang w:val="fr-FR" w:eastAsia="fr-FR"/>
        </w:rPr>
        <w:tab/>
      </w:r>
      <w:hyperlink r:id="rId41" w:history="1">
        <w:r w:rsidR="00FA4FCF">
          <w:rPr>
            <w:rStyle w:val="Hyperlink"/>
            <w:rFonts w:ascii="Arial" w:hAnsi="Arial" w:cs="Arial"/>
            <w:i/>
            <w:sz w:val="22"/>
            <w:szCs w:val="22"/>
            <w:lang w:val="fr-FR" w:eastAsia="fr-FR"/>
          </w:rPr>
          <w:t>6 candidatures</w:t>
        </w:r>
      </w:hyperlink>
    </w:p>
    <w:p w14:paraId="70248A6D" w14:textId="72F8D39A" w:rsidR="00B846EB" w:rsidRPr="00FA4FCF" w:rsidRDefault="00B846EB" w:rsidP="00883380">
      <w:pPr>
        <w:keepNext/>
        <w:tabs>
          <w:tab w:val="left" w:pos="709"/>
          <w:tab w:val="left" w:pos="1418"/>
          <w:tab w:val="left" w:pos="2126"/>
          <w:tab w:val="left" w:pos="2835"/>
        </w:tabs>
        <w:spacing w:after="240"/>
        <w:ind w:left="709" w:hanging="709"/>
        <w:rPr>
          <w:rFonts w:ascii="Arial" w:hAnsi="Arial" w:cs="Arial"/>
          <w:i/>
          <w:sz w:val="22"/>
          <w:szCs w:val="22"/>
        </w:rPr>
      </w:pPr>
      <w:r w:rsidRPr="00FA4FCF">
        <w:rPr>
          <w:rFonts w:ascii="Arial" w:hAnsi="Arial" w:cs="Arial"/>
          <w:b/>
          <w:sz w:val="22"/>
          <w:szCs w:val="22"/>
          <w:lang w:eastAsia="en-US"/>
        </w:rPr>
        <w:tab/>
      </w:r>
      <w:r w:rsidR="00FA4FCF">
        <w:rPr>
          <w:rFonts w:ascii="Arial" w:hAnsi="Arial" w:cs="Arial"/>
          <w:b/>
          <w:sz w:val="22"/>
          <w:szCs w:val="22"/>
          <w:lang w:eastAsia="en-US"/>
        </w:rPr>
        <w:t>Dé</w:t>
      </w:r>
      <w:r w:rsidR="00FF3407" w:rsidRPr="00FA4FCF">
        <w:rPr>
          <w:rFonts w:ascii="Arial" w:hAnsi="Arial" w:cs="Arial"/>
          <w:b/>
          <w:sz w:val="22"/>
          <w:szCs w:val="22"/>
          <w:lang w:eastAsia="en-US"/>
        </w:rPr>
        <w:t>cision</w:t>
      </w:r>
      <w:r w:rsidR="00FF3407" w:rsidRPr="00FA4FCF">
        <w:rPr>
          <w:rFonts w:ascii="Arial" w:hAnsi="Arial" w:cs="Arial"/>
          <w:b/>
          <w:sz w:val="22"/>
          <w:szCs w:val="22"/>
        </w:rPr>
        <w:tab/>
      </w:r>
      <w:r w:rsidR="00FF3407" w:rsidRPr="00FA4FCF">
        <w:rPr>
          <w:rFonts w:ascii="Arial" w:hAnsi="Arial" w:cs="Arial"/>
          <w:i/>
          <w:sz w:val="22"/>
          <w:szCs w:val="22"/>
        </w:rPr>
        <w:t>11.COM 10.a</w:t>
      </w:r>
    </w:p>
    <w:p w14:paraId="726AFAB0" w14:textId="627A017A" w:rsidR="005B20C4" w:rsidRPr="005B20C4" w:rsidRDefault="000274B1" w:rsidP="00E94D39">
      <w:pPr>
        <w:pStyle w:val="Orateurengris"/>
        <w:spacing w:before="120"/>
        <w:ind w:left="709" w:hanging="709"/>
      </w:pPr>
      <w:r>
        <w:t>Après avoir rappelé au Comité que le Kenya avait retiré son dossier, l</w:t>
      </w:r>
      <w:r w:rsidR="00725282" w:rsidRPr="00725282">
        <w:t xml:space="preserve">e </w:t>
      </w:r>
      <w:r w:rsidR="00725282" w:rsidRPr="00725282">
        <w:rPr>
          <w:b/>
        </w:rPr>
        <w:t>Président</w:t>
      </w:r>
      <w:r w:rsidR="00725282" w:rsidRPr="00725282">
        <w:t xml:space="preserve"> est passé </w:t>
      </w:r>
      <w:r w:rsidR="00725282">
        <w:t>au point suivant, 10.a, avec l</w:t>
      </w:r>
      <w:r w:rsidR="00346F1B">
        <w:t>’</w:t>
      </w:r>
      <w:r w:rsidR="00725282">
        <w:t>examen de quatre candidatures soumises par le Botswana, le Portugal, l</w:t>
      </w:r>
      <w:r w:rsidR="00346F1B">
        <w:t>’</w:t>
      </w:r>
      <w:r w:rsidR="00725282">
        <w:t>Ouganda et l</w:t>
      </w:r>
      <w:r w:rsidR="00346F1B">
        <w:t>’</w:t>
      </w:r>
      <w:r w:rsidR="00725282">
        <w:t xml:space="preserve">Ukraine, Le Comité examinerait ensuite la </w:t>
      </w:r>
      <w:r w:rsidR="00725282" w:rsidRPr="00725282">
        <w:t>candidature</w:t>
      </w:r>
      <w:r w:rsidR="00725282">
        <w:t xml:space="preserve"> combinée à la Liste de sauvegarde urgente avec demande simultanée d</w:t>
      </w:r>
      <w:r w:rsidR="00346F1B">
        <w:t>’</w:t>
      </w:r>
      <w:r w:rsidR="00725282">
        <w:t>assistance internationale soumise par le Cambodge, ce qui serait une première pour le Comité avec l</w:t>
      </w:r>
      <w:r w:rsidR="00346F1B">
        <w:t>’</w:t>
      </w:r>
      <w:r w:rsidR="00725282">
        <w:t>examen d</w:t>
      </w:r>
      <w:r w:rsidR="00346F1B">
        <w:t>’</w:t>
      </w:r>
      <w:r w:rsidR="00725282">
        <w:t xml:space="preserve">un tel type de </w:t>
      </w:r>
      <w:r w:rsidR="00725282" w:rsidRPr="00725282">
        <w:t>candidature</w:t>
      </w:r>
      <w:r w:rsidR="00725282">
        <w:t>. Avant d</w:t>
      </w:r>
      <w:r w:rsidR="00346F1B">
        <w:t>’</w:t>
      </w:r>
      <w:r w:rsidR="00725282">
        <w:t>examiner les candidatures, il importait de rappeler les critères qui orienteraient le</w:t>
      </w:r>
      <w:r>
        <w:t xml:space="preserve">s décisions </w:t>
      </w:r>
      <w:r w:rsidR="005B20C4">
        <w:t>et</w:t>
      </w:r>
      <w:r>
        <w:t>,</w:t>
      </w:r>
      <w:r w:rsidR="00725282">
        <w:t xml:space="preserve"> </w:t>
      </w:r>
      <w:r w:rsidR="005B20C4">
        <w:t>à cette fin, ceux-ci étaient</w:t>
      </w:r>
      <w:r w:rsidR="00725282">
        <w:t xml:space="preserve"> dûment présentés sur les écrans</w:t>
      </w:r>
      <w:r w:rsidR="005B20C4">
        <w:t>. Critère U.1 : l</w:t>
      </w:r>
      <w:r w:rsidR="00346F1B">
        <w:t>’</w:t>
      </w:r>
      <w:r w:rsidR="005B20C4" w:rsidRPr="005B20C4">
        <w:t>élément</w:t>
      </w:r>
      <w:r w:rsidR="005B20C4">
        <w:t xml:space="preserve"> est constitutif du patrimoine culturel immatériel tel que défini à l</w:t>
      </w:r>
      <w:r w:rsidR="00346F1B">
        <w:t>’</w:t>
      </w:r>
      <w:r w:rsidR="005B20C4">
        <w:t xml:space="preserve">article 2 de la </w:t>
      </w:r>
      <w:r w:rsidR="005B20C4" w:rsidRPr="005B20C4">
        <w:t>Convention</w:t>
      </w:r>
      <w:r w:rsidR="005B20C4">
        <w:t> ; critère U.2(a) : l</w:t>
      </w:r>
      <w:r w:rsidR="00346F1B">
        <w:t>’</w:t>
      </w:r>
      <w:r w:rsidR="005B20C4">
        <w:t xml:space="preserve">élément nécessite une </w:t>
      </w:r>
      <w:r w:rsidR="005B20C4" w:rsidRPr="005B20C4">
        <w:t>sauvegarde</w:t>
      </w:r>
      <w:r w:rsidR="005B20C4">
        <w:t xml:space="preserve"> urgente </w:t>
      </w:r>
      <w:r w:rsidR="005B20C4" w:rsidRPr="005B20C4">
        <w:t>parce que</w:t>
      </w:r>
      <w:r w:rsidR="005B20C4">
        <w:t xml:space="preserve"> sa viabilité est en péril malgré les efforts déployés par la </w:t>
      </w:r>
      <w:r w:rsidR="005B20C4" w:rsidRPr="005B20C4">
        <w:t>communauté</w:t>
      </w:r>
      <w:r w:rsidR="005B20C4">
        <w:t xml:space="preserve">, le groupe ou, le cas échéant, les </w:t>
      </w:r>
      <w:r w:rsidR="005B20C4" w:rsidRPr="005B20C4">
        <w:t>individus</w:t>
      </w:r>
      <w:r w:rsidR="005B20C4">
        <w:t xml:space="preserve"> et </w:t>
      </w:r>
      <w:r w:rsidR="009A3D45">
        <w:t>l</w:t>
      </w:r>
      <w:r w:rsidR="00346F1B">
        <w:t>’</w:t>
      </w:r>
      <w:r w:rsidR="009A3D45">
        <w:t>(</w:t>
      </w:r>
      <w:r w:rsidR="005B20C4">
        <w:t>les</w:t>
      </w:r>
      <w:r w:rsidR="009A3D45">
        <w:t>)</w:t>
      </w:r>
      <w:r w:rsidR="005B20C4">
        <w:t xml:space="preserve"> </w:t>
      </w:r>
      <w:r w:rsidR="009A3D45">
        <w:t>État(</w:t>
      </w:r>
      <w:r w:rsidR="005B20C4">
        <w:t>s</w:t>
      </w:r>
      <w:r w:rsidR="009A3D45">
        <w:t xml:space="preserve">) </w:t>
      </w:r>
      <w:r w:rsidR="005B20C4">
        <w:t>partie</w:t>
      </w:r>
      <w:r w:rsidR="009A3D45">
        <w:t>(</w:t>
      </w:r>
      <w:r w:rsidR="005B20C4">
        <w:t>s</w:t>
      </w:r>
      <w:r w:rsidR="009A3D45">
        <w:t>)</w:t>
      </w:r>
      <w:r w:rsidR="005B20C4">
        <w:t xml:space="preserve"> concerné</w:t>
      </w:r>
      <w:r w:rsidR="009A3D45">
        <w:t>(</w:t>
      </w:r>
      <w:r w:rsidR="005B20C4">
        <w:t>s</w:t>
      </w:r>
      <w:r w:rsidR="009A3D45">
        <w:t>)</w:t>
      </w:r>
      <w:r w:rsidR="005B20C4">
        <w:t> ; ou U.2(b) : l</w:t>
      </w:r>
      <w:r w:rsidR="00346F1B">
        <w:t>’</w:t>
      </w:r>
      <w:r w:rsidR="005B20C4" w:rsidRPr="005B20C4">
        <w:t>élément</w:t>
      </w:r>
      <w:r w:rsidR="005B20C4">
        <w:t xml:space="preserve"> se trouve dans une nécessité </w:t>
      </w:r>
      <w:r w:rsidR="005B20C4" w:rsidRPr="005B20C4">
        <w:t>extrêmement</w:t>
      </w:r>
      <w:r w:rsidR="005B20C4">
        <w:t xml:space="preserve"> urgente de </w:t>
      </w:r>
      <w:r w:rsidR="005B20C4" w:rsidRPr="005B20C4">
        <w:t>sauvegarde</w:t>
      </w:r>
      <w:r w:rsidR="005B20C4">
        <w:t xml:space="preserve"> parce qu</w:t>
      </w:r>
      <w:r w:rsidR="00346F1B">
        <w:t>’</w:t>
      </w:r>
      <w:r w:rsidR="005B20C4">
        <w:t>il fait l</w:t>
      </w:r>
      <w:r w:rsidR="00346F1B">
        <w:t>’</w:t>
      </w:r>
      <w:r w:rsidR="005B20C4">
        <w:t xml:space="preserve">objet de menaces sérieuses auxquelles il ne pourrait pas survivre sans </w:t>
      </w:r>
      <w:r w:rsidR="005B20C4" w:rsidRPr="005B20C4">
        <w:t>sauvegarde</w:t>
      </w:r>
      <w:r w:rsidR="005B20C4">
        <w:t xml:space="preserve"> immédiate ; critère U.3 : un plan de sauvegarde est élaboré pour qu</w:t>
      </w:r>
      <w:r w:rsidR="00346F1B">
        <w:t>’</w:t>
      </w:r>
      <w:r w:rsidR="005B20C4">
        <w:t xml:space="preserve">il puisse permettre à la </w:t>
      </w:r>
      <w:r w:rsidR="005B20C4" w:rsidRPr="005B20C4">
        <w:t>communauté</w:t>
      </w:r>
      <w:r w:rsidR="005B20C4">
        <w:t xml:space="preserve">, le groupe ou, le cas échéant, les </w:t>
      </w:r>
      <w:r w:rsidR="005B20C4" w:rsidRPr="005B20C4">
        <w:t>individus</w:t>
      </w:r>
      <w:r w:rsidR="005B20C4">
        <w:t xml:space="preserve"> de poursuivre la pratique et la </w:t>
      </w:r>
      <w:r w:rsidR="005B20C4" w:rsidRPr="005B20C4">
        <w:t>transmission</w:t>
      </w:r>
      <w:r w:rsidR="005B20C4">
        <w:t xml:space="preserve"> de l</w:t>
      </w:r>
      <w:r w:rsidR="00346F1B">
        <w:t>’</w:t>
      </w:r>
      <w:r w:rsidR="005B20C4" w:rsidRPr="005B20C4">
        <w:t>élément</w:t>
      </w:r>
      <w:r w:rsidR="005B20C4">
        <w:t> ; critère U.4 : l</w:t>
      </w:r>
      <w:r w:rsidR="00346F1B">
        <w:t>’</w:t>
      </w:r>
      <w:r w:rsidR="005B20C4" w:rsidRPr="005B20C4">
        <w:t>élément</w:t>
      </w:r>
      <w:r w:rsidR="005B20C4">
        <w:t xml:space="preserve"> a été soumis au terme de la </w:t>
      </w:r>
      <w:r w:rsidR="005B20C4" w:rsidRPr="005B20C4">
        <w:t>participation</w:t>
      </w:r>
      <w:r w:rsidR="005B20C4">
        <w:t xml:space="preserve"> la plus large possible de la </w:t>
      </w:r>
      <w:r w:rsidR="005B20C4" w:rsidRPr="005B20C4">
        <w:t>communauté</w:t>
      </w:r>
      <w:r w:rsidR="005B20C4">
        <w:t xml:space="preserve">, du groupe ou, le cas échéant, des </w:t>
      </w:r>
      <w:r w:rsidR="005B20C4" w:rsidRPr="005B20C4">
        <w:t>individus</w:t>
      </w:r>
      <w:r w:rsidR="005B20C4">
        <w:t xml:space="preserve"> concernés et avec leur </w:t>
      </w:r>
      <w:r w:rsidR="005B20C4" w:rsidRPr="005B20C4">
        <w:t>consentement</w:t>
      </w:r>
      <w:r w:rsidR="005B20C4">
        <w:t xml:space="preserve"> </w:t>
      </w:r>
      <w:r w:rsidR="005B20C4" w:rsidRPr="005B20C4">
        <w:t>libre, préalable et éclairé</w:t>
      </w:r>
      <w:r>
        <w:t xml:space="preserve"> ; </w:t>
      </w:r>
      <w:r w:rsidRPr="000274B1">
        <w:t>critère</w:t>
      </w:r>
      <w:r>
        <w:t xml:space="preserve"> U.5 : l</w:t>
      </w:r>
      <w:r w:rsidR="00346F1B">
        <w:t>’</w:t>
      </w:r>
      <w:r>
        <w:t xml:space="preserve">élément figure dans un </w:t>
      </w:r>
      <w:r w:rsidRPr="000274B1">
        <w:t>inventaire</w:t>
      </w:r>
      <w:r>
        <w:t xml:space="preserve"> du patrimoine culturel immatériel présent sur le(s) </w:t>
      </w:r>
      <w:r w:rsidRPr="000274B1">
        <w:t>territoire</w:t>
      </w:r>
      <w:r>
        <w:t>(s) de(s) (l</w:t>
      </w:r>
      <w:r w:rsidR="00346F1B">
        <w:t>’</w:t>
      </w:r>
      <w:r>
        <w:t xml:space="preserve">)État(s) partie(s) </w:t>
      </w:r>
      <w:r w:rsidRPr="000274B1">
        <w:t>soumissionnaire</w:t>
      </w:r>
      <w:r>
        <w:t>(s), tel que défini dans les articles 11 et 12 de la Convention ; critère U.6 : dans les cas d</w:t>
      </w:r>
      <w:r w:rsidR="00346F1B">
        <w:t>’</w:t>
      </w:r>
      <w:r>
        <w:t xml:space="preserve">extrême urgence, </w:t>
      </w:r>
      <w:r w:rsidR="009A3D45">
        <w:t>l</w:t>
      </w:r>
      <w:r w:rsidR="00346F1B">
        <w:t>’</w:t>
      </w:r>
      <w:r w:rsidR="009A3D45">
        <w:t>(</w:t>
      </w:r>
      <w:r>
        <w:t>les</w:t>
      </w:r>
      <w:r w:rsidR="009A3D45">
        <w:t>)</w:t>
      </w:r>
      <w:r>
        <w:t xml:space="preserve"> </w:t>
      </w:r>
      <w:r w:rsidR="009A3D45">
        <w:t>État(</w:t>
      </w:r>
      <w:r>
        <w:t>s</w:t>
      </w:r>
      <w:r w:rsidR="009A3D45">
        <w:t>)</w:t>
      </w:r>
      <w:r>
        <w:t xml:space="preserve"> partie</w:t>
      </w:r>
      <w:r w:rsidR="009A3D45">
        <w:t>(</w:t>
      </w:r>
      <w:r>
        <w:t>s</w:t>
      </w:r>
      <w:r w:rsidR="009A3D45">
        <w:t>)</w:t>
      </w:r>
      <w:r>
        <w:t xml:space="preserve"> concerné</w:t>
      </w:r>
      <w:r w:rsidR="009A3D45">
        <w:t>(</w:t>
      </w:r>
      <w:r>
        <w:t>s</w:t>
      </w:r>
      <w:r w:rsidR="009A3D45">
        <w:t>)</w:t>
      </w:r>
      <w:r>
        <w:t xml:space="preserve"> </w:t>
      </w:r>
      <w:r w:rsidR="009A3D45">
        <w:t>a(</w:t>
      </w:r>
      <w:r>
        <w:t>ont</w:t>
      </w:r>
      <w:r w:rsidR="009A3D45">
        <w:t>)</w:t>
      </w:r>
      <w:r>
        <w:t xml:space="preserve"> été dûment consulté</w:t>
      </w:r>
      <w:r w:rsidR="009A3D45">
        <w:t>(</w:t>
      </w:r>
      <w:r>
        <w:t>s</w:t>
      </w:r>
      <w:r w:rsidR="009A3D45">
        <w:t>)</w:t>
      </w:r>
      <w:r>
        <w:t xml:space="preserve"> sur la question de l</w:t>
      </w:r>
      <w:r w:rsidR="00346F1B">
        <w:t>’</w:t>
      </w:r>
      <w:r w:rsidRPr="000274B1">
        <w:t>inscription</w:t>
      </w:r>
      <w:r>
        <w:t xml:space="preserve"> de l</w:t>
      </w:r>
      <w:r w:rsidR="00346F1B">
        <w:t>’</w:t>
      </w:r>
      <w:r w:rsidRPr="000274B1">
        <w:t>élément</w:t>
      </w:r>
      <w:r>
        <w:t xml:space="preserve"> </w:t>
      </w:r>
      <w:r w:rsidRPr="000274B1">
        <w:t>conformément</w:t>
      </w:r>
      <w:r>
        <w:t xml:space="preserve"> à l</w:t>
      </w:r>
      <w:r w:rsidR="00346F1B">
        <w:t>’</w:t>
      </w:r>
      <w:r>
        <w:t xml:space="preserve">article 17.3 de la </w:t>
      </w:r>
      <w:r w:rsidRPr="000274B1">
        <w:t>Convention</w:t>
      </w:r>
      <w:r>
        <w:t>. Le Président est passé à l</w:t>
      </w:r>
      <w:r w:rsidR="00346F1B">
        <w:t>’</w:t>
      </w:r>
      <w:r>
        <w:t xml:space="preserve">examen du premier </w:t>
      </w:r>
      <w:r w:rsidR="00B869BF">
        <w:t>dossier soumis par le Botswana.</w:t>
      </w:r>
    </w:p>
    <w:p w14:paraId="3ACE2D83" w14:textId="7D978E24" w:rsidR="002524BA" w:rsidRPr="006F317F" w:rsidRDefault="009A3D45" w:rsidP="00E94D39">
      <w:pPr>
        <w:pStyle w:val="Orateurengris"/>
        <w:tabs>
          <w:tab w:val="left" w:pos="6663"/>
        </w:tabs>
        <w:spacing w:before="120"/>
        <w:ind w:left="709" w:hanging="709"/>
      </w:pPr>
      <w:r>
        <w:t xml:space="preserve">Le </w:t>
      </w:r>
      <w:r w:rsidR="00754EC3">
        <w:rPr>
          <w:b/>
        </w:rPr>
        <w:t>Vice-Président</w:t>
      </w:r>
      <w:r w:rsidRPr="009A3D45">
        <w:rPr>
          <w:b/>
        </w:rPr>
        <w:t xml:space="preserve"> de l</w:t>
      </w:r>
      <w:r w:rsidR="00346F1B">
        <w:rPr>
          <w:b/>
        </w:rPr>
        <w:t>’</w:t>
      </w:r>
      <w:r w:rsidRPr="009A3D45">
        <w:rPr>
          <w:b/>
        </w:rPr>
        <w:t>Organe d</w:t>
      </w:r>
      <w:r w:rsidR="00346F1B">
        <w:rPr>
          <w:b/>
        </w:rPr>
        <w:t>’</w:t>
      </w:r>
      <w:r w:rsidRPr="009A3D45">
        <w:rPr>
          <w:b/>
        </w:rPr>
        <w:t>évaluation</w:t>
      </w:r>
      <w:r>
        <w:t xml:space="preserve"> a débuté son </w:t>
      </w:r>
      <w:r w:rsidRPr="009A3D45">
        <w:t>intervention</w:t>
      </w:r>
      <w:r w:rsidR="00365A02">
        <w:t xml:space="preserve"> en remerciant le</w:t>
      </w:r>
      <w:r>
        <w:t xml:space="preserve"> pays hôte pour son accueil chaleureux et a présenté la première </w:t>
      </w:r>
      <w:r w:rsidRPr="009A3D45">
        <w:t>candidature</w:t>
      </w:r>
      <w:r w:rsidR="004F0B35">
        <w:t xml:space="preserve">, </w:t>
      </w:r>
      <w:bookmarkStart w:id="12" w:name="Decision10a1"/>
      <w:r w:rsidR="004F0B35" w:rsidRPr="004F0B35">
        <w:rPr>
          <w:b/>
        </w:rPr>
        <w:t>l</w:t>
      </w:r>
      <w:r w:rsidRPr="004F0B35">
        <w:rPr>
          <w:b/>
        </w:rPr>
        <w:t>e</w:t>
      </w:r>
      <w:r w:rsidRPr="009A3D45">
        <w:rPr>
          <w:b/>
        </w:rPr>
        <w:t xml:space="preserve"> rituel du Moropa wa Bojale ba Bakgatla ba Kgafela et </w:t>
      </w:r>
      <w:r>
        <w:rPr>
          <w:b/>
        </w:rPr>
        <w:t xml:space="preserve">les </w:t>
      </w:r>
      <w:r w:rsidRPr="009A3D45">
        <w:rPr>
          <w:b/>
        </w:rPr>
        <w:t>pratiques qui lui sont associées</w:t>
      </w:r>
      <w:bookmarkEnd w:id="12"/>
      <w:r w:rsidR="00DC5F3D">
        <w:t xml:space="preserve"> [projet de décision 11.COM </w:t>
      </w:r>
      <w:r>
        <w:t xml:space="preserve">10.a.1] soumise par le Botswana. Le </w:t>
      </w:r>
      <w:r w:rsidRPr="009A3D45">
        <w:t xml:space="preserve">Moropa wa Bojale ba Bakgatla ba Kgafela et </w:t>
      </w:r>
      <w:r>
        <w:t xml:space="preserve">les </w:t>
      </w:r>
      <w:r w:rsidRPr="009A3D45">
        <w:t xml:space="preserve">pratiques qui lui </w:t>
      </w:r>
      <w:r w:rsidR="00972333">
        <w:t xml:space="preserve">étaient </w:t>
      </w:r>
      <w:r w:rsidRPr="009A3D45">
        <w:t>associées</w:t>
      </w:r>
      <w:r>
        <w:t xml:space="preserve"> occup</w:t>
      </w:r>
      <w:r w:rsidR="00DC5F3D">
        <w:t>ai</w:t>
      </w:r>
      <w:r>
        <w:t>ent un</w:t>
      </w:r>
      <w:r w:rsidR="00365A02">
        <w:t>e</w:t>
      </w:r>
      <w:r>
        <w:t xml:space="preserve"> place centrale dans le Bojale – une cérémonie d</w:t>
      </w:r>
      <w:r w:rsidR="00346F1B">
        <w:t>’</w:t>
      </w:r>
      <w:r>
        <w:t xml:space="preserve">initiation des jeunes filles des communautés </w:t>
      </w:r>
      <w:r w:rsidRPr="009A3D45">
        <w:rPr>
          <w:i/>
        </w:rPr>
        <w:t>Bakgatlaba ba Kgafela</w:t>
      </w:r>
      <w:r>
        <w:t xml:space="preserve"> au Botswana et en Afrique du Sud. Le M</w:t>
      </w:r>
      <w:r w:rsidR="00972333">
        <w:t>oropa wa Bojala, un tambour, était</w:t>
      </w:r>
      <w:r>
        <w:t xml:space="preserve"> joué </w:t>
      </w:r>
      <w:r w:rsidR="006F317F">
        <w:t xml:space="preserve">pendant la cérémonie de </w:t>
      </w:r>
      <w:r w:rsidR="006F317F" w:rsidRPr="006F317F">
        <w:t xml:space="preserve">transmission </w:t>
      </w:r>
      <w:r w:rsidR="006F317F">
        <w:t xml:space="preserve">aux jeunes filles de </w:t>
      </w:r>
      <w:r w:rsidR="00B26D77">
        <w:t>leur culture et leurs responsabilités d</w:t>
      </w:r>
      <w:r w:rsidR="00346F1B">
        <w:t>’</w:t>
      </w:r>
      <w:r w:rsidR="00B26D77">
        <w:t xml:space="preserve">adultes. </w:t>
      </w:r>
      <w:r w:rsidR="00DC5F3D">
        <w:t>Cette transmission s</w:t>
      </w:r>
      <w:r w:rsidR="00346F1B">
        <w:t>’</w:t>
      </w:r>
      <w:r w:rsidR="00DC5F3D">
        <w:t>opé</w:t>
      </w:r>
      <w:r w:rsidR="00972333">
        <w:t>rait</w:t>
      </w:r>
      <w:r w:rsidR="006F317F">
        <w:t xml:space="preserve"> par l</w:t>
      </w:r>
      <w:r w:rsidR="00346F1B">
        <w:t>’</w:t>
      </w:r>
      <w:r w:rsidR="006F317F">
        <w:t xml:space="preserve">intermédiaire de chants et de danses. </w:t>
      </w:r>
      <w:r w:rsidR="00B26D77">
        <w:t>La reine de la famille royale et d</w:t>
      </w:r>
      <w:r w:rsidR="00346F1B">
        <w:t>’</w:t>
      </w:r>
      <w:r w:rsidR="00B26D77">
        <w:t xml:space="preserve">autres </w:t>
      </w:r>
      <w:r w:rsidR="00A46CAD">
        <w:t>membres</w:t>
      </w:r>
      <w:r w:rsidR="00B26D77">
        <w:t xml:space="preserve"> féminins de la famille royale, la sœur du chef suprême et le Conseil des anciennes </w:t>
      </w:r>
      <w:r w:rsidR="00972333">
        <w:t xml:space="preserve">figuraient </w:t>
      </w:r>
      <w:r w:rsidR="00B26D77">
        <w:t>parmi les détentrices de l</w:t>
      </w:r>
      <w:r w:rsidR="00346F1B">
        <w:t>’</w:t>
      </w:r>
      <w:r w:rsidR="00B26D77" w:rsidRPr="00B26D77">
        <w:t>élément</w:t>
      </w:r>
      <w:r w:rsidR="00B26D77">
        <w:t>. Un système d</w:t>
      </w:r>
      <w:r w:rsidR="00346F1B">
        <w:t>’</w:t>
      </w:r>
      <w:r w:rsidR="00B26D77" w:rsidRPr="00B26D77">
        <w:t>éducation</w:t>
      </w:r>
      <w:r w:rsidR="00B26D77">
        <w:t xml:space="preserve"> moderne et </w:t>
      </w:r>
      <w:r w:rsidR="002524BA">
        <w:t xml:space="preserve">les migrations </w:t>
      </w:r>
      <w:r w:rsidR="00972333">
        <w:t>fragilisaient</w:t>
      </w:r>
      <w:r w:rsidR="002524BA">
        <w:t xml:space="preserve"> sa </w:t>
      </w:r>
      <w:r w:rsidR="002524BA" w:rsidRPr="002524BA">
        <w:t>continuité</w:t>
      </w:r>
      <w:r w:rsidR="002524BA">
        <w:t>. Bien que l</w:t>
      </w:r>
      <w:r w:rsidR="00346F1B">
        <w:t>’</w:t>
      </w:r>
      <w:r w:rsidR="002524BA">
        <w:t>Organe d</w:t>
      </w:r>
      <w:r w:rsidR="00346F1B">
        <w:t>’</w:t>
      </w:r>
      <w:r w:rsidR="002524BA">
        <w:t xml:space="preserve">évaluation ait décidé que la </w:t>
      </w:r>
      <w:r w:rsidR="002524BA" w:rsidRPr="002524BA">
        <w:t>candidature</w:t>
      </w:r>
      <w:r w:rsidR="002524BA">
        <w:t xml:space="preserve"> satisfaisait </w:t>
      </w:r>
      <w:r w:rsidR="00DC5F3D">
        <w:t xml:space="preserve">les </w:t>
      </w:r>
      <w:r w:rsidR="002524BA">
        <w:t>critères U.4 et U.5, il a</w:t>
      </w:r>
      <w:r w:rsidR="006F317F">
        <w:t>vait</w:t>
      </w:r>
      <w:r w:rsidR="002524BA">
        <w:t xml:space="preserve"> estimé que le dossier ne présentait pas </w:t>
      </w:r>
      <w:r w:rsidR="00DC5F3D">
        <w:t>suffisamment</w:t>
      </w:r>
      <w:r w:rsidR="002524BA">
        <w:t xml:space="preserve"> d</w:t>
      </w:r>
      <w:r w:rsidR="00346F1B">
        <w:t>’</w:t>
      </w:r>
      <w:r w:rsidR="002524BA" w:rsidRPr="002524BA">
        <w:t>informations</w:t>
      </w:r>
      <w:r w:rsidR="002524BA">
        <w:t xml:space="preserve"> pour lui permettre de déterminer si les critères U.1, U.2 et U.3 étai</w:t>
      </w:r>
      <w:r w:rsidR="00072CED">
        <w:t>en</w:t>
      </w:r>
      <w:r w:rsidR="002524BA">
        <w:t>t satisfaits. S</w:t>
      </w:r>
      <w:r w:rsidR="00346F1B">
        <w:t>’</w:t>
      </w:r>
      <w:r w:rsidR="002524BA">
        <w:t xml:space="preserve">agissant du critère U.1, des </w:t>
      </w:r>
      <w:r w:rsidR="002524BA" w:rsidRPr="002524BA">
        <w:t>informations</w:t>
      </w:r>
      <w:r w:rsidR="002524BA">
        <w:t xml:space="preserve"> compléme</w:t>
      </w:r>
      <w:r w:rsidR="006F317F">
        <w:t>ntaires étaient nécessaires pour</w:t>
      </w:r>
      <w:r w:rsidR="002524BA">
        <w:t xml:space="preserve"> préciser les contours de l</w:t>
      </w:r>
      <w:r w:rsidR="00346F1B">
        <w:t>’</w:t>
      </w:r>
      <w:r w:rsidR="002524BA">
        <w:t xml:space="preserve">élément, </w:t>
      </w:r>
      <w:r w:rsidR="002524BA" w:rsidRPr="002524BA">
        <w:t>en particulier</w:t>
      </w:r>
      <w:r w:rsidR="002524BA">
        <w:t xml:space="preserve"> si le Moropa était l</w:t>
      </w:r>
      <w:r w:rsidR="00346F1B">
        <w:t>’</w:t>
      </w:r>
      <w:r w:rsidR="002524BA" w:rsidRPr="002524BA">
        <w:t>élément</w:t>
      </w:r>
      <w:r w:rsidR="002524BA">
        <w:t xml:space="preserve"> candidat à l</w:t>
      </w:r>
      <w:r w:rsidR="00346F1B">
        <w:t>’</w:t>
      </w:r>
      <w:r w:rsidR="002524BA" w:rsidRPr="002524BA">
        <w:t>inscription</w:t>
      </w:r>
      <w:r w:rsidR="002524BA">
        <w:t xml:space="preserve"> ou s</w:t>
      </w:r>
      <w:r w:rsidR="00346F1B">
        <w:t>’</w:t>
      </w:r>
      <w:r w:rsidR="002524BA">
        <w:t>il faisait partie d</w:t>
      </w:r>
      <w:r w:rsidR="00346F1B">
        <w:t>’</w:t>
      </w:r>
      <w:r w:rsidR="006F317F">
        <w:t xml:space="preserve">un élément plus vaste, </w:t>
      </w:r>
      <w:r w:rsidR="002524BA">
        <w:t>la cérémonie du Bojale. En outre, des informations étaient nécessaires quant aux implications de la pratique pour les droits de l</w:t>
      </w:r>
      <w:r w:rsidR="00346F1B">
        <w:t>’</w:t>
      </w:r>
      <w:r w:rsidR="002524BA">
        <w:t xml:space="preserve">homme, </w:t>
      </w:r>
      <w:r w:rsidR="002524BA" w:rsidRPr="002524BA">
        <w:t>en particulier</w:t>
      </w:r>
      <w:r w:rsidR="002524BA">
        <w:t xml:space="preserve"> pour les jeunes femmes et les jeunes filles concernées. </w:t>
      </w:r>
      <w:r w:rsidR="002524BA" w:rsidRPr="002524BA">
        <w:t>En ce qui concerne</w:t>
      </w:r>
      <w:r w:rsidR="002524BA">
        <w:t xml:space="preserve"> le critère U.2, l</w:t>
      </w:r>
      <w:r w:rsidR="00346F1B">
        <w:t>’</w:t>
      </w:r>
      <w:r w:rsidR="002524BA">
        <w:t>Organe a</w:t>
      </w:r>
      <w:r w:rsidR="00072CED">
        <w:t>vait</w:t>
      </w:r>
      <w:r w:rsidR="002524BA">
        <w:t xml:space="preserve"> estimé que des menaces plus spécifiques devaient être identifiées, </w:t>
      </w:r>
      <w:r w:rsidR="002524BA" w:rsidRPr="002524BA">
        <w:t>contrairement</w:t>
      </w:r>
      <w:r w:rsidR="002524BA">
        <w:t xml:space="preserve"> aux menaces générales telles que l</w:t>
      </w:r>
      <w:r w:rsidR="00346F1B">
        <w:t>’</w:t>
      </w:r>
      <w:r w:rsidR="002524BA">
        <w:t xml:space="preserve">urbanisation ou le vieillissement des praticiennes mentionnées dans le dossier. Par ailleurs, le dossier devait démontrer de manière appropriée </w:t>
      </w:r>
      <w:r w:rsidR="006F317F">
        <w:t>la nécessité urgente d</w:t>
      </w:r>
      <w:r w:rsidR="00346F1B">
        <w:t>’</w:t>
      </w:r>
      <w:r w:rsidR="006F317F" w:rsidRPr="006F317F">
        <w:t>inscription</w:t>
      </w:r>
      <w:r w:rsidR="006F317F">
        <w:t>. En fait, le film accompagnant le dossier suggérait que l</w:t>
      </w:r>
      <w:r w:rsidR="00346F1B">
        <w:t>’</w:t>
      </w:r>
      <w:r w:rsidR="006F317F" w:rsidRPr="006F317F">
        <w:t>élément</w:t>
      </w:r>
      <w:r w:rsidR="006F317F">
        <w:t xml:space="preserve"> n</w:t>
      </w:r>
      <w:r w:rsidR="00346F1B">
        <w:t>’</w:t>
      </w:r>
      <w:r w:rsidR="006F317F">
        <w:t>était pas menacé. S</w:t>
      </w:r>
      <w:r w:rsidR="00346F1B">
        <w:t>’</w:t>
      </w:r>
      <w:r w:rsidR="006F317F">
        <w:t>agissant du critère U.3, l</w:t>
      </w:r>
      <w:r w:rsidR="00346F1B">
        <w:t>’</w:t>
      </w:r>
      <w:r w:rsidR="006F317F">
        <w:t>absence de précision du critère U.2 se reflétait dans l</w:t>
      </w:r>
      <w:r w:rsidR="00346F1B">
        <w:t>’</w:t>
      </w:r>
      <w:r w:rsidR="006F317F">
        <w:t xml:space="preserve">imprécision des mesures de </w:t>
      </w:r>
      <w:r w:rsidR="006F317F" w:rsidRPr="006F317F">
        <w:t>sauvegarde</w:t>
      </w:r>
      <w:r w:rsidR="006F317F">
        <w:t xml:space="preserve"> proposées. En tant que tel, l</w:t>
      </w:r>
      <w:r w:rsidR="00346F1B">
        <w:t>’</w:t>
      </w:r>
      <w:r w:rsidR="006F317F">
        <w:t>Organe d</w:t>
      </w:r>
      <w:r w:rsidR="00346F1B">
        <w:t>’</w:t>
      </w:r>
      <w:r w:rsidR="006F317F">
        <w:t xml:space="preserve">évaluation </w:t>
      </w:r>
      <w:r w:rsidR="00072CED">
        <w:t>recommandait</w:t>
      </w:r>
      <w:r w:rsidR="006F317F">
        <w:t xml:space="preserve"> que « L</w:t>
      </w:r>
      <w:r w:rsidR="006F317F" w:rsidRPr="006F317F">
        <w:t>e rituel du Moropa wa Bojale ba Bakgatla ba Kgafela et les pratiques qui lui sont associées</w:t>
      </w:r>
      <w:r w:rsidR="006F317F">
        <w:t> » soit renvoyé à l</w:t>
      </w:r>
      <w:r w:rsidR="00346F1B">
        <w:t>’</w:t>
      </w:r>
      <w:r w:rsidR="006F317F">
        <w:t>État soumissionnaire pour complément d</w:t>
      </w:r>
      <w:r w:rsidR="00346F1B">
        <w:t>’</w:t>
      </w:r>
      <w:r w:rsidR="007B503E">
        <w:t>information</w:t>
      </w:r>
      <w:r w:rsidR="00B869BF">
        <w:t>.</w:t>
      </w:r>
    </w:p>
    <w:p w14:paraId="31ED5644" w14:textId="47F0DE79" w:rsidR="00072CED" w:rsidRPr="00072CED" w:rsidRDefault="00072CED" w:rsidP="00E94D39">
      <w:pPr>
        <w:pStyle w:val="Orateurengris"/>
        <w:spacing w:before="120"/>
        <w:ind w:left="709" w:hanging="709"/>
        <w:rPr>
          <w:rFonts w:eastAsiaTheme="minorEastAsia"/>
          <w:lang w:bidi="en-US"/>
        </w:rPr>
      </w:pPr>
      <w:r w:rsidRPr="00072CED">
        <w:rPr>
          <w:rFonts w:eastAsiaTheme="minorEastAsia"/>
          <w:lang w:bidi="en-US"/>
        </w:rPr>
        <w:t xml:space="preserve">Le </w:t>
      </w:r>
      <w:r w:rsidRPr="00072CED">
        <w:rPr>
          <w:rFonts w:eastAsiaTheme="minorEastAsia"/>
          <w:b/>
          <w:lang w:bidi="en-US"/>
        </w:rPr>
        <w:t>Président</w:t>
      </w:r>
      <w:r w:rsidRPr="00072CED">
        <w:rPr>
          <w:rFonts w:eastAsiaTheme="minorEastAsia"/>
          <w:lang w:bidi="en-US"/>
        </w:rPr>
        <w:t xml:space="preserve"> </w:t>
      </w:r>
      <w:r>
        <w:rPr>
          <w:rFonts w:eastAsiaTheme="minorEastAsia"/>
          <w:lang w:bidi="en-US"/>
        </w:rPr>
        <w:t xml:space="preserve">a remercié le </w:t>
      </w:r>
      <w:r w:rsidR="00754EC3">
        <w:rPr>
          <w:rFonts w:eastAsiaTheme="minorEastAsia"/>
          <w:lang w:bidi="en-US"/>
        </w:rPr>
        <w:t>Vice-Président</w:t>
      </w:r>
      <w:r>
        <w:rPr>
          <w:rFonts w:eastAsiaTheme="minorEastAsia"/>
          <w:lang w:bidi="en-US"/>
        </w:rPr>
        <w:t xml:space="preserve"> pour les explications détaillées des différentes questions soulevées par le dossier et, en l</w:t>
      </w:r>
      <w:r w:rsidR="00346F1B">
        <w:rPr>
          <w:rFonts w:eastAsiaTheme="minorEastAsia"/>
          <w:lang w:bidi="en-US"/>
        </w:rPr>
        <w:t>’</w:t>
      </w:r>
      <w:r>
        <w:rPr>
          <w:rFonts w:eastAsiaTheme="minorEastAsia"/>
          <w:lang w:bidi="en-US"/>
        </w:rPr>
        <w:t>absence de demandes d</w:t>
      </w:r>
      <w:r w:rsidR="00346F1B">
        <w:rPr>
          <w:rFonts w:eastAsiaTheme="minorEastAsia"/>
          <w:lang w:bidi="en-US"/>
        </w:rPr>
        <w:t>’</w:t>
      </w:r>
      <w:r w:rsidRPr="00072CED">
        <w:rPr>
          <w:rFonts w:eastAsiaTheme="minorEastAsia"/>
          <w:lang w:bidi="en-US"/>
        </w:rPr>
        <w:t>amendement</w:t>
      </w:r>
      <w:r>
        <w:rPr>
          <w:rFonts w:eastAsiaTheme="minorEastAsia"/>
          <w:lang w:bidi="en-US"/>
        </w:rPr>
        <w:t>, a proposé l</w:t>
      </w:r>
      <w:r w:rsidR="00346F1B">
        <w:rPr>
          <w:rFonts w:eastAsiaTheme="minorEastAsia"/>
          <w:lang w:bidi="en-US"/>
        </w:rPr>
        <w:t>’</w:t>
      </w:r>
      <w:r>
        <w:rPr>
          <w:rFonts w:eastAsiaTheme="minorEastAsia"/>
          <w:lang w:bidi="en-US"/>
        </w:rPr>
        <w:t>adoption du projet</w:t>
      </w:r>
      <w:r w:rsidR="00B869BF">
        <w:rPr>
          <w:rFonts w:eastAsiaTheme="minorEastAsia"/>
          <w:lang w:bidi="en-US"/>
        </w:rPr>
        <w:t xml:space="preserve"> de décision dans son ensemble.</w:t>
      </w:r>
    </w:p>
    <w:p w14:paraId="680394F6" w14:textId="2D2573DB" w:rsidR="00072CED" w:rsidRPr="00072CED" w:rsidRDefault="00D46448" w:rsidP="00E94D39">
      <w:pPr>
        <w:pStyle w:val="Orateurengris"/>
        <w:spacing w:before="120"/>
        <w:ind w:left="709" w:hanging="709"/>
        <w:rPr>
          <w:rFonts w:eastAsia="Calibri"/>
          <w:bCs/>
          <w:iCs/>
        </w:rPr>
      </w:pPr>
      <w:r>
        <w:rPr>
          <w:rFonts w:eastAsia="Calibri"/>
          <w:bCs/>
          <w:iCs/>
        </w:rPr>
        <w:t xml:space="preserve">La </w:t>
      </w:r>
      <w:r w:rsidR="00072CED" w:rsidRPr="00072CED">
        <w:rPr>
          <w:rFonts w:eastAsia="Calibri"/>
          <w:bCs/>
          <w:iCs/>
        </w:rPr>
        <w:t>délégation d</w:t>
      </w:r>
      <w:r w:rsidR="00072CED">
        <w:rPr>
          <w:rFonts w:eastAsia="Calibri"/>
          <w:bCs/>
          <w:iCs/>
        </w:rPr>
        <w:t>e l</w:t>
      </w:r>
      <w:r w:rsidR="00346F1B">
        <w:rPr>
          <w:rFonts w:eastAsia="Calibri"/>
          <w:bCs/>
          <w:iCs/>
        </w:rPr>
        <w:t>’</w:t>
      </w:r>
      <w:r w:rsidR="00072CED" w:rsidRPr="002B77F9">
        <w:rPr>
          <w:rFonts w:eastAsia="Calibri"/>
          <w:b/>
          <w:bCs/>
          <w:iCs/>
        </w:rPr>
        <w:t>Afghanistan</w:t>
      </w:r>
      <w:r w:rsidR="0040517F">
        <w:rPr>
          <w:rFonts w:eastAsia="Calibri"/>
          <w:bCs/>
          <w:iCs/>
        </w:rPr>
        <w:t xml:space="preserve"> souhaitait </w:t>
      </w:r>
      <w:r w:rsidR="002B77F9">
        <w:rPr>
          <w:rFonts w:eastAsia="Calibri"/>
          <w:bCs/>
          <w:iCs/>
        </w:rPr>
        <w:t>que l</w:t>
      </w:r>
      <w:r w:rsidR="00346F1B">
        <w:rPr>
          <w:rFonts w:eastAsia="Calibri"/>
          <w:bCs/>
          <w:iCs/>
        </w:rPr>
        <w:t>’</w:t>
      </w:r>
      <w:r w:rsidR="002B77F9">
        <w:rPr>
          <w:rFonts w:eastAsia="Calibri"/>
          <w:bCs/>
          <w:iCs/>
        </w:rPr>
        <w:t>Organe d</w:t>
      </w:r>
      <w:r w:rsidR="00346F1B">
        <w:rPr>
          <w:rFonts w:eastAsia="Calibri"/>
          <w:bCs/>
          <w:iCs/>
        </w:rPr>
        <w:t>’</w:t>
      </w:r>
      <w:r w:rsidR="002B77F9">
        <w:rPr>
          <w:rFonts w:eastAsia="Calibri"/>
          <w:bCs/>
          <w:iCs/>
        </w:rPr>
        <w:t xml:space="preserve">évaluation apporte des éclaircissements quant au </w:t>
      </w:r>
      <w:r w:rsidR="002B77F9" w:rsidRPr="002B77F9">
        <w:rPr>
          <w:rFonts w:eastAsia="Calibri"/>
          <w:bCs/>
          <w:iCs/>
        </w:rPr>
        <w:t>paragraphe</w:t>
      </w:r>
      <w:r w:rsidR="002B77F9">
        <w:rPr>
          <w:rFonts w:eastAsia="Calibri"/>
          <w:bCs/>
          <w:iCs/>
        </w:rPr>
        <w:t xml:space="preserve"> 4 qui invitait </w:t>
      </w:r>
      <w:r w:rsidR="002B77F9" w:rsidRPr="002B77F9">
        <w:rPr>
          <w:rFonts w:eastAsia="Calibri"/>
          <w:bCs/>
          <w:iCs/>
        </w:rPr>
        <w:t>l</w:t>
      </w:r>
      <w:r w:rsidR="00346F1B">
        <w:rPr>
          <w:rFonts w:eastAsia="Calibri"/>
          <w:bCs/>
          <w:iCs/>
        </w:rPr>
        <w:t>’</w:t>
      </w:r>
      <w:r w:rsidR="002B77F9" w:rsidRPr="002B77F9">
        <w:rPr>
          <w:rFonts w:eastAsia="Calibri"/>
          <w:bCs/>
          <w:iCs/>
        </w:rPr>
        <w:t>État partie</w:t>
      </w:r>
      <w:r w:rsidR="002B77F9">
        <w:rPr>
          <w:rFonts w:eastAsia="Calibri"/>
          <w:bCs/>
          <w:iCs/>
        </w:rPr>
        <w:t xml:space="preserve"> à soumettre à nouveau la </w:t>
      </w:r>
      <w:r w:rsidR="002B77F9" w:rsidRPr="002B77F9">
        <w:rPr>
          <w:rFonts w:eastAsia="Calibri"/>
          <w:bCs/>
          <w:iCs/>
        </w:rPr>
        <w:t>candidature</w:t>
      </w:r>
      <w:r w:rsidR="002B77F9">
        <w:rPr>
          <w:rFonts w:eastAsia="Calibri"/>
          <w:bCs/>
          <w:iCs/>
        </w:rPr>
        <w:t>, ajoutant qu</w:t>
      </w:r>
      <w:r w:rsidR="00346F1B">
        <w:rPr>
          <w:rFonts w:eastAsia="Calibri"/>
          <w:bCs/>
          <w:iCs/>
        </w:rPr>
        <w:t>’</w:t>
      </w:r>
      <w:r w:rsidR="002B77F9">
        <w:rPr>
          <w:rFonts w:eastAsia="Calibri"/>
          <w:bCs/>
          <w:iCs/>
        </w:rPr>
        <w:t>il n</w:t>
      </w:r>
      <w:r w:rsidR="00346F1B">
        <w:rPr>
          <w:rFonts w:eastAsia="Calibri"/>
          <w:bCs/>
          <w:iCs/>
        </w:rPr>
        <w:t>’</w:t>
      </w:r>
      <w:r w:rsidR="002B77F9">
        <w:rPr>
          <w:rFonts w:eastAsia="Calibri"/>
          <w:bCs/>
          <w:iCs/>
        </w:rPr>
        <w:t>était pas stipulé dans la décision si ce serait sur la Liste représentative. La nouvelle soumission pouvant avoir lieu dans quelques années, et l</w:t>
      </w:r>
      <w:r w:rsidR="00346F1B">
        <w:rPr>
          <w:rFonts w:eastAsia="Calibri"/>
          <w:bCs/>
          <w:iCs/>
        </w:rPr>
        <w:t>’</w:t>
      </w:r>
      <w:r w:rsidR="002B77F9">
        <w:rPr>
          <w:rFonts w:eastAsia="Calibri"/>
          <w:bCs/>
          <w:iCs/>
        </w:rPr>
        <w:t>état de l</w:t>
      </w:r>
      <w:r w:rsidR="00346F1B">
        <w:rPr>
          <w:rFonts w:eastAsia="Calibri"/>
          <w:bCs/>
          <w:iCs/>
        </w:rPr>
        <w:t>’</w:t>
      </w:r>
      <w:r w:rsidR="002B77F9" w:rsidRPr="002B77F9">
        <w:rPr>
          <w:rFonts w:eastAsia="Calibri"/>
          <w:bCs/>
          <w:iCs/>
        </w:rPr>
        <w:t>élément</w:t>
      </w:r>
      <w:r w:rsidR="002B77F9">
        <w:rPr>
          <w:rFonts w:eastAsia="Calibri"/>
          <w:bCs/>
          <w:iCs/>
        </w:rPr>
        <w:t xml:space="preserve"> ayant pu changer à cette époque, la </w:t>
      </w:r>
      <w:r w:rsidR="002B77F9" w:rsidRPr="002B77F9">
        <w:rPr>
          <w:rFonts w:eastAsia="Calibri"/>
          <w:bCs/>
          <w:iCs/>
        </w:rPr>
        <w:t>délégation</w:t>
      </w:r>
      <w:r w:rsidR="002B77F9">
        <w:rPr>
          <w:rFonts w:eastAsia="Calibri"/>
          <w:bCs/>
          <w:iCs/>
        </w:rPr>
        <w:t xml:space="preserve"> se demandait si le </w:t>
      </w:r>
      <w:r w:rsidR="002B77F9" w:rsidRPr="002B77F9">
        <w:rPr>
          <w:rFonts w:eastAsia="Calibri"/>
          <w:bCs/>
          <w:iCs/>
        </w:rPr>
        <w:t>paragraphe</w:t>
      </w:r>
      <w:r w:rsidR="002B77F9">
        <w:rPr>
          <w:rFonts w:eastAsia="Calibri"/>
          <w:bCs/>
          <w:iCs/>
        </w:rPr>
        <w:t xml:space="preserve"> ne devrait pas préciser sur quelle liste la </w:t>
      </w:r>
      <w:r w:rsidR="002B77F9" w:rsidRPr="002B77F9">
        <w:rPr>
          <w:rFonts w:eastAsia="Calibri"/>
          <w:bCs/>
          <w:iCs/>
        </w:rPr>
        <w:t>candidature</w:t>
      </w:r>
      <w:r w:rsidR="00B869BF">
        <w:rPr>
          <w:rFonts w:eastAsia="Calibri"/>
          <w:bCs/>
          <w:iCs/>
        </w:rPr>
        <w:t xml:space="preserve"> devrait être soumise.</w:t>
      </w:r>
    </w:p>
    <w:p w14:paraId="6CAEA1CC" w14:textId="5330529A" w:rsidR="002B77F9" w:rsidRPr="004F0B35" w:rsidRDefault="002B77F9" w:rsidP="00E94D39">
      <w:pPr>
        <w:pStyle w:val="Orateurengris"/>
        <w:spacing w:before="120"/>
        <w:ind w:left="709" w:hanging="709"/>
        <w:rPr>
          <w:rFonts w:eastAsiaTheme="minorEastAsia"/>
          <w:lang w:bidi="en-US"/>
        </w:rPr>
      </w:pPr>
      <w:r>
        <w:rPr>
          <w:rFonts w:eastAsiaTheme="minorEastAsia"/>
          <w:lang w:bidi="en-US"/>
        </w:rPr>
        <w:t xml:space="preserve">Le </w:t>
      </w:r>
      <w:r w:rsidR="00754EC3">
        <w:rPr>
          <w:rFonts w:eastAsiaTheme="minorEastAsia"/>
          <w:b/>
          <w:lang w:bidi="en-US"/>
        </w:rPr>
        <w:t>Vice-Président</w:t>
      </w:r>
      <w:r>
        <w:rPr>
          <w:rFonts w:eastAsiaTheme="minorEastAsia"/>
          <w:lang w:bidi="en-US"/>
        </w:rPr>
        <w:t xml:space="preserve"> </w:t>
      </w:r>
      <w:r w:rsidR="00DC5F3D" w:rsidRPr="00DC5F3D">
        <w:rPr>
          <w:rFonts w:eastAsiaTheme="minorEastAsia"/>
          <w:b/>
          <w:lang w:bidi="en-US"/>
        </w:rPr>
        <w:t>de l</w:t>
      </w:r>
      <w:r w:rsidR="00346F1B">
        <w:rPr>
          <w:rFonts w:eastAsiaTheme="minorEastAsia"/>
          <w:b/>
          <w:lang w:bidi="en-US"/>
        </w:rPr>
        <w:t>’</w:t>
      </w:r>
      <w:r w:rsidR="00DC5F3D" w:rsidRPr="00DC5F3D">
        <w:rPr>
          <w:rFonts w:eastAsiaTheme="minorEastAsia"/>
          <w:b/>
          <w:lang w:bidi="en-US"/>
        </w:rPr>
        <w:t>Organe d</w:t>
      </w:r>
      <w:r w:rsidR="00346F1B">
        <w:rPr>
          <w:rFonts w:eastAsiaTheme="minorEastAsia"/>
          <w:b/>
          <w:lang w:bidi="en-US"/>
        </w:rPr>
        <w:t>’</w:t>
      </w:r>
      <w:r w:rsidR="00DC5F3D" w:rsidRPr="00DC5F3D">
        <w:rPr>
          <w:rFonts w:eastAsiaTheme="minorEastAsia"/>
          <w:b/>
          <w:lang w:bidi="en-US"/>
        </w:rPr>
        <w:t>évaluation</w:t>
      </w:r>
      <w:r w:rsidR="00DC5F3D">
        <w:rPr>
          <w:rFonts w:eastAsiaTheme="minorEastAsia"/>
          <w:lang w:bidi="en-US"/>
        </w:rPr>
        <w:t xml:space="preserve"> </w:t>
      </w:r>
      <w:r>
        <w:rPr>
          <w:rFonts w:eastAsiaTheme="minorEastAsia"/>
          <w:lang w:bidi="en-US"/>
        </w:rPr>
        <w:t>a rappelé qu</w:t>
      </w:r>
      <w:r w:rsidR="00346F1B">
        <w:rPr>
          <w:rFonts w:eastAsiaTheme="minorEastAsia"/>
          <w:lang w:bidi="en-US"/>
        </w:rPr>
        <w:t>’</w:t>
      </w:r>
      <w:r>
        <w:rPr>
          <w:rFonts w:eastAsiaTheme="minorEastAsia"/>
          <w:lang w:bidi="en-US"/>
        </w:rPr>
        <w:t>il était important d</w:t>
      </w:r>
      <w:r w:rsidR="004F0B35">
        <w:rPr>
          <w:rFonts w:eastAsiaTheme="minorEastAsia"/>
          <w:lang w:bidi="en-US"/>
        </w:rPr>
        <w:t>e souligner que ce n</w:t>
      </w:r>
      <w:r w:rsidR="00346F1B">
        <w:rPr>
          <w:rFonts w:eastAsiaTheme="minorEastAsia"/>
          <w:lang w:bidi="en-US"/>
        </w:rPr>
        <w:t>’</w:t>
      </w:r>
      <w:r w:rsidR="004F0B35">
        <w:rPr>
          <w:rFonts w:eastAsiaTheme="minorEastAsia"/>
          <w:lang w:bidi="en-US"/>
        </w:rPr>
        <w:t>était pas l</w:t>
      </w:r>
      <w:r w:rsidR="00346F1B">
        <w:rPr>
          <w:rFonts w:eastAsiaTheme="minorEastAsia"/>
          <w:lang w:bidi="en-US"/>
        </w:rPr>
        <w:t>’</w:t>
      </w:r>
      <w:r w:rsidR="004F0B35" w:rsidRPr="004F0B35">
        <w:rPr>
          <w:rFonts w:eastAsiaTheme="minorEastAsia"/>
          <w:lang w:bidi="en-US"/>
        </w:rPr>
        <w:t>élément</w:t>
      </w:r>
      <w:r w:rsidR="004F0B35">
        <w:rPr>
          <w:rFonts w:eastAsiaTheme="minorEastAsia"/>
          <w:lang w:bidi="en-US"/>
        </w:rPr>
        <w:t xml:space="preserve"> en soi qui avait été évalué mais le dossier de candidature. En outre, l</w:t>
      </w:r>
      <w:r w:rsidR="00346F1B">
        <w:rPr>
          <w:rFonts w:eastAsiaTheme="minorEastAsia"/>
          <w:lang w:bidi="en-US"/>
        </w:rPr>
        <w:t>’</w:t>
      </w:r>
      <w:r w:rsidR="004F0B35">
        <w:rPr>
          <w:rFonts w:eastAsiaTheme="minorEastAsia"/>
          <w:lang w:bidi="en-US"/>
        </w:rPr>
        <w:t xml:space="preserve">Organe avait estimé que des </w:t>
      </w:r>
      <w:r w:rsidR="004F0B35" w:rsidRPr="004F0B35">
        <w:rPr>
          <w:rFonts w:eastAsiaTheme="minorEastAsia"/>
          <w:lang w:bidi="en-US"/>
        </w:rPr>
        <w:t>informations</w:t>
      </w:r>
      <w:r w:rsidR="004F0B35">
        <w:rPr>
          <w:rFonts w:eastAsiaTheme="minorEastAsia"/>
          <w:lang w:bidi="en-US"/>
        </w:rPr>
        <w:t xml:space="preserve"> complémentaires étaient </w:t>
      </w:r>
      <w:r w:rsidR="004F0B35" w:rsidRPr="004F0B35">
        <w:rPr>
          <w:rFonts w:eastAsiaTheme="minorEastAsia"/>
          <w:lang w:bidi="en-US"/>
        </w:rPr>
        <w:t xml:space="preserve">nécessaires </w:t>
      </w:r>
      <w:r w:rsidR="004F0B35">
        <w:rPr>
          <w:rFonts w:eastAsiaTheme="minorEastAsia"/>
          <w:lang w:bidi="en-US"/>
        </w:rPr>
        <w:t>pour justifier l</w:t>
      </w:r>
      <w:r w:rsidR="00346F1B">
        <w:rPr>
          <w:rFonts w:eastAsiaTheme="minorEastAsia"/>
          <w:lang w:bidi="en-US"/>
        </w:rPr>
        <w:t>’</w:t>
      </w:r>
      <w:r w:rsidR="004F0B35" w:rsidRPr="004F0B35">
        <w:rPr>
          <w:rFonts w:eastAsiaTheme="minorEastAsia"/>
          <w:lang w:bidi="en-US"/>
        </w:rPr>
        <w:t>inscription</w:t>
      </w:r>
      <w:r w:rsidR="004F0B35">
        <w:rPr>
          <w:rFonts w:eastAsiaTheme="minorEastAsia"/>
          <w:lang w:bidi="en-US"/>
        </w:rPr>
        <w:t xml:space="preserve"> et que le film qui accompagnait le dossier suggérait que l</w:t>
      </w:r>
      <w:r w:rsidR="00346F1B">
        <w:rPr>
          <w:rFonts w:eastAsiaTheme="minorEastAsia"/>
          <w:lang w:bidi="en-US"/>
        </w:rPr>
        <w:t>’</w:t>
      </w:r>
      <w:r w:rsidR="004F0B35" w:rsidRPr="004F0B35">
        <w:rPr>
          <w:rFonts w:eastAsiaTheme="minorEastAsia"/>
          <w:lang w:bidi="en-US"/>
        </w:rPr>
        <w:t>élément</w:t>
      </w:r>
      <w:r w:rsidR="004F0B35">
        <w:rPr>
          <w:rFonts w:eastAsiaTheme="minorEastAsia"/>
          <w:lang w:bidi="en-US"/>
        </w:rPr>
        <w:t xml:space="preserve"> n</w:t>
      </w:r>
      <w:r w:rsidR="00346F1B">
        <w:rPr>
          <w:rFonts w:eastAsiaTheme="minorEastAsia"/>
          <w:lang w:bidi="en-US"/>
        </w:rPr>
        <w:t>’</w:t>
      </w:r>
      <w:r w:rsidR="004F0B35">
        <w:rPr>
          <w:rFonts w:eastAsiaTheme="minorEastAsia"/>
          <w:lang w:bidi="en-US"/>
        </w:rPr>
        <w:t xml:space="preserve">était pas en péril. Ainsi, des éclaircissements seraient </w:t>
      </w:r>
      <w:r w:rsidR="004F0B35" w:rsidRPr="004F0B35">
        <w:rPr>
          <w:rFonts w:eastAsiaTheme="minorEastAsia"/>
          <w:lang w:bidi="en-US"/>
        </w:rPr>
        <w:t xml:space="preserve">nécessaires </w:t>
      </w:r>
      <w:r w:rsidR="004F0B35">
        <w:rPr>
          <w:rFonts w:eastAsiaTheme="minorEastAsia"/>
          <w:lang w:bidi="en-US"/>
        </w:rPr>
        <w:t xml:space="preserve">de la part de </w:t>
      </w:r>
      <w:r w:rsidR="004F0B35" w:rsidRPr="004F0B35">
        <w:rPr>
          <w:rFonts w:eastAsiaTheme="minorEastAsia"/>
          <w:lang w:bidi="en-US"/>
        </w:rPr>
        <w:t>l</w:t>
      </w:r>
      <w:r w:rsidR="00346F1B">
        <w:rPr>
          <w:rFonts w:eastAsiaTheme="minorEastAsia"/>
          <w:lang w:bidi="en-US"/>
        </w:rPr>
        <w:t>’</w:t>
      </w:r>
      <w:r w:rsidR="004F0B35" w:rsidRPr="004F0B35">
        <w:rPr>
          <w:rFonts w:eastAsiaTheme="minorEastAsia"/>
          <w:lang w:bidi="en-US"/>
        </w:rPr>
        <w:t xml:space="preserve">État partie </w:t>
      </w:r>
      <w:r w:rsidR="004F0B35">
        <w:rPr>
          <w:rFonts w:eastAsiaTheme="minorEastAsia"/>
          <w:lang w:bidi="en-US"/>
        </w:rPr>
        <w:t xml:space="preserve">si celui-ci </w:t>
      </w:r>
      <w:r w:rsidR="004F0B35" w:rsidRPr="004F0B35">
        <w:rPr>
          <w:rFonts w:eastAsiaTheme="minorEastAsia"/>
          <w:lang w:bidi="en-US"/>
        </w:rPr>
        <w:t xml:space="preserve">décidait de soumettre à nouveau </w:t>
      </w:r>
      <w:r w:rsidR="004F0B35">
        <w:rPr>
          <w:rFonts w:eastAsiaTheme="minorEastAsia"/>
          <w:lang w:bidi="en-US"/>
        </w:rPr>
        <w:t xml:space="preserve">le dossier </w:t>
      </w:r>
      <w:r w:rsidR="004F0B35" w:rsidRPr="004F0B35">
        <w:rPr>
          <w:rFonts w:eastAsiaTheme="minorEastAsia"/>
          <w:lang w:bidi="en-US"/>
        </w:rPr>
        <w:t>lors d</w:t>
      </w:r>
      <w:r w:rsidR="00346F1B">
        <w:rPr>
          <w:rFonts w:eastAsiaTheme="minorEastAsia"/>
          <w:lang w:bidi="en-US"/>
        </w:rPr>
        <w:t>’</w:t>
      </w:r>
      <w:r w:rsidR="00B869BF">
        <w:rPr>
          <w:rFonts w:eastAsiaTheme="minorEastAsia"/>
          <w:lang w:bidi="en-US"/>
        </w:rPr>
        <w:t>un autre cycle.</w:t>
      </w:r>
    </w:p>
    <w:p w14:paraId="44147B56" w14:textId="4C7C3EB0" w:rsidR="004F0B35" w:rsidRPr="004F0B35" w:rsidRDefault="004F0B35" w:rsidP="00E94D39">
      <w:pPr>
        <w:pStyle w:val="Orateurengris"/>
        <w:tabs>
          <w:tab w:val="left" w:pos="2552"/>
        </w:tabs>
        <w:spacing w:before="120"/>
        <w:ind w:left="709" w:hanging="709"/>
        <w:rPr>
          <w:rFonts w:eastAsiaTheme="minorEastAsia"/>
          <w:lang w:bidi="en-US"/>
        </w:rPr>
      </w:pPr>
      <w:r>
        <w:rPr>
          <w:rFonts w:eastAsiaTheme="minorEastAsia"/>
          <w:lang w:bidi="en-US"/>
        </w:rPr>
        <w:t>En l</w:t>
      </w:r>
      <w:r w:rsidR="00346F1B">
        <w:rPr>
          <w:rFonts w:eastAsiaTheme="minorEastAsia"/>
          <w:lang w:bidi="en-US"/>
        </w:rPr>
        <w:t>’</w:t>
      </w:r>
      <w:r>
        <w:rPr>
          <w:rFonts w:eastAsiaTheme="minorEastAsia"/>
          <w:lang w:bidi="en-US"/>
        </w:rPr>
        <w:t>absence d</w:t>
      </w:r>
      <w:r w:rsidR="00346F1B">
        <w:rPr>
          <w:rFonts w:eastAsiaTheme="minorEastAsia"/>
          <w:lang w:bidi="en-US"/>
        </w:rPr>
        <w:t>’</w:t>
      </w:r>
      <w:r>
        <w:rPr>
          <w:rFonts w:eastAsiaTheme="minorEastAsia"/>
          <w:lang w:bidi="en-US"/>
        </w:rPr>
        <w:t xml:space="preserve">autres commentaires ou </w:t>
      </w:r>
      <w:r w:rsidRPr="004F0B35">
        <w:rPr>
          <w:rFonts w:eastAsiaTheme="minorEastAsia"/>
          <w:lang w:bidi="en-US"/>
        </w:rPr>
        <w:t>objections</w:t>
      </w:r>
      <w:r>
        <w:rPr>
          <w:rFonts w:eastAsiaTheme="minorEastAsia"/>
          <w:lang w:bidi="en-US"/>
        </w:rPr>
        <w:t xml:space="preserve">, le </w:t>
      </w:r>
      <w:r w:rsidRPr="00962B2B">
        <w:rPr>
          <w:rFonts w:eastAsiaTheme="minorEastAsia"/>
          <w:b/>
          <w:lang w:bidi="en-US"/>
        </w:rPr>
        <w:t xml:space="preserve">Président a déclaré adoptée la décision 11.COM 10.a.1 de renvoyer </w:t>
      </w:r>
      <w:r w:rsidRPr="00962B2B">
        <w:rPr>
          <w:b/>
        </w:rPr>
        <w:t>le rituel du Moro</w:t>
      </w:r>
      <w:r w:rsidRPr="009A3D45">
        <w:rPr>
          <w:b/>
        </w:rPr>
        <w:t xml:space="preserve">pa wa Bojale ba Bakgatla ba Kgafela et </w:t>
      </w:r>
      <w:r>
        <w:rPr>
          <w:b/>
        </w:rPr>
        <w:t xml:space="preserve">les </w:t>
      </w:r>
      <w:r w:rsidRPr="009A3D45">
        <w:rPr>
          <w:b/>
        </w:rPr>
        <w:t>pratiques qui lui sont associées</w:t>
      </w:r>
      <w:r>
        <w:rPr>
          <w:b/>
        </w:rPr>
        <w:t xml:space="preserve"> à l</w:t>
      </w:r>
      <w:r w:rsidR="00346F1B">
        <w:rPr>
          <w:b/>
        </w:rPr>
        <w:t>’</w:t>
      </w:r>
      <w:r>
        <w:rPr>
          <w:b/>
        </w:rPr>
        <w:t>État soumissionnaire pour complément d</w:t>
      </w:r>
      <w:r w:rsidR="00346F1B">
        <w:rPr>
          <w:b/>
        </w:rPr>
        <w:t>’</w:t>
      </w:r>
      <w:r w:rsidRPr="004F0B35">
        <w:rPr>
          <w:b/>
        </w:rPr>
        <w:t>information</w:t>
      </w:r>
      <w:r w:rsidRPr="00962B2B">
        <w:t>.</w:t>
      </w:r>
    </w:p>
    <w:p w14:paraId="4F9A61E9" w14:textId="1380BA6A" w:rsidR="00962B2B" w:rsidRPr="00962B2B" w:rsidRDefault="00962B2B" w:rsidP="00E94D39">
      <w:pPr>
        <w:pStyle w:val="Orateurengris"/>
        <w:spacing w:before="120"/>
        <w:ind w:left="709" w:hanging="709"/>
        <w:rPr>
          <w:rFonts w:eastAsiaTheme="minorEastAsia"/>
          <w:lang w:bidi="en-US"/>
        </w:rPr>
      </w:pPr>
      <w:r>
        <w:rPr>
          <w:rFonts w:eastAsiaTheme="minorEastAsia"/>
          <w:lang w:bidi="en-US"/>
        </w:rPr>
        <w:t xml:space="preserve">La </w:t>
      </w:r>
      <w:r w:rsidRPr="00962B2B">
        <w:rPr>
          <w:rFonts w:eastAsiaTheme="minorEastAsia"/>
          <w:lang w:bidi="en-US"/>
        </w:rPr>
        <w:t>délégation</w:t>
      </w:r>
      <w:r>
        <w:rPr>
          <w:rFonts w:eastAsiaTheme="minorEastAsia"/>
          <w:lang w:bidi="en-US"/>
        </w:rPr>
        <w:t xml:space="preserve"> du </w:t>
      </w:r>
      <w:r w:rsidRPr="00962B2B">
        <w:rPr>
          <w:rFonts w:eastAsiaTheme="minorEastAsia"/>
          <w:b/>
          <w:lang w:bidi="en-US"/>
        </w:rPr>
        <w:t>Botswana</w:t>
      </w:r>
      <w:r>
        <w:rPr>
          <w:rFonts w:eastAsiaTheme="minorEastAsia"/>
          <w:lang w:bidi="en-US"/>
        </w:rPr>
        <w:t xml:space="preserve"> a remercié le Président, et le G</w:t>
      </w:r>
      <w:r w:rsidRPr="00962B2B">
        <w:rPr>
          <w:rFonts w:eastAsiaTheme="minorEastAsia"/>
          <w:lang w:bidi="en-US"/>
        </w:rPr>
        <w:t>ouvernement</w:t>
      </w:r>
      <w:r>
        <w:rPr>
          <w:rFonts w:eastAsiaTheme="minorEastAsia"/>
          <w:lang w:bidi="en-US"/>
        </w:rPr>
        <w:t xml:space="preserve"> de l</w:t>
      </w:r>
      <w:r w:rsidR="00346F1B">
        <w:rPr>
          <w:rFonts w:eastAsiaTheme="minorEastAsia"/>
          <w:lang w:bidi="en-US"/>
        </w:rPr>
        <w:t>’</w:t>
      </w:r>
      <w:r w:rsidRPr="00962B2B">
        <w:rPr>
          <w:rFonts w:eastAsiaTheme="minorEastAsia"/>
          <w:lang w:bidi="en-US"/>
        </w:rPr>
        <w:t>Éthiopie</w:t>
      </w:r>
      <w:r>
        <w:rPr>
          <w:rFonts w:eastAsiaTheme="minorEastAsia"/>
          <w:lang w:bidi="en-US"/>
        </w:rPr>
        <w:t xml:space="preserve"> pour son accueil chaleureux, son hospitalité et l</w:t>
      </w:r>
      <w:r w:rsidR="00346F1B">
        <w:rPr>
          <w:rFonts w:eastAsiaTheme="minorEastAsia"/>
          <w:lang w:bidi="en-US"/>
        </w:rPr>
        <w:t>’</w:t>
      </w:r>
      <w:r w:rsidRPr="00962B2B">
        <w:rPr>
          <w:rFonts w:eastAsiaTheme="minorEastAsia"/>
          <w:lang w:bidi="en-US"/>
        </w:rPr>
        <w:t>organisation</w:t>
      </w:r>
      <w:r>
        <w:rPr>
          <w:rFonts w:eastAsiaTheme="minorEastAsia"/>
          <w:lang w:bidi="en-US"/>
        </w:rPr>
        <w:t xml:space="preserve"> réussie de cette réunion. Elle a pris note des commentaires et a exprimé sa reconnaissance à ses communautés pour les efforts soutenus déployés pour </w:t>
      </w:r>
      <w:r w:rsidRPr="00962B2B">
        <w:rPr>
          <w:rFonts w:eastAsiaTheme="minorEastAsia"/>
          <w:lang w:bidi="en-US"/>
        </w:rPr>
        <w:t>sauvegarde</w:t>
      </w:r>
      <w:r>
        <w:rPr>
          <w:rFonts w:eastAsiaTheme="minorEastAsia"/>
          <w:lang w:bidi="en-US"/>
        </w:rPr>
        <w:t>r leur PCI</w:t>
      </w:r>
      <w:r w:rsidR="00F14FBF">
        <w:rPr>
          <w:rFonts w:eastAsiaTheme="minorEastAsia"/>
          <w:lang w:bidi="en-US"/>
        </w:rPr>
        <w:t xml:space="preserve">, un </w:t>
      </w:r>
      <w:r w:rsidR="00F14FBF" w:rsidRPr="00F14FBF">
        <w:rPr>
          <w:rFonts w:eastAsiaTheme="minorEastAsia"/>
          <w:lang w:bidi="en-US"/>
        </w:rPr>
        <w:t>patrimoine</w:t>
      </w:r>
      <w:r w:rsidR="00F14FBF">
        <w:rPr>
          <w:rFonts w:eastAsiaTheme="minorEastAsia"/>
          <w:lang w:bidi="en-US"/>
        </w:rPr>
        <w:t xml:space="preserve"> </w:t>
      </w:r>
      <w:r>
        <w:rPr>
          <w:rFonts w:eastAsiaTheme="minorEastAsia"/>
          <w:lang w:bidi="en-US"/>
        </w:rPr>
        <w:t>qu</w:t>
      </w:r>
      <w:r w:rsidR="00346F1B">
        <w:rPr>
          <w:rFonts w:eastAsiaTheme="minorEastAsia"/>
          <w:lang w:bidi="en-US"/>
        </w:rPr>
        <w:t>’</w:t>
      </w:r>
      <w:r>
        <w:rPr>
          <w:rFonts w:eastAsiaTheme="minorEastAsia"/>
          <w:lang w:bidi="en-US"/>
        </w:rPr>
        <w:t>ils efforçaient d</w:t>
      </w:r>
      <w:r w:rsidR="00346F1B">
        <w:rPr>
          <w:rFonts w:eastAsiaTheme="minorEastAsia"/>
          <w:lang w:bidi="en-US"/>
        </w:rPr>
        <w:t>’</w:t>
      </w:r>
      <w:r>
        <w:rPr>
          <w:rFonts w:eastAsiaTheme="minorEastAsia"/>
          <w:lang w:bidi="en-US"/>
        </w:rPr>
        <w:t xml:space="preserve">améliorer avec chaque soumission. La </w:t>
      </w:r>
      <w:r w:rsidRPr="00962B2B">
        <w:rPr>
          <w:rFonts w:eastAsiaTheme="minorEastAsia"/>
          <w:lang w:bidi="en-US"/>
        </w:rPr>
        <w:t>délégation</w:t>
      </w:r>
      <w:r>
        <w:rPr>
          <w:rFonts w:eastAsiaTheme="minorEastAsia"/>
          <w:lang w:bidi="en-US"/>
        </w:rPr>
        <w:t xml:space="preserve"> reprendrait les éléments du dossier, répondrait aux questions posées et soumettrait à nouveau le dossier </w:t>
      </w:r>
      <w:r w:rsidR="00F14FBF">
        <w:rPr>
          <w:rFonts w:eastAsiaTheme="minorEastAsia"/>
          <w:lang w:bidi="en-US"/>
        </w:rPr>
        <w:t>lors d</w:t>
      </w:r>
      <w:r w:rsidR="00346F1B">
        <w:rPr>
          <w:rFonts w:eastAsiaTheme="minorEastAsia"/>
          <w:lang w:bidi="en-US"/>
        </w:rPr>
        <w:t>’</w:t>
      </w:r>
      <w:r>
        <w:rPr>
          <w:rFonts w:eastAsiaTheme="minorEastAsia"/>
          <w:lang w:bidi="en-US"/>
        </w:rPr>
        <w:t>un prochain cycle. Elle a remercié l</w:t>
      </w:r>
      <w:r w:rsidR="00346F1B">
        <w:rPr>
          <w:rFonts w:eastAsiaTheme="minorEastAsia"/>
          <w:lang w:bidi="en-US"/>
        </w:rPr>
        <w:t>’</w:t>
      </w:r>
      <w:r>
        <w:rPr>
          <w:rFonts w:eastAsiaTheme="minorEastAsia"/>
          <w:lang w:bidi="en-US"/>
        </w:rPr>
        <w:t>Organe d</w:t>
      </w:r>
      <w:r w:rsidR="00346F1B">
        <w:rPr>
          <w:rFonts w:eastAsiaTheme="minorEastAsia"/>
          <w:lang w:bidi="en-US"/>
        </w:rPr>
        <w:t>’</w:t>
      </w:r>
      <w:r>
        <w:rPr>
          <w:rFonts w:eastAsiaTheme="minorEastAsia"/>
          <w:lang w:bidi="en-US"/>
        </w:rPr>
        <w:t xml:space="preserve">évaluation </w:t>
      </w:r>
      <w:r w:rsidR="00F14FBF">
        <w:rPr>
          <w:rFonts w:eastAsiaTheme="minorEastAsia"/>
          <w:lang w:bidi="en-US"/>
        </w:rPr>
        <w:t xml:space="preserve">de </w:t>
      </w:r>
      <w:r>
        <w:rPr>
          <w:rFonts w:eastAsiaTheme="minorEastAsia"/>
          <w:lang w:bidi="en-US"/>
        </w:rPr>
        <w:t>son excellent travail et l</w:t>
      </w:r>
      <w:r w:rsidR="00346F1B">
        <w:rPr>
          <w:rFonts w:eastAsiaTheme="minorEastAsia"/>
          <w:lang w:bidi="en-US"/>
        </w:rPr>
        <w:t>’</w:t>
      </w:r>
      <w:r>
        <w:rPr>
          <w:rFonts w:eastAsiaTheme="minorEastAsia"/>
          <w:lang w:bidi="en-US"/>
        </w:rPr>
        <w:t xml:space="preserve">UNESCO </w:t>
      </w:r>
      <w:r w:rsidR="00F14FBF">
        <w:rPr>
          <w:rFonts w:eastAsiaTheme="minorEastAsia"/>
          <w:lang w:bidi="en-US"/>
        </w:rPr>
        <w:t>de son approbation de sa demande d</w:t>
      </w:r>
      <w:r w:rsidR="00346F1B">
        <w:rPr>
          <w:rFonts w:eastAsiaTheme="minorEastAsia"/>
          <w:lang w:bidi="en-US"/>
        </w:rPr>
        <w:t>’</w:t>
      </w:r>
      <w:r w:rsidR="00F14FBF">
        <w:rPr>
          <w:rFonts w:eastAsiaTheme="minorEastAsia"/>
          <w:lang w:bidi="en-US"/>
        </w:rPr>
        <w:t>assistance internationale pour l</w:t>
      </w:r>
      <w:r w:rsidR="00346F1B">
        <w:rPr>
          <w:rFonts w:eastAsiaTheme="minorEastAsia"/>
          <w:lang w:bidi="en-US"/>
        </w:rPr>
        <w:t>’</w:t>
      </w:r>
      <w:r w:rsidR="00F14FBF">
        <w:rPr>
          <w:rFonts w:eastAsiaTheme="minorEastAsia"/>
          <w:lang w:bidi="en-US"/>
        </w:rPr>
        <w:t xml:space="preserve">élément déjà inscrit sur la Liste de sauvegarde urgente, </w:t>
      </w:r>
      <w:r w:rsidR="00F14FBF" w:rsidRPr="00F14FBF">
        <w:rPr>
          <w:rFonts w:eastAsiaTheme="minorEastAsia"/>
          <w:b/>
          <w:lang w:bidi="en-US"/>
        </w:rPr>
        <w:t>le savoir-faire de la poterie en terre cuite dans le district de Kgatleng</w:t>
      </w:r>
      <w:r w:rsidR="00F14FBF">
        <w:rPr>
          <w:rFonts w:eastAsiaTheme="minorEastAsia"/>
          <w:lang w:bidi="en-US"/>
        </w:rPr>
        <w:t xml:space="preserve">. Elle avait </w:t>
      </w:r>
      <w:r w:rsidR="00F14FBF" w:rsidRPr="00F14FBF">
        <w:rPr>
          <w:rFonts w:eastAsiaTheme="minorEastAsia"/>
          <w:lang w:bidi="en-US"/>
        </w:rPr>
        <w:t>également</w:t>
      </w:r>
      <w:r w:rsidR="00F14FBF">
        <w:rPr>
          <w:rFonts w:eastAsiaTheme="minorEastAsia"/>
          <w:lang w:bidi="en-US"/>
        </w:rPr>
        <w:t xml:space="preserve"> beaucoup apprécié d</w:t>
      </w:r>
      <w:r w:rsidR="00346F1B">
        <w:rPr>
          <w:rFonts w:eastAsiaTheme="minorEastAsia"/>
          <w:lang w:bidi="en-US"/>
        </w:rPr>
        <w:t>’</w:t>
      </w:r>
      <w:r w:rsidR="00F14FBF">
        <w:rPr>
          <w:rFonts w:eastAsiaTheme="minorEastAsia"/>
          <w:lang w:bidi="en-US"/>
        </w:rPr>
        <w:t>être l</w:t>
      </w:r>
      <w:r w:rsidR="00346F1B">
        <w:rPr>
          <w:rFonts w:eastAsiaTheme="minorEastAsia"/>
          <w:lang w:bidi="en-US"/>
        </w:rPr>
        <w:t>’</w:t>
      </w:r>
      <w:r w:rsidR="00F14FBF">
        <w:rPr>
          <w:rFonts w:eastAsiaTheme="minorEastAsia"/>
          <w:lang w:bidi="en-US"/>
        </w:rPr>
        <w:t>un des premiers destinataires des fonds alloués suite à l</w:t>
      </w:r>
      <w:r w:rsidR="00346F1B">
        <w:rPr>
          <w:rFonts w:eastAsiaTheme="minorEastAsia"/>
          <w:lang w:bidi="en-US"/>
        </w:rPr>
        <w:t>’</w:t>
      </w:r>
      <w:r w:rsidR="00F14FBF">
        <w:rPr>
          <w:rFonts w:eastAsiaTheme="minorEastAsia"/>
          <w:lang w:bidi="en-US"/>
        </w:rPr>
        <w:t>augmentation du plafond de 25</w:t>
      </w:r>
      <w:r w:rsidR="00346F1B">
        <w:rPr>
          <w:rFonts w:eastAsiaTheme="minorEastAsia"/>
          <w:lang w:bidi="en-US"/>
        </w:rPr>
        <w:t> 000</w:t>
      </w:r>
      <w:r w:rsidR="00F14FBF">
        <w:rPr>
          <w:rFonts w:eastAsiaTheme="minorEastAsia"/>
          <w:lang w:bidi="en-US"/>
        </w:rPr>
        <w:t xml:space="preserve"> à 100</w:t>
      </w:r>
      <w:r w:rsidR="00346F1B">
        <w:rPr>
          <w:rFonts w:eastAsiaTheme="minorEastAsia"/>
          <w:lang w:bidi="en-US"/>
        </w:rPr>
        <w:t> 000</w:t>
      </w:r>
      <w:r w:rsidR="00F14FBF">
        <w:rPr>
          <w:rFonts w:eastAsiaTheme="minorEastAsia"/>
          <w:lang w:bidi="en-US"/>
        </w:rPr>
        <w:t xml:space="preserve"> </w:t>
      </w:r>
      <w:r w:rsidR="00F14FBF" w:rsidRPr="00F14FBF">
        <w:rPr>
          <w:rFonts w:eastAsiaTheme="minorEastAsia"/>
          <w:lang w:bidi="en-US"/>
        </w:rPr>
        <w:t>dollars des États-Unis</w:t>
      </w:r>
      <w:r w:rsidR="00B869BF">
        <w:rPr>
          <w:rFonts w:eastAsiaTheme="minorEastAsia"/>
          <w:lang w:bidi="en-US"/>
        </w:rPr>
        <w:t>.</w:t>
      </w:r>
    </w:p>
    <w:p w14:paraId="4F20336E" w14:textId="20DB0AF0" w:rsidR="00F14FBF" w:rsidRPr="00F14FBF" w:rsidRDefault="00F14FBF" w:rsidP="00E94D39">
      <w:pPr>
        <w:pStyle w:val="Orateurengris"/>
        <w:spacing w:before="120"/>
        <w:ind w:left="709" w:hanging="709"/>
        <w:rPr>
          <w:rFonts w:eastAsiaTheme="minorEastAsia"/>
          <w:lang w:bidi="en-US"/>
        </w:rPr>
      </w:pPr>
      <w:r w:rsidRPr="00F14FBF">
        <w:rPr>
          <w:rFonts w:eastAsiaTheme="minorEastAsia"/>
          <w:lang w:bidi="en-US"/>
        </w:rPr>
        <w:t xml:space="preserve">Le </w:t>
      </w:r>
      <w:r w:rsidRPr="00F14FBF">
        <w:rPr>
          <w:rFonts w:eastAsiaTheme="minorEastAsia"/>
          <w:b/>
          <w:lang w:bidi="en-US"/>
        </w:rPr>
        <w:t>Président</w:t>
      </w:r>
      <w:r w:rsidRPr="00F14FBF">
        <w:rPr>
          <w:rFonts w:eastAsiaTheme="minorEastAsia"/>
          <w:lang w:bidi="en-US"/>
        </w:rPr>
        <w:t xml:space="preserve"> a remercié le Botswana et a signalé que la Palestine sou</w:t>
      </w:r>
      <w:r w:rsidR="00B869BF">
        <w:rPr>
          <w:rFonts w:eastAsiaTheme="minorEastAsia"/>
          <w:lang w:bidi="en-US"/>
        </w:rPr>
        <w:t>haitait prendre la parole.</w:t>
      </w:r>
    </w:p>
    <w:p w14:paraId="79540214" w14:textId="0467FF96" w:rsidR="00F14FBF" w:rsidRPr="00F14FBF" w:rsidRDefault="00F14FBF" w:rsidP="00E94D39">
      <w:pPr>
        <w:pStyle w:val="Orateurengris"/>
        <w:spacing w:before="120"/>
        <w:ind w:left="709" w:hanging="709"/>
        <w:rPr>
          <w:rFonts w:eastAsiaTheme="minorEastAsia"/>
          <w:lang w:bidi="en-US"/>
        </w:rPr>
      </w:pPr>
      <w:r>
        <w:rPr>
          <w:rFonts w:eastAsiaTheme="minorEastAsia"/>
          <w:lang w:bidi="en-US"/>
        </w:rPr>
        <w:t xml:space="preserve">Compte tenu du temps imparti et des quatre candidatures restant à examiner, la </w:t>
      </w:r>
      <w:r w:rsidRPr="00F14FBF">
        <w:rPr>
          <w:rFonts w:eastAsiaTheme="minorEastAsia"/>
          <w:lang w:bidi="en-US"/>
        </w:rPr>
        <w:t>délégation</w:t>
      </w:r>
      <w:r>
        <w:rPr>
          <w:rFonts w:eastAsiaTheme="minorEastAsia"/>
          <w:lang w:bidi="en-US"/>
        </w:rPr>
        <w:t xml:space="preserve"> de la </w:t>
      </w:r>
      <w:r w:rsidRPr="00F14FBF">
        <w:rPr>
          <w:rFonts w:eastAsiaTheme="minorEastAsia"/>
          <w:b/>
          <w:lang w:bidi="en-US"/>
        </w:rPr>
        <w:t>Palestine</w:t>
      </w:r>
      <w:r>
        <w:rPr>
          <w:rFonts w:eastAsiaTheme="minorEastAsia"/>
          <w:lang w:bidi="en-US"/>
        </w:rPr>
        <w:t xml:space="preserve"> a rappelé que la pratique habituelle lors d</w:t>
      </w:r>
      <w:r w:rsidR="00346F1B">
        <w:rPr>
          <w:rFonts w:eastAsiaTheme="minorEastAsia"/>
          <w:lang w:bidi="en-US"/>
        </w:rPr>
        <w:t>’</w:t>
      </w:r>
      <w:r>
        <w:rPr>
          <w:rFonts w:eastAsiaTheme="minorEastAsia"/>
          <w:lang w:bidi="en-US"/>
        </w:rPr>
        <w:t xml:space="preserve">une </w:t>
      </w:r>
      <w:r w:rsidRPr="00F14FBF">
        <w:rPr>
          <w:rFonts w:eastAsiaTheme="minorEastAsia"/>
          <w:lang w:bidi="en-US"/>
        </w:rPr>
        <w:t>recommandation</w:t>
      </w:r>
      <w:r>
        <w:rPr>
          <w:rFonts w:eastAsiaTheme="minorEastAsia"/>
          <w:lang w:bidi="en-US"/>
        </w:rPr>
        <w:t xml:space="preserve"> d</w:t>
      </w:r>
      <w:r w:rsidR="00346F1B">
        <w:rPr>
          <w:rFonts w:eastAsiaTheme="minorEastAsia"/>
          <w:lang w:bidi="en-US"/>
        </w:rPr>
        <w:t>’</w:t>
      </w:r>
      <w:r w:rsidRPr="00F14FBF">
        <w:rPr>
          <w:rFonts w:eastAsiaTheme="minorEastAsia"/>
          <w:lang w:bidi="en-US"/>
        </w:rPr>
        <w:t>inscription</w:t>
      </w:r>
      <w:r>
        <w:rPr>
          <w:rFonts w:eastAsiaTheme="minorEastAsia"/>
          <w:lang w:bidi="en-US"/>
        </w:rPr>
        <w:t xml:space="preserve"> d</w:t>
      </w:r>
      <w:r w:rsidR="00346F1B">
        <w:rPr>
          <w:rFonts w:eastAsiaTheme="minorEastAsia"/>
          <w:lang w:bidi="en-US"/>
        </w:rPr>
        <w:t>’</w:t>
      </w:r>
      <w:r>
        <w:rPr>
          <w:rFonts w:eastAsiaTheme="minorEastAsia"/>
          <w:lang w:bidi="en-US"/>
        </w:rPr>
        <w:t xml:space="preserve">un élément </w:t>
      </w:r>
      <w:r w:rsidR="008A76EB">
        <w:rPr>
          <w:rFonts w:eastAsiaTheme="minorEastAsia"/>
          <w:lang w:bidi="en-US"/>
        </w:rPr>
        <w:t>était l</w:t>
      </w:r>
      <w:r w:rsidR="00346F1B">
        <w:rPr>
          <w:rFonts w:eastAsiaTheme="minorEastAsia"/>
          <w:lang w:bidi="en-US"/>
        </w:rPr>
        <w:t>’</w:t>
      </w:r>
      <w:r w:rsidR="008A76EB">
        <w:rPr>
          <w:rFonts w:eastAsiaTheme="minorEastAsia"/>
          <w:lang w:bidi="en-US"/>
        </w:rPr>
        <w:t>adoption de la décision dans son ensemble. Elle a demandé s</w:t>
      </w:r>
      <w:r w:rsidR="00346F1B">
        <w:rPr>
          <w:rFonts w:eastAsiaTheme="minorEastAsia"/>
          <w:lang w:bidi="en-US"/>
        </w:rPr>
        <w:t>’</w:t>
      </w:r>
      <w:r w:rsidR="008A76EB">
        <w:rPr>
          <w:rFonts w:eastAsiaTheme="minorEastAsia"/>
          <w:lang w:bidi="en-US"/>
        </w:rPr>
        <w:t xml:space="preserve">il était envisageable de poursuivre les examens </w:t>
      </w:r>
      <w:r w:rsidR="00B869BF">
        <w:rPr>
          <w:rFonts w:eastAsiaTheme="minorEastAsia"/>
          <w:lang w:bidi="en-US"/>
        </w:rPr>
        <w:t>au-delà</w:t>
      </w:r>
      <w:r w:rsidR="008A76EB">
        <w:rPr>
          <w:rFonts w:eastAsiaTheme="minorEastAsia"/>
          <w:lang w:bidi="en-US"/>
        </w:rPr>
        <w:t xml:space="preserve"> de 17 h 30 afin d</w:t>
      </w:r>
      <w:r w:rsidR="00346F1B">
        <w:rPr>
          <w:rFonts w:eastAsiaTheme="minorEastAsia"/>
          <w:lang w:bidi="en-US"/>
        </w:rPr>
        <w:t>’</w:t>
      </w:r>
      <w:r w:rsidR="00B869BF">
        <w:rPr>
          <w:rFonts w:eastAsiaTheme="minorEastAsia"/>
          <w:lang w:bidi="en-US"/>
        </w:rPr>
        <w:t>achever ce point.</w:t>
      </w:r>
    </w:p>
    <w:p w14:paraId="2AE82390" w14:textId="0451165B" w:rsidR="008A76EB" w:rsidRPr="008A76EB" w:rsidRDefault="008A76EB" w:rsidP="00E94D39">
      <w:pPr>
        <w:pStyle w:val="Orateurengris"/>
        <w:spacing w:before="120"/>
        <w:ind w:left="709" w:hanging="709"/>
        <w:rPr>
          <w:rFonts w:eastAsiaTheme="minorEastAsia"/>
          <w:lang w:bidi="en-US"/>
        </w:rPr>
      </w:pPr>
      <w:r>
        <w:rPr>
          <w:rFonts w:eastAsiaTheme="minorEastAsia"/>
          <w:lang w:bidi="en-US"/>
        </w:rPr>
        <w:t xml:space="preserve">Après avoir consulté les interprètes, le </w:t>
      </w:r>
      <w:r w:rsidRPr="008A76EB">
        <w:rPr>
          <w:rFonts w:eastAsiaTheme="minorEastAsia"/>
          <w:b/>
          <w:lang w:bidi="en-US"/>
        </w:rPr>
        <w:t>Président</w:t>
      </w:r>
      <w:r>
        <w:rPr>
          <w:rFonts w:eastAsiaTheme="minorEastAsia"/>
          <w:lang w:bidi="en-US"/>
        </w:rPr>
        <w:t xml:space="preserve"> a confirmé que la session pourrait être pro</w:t>
      </w:r>
      <w:r w:rsidR="00B869BF">
        <w:rPr>
          <w:rFonts w:eastAsiaTheme="minorEastAsia"/>
          <w:lang w:bidi="en-US"/>
        </w:rPr>
        <w:t>longée de dix à quinze minutes.</w:t>
      </w:r>
    </w:p>
    <w:p w14:paraId="33BF867D" w14:textId="3A34FFB4" w:rsidR="00D121B8" w:rsidRPr="00B73FBA" w:rsidRDefault="008A76EB" w:rsidP="00E94D39">
      <w:pPr>
        <w:pStyle w:val="Orateurengris"/>
        <w:spacing w:before="120"/>
        <w:ind w:left="709" w:hanging="709"/>
        <w:rPr>
          <w:rFonts w:eastAsiaTheme="minorEastAsia"/>
          <w:lang w:bidi="en-US"/>
        </w:rPr>
      </w:pPr>
      <w:r>
        <w:rPr>
          <w:rFonts w:eastAsiaTheme="minorEastAsia"/>
          <w:lang w:bidi="en-US"/>
        </w:rPr>
        <w:t xml:space="preserve">Le </w:t>
      </w:r>
      <w:r w:rsidR="00754EC3">
        <w:rPr>
          <w:rFonts w:eastAsiaTheme="minorEastAsia"/>
          <w:b/>
          <w:lang w:bidi="en-US"/>
        </w:rPr>
        <w:t>Vice-Président</w:t>
      </w:r>
      <w:r w:rsidRPr="00472F14">
        <w:rPr>
          <w:rFonts w:eastAsiaTheme="minorEastAsia"/>
          <w:b/>
          <w:lang w:bidi="en-US"/>
        </w:rPr>
        <w:t xml:space="preserve"> de l</w:t>
      </w:r>
      <w:r w:rsidR="00346F1B">
        <w:rPr>
          <w:rFonts w:eastAsiaTheme="minorEastAsia"/>
          <w:b/>
          <w:lang w:bidi="en-US"/>
        </w:rPr>
        <w:t>’</w:t>
      </w:r>
      <w:r w:rsidRPr="00472F14">
        <w:rPr>
          <w:rFonts w:eastAsiaTheme="minorEastAsia"/>
          <w:b/>
          <w:lang w:bidi="en-US"/>
        </w:rPr>
        <w:t>Organe d</w:t>
      </w:r>
      <w:r w:rsidR="00346F1B">
        <w:rPr>
          <w:rFonts w:eastAsiaTheme="minorEastAsia"/>
          <w:b/>
          <w:lang w:bidi="en-US"/>
        </w:rPr>
        <w:t>’</w:t>
      </w:r>
      <w:r w:rsidRPr="00472F14">
        <w:rPr>
          <w:rFonts w:eastAsiaTheme="minorEastAsia"/>
          <w:b/>
          <w:lang w:bidi="en-US"/>
        </w:rPr>
        <w:t>évaluation</w:t>
      </w:r>
      <w:r>
        <w:rPr>
          <w:rFonts w:eastAsiaTheme="minorEastAsia"/>
          <w:lang w:bidi="en-US"/>
        </w:rPr>
        <w:t xml:space="preserve"> est ensuite passé à la </w:t>
      </w:r>
      <w:r w:rsidRPr="008A76EB">
        <w:rPr>
          <w:rFonts w:eastAsiaTheme="minorEastAsia"/>
          <w:lang w:bidi="en-US"/>
        </w:rPr>
        <w:t>candidature</w:t>
      </w:r>
      <w:r>
        <w:rPr>
          <w:rFonts w:eastAsiaTheme="minorEastAsia"/>
          <w:lang w:bidi="en-US"/>
        </w:rPr>
        <w:t xml:space="preserve"> suivante, </w:t>
      </w:r>
      <w:bookmarkStart w:id="13" w:name="Decision10a3"/>
      <w:r w:rsidR="00472F14" w:rsidRPr="00472F14">
        <w:rPr>
          <w:rFonts w:eastAsiaTheme="minorEastAsia"/>
          <w:b/>
          <w:lang w:bidi="en-US"/>
        </w:rPr>
        <w:t>le processus de fabrication de la poterie noire de Bisalhães</w:t>
      </w:r>
      <w:r w:rsidR="00472F14">
        <w:rPr>
          <w:rFonts w:eastAsiaTheme="minorEastAsia"/>
          <w:lang w:bidi="en-US"/>
        </w:rPr>
        <w:t xml:space="preserve"> </w:t>
      </w:r>
      <w:bookmarkEnd w:id="13"/>
      <w:r w:rsidR="00472F14">
        <w:rPr>
          <w:rFonts w:eastAsiaTheme="minorEastAsia"/>
          <w:lang w:bidi="en-US"/>
        </w:rPr>
        <w:t xml:space="preserve">[projet de décision 11.COM 10.a.3], soumise par le Portugal. </w:t>
      </w:r>
      <w:r w:rsidR="00D121B8">
        <w:rPr>
          <w:rFonts w:eastAsiaTheme="minorEastAsia"/>
          <w:lang w:bidi="en-US"/>
        </w:rPr>
        <w:t xml:space="preserve">La ville de </w:t>
      </w:r>
      <w:r w:rsidR="00472F14">
        <w:rPr>
          <w:rFonts w:eastAsiaTheme="minorEastAsia"/>
          <w:lang w:bidi="en-US"/>
        </w:rPr>
        <w:t>Bisalhães au Portugal</w:t>
      </w:r>
      <w:r w:rsidR="00972333">
        <w:rPr>
          <w:rFonts w:eastAsiaTheme="minorEastAsia"/>
          <w:lang w:bidi="en-US"/>
        </w:rPr>
        <w:t xml:space="preserve"> était</w:t>
      </w:r>
      <w:r w:rsidR="00A32E17">
        <w:rPr>
          <w:rFonts w:eastAsiaTheme="minorEastAsia"/>
          <w:lang w:bidi="en-US"/>
        </w:rPr>
        <w:t xml:space="preserve"> </w:t>
      </w:r>
      <w:r w:rsidR="00472F14">
        <w:rPr>
          <w:rFonts w:eastAsiaTheme="minorEastAsia"/>
          <w:lang w:bidi="en-US"/>
        </w:rPr>
        <w:t xml:space="preserve">connue </w:t>
      </w:r>
      <w:r w:rsidR="00D121B8">
        <w:rPr>
          <w:rFonts w:eastAsiaTheme="minorEastAsia"/>
          <w:lang w:bidi="en-US"/>
        </w:rPr>
        <w:t>comme la « terre des producteurs de pots et de plats » ou, plus particulièrement, comme</w:t>
      </w:r>
      <w:r w:rsidR="00B73FBA">
        <w:rPr>
          <w:rFonts w:eastAsiaTheme="minorEastAsia"/>
          <w:lang w:bidi="en-US"/>
        </w:rPr>
        <w:t xml:space="preserve"> l</w:t>
      </w:r>
      <w:r w:rsidR="00972333">
        <w:rPr>
          <w:rFonts w:eastAsiaTheme="minorEastAsia"/>
          <w:lang w:bidi="en-US"/>
        </w:rPr>
        <w:t>e lieu où la poterie noire était</w:t>
      </w:r>
      <w:r w:rsidR="00D121B8">
        <w:rPr>
          <w:rFonts w:eastAsiaTheme="minorEastAsia"/>
          <w:lang w:bidi="en-US"/>
        </w:rPr>
        <w:t xml:space="preserve"> fabriquée. Destinée à la décoration et à la </w:t>
      </w:r>
      <w:r w:rsidR="00B73FBA">
        <w:rPr>
          <w:rFonts w:eastAsiaTheme="minorEastAsia"/>
          <w:lang w:bidi="en-US"/>
        </w:rPr>
        <w:t>cuisine, la pra</w:t>
      </w:r>
      <w:r w:rsidR="008C5842">
        <w:rPr>
          <w:rFonts w:eastAsiaTheme="minorEastAsia"/>
          <w:lang w:bidi="en-US"/>
        </w:rPr>
        <w:t>ti</w:t>
      </w:r>
      <w:r w:rsidR="00972333">
        <w:rPr>
          <w:rFonts w:eastAsiaTheme="minorEastAsia"/>
          <w:lang w:bidi="en-US"/>
        </w:rPr>
        <w:t>que, qui figurait</w:t>
      </w:r>
      <w:r w:rsidR="00D121B8">
        <w:rPr>
          <w:rFonts w:eastAsiaTheme="minorEastAsia"/>
          <w:lang w:bidi="en-US"/>
        </w:rPr>
        <w:t xml:space="preserve"> sur les armoiries du v</w:t>
      </w:r>
      <w:r w:rsidR="00972333">
        <w:rPr>
          <w:rFonts w:eastAsiaTheme="minorEastAsia"/>
          <w:lang w:bidi="en-US"/>
        </w:rPr>
        <w:t>illage, était</w:t>
      </w:r>
      <w:r w:rsidR="00D121B8">
        <w:rPr>
          <w:rFonts w:eastAsiaTheme="minorEastAsia"/>
          <w:lang w:bidi="en-US"/>
        </w:rPr>
        <w:t xml:space="preserve"> un </w:t>
      </w:r>
      <w:r w:rsidR="00D121B8" w:rsidRPr="00D121B8">
        <w:rPr>
          <w:rFonts w:eastAsiaTheme="minorEastAsia"/>
          <w:lang w:bidi="en-US"/>
        </w:rPr>
        <w:t>élément</w:t>
      </w:r>
      <w:r w:rsidR="00D121B8">
        <w:rPr>
          <w:rFonts w:eastAsiaTheme="minorEastAsia"/>
          <w:lang w:bidi="en-US"/>
        </w:rPr>
        <w:t xml:space="preserve"> important de l</w:t>
      </w:r>
      <w:r w:rsidR="00346F1B">
        <w:rPr>
          <w:rFonts w:eastAsiaTheme="minorEastAsia"/>
          <w:lang w:bidi="en-US"/>
        </w:rPr>
        <w:t>’</w:t>
      </w:r>
      <w:r w:rsidR="00D121B8">
        <w:rPr>
          <w:rFonts w:eastAsiaTheme="minorEastAsia"/>
          <w:lang w:bidi="en-US"/>
        </w:rPr>
        <w:t xml:space="preserve">identité de la </w:t>
      </w:r>
      <w:r w:rsidR="00D121B8" w:rsidRPr="00D121B8">
        <w:rPr>
          <w:rFonts w:eastAsiaTheme="minorEastAsia"/>
          <w:lang w:bidi="en-US"/>
        </w:rPr>
        <w:t>communauté</w:t>
      </w:r>
      <w:r w:rsidR="00D121B8">
        <w:rPr>
          <w:rFonts w:eastAsiaTheme="minorEastAsia"/>
          <w:lang w:bidi="en-US"/>
        </w:rPr>
        <w:t xml:space="preserve">. Les méthodes anciennes de fabrication </w:t>
      </w:r>
      <w:r w:rsidR="00972333">
        <w:rPr>
          <w:rFonts w:eastAsiaTheme="minorEastAsia"/>
          <w:lang w:bidi="en-US"/>
        </w:rPr>
        <w:t xml:space="preserve">étaient </w:t>
      </w:r>
      <w:r w:rsidR="00D121B8">
        <w:rPr>
          <w:rFonts w:eastAsiaTheme="minorEastAsia"/>
          <w:lang w:bidi="en-US"/>
        </w:rPr>
        <w:t>toujours en usage. Transmise presque exclusivement au sein des famil</w:t>
      </w:r>
      <w:r w:rsidR="00972333">
        <w:rPr>
          <w:rFonts w:eastAsiaTheme="minorEastAsia"/>
          <w:lang w:bidi="en-US"/>
        </w:rPr>
        <w:t>les, l</w:t>
      </w:r>
      <w:r w:rsidR="00346F1B">
        <w:rPr>
          <w:rFonts w:eastAsiaTheme="minorEastAsia"/>
          <w:lang w:bidi="en-US"/>
        </w:rPr>
        <w:t>’</w:t>
      </w:r>
      <w:r w:rsidR="00972333">
        <w:rPr>
          <w:rFonts w:eastAsiaTheme="minorEastAsia"/>
          <w:lang w:bidi="en-US"/>
        </w:rPr>
        <w:t>avenir de la pratique était</w:t>
      </w:r>
      <w:r w:rsidR="008C5842">
        <w:rPr>
          <w:rFonts w:eastAsiaTheme="minorEastAsia"/>
          <w:lang w:bidi="en-US"/>
        </w:rPr>
        <w:t xml:space="preserve"> </w:t>
      </w:r>
      <w:r w:rsidR="00D121B8">
        <w:rPr>
          <w:rFonts w:eastAsiaTheme="minorEastAsia"/>
          <w:lang w:bidi="en-US"/>
        </w:rPr>
        <w:t xml:space="preserve">menacé en raison de la baisse du nombre de </w:t>
      </w:r>
      <w:r w:rsidR="00D121B8" w:rsidRPr="00D121B8">
        <w:rPr>
          <w:rFonts w:eastAsiaTheme="minorEastAsia"/>
          <w:lang w:bidi="en-US"/>
        </w:rPr>
        <w:t>détenteurs</w:t>
      </w:r>
      <w:r w:rsidR="00D121B8">
        <w:rPr>
          <w:rFonts w:eastAsiaTheme="minorEastAsia"/>
          <w:lang w:bidi="en-US"/>
        </w:rPr>
        <w:t>, d</w:t>
      </w:r>
      <w:r w:rsidR="00346F1B">
        <w:rPr>
          <w:rFonts w:eastAsiaTheme="minorEastAsia"/>
          <w:lang w:bidi="en-US"/>
        </w:rPr>
        <w:t>’</w:t>
      </w:r>
      <w:r w:rsidR="00D121B8">
        <w:rPr>
          <w:rFonts w:eastAsiaTheme="minorEastAsia"/>
          <w:lang w:bidi="en-US"/>
        </w:rPr>
        <w:t>un déclin d</w:t>
      </w:r>
      <w:r w:rsidR="00346F1B">
        <w:rPr>
          <w:rFonts w:eastAsiaTheme="minorEastAsia"/>
          <w:lang w:bidi="en-US"/>
        </w:rPr>
        <w:t>’</w:t>
      </w:r>
      <w:r w:rsidR="00D121B8">
        <w:rPr>
          <w:rFonts w:eastAsiaTheme="minorEastAsia"/>
          <w:lang w:bidi="en-US"/>
        </w:rPr>
        <w:t>intérêt de la part des jeunes générations, et d</w:t>
      </w:r>
      <w:r w:rsidR="00346F1B">
        <w:rPr>
          <w:rFonts w:eastAsiaTheme="minorEastAsia"/>
          <w:lang w:bidi="en-US"/>
        </w:rPr>
        <w:t>’</w:t>
      </w:r>
      <w:r w:rsidR="00D121B8">
        <w:rPr>
          <w:rFonts w:eastAsiaTheme="minorEastAsia"/>
          <w:lang w:bidi="en-US"/>
        </w:rPr>
        <w:t>une demande importante en faveur de produits industriels.</w:t>
      </w:r>
      <w:r w:rsidR="00A34532">
        <w:rPr>
          <w:rFonts w:eastAsiaTheme="minorEastAsia"/>
          <w:lang w:bidi="en-US"/>
        </w:rPr>
        <w:t xml:space="preserve"> </w:t>
      </w:r>
      <w:r w:rsidR="00D121B8">
        <w:rPr>
          <w:rFonts w:eastAsiaTheme="minorEastAsia"/>
          <w:lang w:bidi="en-US"/>
        </w:rPr>
        <w:t>Suite à l</w:t>
      </w:r>
      <w:r w:rsidR="00346F1B">
        <w:rPr>
          <w:rFonts w:eastAsiaTheme="minorEastAsia"/>
          <w:lang w:bidi="en-US"/>
        </w:rPr>
        <w:t>’</w:t>
      </w:r>
      <w:r w:rsidR="00D121B8">
        <w:rPr>
          <w:rFonts w:eastAsiaTheme="minorEastAsia"/>
          <w:lang w:bidi="en-US"/>
        </w:rPr>
        <w:t xml:space="preserve">examen des </w:t>
      </w:r>
      <w:r w:rsidR="00D121B8" w:rsidRPr="00D121B8">
        <w:rPr>
          <w:rFonts w:eastAsiaTheme="minorEastAsia"/>
          <w:lang w:bidi="en-US"/>
        </w:rPr>
        <w:t>informations</w:t>
      </w:r>
      <w:r w:rsidR="00D121B8">
        <w:rPr>
          <w:rFonts w:eastAsiaTheme="minorEastAsia"/>
          <w:lang w:bidi="en-US"/>
        </w:rPr>
        <w:t xml:space="preserve"> présentées dans le dossier, l</w:t>
      </w:r>
      <w:r w:rsidR="00346F1B">
        <w:rPr>
          <w:rFonts w:eastAsiaTheme="minorEastAsia"/>
          <w:lang w:bidi="en-US"/>
        </w:rPr>
        <w:t>’</w:t>
      </w:r>
      <w:r w:rsidR="00D121B8">
        <w:rPr>
          <w:rFonts w:eastAsiaTheme="minorEastAsia"/>
          <w:lang w:bidi="en-US"/>
        </w:rPr>
        <w:t>Organe d</w:t>
      </w:r>
      <w:r w:rsidR="00346F1B">
        <w:rPr>
          <w:rFonts w:eastAsiaTheme="minorEastAsia"/>
          <w:lang w:bidi="en-US"/>
        </w:rPr>
        <w:t>’</w:t>
      </w:r>
      <w:r w:rsidR="00D121B8">
        <w:rPr>
          <w:rFonts w:eastAsiaTheme="minorEastAsia"/>
          <w:lang w:bidi="en-US"/>
        </w:rPr>
        <w:t xml:space="preserve">évaluation avait décidé que la </w:t>
      </w:r>
      <w:r w:rsidR="00D121B8" w:rsidRPr="00D121B8">
        <w:rPr>
          <w:rFonts w:eastAsiaTheme="minorEastAsia"/>
          <w:lang w:bidi="en-US"/>
        </w:rPr>
        <w:t>candidature</w:t>
      </w:r>
      <w:r w:rsidR="00D121B8">
        <w:rPr>
          <w:rFonts w:eastAsiaTheme="minorEastAsia"/>
          <w:lang w:bidi="en-US"/>
        </w:rPr>
        <w:t xml:space="preserve"> satisfaisait</w:t>
      </w:r>
      <w:r w:rsidR="00B73FBA">
        <w:rPr>
          <w:rFonts w:eastAsiaTheme="minorEastAsia"/>
          <w:lang w:bidi="en-US"/>
        </w:rPr>
        <w:t xml:space="preserve"> </w:t>
      </w:r>
      <w:r w:rsidR="00F50E52">
        <w:rPr>
          <w:rFonts w:eastAsiaTheme="minorEastAsia"/>
          <w:lang w:bidi="en-US"/>
        </w:rPr>
        <w:t xml:space="preserve">les </w:t>
      </w:r>
      <w:r w:rsidR="00B73FBA">
        <w:rPr>
          <w:rFonts w:eastAsiaTheme="minorEastAsia"/>
          <w:lang w:bidi="en-US"/>
        </w:rPr>
        <w:t xml:space="preserve">cinq critères. Il avait estimé que la </w:t>
      </w:r>
      <w:r w:rsidR="00B73FBA" w:rsidRPr="00B73FBA">
        <w:rPr>
          <w:rFonts w:eastAsiaTheme="minorEastAsia"/>
          <w:lang w:bidi="en-US"/>
        </w:rPr>
        <w:t>participation</w:t>
      </w:r>
      <w:r w:rsidR="00B73FBA">
        <w:rPr>
          <w:rFonts w:eastAsiaTheme="minorEastAsia"/>
          <w:lang w:bidi="en-US"/>
        </w:rPr>
        <w:t xml:space="preserve"> active des communautés, groupes et </w:t>
      </w:r>
      <w:r w:rsidR="00B73FBA" w:rsidRPr="00B73FBA">
        <w:rPr>
          <w:rFonts w:eastAsiaTheme="minorEastAsia"/>
          <w:lang w:bidi="en-US"/>
        </w:rPr>
        <w:t>individus</w:t>
      </w:r>
      <w:r w:rsidR="00B73FBA">
        <w:rPr>
          <w:rFonts w:eastAsiaTheme="minorEastAsia"/>
          <w:lang w:bidi="en-US"/>
        </w:rPr>
        <w:t xml:space="preserve"> concernés à la </w:t>
      </w:r>
      <w:r w:rsidR="00B73FBA" w:rsidRPr="00B73FBA">
        <w:rPr>
          <w:rFonts w:eastAsiaTheme="minorEastAsia"/>
          <w:lang w:bidi="en-US"/>
        </w:rPr>
        <w:t>préparation</w:t>
      </w:r>
      <w:r w:rsidR="00B73FBA">
        <w:rPr>
          <w:rFonts w:eastAsiaTheme="minorEastAsia"/>
          <w:lang w:bidi="en-US"/>
        </w:rPr>
        <w:t xml:space="preserve"> de la </w:t>
      </w:r>
      <w:r w:rsidR="00B73FBA" w:rsidRPr="00B73FBA">
        <w:rPr>
          <w:rFonts w:eastAsiaTheme="minorEastAsia"/>
          <w:lang w:bidi="en-US"/>
        </w:rPr>
        <w:t>candidature</w:t>
      </w:r>
      <w:r w:rsidR="00B73FBA">
        <w:rPr>
          <w:rFonts w:eastAsiaTheme="minorEastAsia"/>
          <w:lang w:bidi="en-US"/>
        </w:rPr>
        <w:t xml:space="preserve"> était bien décrite. Enfin, l</w:t>
      </w:r>
      <w:r w:rsidR="00346F1B">
        <w:rPr>
          <w:rFonts w:eastAsiaTheme="minorEastAsia"/>
          <w:lang w:bidi="en-US"/>
        </w:rPr>
        <w:t>’</w:t>
      </w:r>
      <w:r w:rsidR="00B73FBA">
        <w:rPr>
          <w:rFonts w:eastAsiaTheme="minorEastAsia"/>
          <w:lang w:bidi="en-US"/>
        </w:rPr>
        <w:t>Organe d</w:t>
      </w:r>
      <w:r w:rsidR="00346F1B">
        <w:rPr>
          <w:rFonts w:eastAsiaTheme="minorEastAsia"/>
          <w:lang w:bidi="en-US"/>
        </w:rPr>
        <w:t>’</w:t>
      </w:r>
      <w:r w:rsidR="00B73FBA">
        <w:rPr>
          <w:rFonts w:eastAsiaTheme="minorEastAsia"/>
          <w:lang w:bidi="en-US"/>
        </w:rPr>
        <w:t>évaluation avait décidé de recommander l</w:t>
      </w:r>
      <w:r w:rsidR="00346F1B">
        <w:rPr>
          <w:rFonts w:eastAsiaTheme="minorEastAsia"/>
          <w:lang w:bidi="en-US"/>
        </w:rPr>
        <w:t>’</w:t>
      </w:r>
      <w:r w:rsidR="00B73FBA" w:rsidRPr="00B73FBA">
        <w:rPr>
          <w:rFonts w:eastAsiaTheme="minorEastAsia"/>
          <w:lang w:bidi="en-US"/>
        </w:rPr>
        <w:t>inscription</w:t>
      </w:r>
      <w:r w:rsidR="00B73FBA">
        <w:rPr>
          <w:rFonts w:eastAsiaTheme="minorEastAsia"/>
          <w:lang w:bidi="en-US"/>
        </w:rPr>
        <w:t xml:space="preserve"> du </w:t>
      </w:r>
      <w:r w:rsidR="00B73FBA" w:rsidRPr="00B73FBA">
        <w:rPr>
          <w:rFonts w:eastAsiaTheme="minorEastAsia"/>
          <w:lang w:bidi="en-US"/>
        </w:rPr>
        <w:t>processus de fabrication de la poterie noire de Bisalhães</w:t>
      </w:r>
      <w:r w:rsidR="00B73FBA">
        <w:rPr>
          <w:rFonts w:eastAsiaTheme="minorEastAsia"/>
          <w:lang w:bidi="en-US"/>
        </w:rPr>
        <w:t xml:space="preserve"> sur </w:t>
      </w:r>
      <w:r w:rsidR="00B869BF">
        <w:rPr>
          <w:rFonts w:eastAsiaTheme="minorEastAsia"/>
          <w:lang w:bidi="en-US"/>
        </w:rPr>
        <w:t>la Liste de sauvegarde urgente.</w:t>
      </w:r>
    </w:p>
    <w:p w14:paraId="769FA0E3" w14:textId="1E42635A" w:rsidR="00B73FBA" w:rsidRPr="00A34532" w:rsidRDefault="00B73FBA" w:rsidP="00E94D39">
      <w:pPr>
        <w:pStyle w:val="Orateurengris"/>
        <w:spacing w:before="120"/>
        <w:ind w:left="709" w:hanging="709"/>
        <w:rPr>
          <w:rFonts w:eastAsia="MS Mincho"/>
        </w:rPr>
      </w:pPr>
      <w:r w:rsidRPr="00A34532">
        <w:rPr>
          <w:rFonts w:eastAsia="MS Mincho"/>
        </w:rPr>
        <w:t xml:space="preserve">Le </w:t>
      </w:r>
      <w:r w:rsidRPr="00A34532">
        <w:rPr>
          <w:rFonts w:eastAsia="MS Mincho"/>
          <w:b/>
        </w:rPr>
        <w:t>Président</w:t>
      </w:r>
      <w:r w:rsidRPr="00A34532">
        <w:rPr>
          <w:rFonts w:eastAsia="MS Mincho"/>
        </w:rPr>
        <w:t xml:space="preserve"> a remercié le </w:t>
      </w:r>
      <w:r w:rsidR="00754EC3">
        <w:rPr>
          <w:rFonts w:eastAsia="MS Mincho"/>
        </w:rPr>
        <w:t>Vice-Président</w:t>
      </w:r>
      <w:r w:rsidRPr="00A34532">
        <w:rPr>
          <w:rFonts w:eastAsia="MS Mincho"/>
        </w:rPr>
        <w:t xml:space="preserve"> de l</w:t>
      </w:r>
      <w:r w:rsidR="00346F1B">
        <w:rPr>
          <w:rFonts w:eastAsia="MS Mincho"/>
        </w:rPr>
        <w:t>’</w:t>
      </w:r>
      <w:r w:rsidRPr="00A34532">
        <w:rPr>
          <w:rFonts w:eastAsia="MS Mincho"/>
        </w:rPr>
        <w:t>Organe d</w:t>
      </w:r>
      <w:r w:rsidR="00346F1B">
        <w:rPr>
          <w:rFonts w:eastAsia="MS Mincho"/>
        </w:rPr>
        <w:t>’</w:t>
      </w:r>
      <w:r w:rsidRPr="00A34532">
        <w:rPr>
          <w:rFonts w:eastAsia="MS Mincho"/>
        </w:rPr>
        <w:t>évaluation pour l</w:t>
      </w:r>
      <w:r w:rsidR="00346F1B">
        <w:rPr>
          <w:rFonts w:eastAsia="MS Mincho"/>
        </w:rPr>
        <w:t>’</w:t>
      </w:r>
      <w:r w:rsidRPr="00A34532">
        <w:rPr>
          <w:rFonts w:eastAsia="MS Mincho"/>
        </w:rPr>
        <w:t>explication détaillée et, en l</w:t>
      </w:r>
      <w:r w:rsidR="00346F1B">
        <w:rPr>
          <w:rFonts w:eastAsia="MS Mincho"/>
        </w:rPr>
        <w:t>’</w:t>
      </w:r>
      <w:r w:rsidRPr="00A34532">
        <w:rPr>
          <w:rFonts w:eastAsia="MS Mincho"/>
        </w:rPr>
        <w:t>absence de demandes de débat ou d</w:t>
      </w:r>
      <w:r w:rsidR="00346F1B">
        <w:rPr>
          <w:rFonts w:eastAsia="MS Mincho"/>
        </w:rPr>
        <w:t>’</w:t>
      </w:r>
      <w:r w:rsidRPr="00A34532">
        <w:rPr>
          <w:rFonts w:eastAsia="MS Mincho"/>
        </w:rPr>
        <w:t>amendements, a proposé d</w:t>
      </w:r>
      <w:r w:rsidR="00346F1B">
        <w:rPr>
          <w:rFonts w:eastAsia="MS Mincho"/>
        </w:rPr>
        <w:t>’</w:t>
      </w:r>
      <w:r w:rsidRPr="00A34532">
        <w:rPr>
          <w:rFonts w:eastAsia="MS Mincho"/>
        </w:rPr>
        <w:t>adopter le projet de décision dans son ensemble. En l</w:t>
      </w:r>
      <w:r w:rsidR="00346F1B">
        <w:rPr>
          <w:rFonts w:eastAsia="MS Mincho"/>
        </w:rPr>
        <w:t>’</w:t>
      </w:r>
      <w:r w:rsidRPr="00A34532">
        <w:rPr>
          <w:rFonts w:eastAsia="MS Mincho"/>
        </w:rPr>
        <w:t>absence de commentaires ou d</w:t>
      </w:r>
      <w:r w:rsidR="00346F1B">
        <w:rPr>
          <w:rFonts w:eastAsia="MS Mincho"/>
        </w:rPr>
        <w:t>’</w:t>
      </w:r>
      <w:r w:rsidRPr="00A34532">
        <w:rPr>
          <w:rFonts w:eastAsia="MS Mincho"/>
        </w:rPr>
        <w:t xml:space="preserve">objections, le </w:t>
      </w:r>
      <w:r w:rsidRPr="00A34532">
        <w:rPr>
          <w:rFonts w:eastAsia="MS Mincho"/>
          <w:b/>
        </w:rPr>
        <w:t>Président a déclaré adoptée la décision 11.COM 10.a.3 d</w:t>
      </w:r>
      <w:r w:rsidR="00346F1B">
        <w:rPr>
          <w:rFonts w:eastAsia="MS Mincho"/>
          <w:b/>
        </w:rPr>
        <w:t>’</w:t>
      </w:r>
      <w:r w:rsidRPr="00A34532">
        <w:rPr>
          <w:rFonts w:eastAsia="MS Mincho"/>
          <w:b/>
        </w:rPr>
        <w:t>inscrire le processus de fabrication de la poterie noire de Bisalhães sur la Liste du patrimoine culturel immatériel nécessitant une sauvegarde urgente</w:t>
      </w:r>
      <w:r w:rsidR="00A90012">
        <w:rPr>
          <w:rFonts w:eastAsia="MS Mincho"/>
        </w:rPr>
        <w:t>.</w:t>
      </w:r>
    </w:p>
    <w:p w14:paraId="32A3F054" w14:textId="7457205B" w:rsidR="00A34532" w:rsidRDefault="00A34532" w:rsidP="00E94D39">
      <w:pPr>
        <w:pStyle w:val="Orateurengris"/>
        <w:spacing w:before="120"/>
        <w:ind w:left="709" w:hanging="709"/>
        <w:rPr>
          <w:rFonts w:eastAsia="MS Mincho"/>
        </w:rPr>
      </w:pPr>
      <w:r w:rsidRPr="00A34532">
        <w:rPr>
          <w:rFonts w:eastAsia="MS Mincho"/>
        </w:rPr>
        <w:t xml:space="preserve">La délégation du </w:t>
      </w:r>
      <w:r w:rsidRPr="00A34532">
        <w:rPr>
          <w:rFonts w:eastAsia="MS Mincho"/>
          <w:b/>
        </w:rPr>
        <w:t>Portugal</w:t>
      </w:r>
      <w:r w:rsidRPr="00A34532">
        <w:rPr>
          <w:rFonts w:eastAsia="MS Mincho"/>
        </w:rPr>
        <w:t xml:space="preserve"> a remercié le </w:t>
      </w:r>
      <w:r>
        <w:rPr>
          <w:rFonts w:eastAsia="MS Mincho"/>
        </w:rPr>
        <w:t>Président, l</w:t>
      </w:r>
      <w:r w:rsidR="00346F1B">
        <w:rPr>
          <w:rFonts w:eastAsia="MS Mincho"/>
        </w:rPr>
        <w:t>’</w:t>
      </w:r>
      <w:r w:rsidRPr="00A34532">
        <w:rPr>
          <w:rFonts w:eastAsia="MS Mincho"/>
        </w:rPr>
        <w:t>Éthiopie</w:t>
      </w:r>
      <w:r>
        <w:rPr>
          <w:rFonts w:eastAsia="MS Mincho"/>
        </w:rPr>
        <w:t xml:space="preserve"> pour son hospitalité et le Comité pour l</w:t>
      </w:r>
      <w:r w:rsidR="00346F1B">
        <w:rPr>
          <w:rFonts w:eastAsia="MS Mincho"/>
        </w:rPr>
        <w:t>’</w:t>
      </w:r>
      <w:r w:rsidRPr="00A34532">
        <w:rPr>
          <w:rFonts w:eastAsia="MS Mincho"/>
        </w:rPr>
        <w:t>inscription</w:t>
      </w:r>
      <w:r>
        <w:rPr>
          <w:rFonts w:eastAsia="MS Mincho"/>
        </w:rPr>
        <w:t xml:space="preserve"> du </w:t>
      </w:r>
      <w:r w:rsidRPr="00A34532">
        <w:rPr>
          <w:rFonts w:eastAsia="MS Mincho"/>
        </w:rPr>
        <w:t>processus de fabrication de la poterie noire de Bisalhães</w:t>
      </w:r>
      <w:r>
        <w:rPr>
          <w:rFonts w:eastAsia="MS Mincho"/>
        </w:rPr>
        <w:t xml:space="preserve"> sur la Liste de sauvegarde urgente. Avec cette </w:t>
      </w:r>
      <w:r w:rsidRPr="00A34532">
        <w:rPr>
          <w:rFonts w:eastAsia="MS Mincho"/>
        </w:rPr>
        <w:t>inscription</w:t>
      </w:r>
      <w:r>
        <w:rPr>
          <w:rFonts w:eastAsia="MS Mincho"/>
        </w:rPr>
        <w:t>, une autre pratique traditionnelle du Portugal était inscrite, originaire, cette fois-ci, d</w:t>
      </w:r>
      <w:r w:rsidR="00346F1B">
        <w:rPr>
          <w:rFonts w:eastAsia="MS Mincho"/>
        </w:rPr>
        <w:t>’</w:t>
      </w:r>
      <w:r>
        <w:rPr>
          <w:rFonts w:eastAsia="MS Mincho"/>
        </w:rPr>
        <w:t xml:space="preserve">une petite </w:t>
      </w:r>
      <w:r w:rsidRPr="00A34532">
        <w:rPr>
          <w:rFonts w:eastAsia="MS Mincho"/>
        </w:rPr>
        <w:t>communauté</w:t>
      </w:r>
      <w:r>
        <w:rPr>
          <w:rFonts w:eastAsia="MS Mincho"/>
        </w:rPr>
        <w:t xml:space="preserve"> au nord du p</w:t>
      </w:r>
      <w:r w:rsidR="00A32E0F">
        <w:rPr>
          <w:rFonts w:eastAsia="MS Mincho"/>
        </w:rPr>
        <w:t>ays, dans la municipalité de Vi</w:t>
      </w:r>
      <w:r>
        <w:rPr>
          <w:rFonts w:eastAsia="MS Mincho"/>
        </w:rPr>
        <w:t>la Real. La poterie était auparavant une activité fort répandue au Portugal</w:t>
      </w:r>
      <w:r w:rsidR="00A32E0F">
        <w:rPr>
          <w:rFonts w:eastAsia="MS Mincho"/>
        </w:rPr>
        <w:t xml:space="preserve"> en raison de </w:t>
      </w:r>
      <w:proofErr w:type="gramStart"/>
      <w:r w:rsidR="00A32E0F">
        <w:rPr>
          <w:rFonts w:eastAsia="MS Mincho"/>
        </w:rPr>
        <w:t xml:space="preserve">son </w:t>
      </w:r>
      <w:r>
        <w:rPr>
          <w:rFonts w:eastAsia="MS Mincho"/>
        </w:rPr>
        <w:t>excellent argile</w:t>
      </w:r>
      <w:proofErr w:type="gramEnd"/>
      <w:r>
        <w:rPr>
          <w:rFonts w:eastAsia="MS Mincho"/>
        </w:rPr>
        <w:t xml:space="preserve"> et des connaissances ancestrales de ses potiers. </w:t>
      </w:r>
      <w:r w:rsidRPr="00A34532">
        <w:rPr>
          <w:rFonts w:eastAsia="MS Mincho"/>
        </w:rPr>
        <w:t>Toutefois</w:t>
      </w:r>
      <w:r>
        <w:rPr>
          <w:rFonts w:eastAsia="MS Mincho"/>
        </w:rPr>
        <w:t xml:space="preserve">, les praticiens </w:t>
      </w:r>
      <w:r w:rsidR="00A32E0F">
        <w:rPr>
          <w:rFonts w:eastAsia="MS Mincho"/>
        </w:rPr>
        <w:t>prenaient de l</w:t>
      </w:r>
      <w:r w:rsidR="00346F1B">
        <w:rPr>
          <w:rFonts w:eastAsia="MS Mincho"/>
        </w:rPr>
        <w:t>’</w:t>
      </w:r>
      <w:r w:rsidR="00A32E0F">
        <w:rPr>
          <w:rFonts w:eastAsia="MS Mincho"/>
        </w:rPr>
        <w:t xml:space="preserve">âge </w:t>
      </w:r>
      <w:r>
        <w:rPr>
          <w:rFonts w:eastAsia="MS Mincho"/>
        </w:rPr>
        <w:t xml:space="preserve">et devaient être encouragés à transmettre leur art à la prochaine génération. La </w:t>
      </w:r>
      <w:r w:rsidRPr="00A34532">
        <w:rPr>
          <w:rFonts w:eastAsia="MS Mincho"/>
        </w:rPr>
        <w:t>délégation</w:t>
      </w:r>
      <w:r>
        <w:rPr>
          <w:rFonts w:eastAsia="MS Mincho"/>
        </w:rPr>
        <w:t xml:space="preserve"> était convaincue que cette </w:t>
      </w:r>
      <w:r w:rsidRPr="00A34532">
        <w:rPr>
          <w:rFonts w:eastAsia="MS Mincho"/>
        </w:rPr>
        <w:t>reconnaissance</w:t>
      </w:r>
      <w:r>
        <w:rPr>
          <w:rFonts w:eastAsia="MS Mincho"/>
        </w:rPr>
        <w:t xml:space="preserve"> internationale par l</w:t>
      </w:r>
      <w:r w:rsidR="00346F1B">
        <w:rPr>
          <w:rFonts w:eastAsia="MS Mincho"/>
        </w:rPr>
        <w:t>’</w:t>
      </w:r>
      <w:r>
        <w:rPr>
          <w:rFonts w:eastAsia="MS Mincho"/>
        </w:rPr>
        <w:t>UNESCO permet</w:t>
      </w:r>
      <w:r w:rsidR="00E04343">
        <w:rPr>
          <w:rFonts w:eastAsia="MS Mincho"/>
        </w:rPr>
        <w:t>trait à la communauté de Bisalhã</w:t>
      </w:r>
      <w:r>
        <w:rPr>
          <w:rFonts w:eastAsia="MS Mincho"/>
        </w:rPr>
        <w:t xml:space="preserve">es et </w:t>
      </w:r>
      <w:r w:rsidR="00A32E0F">
        <w:rPr>
          <w:rFonts w:eastAsia="MS Mincho"/>
        </w:rPr>
        <w:t xml:space="preserve">à </w:t>
      </w:r>
      <w:r>
        <w:rPr>
          <w:rFonts w:eastAsia="MS Mincho"/>
        </w:rPr>
        <w:t xml:space="preserve">son artisanat </w:t>
      </w:r>
      <w:r w:rsidR="00A32E0F">
        <w:rPr>
          <w:rFonts w:eastAsia="MS Mincho"/>
        </w:rPr>
        <w:t xml:space="preserve">de prospérer, non seulement à Bisalhães mais </w:t>
      </w:r>
      <w:r w:rsidR="00A32E0F" w:rsidRPr="00A32E0F">
        <w:rPr>
          <w:rFonts w:eastAsia="MS Mincho"/>
        </w:rPr>
        <w:t>également</w:t>
      </w:r>
      <w:r w:rsidR="00A32E0F">
        <w:rPr>
          <w:rFonts w:eastAsia="MS Mincho"/>
        </w:rPr>
        <w:t xml:space="preserve"> dans les quelques autres communautés du Portugal et du monde où la poterie noire était encore produite. Le Maire de Vila Real [présent dans la salle] et les artisans de Bisalhães tenaient </w:t>
      </w:r>
      <w:r w:rsidR="00A32E0F" w:rsidRPr="00A32E0F">
        <w:rPr>
          <w:rFonts w:eastAsia="MS Mincho"/>
        </w:rPr>
        <w:t>également</w:t>
      </w:r>
      <w:r w:rsidR="00A32E0F">
        <w:rPr>
          <w:rFonts w:eastAsia="MS Mincho"/>
        </w:rPr>
        <w:t xml:space="preserve"> à adresser leurs remerciements pour cette </w:t>
      </w:r>
      <w:r w:rsidR="00A32E0F" w:rsidRPr="00A32E0F">
        <w:rPr>
          <w:rFonts w:eastAsia="MS Mincho"/>
        </w:rPr>
        <w:t>inscription</w:t>
      </w:r>
      <w:r w:rsidR="00B869BF">
        <w:rPr>
          <w:rFonts w:eastAsia="MS Mincho"/>
        </w:rPr>
        <w:t>.</w:t>
      </w:r>
    </w:p>
    <w:p w14:paraId="16002055" w14:textId="1AA7F012" w:rsidR="00E04343" w:rsidRPr="00A34532" w:rsidRDefault="00D46448" w:rsidP="00E94D39">
      <w:pPr>
        <w:pStyle w:val="Orateurengris"/>
        <w:spacing w:before="120"/>
        <w:ind w:left="709" w:hanging="709"/>
        <w:rPr>
          <w:rFonts w:eastAsia="MS Mincho"/>
        </w:rPr>
      </w:pPr>
      <w:r>
        <w:rPr>
          <w:rFonts w:eastAsia="MS Mincho"/>
        </w:rPr>
        <w:t>A</w:t>
      </w:r>
      <w:r w:rsidR="00E04343">
        <w:rPr>
          <w:rFonts w:eastAsia="MS Mincho"/>
        </w:rPr>
        <w:t xml:space="preserve">près avoir remercié le Portugal, le </w:t>
      </w:r>
      <w:r w:rsidR="00E04343" w:rsidRPr="00E04343">
        <w:rPr>
          <w:rFonts w:eastAsia="MS Mincho"/>
          <w:b/>
        </w:rPr>
        <w:t>Président</w:t>
      </w:r>
      <w:r w:rsidR="00E04343">
        <w:rPr>
          <w:rFonts w:eastAsia="MS Mincho"/>
        </w:rPr>
        <w:t xml:space="preserve"> a invité le </w:t>
      </w:r>
      <w:r w:rsidR="00754EC3">
        <w:rPr>
          <w:rFonts w:eastAsia="MS Mincho"/>
        </w:rPr>
        <w:t>Vice-Président</w:t>
      </w:r>
      <w:r w:rsidR="00E04343">
        <w:rPr>
          <w:rFonts w:eastAsia="MS Mincho"/>
        </w:rPr>
        <w:t xml:space="preserve"> à présenter la </w:t>
      </w:r>
      <w:r w:rsidR="00E04343" w:rsidRPr="00E04343">
        <w:rPr>
          <w:rFonts w:eastAsia="MS Mincho"/>
        </w:rPr>
        <w:t>candidature</w:t>
      </w:r>
      <w:r w:rsidR="00E04343">
        <w:rPr>
          <w:rFonts w:eastAsia="MS Mincho"/>
        </w:rPr>
        <w:t xml:space="preserve"> suivante soumise par l</w:t>
      </w:r>
      <w:r w:rsidR="00346F1B">
        <w:rPr>
          <w:rFonts w:eastAsia="MS Mincho"/>
        </w:rPr>
        <w:t>’</w:t>
      </w:r>
      <w:r w:rsidR="00B869BF">
        <w:rPr>
          <w:rFonts w:eastAsia="MS Mincho"/>
        </w:rPr>
        <w:t>Ouganda.</w:t>
      </w:r>
    </w:p>
    <w:p w14:paraId="5B0C86DC" w14:textId="2769211B" w:rsidR="003C716F" w:rsidRPr="003C716F" w:rsidRDefault="001F07A9" w:rsidP="00E94D39">
      <w:pPr>
        <w:pStyle w:val="Orateurengris"/>
        <w:spacing w:before="120"/>
        <w:ind w:left="709" w:hanging="709"/>
        <w:rPr>
          <w:rFonts w:eastAsia="MS Mincho"/>
        </w:rPr>
      </w:pPr>
      <w:r>
        <w:rPr>
          <w:rFonts w:eastAsia="MS Mincho"/>
        </w:rPr>
        <w:t xml:space="preserve">Le </w:t>
      </w:r>
      <w:r w:rsidR="00754EC3">
        <w:rPr>
          <w:rFonts w:eastAsia="MS Mincho"/>
          <w:b/>
        </w:rPr>
        <w:t>Vice-Président</w:t>
      </w:r>
      <w:r>
        <w:rPr>
          <w:rFonts w:eastAsia="MS Mincho"/>
        </w:rPr>
        <w:t xml:space="preserve"> est passé à la </w:t>
      </w:r>
      <w:r w:rsidRPr="001F07A9">
        <w:rPr>
          <w:rFonts w:eastAsia="MS Mincho"/>
        </w:rPr>
        <w:t>candidature</w:t>
      </w:r>
      <w:r>
        <w:rPr>
          <w:rFonts w:eastAsia="MS Mincho"/>
        </w:rPr>
        <w:t xml:space="preserve"> suivante, </w:t>
      </w:r>
      <w:bookmarkStart w:id="14" w:name="Decision10a4"/>
      <w:r w:rsidRPr="001F07A9">
        <w:rPr>
          <w:rFonts w:eastAsia="MS Mincho"/>
          <w:b/>
        </w:rPr>
        <w:t>la danse et musique de lyre arquée ma</w:t>
      </w:r>
      <w:r w:rsidR="00346F1B">
        <w:rPr>
          <w:rFonts w:eastAsia="MS Mincho"/>
          <w:b/>
        </w:rPr>
        <w:t>’</w:t>
      </w:r>
      <w:r w:rsidRPr="001F07A9">
        <w:rPr>
          <w:rFonts w:eastAsia="MS Mincho"/>
          <w:b/>
        </w:rPr>
        <w:t>di</w:t>
      </w:r>
      <w:r>
        <w:rPr>
          <w:rFonts w:eastAsia="MS Mincho"/>
        </w:rPr>
        <w:t xml:space="preserve"> </w:t>
      </w:r>
      <w:bookmarkEnd w:id="14"/>
      <w:r>
        <w:rPr>
          <w:rFonts w:eastAsia="MS Mincho"/>
        </w:rPr>
        <w:t>[projet de décision</w:t>
      </w:r>
      <w:r w:rsidR="00874F06">
        <w:rPr>
          <w:rFonts w:eastAsia="MS Mincho"/>
        </w:rPr>
        <w:t xml:space="preserve"> 11.COM </w:t>
      </w:r>
      <w:r>
        <w:rPr>
          <w:rFonts w:eastAsia="MS Mincho"/>
        </w:rPr>
        <w:t>10.a.4], soumise par l</w:t>
      </w:r>
      <w:r w:rsidR="00346F1B">
        <w:rPr>
          <w:rFonts w:eastAsia="MS Mincho"/>
        </w:rPr>
        <w:t>’</w:t>
      </w:r>
      <w:r>
        <w:rPr>
          <w:rFonts w:eastAsia="MS Mincho"/>
        </w:rPr>
        <w:t>Ouganda. La danse et mu</w:t>
      </w:r>
      <w:r w:rsidR="00CE357A">
        <w:rPr>
          <w:rFonts w:eastAsia="MS Mincho"/>
        </w:rPr>
        <w:t>sique de lyre arquée ma</w:t>
      </w:r>
      <w:r w:rsidR="00346F1B">
        <w:rPr>
          <w:rFonts w:eastAsia="MS Mincho"/>
        </w:rPr>
        <w:t>’</w:t>
      </w:r>
      <w:r w:rsidR="00CE357A">
        <w:rPr>
          <w:rFonts w:eastAsia="MS Mincho"/>
        </w:rPr>
        <w:t>di était</w:t>
      </w:r>
      <w:r>
        <w:rPr>
          <w:rFonts w:eastAsia="MS Mincho"/>
        </w:rPr>
        <w:t xml:space="preserve"> l</w:t>
      </w:r>
      <w:r w:rsidR="00346F1B">
        <w:rPr>
          <w:rFonts w:eastAsia="MS Mincho"/>
        </w:rPr>
        <w:t>’</w:t>
      </w:r>
      <w:r>
        <w:rPr>
          <w:rFonts w:eastAsia="MS Mincho"/>
        </w:rPr>
        <w:t xml:space="preserve">une des plus anciennes pratiques culturelles des populations madi en Ouganda. </w:t>
      </w:r>
      <w:r w:rsidR="003C716F">
        <w:rPr>
          <w:rFonts w:eastAsia="MS Mincho"/>
        </w:rPr>
        <w:t xml:space="preserve">Les chants et danses </w:t>
      </w:r>
      <w:r w:rsidR="003C716F" w:rsidRPr="003C716F">
        <w:rPr>
          <w:rFonts w:eastAsia="MS Mincho"/>
        </w:rPr>
        <w:t>traditionnels</w:t>
      </w:r>
      <w:r w:rsidR="003C716F">
        <w:rPr>
          <w:rFonts w:eastAsia="MS Mincho"/>
        </w:rPr>
        <w:t>, prati</w:t>
      </w:r>
      <w:r w:rsidR="009412AE">
        <w:rPr>
          <w:rFonts w:eastAsia="MS Mincho"/>
        </w:rPr>
        <w:t>qués lors de diverses occasions,</w:t>
      </w:r>
      <w:r w:rsidR="003C716F">
        <w:rPr>
          <w:rFonts w:eastAsia="MS Mincho"/>
        </w:rPr>
        <w:t xml:space="preserve"> y compris des mariages et des célébrations de récoltes, </w:t>
      </w:r>
      <w:r w:rsidR="00CE357A">
        <w:rPr>
          <w:rFonts w:eastAsia="MS Mincho"/>
        </w:rPr>
        <w:t xml:space="preserve">étaient </w:t>
      </w:r>
      <w:r w:rsidR="003C716F">
        <w:rPr>
          <w:rFonts w:eastAsia="MS Mincho"/>
        </w:rPr>
        <w:t>un outil de renforcement des liens familiaux et d</w:t>
      </w:r>
      <w:r w:rsidR="00346F1B">
        <w:rPr>
          <w:rFonts w:eastAsia="MS Mincho"/>
        </w:rPr>
        <w:t>’</w:t>
      </w:r>
      <w:r w:rsidR="003C716F">
        <w:rPr>
          <w:rFonts w:eastAsia="MS Mincho"/>
        </w:rPr>
        <w:t xml:space="preserve">apprentissage de la culture de la </w:t>
      </w:r>
      <w:r w:rsidR="003C716F" w:rsidRPr="003C716F">
        <w:rPr>
          <w:rFonts w:eastAsia="MS Mincho"/>
        </w:rPr>
        <w:t>communauté</w:t>
      </w:r>
      <w:r w:rsidR="003C716F">
        <w:rPr>
          <w:rFonts w:eastAsia="MS Mincho"/>
        </w:rPr>
        <w:t xml:space="preserve">. Des rituels </w:t>
      </w:r>
      <w:r w:rsidR="009412AE">
        <w:rPr>
          <w:rFonts w:eastAsia="MS Mincho"/>
        </w:rPr>
        <w:t xml:space="preserve">y </w:t>
      </w:r>
      <w:r w:rsidR="00CE357A">
        <w:rPr>
          <w:rFonts w:eastAsia="MS Mincho"/>
        </w:rPr>
        <w:t xml:space="preserve">étaient </w:t>
      </w:r>
      <w:r w:rsidR="003C716F" w:rsidRPr="003C716F">
        <w:rPr>
          <w:rFonts w:eastAsia="MS Mincho"/>
        </w:rPr>
        <w:t>également</w:t>
      </w:r>
      <w:r w:rsidR="003C716F">
        <w:rPr>
          <w:rFonts w:eastAsia="MS Mincho"/>
        </w:rPr>
        <w:t xml:space="preserve"> associés. La pratique, transmise par des </w:t>
      </w:r>
      <w:r w:rsidR="003C716F" w:rsidRPr="003C716F">
        <w:rPr>
          <w:rFonts w:eastAsia="MS Mincho"/>
        </w:rPr>
        <w:t>détenteurs</w:t>
      </w:r>
      <w:r w:rsidR="003C716F">
        <w:rPr>
          <w:rFonts w:eastAsia="MS Mincho"/>
        </w:rPr>
        <w:t xml:space="preserve"> âgés, </w:t>
      </w:r>
      <w:r w:rsidR="00CE357A">
        <w:rPr>
          <w:rFonts w:eastAsia="MS Mincho"/>
        </w:rPr>
        <w:t>voyait</w:t>
      </w:r>
      <w:r w:rsidR="008C5842">
        <w:rPr>
          <w:rFonts w:eastAsia="MS Mincho"/>
        </w:rPr>
        <w:t xml:space="preserve"> </w:t>
      </w:r>
      <w:r w:rsidR="003C716F">
        <w:rPr>
          <w:rFonts w:eastAsia="MS Mincho"/>
        </w:rPr>
        <w:t xml:space="preserve">son avenir menacé car elle </w:t>
      </w:r>
      <w:r w:rsidR="00CE357A">
        <w:rPr>
          <w:rFonts w:eastAsia="MS Mincho"/>
        </w:rPr>
        <w:t>était</w:t>
      </w:r>
      <w:r w:rsidR="008C5842">
        <w:rPr>
          <w:rFonts w:eastAsia="MS Mincho"/>
        </w:rPr>
        <w:t xml:space="preserve"> </w:t>
      </w:r>
      <w:r w:rsidR="003C716F">
        <w:rPr>
          <w:rFonts w:eastAsia="MS Mincho"/>
        </w:rPr>
        <w:t xml:space="preserve">jugée démodée par les jeunes </w:t>
      </w:r>
      <w:r w:rsidR="003C716F" w:rsidRPr="003C716F">
        <w:rPr>
          <w:rFonts w:eastAsia="MS Mincho"/>
        </w:rPr>
        <w:t>générations</w:t>
      </w:r>
      <w:r w:rsidR="003C716F">
        <w:rPr>
          <w:rFonts w:eastAsia="MS Mincho"/>
        </w:rPr>
        <w:t>, et le</w:t>
      </w:r>
      <w:r w:rsidR="00CE357A">
        <w:rPr>
          <w:rFonts w:eastAsia="MS Mincho"/>
        </w:rPr>
        <w:t>s matériaux de fabrication provenaient</w:t>
      </w:r>
      <w:r w:rsidR="008C5842">
        <w:rPr>
          <w:rFonts w:eastAsia="MS Mincho"/>
        </w:rPr>
        <w:t xml:space="preserve"> </w:t>
      </w:r>
      <w:r w:rsidR="003C716F">
        <w:rPr>
          <w:rFonts w:eastAsia="MS Mincho"/>
        </w:rPr>
        <w:t>d</w:t>
      </w:r>
      <w:r w:rsidR="00346F1B">
        <w:rPr>
          <w:rFonts w:eastAsia="MS Mincho"/>
        </w:rPr>
        <w:t>’</w:t>
      </w:r>
      <w:r w:rsidR="003C716F">
        <w:rPr>
          <w:rFonts w:eastAsia="MS Mincho"/>
        </w:rPr>
        <w:t>espèces désormais menacées. L</w:t>
      </w:r>
      <w:r w:rsidR="00346F1B">
        <w:rPr>
          <w:rFonts w:eastAsia="MS Mincho"/>
        </w:rPr>
        <w:t>’</w:t>
      </w:r>
      <w:r w:rsidR="003C716F">
        <w:rPr>
          <w:rFonts w:eastAsia="MS Mincho"/>
        </w:rPr>
        <w:t>Organe d</w:t>
      </w:r>
      <w:r w:rsidR="00346F1B">
        <w:rPr>
          <w:rFonts w:eastAsia="MS Mincho"/>
        </w:rPr>
        <w:t>’</w:t>
      </w:r>
      <w:r w:rsidR="003C716F">
        <w:rPr>
          <w:rFonts w:eastAsia="MS Mincho"/>
        </w:rPr>
        <w:t xml:space="preserve">évaluation avait décidé que les </w:t>
      </w:r>
      <w:r w:rsidR="003C716F" w:rsidRPr="003C716F">
        <w:rPr>
          <w:rFonts w:eastAsia="MS Mincho"/>
        </w:rPr>
        <w:t>informations</w:t>
      </w:r>
      <w:r w:rsidR="003C716F">
        <w:rPr>
          <w:rFonts w:eastAsia="MS Mincho"/>
        </w:rPr>
        <w:t xml:space="preserve"> présentées dans la </w:t>
      </w:r>
      <w:r w:rsidR="003C716F" w:rsidRPr="003C716F">
        <w:rPr>
          <w:rFonts w:eastAsia="MS Mincho"/>
        </w:rPr>
        <w:t>candidature</w:t>
      </w:r>
      <w:r w:rsidR="003C716F">
        <w:rPr>
          <w:rFonts w:eastAsia="MS Mincho"/>
        </w:rPr>
        <w:t xml:space="preserve"> satisfaisaient </w:t>
      </w:r>
      <w:r w:rsidR="00F50E52">
        <w:rPr>
          <w:rFonts w:eastAsia="MS Mincho"/>
        </w:rPr>
        <w:t xml:space="preserve">les </w:t>
      </w:r>
      <w:r w:rsidR="003C716F">
        <w:rPr>
          <w:rFonts w:eastAsia="MS Mincho"/>
        </w:rPr>
        <w:t xml:space="preserve">cinq critères. Le plan de sauvegarde répondait aux menaces identifiées et prévoyait différentes activités visant à la </w:t>
      </w:r>
      <w:r w:rsidR="003C716F" w:rsidRPr="003C716F">
        <w:rPr>
          <w:rFonts w:eastAsia="MS Mincho"/>
        </w:rPr>
        <w:t>sensib</w:t>
      </w:r>
      <w:r w:rsidR="003C716F">
        <w:rPr>
          <w:rFonts w:eastAsia="MS Mincho"/>
        </w:rPr>
        <w:t xml:space="preserve">ilisation, au renforcement des capacités et à la </w:t>
      </w:r>
      <w:r w:rsidR="003C716F" w:rsidRPr="003C716F">
        <w:rPr>
          <w:rFonts w:eastAsia="MS Mincho"/>
        </w:rPr>
        <w:t>conservation</w:t>
      </w:r>
      <w:r w:rsidR="003C716F">
        <w:rPr>
          <w:rFonts w:eastAsia="MS Mincho"/>
        </w:rPr>
        <w:t xml:space="preserve"> des matières premières. </w:t>
      </w:r>
      <w:r w:rsidR="009412AE">
        <w:rPr>
          <w:rFonts w:eastAsia="MS Mincho"/>
        </w:rPr>
        <w:t>L</w:t>
      </w:r>
      <w:r w:rsidR="00346F1B">
        <w:rPr>
          <w:rFonts w:eastAsia="MS Mincho"/>
        </w:rPr>
        <w:t>’</w:t>
      </w:r>
      <w:r w:rsidR="009412AE">
        <w:rPr>
          <w:rFonts w:eastAsia="MS Mincho"/>
        </w:rPr>
        <w:t>Organe d</w:t>
      </w:r>
      <w:r w:rsidR="00346F1B">
        <w:rPr>
          <w:rFonts w:eastAsia="MS Mincho"/>
        </w:rPr>
        <w:t>’</w:t>
      </w:r>
      <w:r w:rsidR="009412AE">
        <w:rPr>
          <w:rFonts w:eastAsia="MS Mincho"/>
        </w:rPr>
        <w:t>évaluation avait donc décidé de recommander l</w:t>
      </w:r>
      <w:r w:rsidR="00346F1B">
        <w:rPr>
          <w:rFonts w:eastAsia="MS Mincho"/>
        </w:rPr>
        <w:t>’</w:t>
      </w:r>
      <w:r w:rsidR="009412AE" w:rsidRPr="009412AE">
        <w:rPr>
          <w:rFonts w:eastAsia="MS Mincho"/>
        </w:rPr>
        <w:t>inscription</w:t>
      </w:r>
      <w:r w:rsidR="001745BD">
        <w:rPr>
          <w:rFonts w:eastAsia="MS Mincho"/>
        </w:rPr>
        <w:t xml:space="preserve"> de </w:t>
      </w:r>
      <w:r w:rsidR="009412AE">
        <w:rPr>
          <w:rFonts w:eastAsia="MS Mincho"/>
        </w:rPr>
        <w:t>la danse et musiq</w:t>
      </w:r>
      <w:r w:rsidR="001745BD">
        <w:rPr>
          <w:rFonts w:eastAsia="MS Mincho"/>
        </w:rPr>
        <w:t>ue de lyre arquée ma</w:t>
      </w:r>
      <w:r w:rsidR="00346F1B">
        <w:rPr>
          <w:rFonts w:eastAsia="MS Mincho"/>
        </w:rPr>
        <w:t>’</w:t>
      </w:r>
      <w:r w:rsidR="001745BD">
        <w:rPr>
          <w:rFonts w:eastAsia="MS Mincho"/>
        </w:rPr>
        <w:t>di</w:t>
      </w:r>
      <w:r w:rsidR="009412AE">
        <w:rPr>
          <w:rFonts w:eastAsia="MS Mincho"/>
        </w:rPr>
        <w:t xml:space="preserve"> sur la Liste de sauvegarde urgente.</w:t>
      </w:r>
    </w:p>
    <w:p w14:paraId="75C22ADC" w14:textId="40773D0C" w:rsidR="001F07A9" w:rsidRPr="001F07A9" w:rsidRDefault="009412AE" w:rsidP="00E94D39">
      <w:pPr>
        <w:pStyle w:val="Orateurengris"/>
        <w:spacing w:before="120"/>
        <w:ind w:left="709" w:hanging="709"/>
        <w:rPr>
          <w:rFonts w:eastAsia="MS Mincho"/>
        </w:rPr>
      </w:pPr>
      <w:r>
        <w:rPr>
          <w:rFonts w:eastAsia="MS Mincho"/>
        </w:rPr>
        <w:t xml:space="preserve">Le </w:t>
      </w:r>
      <w:r w:rsidRPr="009412AE">
        <w:rPr>
          <w:rFonts w:eastAsia="MS Mincho"/>
          <w:b/>
        </w:rPr>
        <w:t>Président</w:t>
      </w:r>
      <w:r>
        <w:rPr>
          <w:rFonts w:eastAsia="MS Mincho"/>
        </w:rPr>
        <w:t xml:space="preserve"> a remercié le </w:t>
      </w:r>
      <w:r w:rsidR="00754EC3">
        <w:rPr>
          <w:rFonts w:eastAsia="MS Mincho"/>
        </w:rPr>
        <w:t>Vice-Président</w:t>
      </w:r>
      <w:r>
        <w:rPr>
          <w:rFonts w:eastAsia="MS Mincho"/>
        </w:rPr>
        <w:t xml:space="preserve"> pour l</w:t>
      </w:r>
      <w:r w:rsidR="00346F1B">
        <w:rPr>
          <w:rFonts w:eastAsia="MS Mincho"/>
        </w:rPr>
        <w:t>’</w:t>
      </w:r>
      <w:r>
        <w:rPr>
          <w:rFonts w:eastAsia="MS Mincho"/>
        </w:rPr>
        <w:t>explication détaillée et, en l</w:t>
      </w:r>
      <w:r w:rsidR="00346F1B">
        <w:rPr>
          <w:rFonts w:eastAsia="MS Mincho"/>
        </w:rPr>
        <w:t>’</w:t>
      </w:r>
      <w:r>
        <w:rPr>
          <w:rFonts w:eastAsia="MS Mincho"/>
        </w:rPr>
        <w:t>absence de demandes d</w:t>
      </w:r>
      <w:r w:rsidR="00346F1B">
        <w:rPr>
          <w:rFonts w:eastAsia="MS Mincho"/>
        </w:rPr>
        <w:t>’</w:t>
      </w:r>
      <w:r w:rsidRPr="009412AE">
        <w:rPr>
          <w:rFonts w:eastAsia="MS Mincho"/>
        </w:rPr>
        <w:t>amendement</w:t>
      </w:r>
      <w:r>
        <w:rPr>
          <w:rFonts w:eastAsia="MS Mincho"/>
        </w:rPr>
        <w:t>, a proposé d</w:t>
      </w:r>
      <w:r w:rsidR="00346F1B">
        <w:rPr>
          <w:rFonts w:eastAsia="MS Mincho"/>
        </w:rPr>
        <w:t>’</w:t>
      </w:r>
      <w:r>
        <w:rPr>
          <w:rFonts w:eastAsia="MS Mincho"/>
        </w:rPr>
        <w:t>adopter le projet de décision dans son ensemble. En l</w:t>
      </w:r>
      <w:r w:rsidR="00346F1B">
        <w:rPr>
          <w:rFonts w:eastAsia="MS Mincho"/>
        </w:rPr>
        <w:t>’</w:t>
      </w:r>
      <w:r>
        <w:rPr>
          <w:rFonts w:eastAsia="MS Mincho"/>
        </w:rPr>
        <w:t>absence de commentaires ou d</w:t>
      </w:r>
      <w:r w:rsidR="00346F1B">
        <w:rPr>
          <w:rFonts w:eastAsia="MS Mincho"/>
        </w:rPr>
        <w:t>’</w:t>
      </w:r>
      <w:r>
        <w:rPr>
          <w:rFonts w:eastAsia="MS Mincho"/>
        </w:rPr>
        <w:t xml:space="preserve">objections, le </w:t>
      </w:r>
      <w:r w:rsidRPr="009412AE">
        <w:rPr>
          <w:rFonts w:eastAsia="MS Mincho"/>
          <w:b/>
        </w:rPr>
        <w:t>Président a déclaré adopté</w:t>
      </w:r>
      <w:r>
        <w:rPr>
          <w:rFonts w:eastAsia="MS Mincho"/>
          <w:b/>
        </w:rPr>
        <w:t>e</w:t>
      </w:r>
      <w:r w:rsidRPr="009412AE">
        <w:rPr>
          <w:rFonts w:eastAsia="MS Mincho"/>
          <w:b/>
        </w:rPr>
        <w:t xml:space="preserve"> la décision</w:t>
      </w:r>
      <w:r>
        <w:rPr>
          <w:rFonts w:eastAsia="MS Mincho"/>
          <w:b/>
        </w:rPr>
        <w:t xml:space="preserve"> 11.COM</w:t>
      </w:r>
      <w:r w:rsidR="00874F06">
        <w:rPr>
          <w:rFonts w:eastAsia="MS Mincho"/>
          <w:b/>
        </w:rPr>
        <w:t xml:space="preserve"> </w:t>
      </w:r>
      <w:r w:rsidRPr="009412AE">
        <w:rPr>
          <w:rFonts w:eastAsia="MS Mincho"/>
          <w:b/>
        </w:rPr>
        <w:t>10.a.4 d</w:t>
      </w:r>
      <w:r w:rsidR="00346F1B">
        <w:rPr>
          <w:rFonts w:eastAsia="MS Mincho"/>
          <w:b/>
        </w:rPr>
        <w:t>’</w:t>
      </w:r>
      <w:r w:rsidRPr="009412AE">
        <w:rPr>
          <w:rFonts w:eastAsia="MS Mincho"/>
          <w:b/>
        </w:rPr>
        <w:t xml:space="preserve">inscrire la </w:t>
      </w:r>
      <w:r w:rsidRPr="001F07A9">
        <w:rPr>
          <w:rFonts w:eastAsia="MS Mincho"/>
          <w:b/>
        </w:rPr>
        <w:t>danse et musique de lyre arquée ma</w:t>
      </w:r>
      <w:r w:rsidR="00346F1B">
        <w:rPr>
          <w:rFonts w:eastAsia="MS Mincho"/>
          <w:b/>
        </w:rPr>
        <w:t>’</w:t>
      </w:r>
      <w:r w:rsidRPr="001F07A9">
        <w:rPr>
          <w:rFonts w:eastAsia="MS Mincho"/>
          <w:b/>
        </w:rPr>
        <w:t>di</w:t>
      </w:r>
      <w:r>
        <w:rPr>
          <w:rFonts w:eastAsia="MS Mincho"/>
          <w:b/>
        </w:rPr>
        <w:t xml:space="preserve"> sur la Liste du patrimoine culturel immatériel nécessitant une </w:t>
      </w:r>
      <w:r w:rsidRPr="009412AE">
        <w:rPr>
          <w:rFonts w:eastAsia="MS Mincho"/>
          <w:b/>
        </w:rPr>
        <w:t>sauvegarde</w:t>
      </w:r>
      <w:r>
        <w:rPr>
          <w:rFonts w:eastAsia="MS Mincho"/>
          <w:b/>
        </w:rPr>
        <w:t xml:space="preserve"> urgente</w:t>
      </w:r>
      <w:r w:rsidRPr="009412AE">
        <w:rPr>
          <w:rFonts w:eastAsia="MS Mincho"/>
        </w:rPr>
        <w:t>.</w:t>
      </w:r>
    </w:p>
    <w:p w14:paraId="081D9E34" w14:textId="5E1313D1" w:rsidR="00F50011" w:rsidRDefault="009412AE" w:rsidP="00E94D39">
      <w:pPr>
        <w:pStyle w:val="Orateurengris"/>
        <w:spacing w:before="120"/>
        <w:ind w:left="709" w:hanging="709"/>
        <w:rPr>
          <w:rFonts w:eastAsiaTheme="minorEastAsia"/>
          <w:lang w:bidi="en-US"/>
        </w:rPr>
      </w:pPr>
      <w:r>
        <w:rPr>
          <w:rFonts w:eastAsiaTheme="minorEastAsia"/>
          <w:lang w:bidi="en-US"/>
        </w:rPr>
        <w:t xml:space="preserve">La </w:t>
      </w:r>
      <w:r w:rsidRPr="009412AE">
        <w:rPr>
          <w:rFonts w:eastAsiaTheme="minorEastAsia"/>
          <w:lang w:bidi="en-US"/>
        </w:rPr>
        <w:t>délégation</w:t>
      </w:r>
      <w:r>
        <w:rPr>
          <w:rFonts w:eastAsiaTheme="minorEastAsia"/>
          <w:lang w:bidi="en-US"/>
        </w:rPr>
        <w:t xml:space="preserve"> de l</w:t>
      </w:r>
      <w:r w:rsidR="00346F1B">
        <w:rPr>
          <w:rFonts w:eastAsiaTheme="minorEastAsia"/>
          <w:lang w:bidi="en-US"/>
        </w:rPr>
        <w:t>’</w:t>
      </w:r>
      <w:r w:rsidRPr="009412AE">
        <w:rPr>
          <w:rFonts w:eastAsiaTheme="minorEastAsia"/>
          <w:b/>
          <w:lang w:bidi="en-US"/>
        </w:rPr>
        <w:t>Ouganda</w:t>
      </w:r>
      <w:r>
        <w:rPr>
          <w:rFonts w:eastAsiaTheme="minorEastAsia"/>
          <w:lang w:bidi="en-US"/>
        </w:rPr>
        <w:t xml:space="preserve"> a adressé ses remerciements au Président, au Comité, à l</w:t>
      </w:r>
      <w:r w:rsidR="00346F1B">
        <w:rPr>
          <w:rFonts w:eastAsiaTheme="minorEastAsia"/>
          <w:lang w:bidi="en-US"/>
        </w:rPr>
        <w:t>’</w:t>
      </w:r>
      <w:r>
        <w:rPr>
          <w:rFonts w:eastAsiaTheme="minorEastAsia"/>
          <w:lang w:bidi="en-US"/>
        </w:rPr>
        <w:t>Organe d</w:t>
      </w:r>
      <w:r w:rsidR="00346F1B">
        <w:rPr>
          <w:rFonts w:eastAsiaTheme="minorEastAsia"/>
          <w:lang w:bidi="en-US"/>
        </w:rPr>
        <w:t>’</w:t>
      </w:r>
      <w:r>
        <w:rPr>
          <w:rFonts w:eastAsiaTheme="minorEastAsia"/>
          <w:lang w:bidi="en-US"/>
        </w:rPr>
        <w:t>évaluation, et au G</w:t>
      </w:r>
      <w:r w:rsidRPr="009412AE">
        <w:rPr>
          <w:rFonts w:eastAsiaTheme="minorEastAsia"/>
          <w:lang w:bidi="en-US"/>
        </w:rPr>
        <w:t>ouvernement</w:t>
      </w:r>
      <w:r>
        <w:rPr>
          <w:rFonts w:eastAsiaTheme="minorEastAsia"/>
          <w:lang w:bidi="en-US"/>
        </w:rPr>
        <w:t xml:space="preserve"> hôte et son honorable ministre pour leur accueil chaleureux et leur hospitalité. La </w:t>
      </w:r>
      <w:r w:rsidRPr="009412AE">
        <w:rPr>
          <w:rFonts w:eastAsiaTheme="minorEastAsia"/>
          <w:lang w:bidi="en-US"/>
        </w:rPr>
        <w:t>délégation</w:t>
      </w:r>
      <w:r>
        <w:rPr>
          <w:rFonts w:eastAsiaTheme="minorEastAsia"/>
          <w:lang w:bidi="en-US"/>
        </w:rPr>
        <w:t xml:space="preserve"> était </w:t>
      </w:r>
      <w:r w:rsidR="00F50011">
        <w:rPr>
          <w:rFonts w:eastAsiaTheme="minorEastAsia"/>
          <w:lang w:bidi="en-US"/>
        </w:rPr>
        <w:t>ravie de l</w:t>
      </w:r>
      <w:r w:rsidR="00346F1B">
        <w:rPr>
          <w:rFonts w:eastAsiaTheme="minorEastAsia"/>
          <w:lang w:bidi="en-US"/>
        </w:rPr>
        <w:t>’</w:t>
      </w:r>
      <w:r w:rsidR="00F50011" w:rsidRPr="00F50011">
        <w:rPr>
          <w:rFonts w:eastAsiaTheme="minorEastAsia"/>
          <w:lang w:bidi="en-US"/>
        </w:rPr>
        <w:t>inscription</w:t>
      </w:r>
      <w:r w:rsidR="00F50011">
        <w:rPr>
          <w:rFonts w:eastAsiaTheme="minorEastAsia"/>
          <w:lang w:bidi="en-US"/>
        </w:rPr>
        <w:t xml:space="preserve"> de </w:t>
      </w:r>
      <w:r w:rsidR="00F50011" w:rsidRPr="00F50011">
        <w:rPr>
          <w:rFonts w:eastAsia="MS Mincho"/>
        </w:rPr>
        <w:t>la danse et musique de lyre arquée ma</w:t>
      </w:r>
      <w:r w:rsidR="00346F1B">
        <w:rPr>
          <w:rFonts w:eastAsia="MS Mincho"/>
        </w:rPr>
        <w:t>’</w:t>
      </w:r>
      <w:r w:rsidR="00F50011" w:rsidRPr="00F50011">
        <w:rPr>
          <w:rFonts w:eastAsia="MS Mincho"/>
        </w:rPr>
        <w:t>di</w:t>
      </w:r>
      <w:r w:rsidR="00F50011">
        <w:rPr>
          <w:rFonts w:eastAsia="MS Mincho"/>
        </w:rPr>
        <w:t>, le cinquième élémen</w:t>
      </w:r>
      <w:r w:rsidR="00F50011">
        <w:rPr>
          <w:rFonts w:eastAsiaTheme="minorEastAsia"/>
          <w:lang w:bidi="en-US"/>
        </w:rPr>
        <w:t>t consécutif inscrit sur la Liste de sauvegarde urgente. Les ma</w:t>
      </w:r>
      <w:r w:rsidR="00346F1B">
        <w:rPr>
          <w:rFonts w:eastAsiaTheme="minorEastAsia"/>
          <w:lang w:bidi="en-US"/>
        </w:rPr>
        <w:t>’</w:t>
      </w:r>
      <w:r w:rsidR="00F50011">
        <w:rPr>
          <w:rFonts w:eastAsiaTheme="minorEastAsia"/>
          <w:lang w:bidi="en-US"/>
        </w:rPr>
        <w:t>di résidaient au nord-ouest de l</w:t>
      </w:r>
      <w:r w:rsidR="00346F1B">
        <w:rPr>
          <w:rFonts w:eastAsiaTheme="minorEastAsia"/>
          <w:lang w:bidi="en-US"/>
        </w:rPr>
        <w:t>’</w:t>
      </w:r>
      <w:r w:rsidR="00F50011">
        <w:rPr>
          <w:rFonts w:eastAsiaTheme="minorEastAsia"/>
          <w:lang w:bidi="en-US"/>
        </w:rPr>
        <w:t xml:space="preserve">Ouganda. </w:t>
      </w:r>
      <w:r w:rsidR="004E59D9">
        <w:rPr>
          <w:rFonts w:eastAsiaTheme="minorEastAsia"/>
          <w:lang w:bidi="en-US"/>
        </w:rPr>
        <w:t>S</w:t>
      </w:r>
      <w:r w:rsidR="00346F1B">
        <w:rPr>
          <w:rFonts w:eastAsiaTheme="minorEastAsia"/>
          <w:lang w:bidi="en-US"/>
        </w:rPr>
        <w:t>’</w:t>
      </w:r>
      <w:r w:rsidR="004E59D9">
        <w:rPr>
          <w:rFonts w:eastAsiaTheme="minorEastAsia"/>
          <w:lang w:bidi="en-US"/>
        </w:rPr>
        <w:t>exprimant a</w:t>
      </w:r>
      <w:r w:rsidR="00F50011">
        <w:rPr>
          <w:rFonts w:eastAsiaTheme="minorEastAsia"/>
          <w:lang w:bidi="en-US"/>
        </w:rPr>
        <w:t xml:space="preserve">u nom de la </w:t>
      </w:r>
      <w:r w:rsidR="00F50011" w:rsidRPr="00F50011">
        <w:rPr>
          <w:rFonts w:eastAsiaTheme="minorEastAsia"/>
          <w:lang w:bidi="en-US"/>
        </w:rPr>
        <w:t>communauté</w:t>
      </w:r>
      <w:r w:rsidR="00F50011">
        <w:rPr>
          <w:rFonts w:eastAsiaTheme="minorEastAsia"/>
          <w:lang w:bidi="en-US"/>
        </w:rPr>
        <w:t xml:space="preserve"> ma</w:t>
      </w:r>
      <w:r w:rsidR="00346F1B">
        <w:rPr>
          <w:rFonts w:eastAsiaTheme="minorEastAsia"/>
          <w:lang w:bidi="en-US"/>
        </w:rPr>
        <w:t>’</w:t>
      </w:r>
      <w:r w:rsidR="00F50011">
        <w:rPr>
          <w:rFonts w:eastAsiaTheme="minorEastAsia"/>
          <w:lang w:bidi="en-US"/>
        </w:rPr>
        <w:t xml:space="preserve">di, la </w:t>
      </w:r>
      <w:r w:rsidR="00F50011" w:rsidRPr="00F50011">
        <w:rPr>
          <w:rFonts w:eastAsiaTheme="minorEastAsia"/>
          <w:lang w:bidi="en-US"/>
        </w:rPr>
        <w:t>délégation</w:t>
      </w:r>
      <w:r w:rsidR="004E59D9">
        <w:rPr>
          <w:rFonts w:eastAsiaTheme="minorEastAsia"/>
          <w:lang w:bidi="en-US"/>
        </w:rPr>
        <w:t xml:space="preserve"> a dit avoir</w:t>
      </w:r>
      <w:r w:rsidR="00F50011">
        <w:rPr>
          <w:rFonts w:eastAsiaTheme="minorEastAsia"/>
          <w:lang w:bidi="en-US"/>
        </w:rPr>
        <w:t xml:space="preserve"> </w:t>
      </w:r>
      <w:r w:rsidR="004E59D9">
        <w:rPr>
          <w:rFonts w:eastAsiaTheme="minorEastAsia"/>
          <w:lang w:bidi="en-US"/>
        </w:rPr>
        <w:t xml:space="preserve">beaucoup </w:t>
      </w:r>
      <w:r w:rsidR="00F50011">
        <w:rPr>
          <w:rFonts w:eastAsiaTheme="minorEastAsia"/>
          <w:lang w:bidi="en-US"/>
        </w:rPr>
        <w:t>apprécié l</w:t>
      </w:r>
      <w:r w:rsidR="00346F1B">
        <w:rPr>
          <w:rFonts w:eastAsiaTheme="minorEastAsia"/>
          <w:lang w:bidi="en-US"/>
        </w:rPr>
        <w:t>’</w:t>
      </w:r>
      <w:r w:rsidR="00F50011">
        <w:rPr>
          <w:rFonts w:eastAsiaTheme="minorEastAsia"/>
          <w:lang w:bidi="en-US"/>
        </w:rPr>
        <w:t>assistance internationale préparatoire de 10</w:t>
      </w:r>
      <w:r w:rsidR="00346F1B">
        <w:rPr>
          <w:rFonts w:eastAsiaTheme="minorEastAsia"/>
          <w:lang w:bidi="en-US"/>
        </w:rPr>
        <w:t> 000</w:t>
      </w:r>
      <w:r w:rsidR="00F50011">
        <w:rPr>
          <w:rFonts w:eastAsiaTheme="minorEastAsia"/>
          <w:lang w:bidi="en-US"/>
        </w:rPr>
        <w:t xml:space="preserve"> </w:t>
      </w:r>
      <w:r w:rsidR="00F50011" w:rsidRPr="00F50011">
        <w:rPr>
          <w:rFonts w:eastAsiaTheme="minorEastAsia"/>
          <w:lang w:bidi="en-US"/>
        </w:rPr>
        <w:t>dollars des États-Unis</w:t>
      </w:r>
      <w:r w:rsidR="00F50011">
        <w:rPr>
          <w:rFonts w:eastAsiaTheme="minorEastAsia"/>
          <w:lang w:bidi="en-US"/>
        </w:rPr>
        <w:t xml:space="preserve"> reçue en 2014 qui avait permis l</w:t>
      </w:r>
      <w:r w:rsidR="00346F1B">
        <w:rPr>
          <w:rFonts w:eastAsiaTheme="minorEastAsia"/>
          <w:lang w:bidi="en-US"/>
        </w:rPr>
        <w:t>’</w:t>
      </w:r>
      <w:r w:rsidR="00F50011" w:rsidRPr="00F50011">
        <w:rPr>
          <w:rFonts w:eastAsiaTheme="minorEastAsia"/>
          <w:lang w:bidi="en-US"/>
        </w:rPr>
        <w:t>achèvement</w:t>
      </w:r>
      <w:r w:rsidR="00F50011">
        <w:rPr>
          <w:rFonts w:eastAsiaTheme="minorEastAsia"/>
          <w:lang w:bidi="en-US"/>
        </w:rPr>
        <w:t xml:space="preserve"> en temps voulu du dossier de candidature. L</w:t>
      </w:r>
      <w:r w:rsidR="00346F1B">
        <w:rPr>
          <w:rFonts w:eastAsiaTheme="minorEastAsia"/>
          <w:lang w:bidi="en-US"/>
        </w:rPr>
        <w:t>’</w:t>
      </w:r>
      <w:r w:rsidR="00F50011" w:rsidRPr="00F50011">
        <w:rPr>
          <w:rFonts w:eastAsiaTheme="minorEastAsia"/>
          <w:lang w:bidi="en-US"/>
        </w:rPr>
        <w:t>assistance</w:t>
      </w:r>
      <w:r w:rsidR="00F50011">
        <w:rPr>
          <w:rFonts w:eastAsiaTheme="minorEastAsia"/>
          <w:lang w:bidi="en-US"/>
        </w:rPr>
        <w:t xml:space="preserve"> préparatoire avait permis la mobilisation et la </w:t>
      </w:r>
      <w:r w:rsidR="00F50011" w:rsidRPr="00F50011">
        <w:rPr>
          <w:rFonts w:eastAsiaTheme="minorEastAsia"/>
          <w:lang w:bidi="en-US"/>
        </w:rPr>
        <w:t>participation</w:t>
      </w:r>
      <w:r w:rsidR="00F50011">
        <w:rPr>
          <w:rFonts w:eastAsiaTheme="minorEastAsia"/>
          <w:lang w:bidi="en-US"/>
        </w:rPr>
        <w:t xml:space="preserve"> pleine et entière des </w:t>
      </w:r>
      <w:r w:rsidR="00F50011" w:rsidRPr="00F50011">
        <w:rPr>
          <w:rFonts w:eastAsiaTheme="minorEastAsia"/>
          <w:lang w:bidi="en-US"/>
        </w:rPr>
        <w:t>détenteurs</w:t>
      </w:r>
      <w:r w:rsidR="00F50011">
        <w:rPr>
          <w:rFonts w:eastAsiaTheme="minorEastAsia"/>
          <w:lang w:bidi="en-US"/>
        </w:rPr>
        <w:t xml:space="preserve"> culturels ma</w:t>
      </w:r>
      <w:r w:rsidR="00346F1B">
        <w:rPr>
          <w:rFonts w:eastAsiaTheme="minorEastAsia"/>
          <w:lang w:bidi="en-US"/>
        </w:rPr>
        <w:t>’</w:t>
      </w:r>
      <w:r w:rsidR="00F50011">
        <w:rPr>
          <w:rFonts w:eastAsiaTheme="minorEastAsia"/>
          <w:lang w:bidi="en-US"/>
        </w:rPr>
        <w:t>di, des étudiants, des ainés et des gouvernements des districts locaux. L</w:t>
      </w:r>
      <w:r w:rsidR="00346F1B">
        <w:rPr>
          <w:rFonts w:eastAsiaTheme="minorEastAsia"/>
          <w:lang w:bidi="en-US"/>
        </w:rPr>
        <w:t>’</w:t>
      </w:r>
      <w:r w:rsidR="00F50011">
        <w:rPr>
          <w:rFonts w:eastAsiaTheme="minorEastAsia"/>
          <w:lang w:bidi="en-US"/>
        </w:rPr>
        <w:t>Ouganda avait apprécié le travail de l</w:t>
      </w:r>
      <w:r w:rsidR="00346F1B">
        <w:rPr>
          <w:rFonts w:eastAsiaTheme="minorEastAsia"/>
          <w:lang w:bidi="en-US"/>
        </w:rPr>
        <w:t>’</w:t>
      </w:r>
      <w:r w:rsidR="00F50011">
        <w:rPr>
          <w:rFonts w:eastAsiaTheme="minorEastAsia"/>
          <w:lang w:bidi="en-US"/>
        </w:rPr>
        <w:t>Organe d</w:t>
      </w:r>
      <w:r w:rsidR="00346F1B">
        <w:rPr>
          <w:rFonts w:eastAsiaTheme="minorEastAsia"/>
          <w:lang w:bidi="en-US"/>
        </w:rPr>
        <w:t>’</w:t>
      </w:r>
      <w:r w:rsidR="00F50011">
        <w:rPr>
          <w:rFonts w:eastAsiaTheme="minorEastAsia"/>
          <w:lang w:bidi="en-US"/>
        </w:rPr>
        <w:t xml:space="preserve">évaluation et les </w:t>
      </w:r>
      <w:r w:rsidR="00F50011" w:rsidRPr="00F50011">
        <w:rPr>
          <w:rFonts w:eastAsiaTheme="minorEastAsia"/>
          <w:lang w:bidi="en-US"/>
        </w:rPr>
        <w:t>orientations</w:t>
      </w:r>
      <w:r w:rsidR="00F50011">
        <w:rPr>
          <w:rFonts w:eastAsiaTheme="minorEastAsia"/>
          <w:lang w:bidi="en-US"/>
        </w:rPr>
        <w:t xml:space="preserve"> </w:t>
      </w:r>
      <w:r w:rsidR="004E59D9">
        <w:rPr>
          <w:rFonts w:eastAsiaTheme="minorEastAsia"/>
          <w:lang w:bidi="en-US"/>
        </w:rPr>
        <w:t xml:space="preserve">données </w:t>
      </w:r>
      <w:r w:rsidR="00F50011">
        <w:rPr>
          <w:rFonts w:eastAsiaTheme="minorEastAsia"/>
          <w:lang w:bidi="en-US"/>
        </w:rPr>
        <w:t>p</w:t>
      </w:r>
      <w:r w:rsidR="004E59D9">
        <w:rPr>
          <w:rFonts w:eastAsiaTheme="minorEastAsia"/>
          <w:lang w:bidi="en-US"/>
        </w:rPr>
        <w:t>rincipalement afin d</w:t>
      </w:r>
      <w:r w:rsidR="00346F1B">
        <w:rPr>
          <w:rFonts w:eastAsiaTheme="minorEastAsia"/>
          <w:lang w:bidi="en-US"/>
        </w:rPr>
        <w:t>’</w:t>
      </w:r>
      <w:r w:rsidR="004E59D9">
        <w:rPr>
          <w:rFonts w:eastAsiaTheme="minorEastAsia"/>
          <w:lang w:bidi="en-US"/>
        </w:rPr>
        <w:t xml:space="preserve">étudier le possible </w:t>
      </w:r>
      <w:r w:rsidR="00F50011">
        <w:rPr>
          <w:rFonts w:eastAsiaTheme="minorEastAsia"/>
          <w:lang w:bidi="en-US"/>
        </w:rPr>
        <w:t xml:space="preserve">recours à des matériaux alternatifs </w:t>
      </w:r>
      <w:r w:rsidR="004E59D9">
        <w:rPr>
          <w:rFonts w:eastAsiaTheme="minorEastAsia"/>
          <w:lang w:bidi="en-US"/>
        </w:rPr>
        <w:t xml:space="preserve">associés à </w:t>
      </w:r>
      <w:r w:rsidR="00F50011">
        <w:rPr>
          <w:rFonts w:eastAsiaTheme="minorEastAsia"/>
          <w:lang w:bidi="en-US"/>
        </w:rPr>
        <w:t>l</w:t>
      </w:r>
      <w:r w:rsidR="00346F1B">
        <w:rPr>
          <w:rFonts w:eastAsiaTheme="minorEastAsia"/>
          <w:lang w:bidi="en-US"/>
        </w:rPr>
        <w:t>’</w:t>
      </w:r>
      <w:r w:rsidR="00F50011" w:rsidRPr="00F50011">
        <w:rPr>
          <w:rFonts w:eastAsiaTheme="minorEastAsia"/>
          <w:lang w:bidi="en-US"/>
        </w:rPr>
        <w:t>interprétation</w:t>
      </w:r>
      <w:r w:rsidR="00F50011">
        <w:rPr>
          <w:rFonts w:eastAsiaTheme="minorEastAsia"/>
          <w:lang w:bidi="en-US"/>
        </w:rPr>
        <w:t xml:space="preserve"> de l</w:t>
      </w:r>
      <w:r w:rsidR="00346F1B">
        <w:rPr>
          <w:rFonts w:eastAsiaTheme="minorEastAsia"/>
          <w:lang w:bidi="en-US"/>
        </w:rPr>
        <w:t>’</w:t>
      </w:r>
      <w:r w:rsidR="00F50011" w:rsidRPr="00F50011">
        <w:rPr>
          <w:rFonts w:eastAsiaTheme="minorEastAsia"/>
          <w:lang w:bidi="en-US"/>
        </w:rPr>
        <w:t>élément</w:t>
      </w:r>
      <w:r w:rsidR="00F50011">
        <w:rPr>
          <w:rFonts w:eastAsiaTheme="minorEastAsia"/>
          <w:lang w:bidi="en-US"/>
        </w:rPr>
        <w:t xml:space="preserve">. </w:t>
      </w:r>
      <w:r w:rsidR="004E59D9">
        <w:rPr>
          <w:rFonts w:eastAsiaTheme="minorEastAsia"/>
          <w:lang w:bidi="en-US"/>
        </w:rPr>
        <w:t>L</w:t>
      </w:r>
      <w:r w:rsidR="00346F1B">
        <w:rPr>
          <w:rFonts w:eastAsiaTheme="minorEastAsia"/>
          <w:lang w:bidi="en-US"/>
        </w:rPr>
        <w:t>’</w:t>
      </w:r>
      <w:r w:rsidR="004E59D9">
        <w:rPr>
          <w:rFonts w:eastAsiaTheme="minorEastAsia"/>
          <w:lang w:bidi="en-US"/>
        </w:rPr>
        <w:t>Ouganda s</w:t>
      </w:r>
      <w:r w:rsidR="00346F1B">
        <w:rPr>
          <w:rFonts w:eastAsiaTheme="minorEastAsia"/>
          <w:lang w:bidi="en-US"/>
        </w:rPr>
        <w:t>’</w:t>
      </w:r>
      <w:r w:rsidR="004E59D9">
        <w:rPr>
          <w:rFonts w:eastAsiaTheme="minorEastAsia"/>
          <w:lang w:bidi="en-US"/>
        </w:rPr>
        <w:t>engageait à mettre en œuvre les mesures de sauvegarde identifiées dans le plan, dans l</w:t>
      </w:r>
      <w:r w:rsidR="00346F1B">
        <w:rPr>
          <w:rFonts w:eastAsiaTheme="minorEastAsia"/>
          <w:lang w:bidi="en-US"/>
        </w:rPr>
        <w:t>’</w:t>
      </w:r>
      <w:r w:rsidR="004E59D9">
        <w:rPr>
          <w:rFonts w:eastAsiaTheme="minorEastAsia"/>
          <w:lang w:bidi="en-US"/>
        </w:rPr>
        <w:t xml:space="preserve">intérêt des jeunes </w:t>
      </w:r>
      <w:r w:rsidR="004E59D9" w:rsidRPr="004E59D9">
        <w:rPr>
          <w:rFonts w:eastAsiaTheme="minorEastAsia"/>
          <w:lang w:bidi="en-US"/>
        </w:rPr>
        <w:t>générations</w:t>
      </w:r>
      <w:r w:rsidR="004E59D9">
        <w:rPr>
          <w:rFonts w:eastAsiaTheme="minorEastAsia"/>
          <w:lang w:bidi="en-US"/>
        </w:rPr>
        <w:t xml:space="preserve">. La </w:t>
      </w:r>
      <w:r w:rsidR="004E59D9" w:rsidRPr="004E59D9">
        <w:rPr>
          <w:rFonts w:eastAsiaTheme="minorEastAsia"/>
          <w:lang w:bidi="en-US"/>
        </w:rPr>
        <w:t>délégation</w:t>
      </w:r>
      <w:r w:rsidR="004E59D9">
        <w:rPr>
          <w:rFonts w:eastAsiaTheme="minorEastAsia"/>
          <w:lang w:bidi="en-US"/>
        </w:rPr>
        <w:t xml:space="preserve"> a adressé ses remerciements à la Commission de la culture, ainsi qu</w:t>
      </w:r>
      <w:r w:rsidR="00346F1B">
        <w:rPr>
          <w:rFonts w:eastAsiaTheme="minorEastAsia"/>
          <w:lang w:bidi="en-US"/>
        </w:rPr>
        <w:t>’</w:t>
      </w:r>
      <w:r w:rsidR="004E59D9">
        <w:rPr>
          <w:rFonts w:eastAsiaTheme="minorEastAsia"/>
          <w:lang w:bidi="en-US"/>
        </w:rPr>
        <w:t xml:space="preserve">à ses collègues du </w:t>
      </w:r>
      <w:r w:rsidR="004E59D9" w:rsidRPr="004E59D9">
        <w:rPr>
          <w:rFonts w:eastAsiaTheme="minorEastAsia"/>
          <w:lang w:bidi="en-US"/>
        </w:rPr>
        <w:t>ministère</w:t>
      </w:r>
      <w:r w:rsidR="004E59D9">
        <w:rPr>
          <w:rFonts w:eastAsiaTheme="minorEastAsia"/>
          <w:lang w:bidi="en-US"/>
        </w:rPr>
        <w:t xml:space="preserve"> du Genre, du Travail et du D</w:t>
      </w:r>
      <w:r w:rsidR="004E59D9" w:rsidRPr="004E59D9">
        <w:rPr>
          <w:rFonts w:eastAsiaTheme="minorEastAsia"/>
          <w:lang w:bidi="en-US"/>
        </w:rPr>
        <w:t>éveloppement</w:t>
      </w:r>
      <w:r w:rsidR="004E59D9">
        <w:rPr>
          <w:rFonts w:eastAsiaTheme="minorEastAsia"/>
          <w:lang w:bidi="en-US"/>
        </w:rPr>
        <w:t xml:space="preserve"> social pour leur très g</w:t>
      </w:r>
      <w:r w:rsidR="00B869BF">
        <w:rPr>
          <w:rFonts w:eastAsiaTheme="minorEastAsia"/>
          <w:lang w:bidi="en-US"/>
        </w:rPr>
        <w:t>rand soutien et leurs conseils.</w:t>
      </w:r>
    </w:p>
    <w:p w14:paraId="7CA71CF0" w14:textId="2AFFB3B1" w:rsidR="003A0644" w:rsidRPr="00F50011" w:rsidRDefault="003A0644" w:rsidP="00E94D39">
      <w:pPr>
        <w:pStyle w:val="Orateurengris"/>
        <w:spacing w:before="120"/>
        <w:ind w:left="709" w:hanging="709"/>
        <w:rPr>
          <w:rFonts w:eastAsiaTheme="minorEastAsia"/>
          <w:lang w:bidi="en-US"/>
        </w:rPr>
      </w:pPr>
      <w:r>
        <w:rPr>
          <w:rFonts w:eastAsiaTheme="minorEastAsia"/>
          <w:lang w:bidi="en-US"/>
        </w:rPr>
        <w:t>Après avoir remercié l</w:t>
      </w:r>
      <w:r w:rsidR="00346F1B">
        <w:rPr>
          <w:rFonts w:eastAsiaTheme="minorEastAsia"/>
          <w:lang w:bidi="en-US"/>
        </w:rPr>
        <w:t>’</w:t>
      </w:r>
      <w:r>
        <w:rPr>
          <w:rFonts w:eastAsiaTheme="minorEastAsia"/>
          <w:lang w:bidi="en-US"/>
        </w:rPr>
        <w:t xml:space="preserve">Ouganda, le </w:t>
      </w:r>
      <w:r w:rsidRPr="003A0644">
        <w:rPr>
          <w:rFonts w:eastAsiaTheme="minorEastAsia"/>
          <w:b/>
          <w:lang w:bidi="en-US"/>
        </w:rPr>
        <w:t>Président</w:t>
      </w:r>
      <w:r>
        <w:rPr>
          <w:rFonts w:eastAsiaTheme="minorEastAsia"/>
          <w:lang w:bidi="en-US"/>
        </w:rPr>
        <w:t xml:space="preserve"> a invité le </w:t>
      </w:r>
      <w:r w:rsidR="00754EC3">
        <w:rPr>
          <w:rFonts w:eastAsiaTheme="minorEastAsia"/>
          <w:lang w:bidi="en-US"/>
        </w:rPr>
        <w:t>Vice-Président</w:t>
      </w:r>
      <w:r>
        <w:rPr>
          <w:rFonts w:eastAsiaTheme="minorEastAsia"/>
          <w:lang w:bidi="en-US"/>
        </w:rPr>
        <w:t xml:space="preserve"> à présenter la </w:t>
      </w:r>
      <w:r w:rsidRPr="003A0644">
        <w:rPr>
          <w:rFonts w:eastAsiaTheme="minorEastAsia"/>
          <w:lang w:bidi="en-US"/>
        </w:rPr>
        <w:t>candidature</w:t>
      </w:r>
      <w:r>
        <w:rPr>
          <w:rFonts w:eastAsiaTheme="minorEastAsia"/>
          <w:lang w:bidi="en-US"/>
        </w:rPr>
        <w:t xml:space="preserve"> suivante, soumise par l</w:t>
      </w:r>
      <w:r w:rsidR="00346F1B">
        <w:rPr>
          <w:rFonts w:eastAsiaTheme="minorEastAsia"/>
          <w:lang w:bidi="en-US"/>
        </w:rPr>
        <w:t>’</w:t>
      </w:r>
      <w:r w:rsidR="00B869BF">
        <w:rPr>
          <w:rFonts w:eastAsiaTheme="minorEastAsia"/>
          <w:lang w:bidi="en-US"/>
        </w:rPr>
        <w:t>Ukraine.</w:t>
      </w:r>
    </w:p>
    <w:p w14:paraId="74B567E0" w14:textId="6451A6DD" w:rsidR="003A0644" w:rsidRDefault="003A0644" w:rsidP="00E94D39">
      <w:pPr>
        <w:pStyle w:val="Orateurengris"/>
        <w:spacing w:before="120"/>
        <w:ind w:left="709" w:hanging="709"/>
        <w:rPr>
          <w:rFonts w:eastAsiaTheme="minorEastAsia"/>
        </w:rPr>
      </w:pPr>
      <w:r w:rsidRPr="003A0644">
        <w:rPr>
          <w:rFonts w:eastAsiaTheme="minorEastAsia"/>
        </w:rPr>
        <w:t>Le</w:t>
      </w:r>
      <w:r>
        <w:rPr>
          <w:rFonts w:eastAsiaTheme="minorEastAsia"/>
        </w:rPr>
        <w:t xml:space="preserve"> </w:t>
      </w:r>
      <w:r w:rsidR="00754EC3">
        <w:rPr>
          <w:rFonts w:eastAsiaTheme="minorEastAsia"/>
          <w:b/>
        </w:rPr>
        <w:t>Vice-Président</w:t>
      </w:r>
      <w:r>
        <w:rPr>
          <w:rFonts w:eastAsiaTheme="minorEastAsia"/>
        </w:rPr>
        <w:t xml:space="preserve"> est passé à la </w:t>
      </w:r>
      <w:r w:rsidRPr="003A0644">
        <w:rPr>
          <w:rFonts w:eastAsiaTheme="minorEastAsia"/>
        </w:rPr>
        <w:t>candidature</w:t>
      </w:r>
      <w:r>
        <w:rPr>
          <w:rFonts w:eastAsiaTheme="minorEastAsia"/>
        </w:rPr>
        <w:t xml:space="preserve"> suivante, </w:t>
      </w:r>
      <w:bookmarkStart w:id="15" w:name="Decision10a5"/>
      <w:r w:rsidRPr="003A0644">
        <w:rPr>
          <w:rFonts w:eastAsiaTheme="minorEastAsia"/>
          <w:b/>
        </w:rPr>
        <w:t>les chants cosaques de Dnipropetrovsk</w:t>
      </w:r>
      <w:bookmarkEnd w:id="15"/>
      <w:r>
        <w:rPr>
          <w:rFonts w:eastAsiaTheme="minorEastAsia"/>
        </w:rPr>
        <w:t xml:space="preserve"> [projet de décision</w:t>
      </w:r>
      <w:r w:rsidR="00874F06">
        <w:rPr>
          <w:rFonts w:eastAsiaTheme="minorEastAsia"/>
        </w:rPr>
        <w:t xml:space="preserve"> 11.COM </w:t>
      </w:r>
      <w:r>
        <w:rPr>
          <w:rFonts w:eastAsiaTheme="minorEastAsia"/>
        </w:rPr>
        <w:t>10.a.5] soumise par l</w:t>
      </w:r>
      <w:r w:rsidR="00346F1B">
        <w:rPr>
          <w:rFonts w:eastAsiaTheme="minorEastAsia"/>
        </w:rPr>
        <w:t>’</w:t>
      </w:r>
      <w:r>
        <w:rPr>
          <w:rFonts w:eastAsiaTheme="minorEastAsia"/>
        </w:rPr>
        <w:t>Ukraine. Les chants cosaques, chantés par les communautés de la ré</w:t>
      </w:r>
      <w:r w:rsidR="008C5842">
        <w:rPr>
          <w:rFonts w:eastAsiaTheme="minorEastAsia"/>
        </w:rPr>
        <w:t>gion de Dnipropetrovsk, racont</w:t>
      </w:r>
      <w:r w:rsidR="00CE357A">
        <w:rPr>
          <w:rFonts w:eastAsiaTheme="minorEastAsia"/>
        </w:rPr>
        <w:t>ai</w:t>
      </w:r>
      <w:r>
        <w:rPr>
          <w:rFonts w:eastAsiaTheme="minorEastAsia"/>
        </w:rPr>
        <w:t>ent la tragédie de la guerre mais aussi les relations interpersonnelles entre sold</w:t>
      </w:r>
      <w:r w:rsidR="008C5842">
        <w:rPr>
          <w:rFonts w:eastAsiaTheme="minorEastAsia"/>
        </w:rPr>
        <w:t>a</w:t>
      </w:r>
      <w:r w:rsidR="00CE357A">
        <w:rPr>
          <w:rFonts w:eastAsiaTheme="minorEastAsia"/>
        </w:rPr>
        <w:t>ts cosaques. Les chants étaient</w:t>
      </w:r>
      <w:r>
        <w:rPr>
          <w:rFonts w:eastAsiaTheme="minorEastAsia"/>
        </w:rPr>
        <w:t xml:space="preserve"> interprétés pour le plaisir et </w:t>
      </w:r>
      <w:r w:rsidRPr="003A0644">
        <w:rPr>
          <w:rFonts w:eastAsiaTheme="minorEastAsia"/>
        </w:rPr>
        <w:t>également</w:t>
      </w:r>
      <w:r>
        <w:rPr>
          <w:rFonts w:eastAsiaTheme="minorEastAsia"/>
        </w:rPr>
        <w:t xml:space="preserve"> pour maintenir un lien avec le passé. </w:t>
      </w:r>
      <w:r w:rsidR="00CE357A">
        <w:rPr>
          <w:rFonts w:eastAsiaTheme="minorEastAsia"/>
        </w:rPr>
        <w:t>Il existait</w:t>
      </w:r>
      <w:r w:rsidR="00015DED">
        <w:rPr>
          <w:rFonts w:eastAsiaTheme="minorEastAsia"/>
        </w:rPr>
        <w:t xml:space="preserve"> trois différents groupes de chanteurs : Krynycya, Boguslavochka et</w:t>
      </w:r>
      <w:r w:rsidR="008C5842">
        <w:rPr>
          <w:rFonts w:eastAsiaTheme="minorEastAsia"/>
        </w:rPr>
        <w:t xml:space="preserve"> Pershocvit, auxquels particip</w:t>
      </w:r>
      <w:r w:rsidR="00F50E52">
        <w:rPr>
          <w:rFonts w:eastAsiaTheme="minorEastAsia"/>
        </w:rPr>
        <w:t>ai</w:t>
      </w:r>
      <w:r w:rsidR="00015DED">
        <w:rPr>
          <w:rFonts w:eastAsiaTheme="minorEastAsia"/>
        </w:rPr>
        <w:t xml:space="preserve">ent hommes et femmes. La </w:t>
      </w:r>
      <w:r w:rsidR="00015DED" w:rsidRPr="00015DED">
        <w:rPr>
          <w:rFonts w:eastAsiaTheme="minorEastAsia"/>
        </w:rPr>
        <w:t xml:space="preserve">transmission </w:t>
      </w:r>
      <w:r w:rsidR="008C5842">
        <w:rPr>
          <w:rFonts w:eastAsiaTheme="minorEastAsia"/>
        </w:rPr>
        <w:t>de l</w:t>
      </w:r>
      <w:r w:rsidR="00CE357A">
        <w:rPr>
          <w:rFonts w:eastAsiaTheme="minorEastAsia"/>
        </w:rPr>
        <w:t>a tradition était</w:t>
      </w:r>
      <w:r w:rsidR="00015DED">
        <w:rPr>
          <w:rFonts w:eastAsiaTheme="minorEastAsia"/>
        </w:rPr>
        <w:t xml:space="preserve"> intrafamiliale mais sa pérennité </w:t>
      </w:r>
      <w:r w:rsidR="00CE357A">
        <w:rPr>
          <w:rFonts w:eastAsiaTheme="minorEastAsia"/>
        </w:rPr>
        <w:t xml:space="preserve">était </w:t>
      </w:r>
      <w:r w:rsidR="008C5842">
        <w:rPr>
          <w:rFonts w:eastAsiaTheme="minorEastAsia"/>
        </w:rPr>
        <w:t xml:space="preserve">remise en question à cause </w:t>
      </w:r>
      <w:r w:rsidR="00015DED">
        <w:rPr>
          <w:rFonts w:eastAsiaTheme="minorEastAsia"/>
        </w:rPr>
        <w:t xml:space="preserve">du vieillissement de la </w:t>
      </w:r>
      <w:r w:rsidR="00015DED" w:rsidRPr="00015DED">
        <w:rPr>
          <w:rFonts w:eastAsiaTheme="minorEastAsia"/>
        </w:rPr>
        <w:t xml:space="preserve">population </w:t>
      </w:r>
      <w:r w:rsidR="00015DED">
        <w:rPr>
          <w:rFonts w:eastAsiaTheme="minorEastAsia"/>
        </w:rPr>
        <w:t>détentrice et du nombre restreint d</w:t>
      </w:r>
      <w:r w:rsidR="00346F1B">
        <w:rPr>
          <w:rFonts w:eastAsiaTheme="minorEastAsia"/>
        </w:rPr>
        <w:t>’</w:t>
      </w:r>
      <w:r w:rsidR="00015DED">
        <w:rPr>
          <w:rFonts w:eastAsiaTheme="minorEastAsia"/>
        </w:rPr>
        <w:t>autres sources de connaissances pour les nouvelles générations. L</w:t>
      </w:r>
      <w:r w:rsidR="00346F1B">
        <w:rPr>
          <w:rFonts w:eastAsiaTheme="minorEastAsia"/>
        </w:rPr>
        <w:t>’</w:t>
      </w:r>
      <w:r w:rsidR="00015DED">
        <w:rPr>
          <w:rFonts w:eastAsiaTheme="minorEastAsia"/>
        </w:rPr>
        <w:t>Organe d</w:t>
      </w:r>
      <w:r w:rsidR="00346F1B">
        <w:rPr>
          <w:rFonts w:eastAsiaTheme="minorEastAsia"/>
        </w:rPr>
        <w:t>’</w:t>
      </w:r>
      <w:r w:rsidR="00015DED">
        <w:rPr>
          <w:rFonts w:eastAsiaTheme="minorEastAsia"/>
        </w:rPr>
        <w:t xml:space="preserve">évaluation avait décidé que les </w:t>
      </w:r>
      <w:r w:rsidR="00015DED" w:rsidRPr="00015DED">
        <w:rPr>
          <w:rFonts w:eastAsiaTheme="minorEastAsia"/>
        </w:rPr>
        <w:t>informations</w:t>
      </w:r>
      <w:r w:rsidR="00015DED">
        <w:rPr>
          <w:rFonts w:eastAsiaTheme="minorEastAsia"/>
        </w:rPr>
        <w:t xml:space="preserve"> communiquées étaient suffisantes pour décider que les cinq critères étaient satisfaits. Le dossier démontrait correctement comment la </w:t>
      </w:r>
      <w:r w:rsidR="00015DED" w:rsidRPr="00015DED">
        <w:rPr>
          <w:rFonts w:eastAsiaTheme="minorEastAsia"/>
        </w:rPr>
        <w:t>viabilité</w:t>
      </w:r>
      <w:r w:rsidR="00015DED">
        <w:rPr>
          <w:rFonts w:eastAsiaTheme="minorEastAsia"/>
        </w:rPr>
        <w:t xml:space="preserve"> de l</w:t>
      </w:r>
      <w:r w:rsidR="00346F1B">
        <w:rPr>
          <w:rFonts w:eastAsiaTheme="minorEastAsia"/>
        </w:rPr>
        <w:t>’</w:t>
      </w:r>
      <w:r w:rsidR="00015DED" w:rsidRPr="00015DED">
        <w:rPr>
          <w:rFonts w:eastAsiaTheme="minorEastAsia"/>
        </w:rPr>
        <w:t>élément</w:t>
      </w:r>
      <w:r w:rsidR="00015DED">
        <w:rPr>
          <w:rFonts w:eastAsiaTheme="minorEastAsia"/>
        </w:rPr>
        <w:t xml:space="preserve"> était menacée et présentait un plan détaillé centré autour des trois groupes </w:t>
      </w:r>
      <w:r w:rsidR="001745BD">
        <w:rPr>
          <w:rFonts w:eastAsiaTheme="minorEastAsia"/>
        </w:rPr>
        <w:t xml:space="preserve">encore </w:t>
      </w:r>
      <w:r w:rsidR="00015DED">
        <w:rPr>
          <w:rFonts w:eastAsiaTheme="minorEastAsia"/>
        </w:rPr>
        <w:t>actifs de chanteurs. L</w:t>
      </w:r>
      <w:r w:rsidR="00346F1B">
        <w:rPr>
          <w:rFonts w:eastAsiaTheme="minorEastAsia"/>
        </w:rPr>
        <w:t>’</w:t>
      </w:r>
      <w:r w:rsidR="00015DED">
        <w:rPr>
          <w:rFonts w:eastAsiaTheme="minorEastAsia"/>
        </w:rPr>
        <w:t>Organe d</w:t>
      </w:r>
      <w:r w:rsidR="00346F1B">
        <w:rPr>
          <w:rFonts w:eastAsiaTheme="minorEastAsia"/>
        </w:rPr>
        <w:t>’</w:t>
      </w:r>
      <w:r w:rsidR="00015DED">
        <w:rPr>
          <w:rFonts w:eastAsiaTheme="minorEastAsia"/>
        </w:rPr>
        <w:t>évaluation avait donc décidé de recommander l</w:t>
      </w:r>
      <w:r w:rsidR="00346F1B">
        <w:rPr>
          <w:rFonts w:eastAsiaTheme="minorEastAsia"/>
        </w:rPr>
        <w:t>’</w:t>
      </w:r>
      <w:r w:rsidR="00015DED" w:rsidRPr="00015DED">
        <w:rPr>
          <w:rFonts w:eastAsiaTheme="minorEastAsia"/>
        </w:rPr>
        <w:t>inscription</w:t>
      </w:r>
      <w:r w:rsidR="00015DED">
        <w:rPr>
          <w:rFonts w:eastAsiaTheme="minorEastAsia"/>
        </w:rPr>
        <w:t xml:space="preserve"> des chants cosaques de la région de Dnipropetrovsk sur </w:t>
      </w:r>
      <w:r w:rsidR="00B869BF">
        <w:rPr>
          <w:rFonts w:eastAsiaTheme="minorEastAsia"/>
        </w:rPr>
        <w:t>la Liste de sauvegarde urgente.</w:t>
      </w:r>
    </w:p>
    <w:p w14:paraId="686A1A63" w14:textId="5BF77B19" w:rsidR="001745BD" w:rsidRPr="001745BD" w:rsidRDefault="001745BD" w:rsidP="00E94D39">
      <w:pPr>
        <w:pStyle w:val="Orateurengris"/>
        <w:spacing w:before="120"/>
        <w:ind w:left="709" w:hanging="709"/>
        <w:rPr>
          <w:rFonts w:eastAsiaTheme="minorEastAsia"/>
        </w:rPr>
      </w:pPr>
      <w:r>
        <w:rPr>
          <w:rFonts w:eastAsiaTheme="minorEastAsia"/>
        </w:rPr>
        <w:t xml:space="preserve">Le </w:t>
      </w:r>
      <w:r w:rsidRPr="001745BD">
        <w:rPr>
          <w:rFonts w:eastAsiaTheme="minorEastAsia"/>
          <w:b/>
        </w:rPr>
        <w:t>Président</w:t>
      </w:r>
      <w:r>
        <w:rPr>
          <w:rFonts w:eastAsiaTheme="minorEastAsia"/>
        </w:rPr>
        <w:t xml:space="preserve"> a remercié le </w:t>
      </w:r>
      <w:r w:rsidR="00754EC3">
        <w:rPr>
          <w:rFonts w:eastAsiaTheme="minorEastAsia"/>
        </w:rPr>
        <w:t>Vice-Président</w:t>
      </w:r>
      <w:r>
        <w:rPr>
          <w:rFonts w:eastAsiaTheme="minorEastAsia"/>
        </w:rPr>
        <w:t xml:space="preserve"> pour l</w:t>
      </w:r>
      <w:r w:rsidR="00346F1B">
        <w:rPr>
          <w:rFonts w:eastAsiaTheme="minorEastAsia"/>
        </w:rPr>
        <w:t>’</w:t>
      </w:r>
      <w:r>
        <w:rPr>
          <w:rFonts w:eastAsiaTheme="minorEastAsia"/>
        </w:rPr>
        <w:t>explication détaillée et, en l</w:t>
      </w:r>
      <w:r w:rsidR="00346F1B">
        <w:rPr>
          <w:rFonts w:eastAsiaTheme="minorEastAsia"/>
        </w:rPr>
        <w:t>’</w:t>
      </w:r>
      <w:r>
        <w:rPr>
          <w:rFonts w:eastAsiaTheme="minorEastAsia"/>
        </w:rPr>
        <w:t>absence de demandes d</w:t>
      </w:r>
      <w:r w:rsidR="00346F1B">
        <w:rPr>
          <w:rFonts w:eastAsiaTheme="minorEastAsia"/>
        </w:rPr>
        <w:t>’</w:t>
      </w:r>
      <w:r w:rsidRPr="001745BD">
        <w:rPr>
          <w:rFonts w:eastAsiaTheme="minorEastAsia"/>
        </w:rPr>
        <w:t>amendement</w:t>
      </w:r>
      <w:r>
        <w:rPr>
          <w:rFonts w:eastAsiaTheme="minorEastAsia"/>
        </w:rPr>
        <w:t>, a proposé d</w:t>
      </w:r>
      <w:r w:rsidR="00346F1B">
        <w:rPr>
          <w:rFonts w:eastAsiaTheme="minorEastAsia"/>
        </w:rPr>
        <w:t>’</w:t>
      </w:r>
      <w:r>
        <w:rPr>
          <w:rFonts w:eastAsiaTheme="minorEastAsia"/>
        </w:rPr>
        <w:t xml:space="preserve">adopter le projet de décision dans son </w:t>
      </w:r>
      <w:r w:rsidRPr="001745BD">
        <w:rPr>
          <w:rFonts w:eastAsiaTheme="minorEastAsia"/>
        </w:rPr>
        <w:t>ensemble</w:t>
      </w:r>
      <w:r>
        <w:rPr>
          <w:rFonts w:eastAsiaTheme="minorEastAsia"/>
        </w:rPr>
        <w:t>. En l</w:t>
      </w:r>
      <w:r w:rsidR="00346F1B">
        <w:rPr>
          <w:rFonts w:eastAsiaTheme="minorEastAsia"/>
        </w:rPr>
        <w:t>’</w:t>
      </w:r>
      <w:r>
        <w:rPr>
          <w:rFonts w:eastAsiaTheme="minorEastAsia"/>
        </w:rPr>
        <w:t>absence de commentaires ou d</w:t>
      </w:r>
      <w:r w:rsidR="00346F1B">
        <w:rPr>
          <w:rFonts w:eastAsiaTheme="minorEastAsia"/>
        </w:rPr>
        <w:t>’</w:t>
      </w:r>
      <w:r>
        <w:rPr>
          <w:rFonts w:eastAsiaTheme="minorEastAsia"/>
        </w:rPr>
        <w:t xml:space="preserve">objections, le </w:t>
      </w:r>
      <w:r w:rsidRPr="001745BD">
        <w:rPr>
          <w:rFonts w:eastAsiaTheme="minorEastAsia"/>
          <w:b/>
        </w:rPr>
        <w:t>Président a déc</w:t>
      </w:r>
      <w:r w:rsidR="00874F06">
        <w:rPr>
          <w:rFonts w:eastAsiaTheme="minorEastAsia"/>
          <w:b/>
        </w:rPr>
        <w:t xml:space="preserve">laré adoptée la décision 11.COM </w:t>
      </w:r>
      <w:r w:rsidRPr="001745BD">
        <w:rPr>
          <w:rFonts w:eastAsiaTheme="minorEastAsia"/>
          <w:b/>
        </w:rPr>
        <w:t>10.a.5 d</w:t>
      </w:r>
      <w:r w:rsidR="00346F1B">
        <w:rPr>
          <w:rFonts w:eastAsiaTheme="minorEastAsia"/>
          <w:b/>
        </w:rPr>
        <w:t>’</w:t>
      </w:r>
      <w:r w:rsidRPr="001745BD">
        <w:rPr>
          <w:rFonts w:eastAsiaTheme="minorEastAsia"/>
          <w:b/>
        </w:rPr>
        <w:t>inscrire les chants cosaques de la région de Dnipropetrovsk sur la Liste du patrimoine culturel immatériel nécessitant une sauvegarde urgente</w:t>
      </w:r>
      <w:r w:rsidR="00B869BF">
        <w:rPr>
          <w:rFonts w:eastAsiaTheme="minorEastAsia"/>
        </w:rPr>
        <w:t>.</w:t>
      </w:r>
    </w:p>
    <w:p w14:paraId="489286E5" w14:textId="38B5046C" w:rsidR="00EE43A4" w:rsidRPr="00EE43A4" w:rsidRDefault="001745BD" w:rsidP="00E94D39">
      <w:pPr>
        <w:pStyle w:val="Orateurengris"/>
        <w:spacing w:before="120"/>
        <w:ind w:left="709" w:hanging="709"/>
        <w:rPr>
          <w:rFonts w:eastAsiaTheme="minorEastAsia"/>
          <w:lang w:bidi="en-US"/>
        </w:rPr>
      </w:pPr>
      <w:r>
        <w:rPr>
          <w:rFonts w:eastAsiaTheme="minorEastAsia"/>
          <w:lang w:bidi="en-US"/>
        </w:rPr>
        <w:t xml:space="preserve">La </w:t>
      </w:r>
      <w:r w:rsidRPr="001745BD">
        <w:rPr>
          <w:rFonts w:eastAsiaTheme="minorEastAsia"/>
          <w:lang w:bidi="en-US"/>
        </w:rPr>
        <w:t>délégation</w:t>
      </w:r>
      <w:r>
        <w:rPr>
          <w:rFonts w:eastAsiaTheme="minorEastAsia"/>
          <w:lang w:bidi="en-US"/>
        </w:rPr>
        <w:t xml:space="preserve"> de l</w:t>
      </w:r>
      <w:r w:rsidR="00346F1B">
        <w:rPr>
          <w:rFonts w:eastAsiaTheme="minorEastAsia"/>
          <w:lang w:bidi="en-US"/>
        </w:rPr>
        <w:t>’</w:t>
      </w:r>
      <w:r w:rsidRPr="001745BD">
        <w:rPr>
          <w:rFonts w:eastAsiaTheme="minorEastAsia"/>
          <w:b/>
          <w:lang w:bidi="en-US"/>
        </w:rPr>
        <w:t>Ukraine</w:t>
      </w:r>
      <w:r>
        <w:rPr>
          <w:rFonts w:eastAsiaTheme="minorEastAsia"/>
          <w:lang w:bidi="en-US"/>
        </w:rPr>
        <w:t xml:space="preserve"> a exprimé sa </w:t>
      </w:r>
      <w:r w:rsidRPr="001745BD">
        <w:rPr>
          <w:rFonts w:eastAsiaTheme="minorEastAsia"/>
          <w:lang w:bidi="en-US"/>
        </w:rPr>
        <w:t>reconnaissance</w:t>
      </w:r>
      <w:r>
        <w:rPr>
          <w:rFonts w:eastAsiaTheme="minorEastAsia"/>
          <w:lang w:bidi="en-US"/>
        </w:rPr>
        <w:t xml:space="preserve"> pour le soutien accordé à la </w:t>
      </w:r>
      <w:r w:rsidRPr="001745BD">
        <w:rPr>
          <w:rFonts w:eastAsiaTheme="minorEastAsia"/>
          <w:lang w:bidi="en-US"/>
        </w:rPr>
        <w:t>candidature</w:t>
      </w:r>
      <w:r>
        <w:rPr>
          <w:rFonts w:eastAsiaTheme="minorEastAsia"/>
          <w:lang w:bidi="en-US"/>
        </w:rPr>
        <w:t xml:space="preserve"> et a adressé ses remerciements à l</w:t>
      </w:r>
      <w:r w:rsidR="00346F1B">
        <w:rPr>
          <w:rFonts w:eastAsiaTheme="minorEastAsia"/>
          <w:lang w:bidi="en-US"/>
        </w:rPr>
        <w:t>’</w:t>
      </w:r>
      <w:r>
        <w:rPr>
          <w:rFonts w:eastAsiaTheme="minorEastAsia"/>
          <w:lang w:bidi="en-US"/>
        </w:rPr>
        <w:t>Organe d</w:t>
      </w:r>
      <w:r w:rsidR="00346F1B">
        <w:rPr>
          <w:rFonts w:eastAsiaTheme="minorEastAsia"/>
          <w:lang w:bidi="en-US"/>
        </w:rPr>
        <w:t>’</w:t>
      </w:r>
      <w:r>
        <w:rPr>
          <w:rFonts w:eastAsiaTheme="minorEastAsia"/>
          <w:lang w:bidi="en-US"/>
        </w:rPr>
        <w:t>évaluation pour son travail et l</w:t>
      </w:r>
      <w:r w:rsidR="00346F1B">
        <w:rPr>
          <w:rFonts w:eastAsiaTheme="minorEastAsia"/>
          <w:lang w:bidi="en-US"/>
        </w:rPr>
        <w:t>’</w:t>
      </w:r>
      <w:r>
        <w:rPr>
          <w:rFonts w:eastAsiaTheme="minorEastAsia"/>
          <w:lang w:bidi="en-US"/>
        </w:rPr>
        <w:t>examen attentif de son dossier, au Comité pour son soutien et sa confiance, au Secrétariat pour toute son aide, ainsi qu</w:t>
      </w:r>
      <w:r w:rsidR="00346F1B">
        <w:rPr>
          <w:rFonts w:eastAsiaTheme="minorEastAsia"/>
          <w:lang w:bidi="en-US"/>
        </w:rPr>
        <w:t>’</w:t>
      </w:r>
      <w:r>
        <w:rPr>
          <w:rFonts w:eastAsiaTheme="minorEastAsia"/>
          <w:lang w:bidi="en-US"/>
        </w:rPr>
        <w:t xml:space="preserve">aux experts pour leur </w:t>
      </w:r>
      <w:r w:rsidRPr="001745BD">
        <w:rPr>
          <w:rFonts w:eastAsiaTheme="minorEastAsia"/>
          <w:lang w:bidi="en-US"/>
        </w:rPr>
        <w:t>participation</w:t>
      </w:r>
      <w:r>
        <w:rPr>
          <w:rFonts w:eastAsiaTheme="minorEastAsia"/>
          <w:lang w:bidi="en-US"/>
        </w:rPr>
        <w:t xml:space="preserve"> active à la </w:t>
      </w:r>
      <w:r w:rsidRPr="001745BD">
        <w:rPr>
          <w:rFonts w:eastAsiaTheme="minorEastAsia"/>
          <w:lang w:bidi="en-US"/>
        </w:rPr>
        <w:t>préparation</w:t>
      </w:r>
      <w:r>
        <w:rPr>
          <w:rFonts w:eastAsiaTheme="minorEastAsia"/>
          <w:lang w:bidi="en-US"/>
        </w:rPr>
        <w:t xml:space="preserve"> du dossier. Il a </w:t>
      </w:r>
      <w:r w:rsidRPr="001745BD">
        <w:rPr>
          <w:rFonts w:eastAsiaTheme="minorEastAsia"/>
          <w:lang w:bidi="en-US"/>
        </w:rPr>
        <w:t>également</w:t>
      </w:r>
      <w:r>
        <w:rPr>
          <w:rFonts w:eastAsiaTheme="minorEastAsia"/>
          <w:lang w:bidi="en-US"/>
        </w:rPr>
        <w:t xml:space="preserve"> remercié l</w:t>
      </w:r>
      <w:r w:rsidR="00346F1B">
        <w:rPr>
          <w:rFonts w:eastAsiaTheme="minorEastAsia"/>
          <w:lang w:bidi="en-US"/>
        </w:rPr>
        <w:t>’</w:t>
      </w:r>
      <w:r w:rsidRPr="001745BD">
        <w:rPr>
          <w:rFonts w:eastAsiaTheme="minorEastAsia"/>
          <w:lang w:bidi="en-US"/>
        </w:rPr>
        <w:t>Éthiopie</w:t>
      </w:r>
      <w:r>
        <w:rPr>
          <w:rFonts w:eastAsiaTheme="minorEastAsia"/>
          <w:lang w:bidi="en-US"/>
        </w:rPr>
        <w:t xml:space="preserve"> pour sa généreuse hospitalité et l</w:t>
      </w:r>
      <w:r w:rsidR="00346F1B">
        <w:rPr>
          <w:rFonts w:eastAsiaTheme="minorEastAsia"/>
          <w:lang w:bidi="en-US"/>
        </w:rPr>
        <w:t>’</w:t>
      </w:r>
      <w:r w:rsidRPr="001745BD">
        <w:rPr>
          <w:rFonts w:eastAsiaTheme="minorEastAsia"/>
          <w:lang w:bidi="en-US"/>
        </w:rPr>
        <w:t>organisation</w:t>
      </w:r>
      <w:r>
        <w:rPr>
          <w:rFonts w:eastAsiaTheme="minorEastAsia"/>
          <w:lang w:bidi="en-US"/>
        </w:rPr>
        <w:t xml:space="preserve"> de la session. La plupart des </w:t>
      </w:r>
      <w:r w:rsidRPr="001745BD">
        <w:rPr>
          <w:rFonts w:eastAsiaTheme="minorEastAsia"/>
          <w:lang w:bidi="en-US"/>
        </w:rPr>
        <w:t>détenteurs</w:t>
      </w:r>
      <w:r>
        <w:rPr>
          <w:rFonts w:eastAsiaTheme="minorEastAsia"/>
          <w:lang w:bidi="en-US"/>
        </w:rPr>
        <w:t xml:space="preserve"> de l</w:t>
      </w:r>
      <w:r w:rsidR="00346F1B">
        <w:rPr>
          <w:rFonts w:eastAsiaTheme="minorEastAsia"/>
          <w:lang w:bidi="en-US"/>
        </w:rPr>
        <w:t>’</w:t>
      </w:r>
      <w:r w:rsidRPr="001745BD">
        <w:rPr>
          <w:rFonts w:eastAsiaTheme="minorEastAsia"/>
          <w:lang w:bidi="en-US"/>
        </w:rPr>
        <w:t>élément</w:t>
      </w:r>
      <w:r>
        <w:rPr>
          <w:rFonts w:eastAsiaTheme="minorEastAsia"/>
          <w:lang w:bidi="en-US"/>
        </w:rPr>
        <w:t xml:space="preserve"> étaient des femmes, et nombre d</w:t>
      </w:r>
      <w:r w:rsidR="00346F1B">
        <w:rPr>
          <w:rFonts w:eastAsiaTheme="minorEastAsia"/>
          <w:lang w:bidi="en-US"/>
        </w:rPr>
        <w:t>’</w:t>
      </w:r>
      <w:r>
        <w:rPr>
          <w:rFonts w:eastAsiaTheme="minorEastAsia"/>
          <w:lang w:bidi="en-US"/>
        </w:rPr>
        <w:t>entre elles appartenaient à l</w:t>
      </w:r>
      <w:r w:rsidR="00346F1B">
        <w:rPr>
          <w:rFonts w:eastAsiaTheme="minorEastAsia"/>
          <w:lang w:bidi="en-US"/>
        </w:rPr>
        <w:t>’</w:t>
      </w:r>
      <w:r>
        <w:rPr>
          <w:rFonts w:eastAsiaTheme="minorEastAsia"/>
          <w:lang w:bidi="en-US"/>
        </w:rPr>
        <w:t xml:space="preserve">ancienne génération. Cette </w:t>
      </w:r>
      <w:r w:rsidRPr="001745BD">
        <w:rPr>
          <w:rFonts w:eastAsiaTheme="minorEastAsia"/>
          <w:lang w:bidi="en-US"/>
        </w:rPr>
        <w:t>inscription</w:t>
      </w:r>
      <w:r>
        <w:rPr>
          <w:rFonts w:eastAsiaTheme="minorEastAsia"/>
          <w:lang w:bidi="en-US"/>
        </w:rPr>
        <w:t xml:space="preserve"> constituait une </w:t>
      </w:r>
      <w:r w:rsidRPr="001745BD">
        <w:rPr>
          <w:rFonts w:eastAsiaTheme="minorEastAsia"/>
          <w:lang w:bidi="en-US"/>
        </w:rPr>
        <w:t>reconnaissance</w:t>
      </w:r>
      <w:r>
        <w:rPr>
          <w:rFonts w:eastAsiaTheme="minorEastAsia"/>
          <w:lang w:bidi="en-US"/>
        </w:rPr>
        <w:t xml:space="preserve"> de leurs ancêtres et des traditions vivantes qui étaient transmises de génération en génération. </w:t>
      </w:r>
      <w:r w:rsidR="00EE43A4">
        <w:rPr>
          <w:rFonts w:eastAsiaTheme="minorEastAsia"/>
          <w:lang w:bidi="en-US"/>
        </w:rPr>
        <w:t xml:space="preserve">Les communautés étaient tout </w:t>
      </w:r>
      <w:r w:rsidR="00EE43A4" w:rsidRPr="00EE43A4">
        <w:rPr>
          <w:rFonts w:eastAsiaTheme="minorEastAsia"/>
          <w:lang w:bidi="en-US"/>
        </w:rPr>
        <w:t>particulièrement</w:t>
      </w:r>
      <w:r w:rsidR="00EE43A4">
        <w:rPr>
          <w:rFonts w:eastAsiaTheme="minorEastAsia"/>
          <w:lang w:bidi="en-US"/>
        </w:rPr>
        <w:t xml:space="preserve"> heureuses d</w:t>
      </w:r>
      <w:r w:rsidR="00346F1B">
        <w:rPr>
          <w:rFonts w:eastAsiaTheme="minorEastAsia"/>
          <w:lang w:bidi="en-US"/>
        </w:rPr>
        <w:t>’</w:t>
      </w:r>
      <w:r w:rsidR="00EE43A4">
        <w:rPr>
          <w:rFonts w:eastAsiaTheme="minorEastAsia"/>
          <w:lang w:bidi="en-US"/>
        </w:rPr>
        <w:t>avoir la chance de voir leur élément reconnu et respecté. Il s</w:t>
      </w:r>
      <w:r w:rsidR="00346F1B">
        <w:rPr>
          <w:rFonts w:eastAsiaTheme="minorEastAsia"/>
          <w:lang w:bidi="en-US"/>
        </w:rPr>
        <w:t>’</w:t>
      </w:r>
      <w:r w:rsidR="00EE43A4">
        <w:rPr>
          <w:rFonts w:eastAsiaTheme="minorEastAsia"/>
          <w:lang w:bidi="en-US"/>
        </w:rPr>
        <w:t>agissait là d</w:t>
      </w:r>
      <w:r w:rsidR="00346F1B">
        <w:rPr>
          <w:rFonts w:eastAsiaTheme="minorEastAsia"/>
          <w:lang w:bidi="en-US"/>
        </w:rPr>
        <w:t>’</w:t>
      </w:r>
      <w:r w:rsidR="00EE43A4">
        <w:rPr>
          <w:rFonts w:eastAsiaTheme="minorEastAsia"/>
          <w:lang w:bidi="en-US"/>
        </w:rPr>
        <w:t xml:space="preserve">un événement </w:t>
      </w:r>
      <w:r w:rsidR="00EE43A4" w:rsidRPr="00EE43A4">
        <w:rPr>
          <w:rFonts w:eastAsiaTheme="minorEastAsia"/>
          <w:lang w:bidi="en-US"/>
        </w:rPr>
        <w:t>exceptionnel</w:t>
      </w:r>
      <w:r w:rsidR="00EE43A4">
        <w:rPr>
          <w:rFonts w:eastAsiaTheme="minorEastAsia"/>
          <w:lang w:bidi="en-US"/>
        </w:rPr>
        <w:t xml:space="preserve"> pour l</w:t>
      </w:r>
      <w:r w:rsidR="00346F1B">
        <w:rPr>
          <w:rFonts w:eastAsiaTheme="minorEastAsia"/>
          <w:lang w:bidi="en-US"/>
        </w:rPr>
        <w:t>’</w:t>
      </w:r>
      <w:r w:rsidR="00EE43A4">
        <w:rPr>
          <w:rFonts w:eastAsiaTheme="minorEastAsia"/>
          <w:lang w:bidi="en-US"/>
        </w:rPr>
        <w:t xml:space="preserve">Ukraine et le peuple ukrainien, </w:t>
      </w:r>
      <w:r w:rsidR="00EE43A4" w:rsidRPr="00EE43A4">
        <w:rPr>
          <w:rFonts w:eastAsiaTheme="minorEastAsia"/>
          <w:lang w:bidi="en-US"/>
        </w:rPr>
        <w:t>en particulier</w:t>
      </w:r>
      <w:r w:rsidR="00EE43A4">
        <w:rPr>
          <w:rFonts w:eastAsiaTheme="minorEastAsia"/>
          <w:lang w:bidi="en-US"/>
        </w:rPr>
        <w:t xml:space="preserve"> en raison de la </w:t>
      </w:r>
      <w:r w:rsidR="00EE43A4" w:rsidRPr="00EE43A4">
        <w:rPr>
          <w:rFonts w:eastAsiaTheme="minorEastAsia"/>
          <w:lang w:bidi="en-US"/>
        </w:rPr>
        <w:t xml:space="preserve">signification </w:t>
      </w:r>
      <w:r w:rsidR="00EE43A4">
        <w:rPr>
          <w:rFonts w:eastAsiaTheme="minorEastAsia"/>
          <w:lang w:bidi="en-US"/>
        </w:rPr>
        <w:t>patriotique des chants cosaques. L</w:t>
      </w:r>
      <w:r w:rsidR="00346F1B">
        <w:rPr>
          <w:rFonts w:eastAsiaTheme="minorEastAsia"/>
          <w:lang w:bidi="en-US"/>
        </w:rPr>
        <w:t>’</w:t>
      </w:r>
      <w:r w:rsidR="00EE43A4" w:rsidRPr="00EE43A4">
        <w:rPr>
          <w:rFonts w:eastAsiaTheme="minorEastAsia"/>
          <w:lang w:bidi="en-US"/>
        </w:rPr>
        <w:t>inscription</w:t>
      </w:r>
      <w:r w:rsidR="00EE43A4">
        <w:rPr>
          <w:rFonts w:eastAsiaTheme="minorEastAsia"/>
          <w:lang w:bidi="en-US"/>
        </w:rPr>
        <w:t xml:space="preserve"> renforcerait l</w:t>
      </w:r>
      <w:r w:rsidR="00346F1B">
        <w:rPr>
          <w:rFonts w:eastAsiaTheme="minorEastAsia"/>
          <w:lang w:bidi="en-US"/>
        </w:rPr>
        <w:t>’</w:t>
      </w:r>
      <w:r w:rsidR="00EE43A4">
        <w:rPr>
          <w:rFonts w:eastAsiaTheme="minorEastAsia"/>
          <w:lang w:bidi="en-US"/>
        </w:rPr>
        <w:t xml:space="preserve">identité nationale et la dignité, non seulement de la </w:t>
      </w:r>
      <w:r w:rsidR="00EE43A4" w:rsidRPr="00EE43A4">
        <w:rPr>
          <w:rFonts w:eastAsiaTheme="minorEastAsia"/>
          <w:lang w:bidi="en-US"/>
        </w:rPr>
        <w:t>communauté</w:t>
      </w:r>
      <w:r w:rsidR="00EE43A4">
        <w:rPr>
          <w:rFonts w:eastAsiaTheme="minorEastAsia"/>
          <w:lang w:bidi="en-US"/>
        </w:rPr>
        <w:t xml:space="preserve"> locale et régionale mais </w:t>
      </w:r>
      <w:r w:rsidR="00EE43A4" w:rsidRPr="00EE43A4">
        <w:rPr>
          <w:rFonts w:eastAsiaTheme="minorEastAsia"/>
          <w:lang w:bidi="en-US"/>
        </w:rPr>
        <w:t>également</w:t>
      </w:r>
      <w:r w:rsidR="00EE43A4">
        <w:rPr>
          <w:rFonts w:eastAsiaTheme="minorEastAsia"/>
          <w:lang w:bidi="en-US"/>
        </w:rPr>
        <w:t xml:space="preserve"> de toute la nation. La </w:t>
      </w:r>
      <w:r w:rsidR="00EE43A4" w:rsidRPr="00EE43A4">
        <w:rPr>
          <w:rFonts w:eastAsiaTheme="minorEastAsia"/>
          <w:lang w:bidi="en-US"/>
        </w:rPr>
        <w:t>délégation</w:t>
      </w:r>
      <w:r w:rsidR="00EE43A4">
        <w:rPr>
          <w:rFonts w:eastAsiaTheme="minorEastAsia"/>
          <w:lang w:bidi="en-US"/>
        </w:rPr>
        <w:t xml:space="preserve"> a confirmé sa volonté de suivre les recommandations de l</w:t>
      </w:r>
      <w:r w:rsidR="00346F1B">
        <w:rPr>
          <w:rFonts w:eastAsiaTheme="minorEastAsia"/>
          <w:lang w:bidi="en-US"/>
        </w:rPr>
        <w:t>’</w:t>
      </w:r>
      <w:r w:rsidR="00EE43A4">
        <w:rPr>
          <w:rFonts w:eastAsiaTheme="minorEastAsia"/>
          <w:lang w:bidi="en-US"/>
        </w:rPr>
        <w:t>Organe d</w:t>
      </w:r>
      <w:r w:rsidR="00346F1B">
        <w:rPr>
          <w:rFonts w:eastAsiaTheme="minorEastAsia"/>
          <w:lang w:bidi="en-US"/>
        </w:rPr>
        <w:t>’</w:t>
      </w:r>
      <w:r w:rsidR="00EE43A4">
        <w:rPr>
          <w:rFonts w:eastAsiaTheme="minorEastAsia"/>
          <w:lang w:bidi="en-US"/>
        </w:rPr>
        <w:t xml:space="preserve">évaluation, </w:t>
      </w:r>
      <w:r w:rsidR="00EE43A4" w:rsidRPr="00EE43A4">
        <w:rPr>
          <w:rFonts w:eastAsiaTheme="minorEastAsia"/>
          <w:lang w:bidi="en-US"/>
        </w:rPr>
        <w:t>en particulier</w:t>
      </w:r>
      <w:r w:rsidR="00EE43A4">
        <w:rPr>
          <w:rFonts w:eastAsiaTheme="minorEastAsia"/>
          <w:lang w:bidi="en-US"/>
        </w:rPr>
        <w:t xml:space="preserve"> s</w:t>
      </w:r>
      <w:r w:rsidR="00346F1B">
        <w:rPr>
          <w:rFonts w:eastAsiaTheme="minorEastAsia"/>
          <w:lang w:bidi="en-US"/>
        </w:rPr>
        <w:t>’</w:t>
      </w:r>
      <w:r w:rsidR="00EE43A4">
        <w:rPr>
          <w:rFonts w:eastAsiaTheme="minorEastAsia"/>
          <w:lang w:bidi="en-US"/>
        </w:rPr>
        <w:t xml:space="preserve">agissant de la </w:t>
      </w:r>
      <w:r w:rsidR="00EE43A4" w:rsidRPr="00EE43A4">
        <w:rPr>
          <w:rFonts w:eastAsiaTheme="minorEastAsia"/>
          <w:lang w:bidi="en-US"/>
        </w:rPr>
        <w:t>participation</w:t>
      </w:r>
      <w:r w:rsidR="00EE43A4">
        <w:rPr>
          <w:rFonts w:eastAsiaTheme="minorEastAsia"/>
          <w:lang w:bidi="en-US"/>
        </w:rPr>
        <w:t xml:space="preserve"> des communautés à la mise en œuvre du plan de sa</w:t>
      </w:r>
      <w:r w:rsidR="00A90012">
        <w:rPr>
          <w:rFonts w:eastAsiaTheme="minorEastAsia"/>
          <w:lang w:bidi="en-US"/>
        </w:rPr>
        <w:t>uvegarde et des autres mesures.</w:t>
      </w:r>
    </w:p>
    <w:p w14:paraId="4FB2956F" w14:textId="0AF70935" w:rsidR="00EE43A4" w:rsidRDefault="00EE43A4" w:rsidP="00E94D39">
      <w:pPr>
        <w:pStyle w:val="Orateurengris"/>
        <w:spacing w:before="120"/>
        <w:ind w:left="709" w:hanging="709"/>
        <w:rPr>
          <w:rFonts w:eastAsiaTheme="minorEastAsia"/>
        </w:rPr>
      </w:pPr>
      <w:r>
        <w:rPr>
          <w:rFonts w:eastAsiaTheme="minorEastAsia"/>
        </w:rPr>
        <w:t>Après avoir remercié l</w:t>
      </w:r>
      <w:r w:rsidR="00346F1B">
        <w:rPr>
          <w:rFonts w:eastAsiaTheme="minorEastAsia"/>
        </w:rPr>
        <w:t>’</w:t>
      </w:r>
      <w:r>
        <w:rPr>
          <w:rFonts w:eastAsiaTheme="minorEastAsia"/>
        </w:rPr>
        <w:t xml:space="preserve">Ukraine, le </w:t>
      </w:r>
      <w:r w:rsidRPr="00EE43A4">
        <w:rPr>
          <w:rFonts w:eastAsiaTheme="minorEastAsia"/>
          <w:b/>
        </w:rPr>
        <w:t>Président</w:t>
      </w:r>
      <w:r>
        <w:rPr>
          <w:rFonts w:eastAsiaTheme="minorEastAsia"/>
        </w:rPr>
        <w:t xml:space="preserve"> a clos la séance du jour, ajoutant que la prochaine séance débuterait avec l</w:t>
      </w:r>
      <w:r w:rsidR="00346F1B">
        <w:rPr>
          <w:rFonts w:eastAsiaTheme="minorEastAsia"/>
        </w:rPr>
        <w:t>’</w:t>
      </w:r>
      <w:r>
        <w:rPr>
          <w:rFonts w:eastAsiaTheme="minorEastAsia"/>
        </w:rPr>
        <w:t xml:space="preserve">examen du dossier suivant, soumis par le Cambodge. Il a donné la parole au </w:t>
      </w:r>
      <w:r w:rsidRPr="00EE43A4">
        <w:rPr>
          <w:rFonts w:eastAsiaTheme="minorEastAsia"/>
        </w:rPr>
        <w:t>Secrétaire</w:t>
      </w:r>
      <w:r>
        <w:rPr>
          <w:rFonts w:eastAsiaTheme="minorEastAsia"/>
        </w:rPr>
        <w:t xml:space="preserve"> pour quelques annonces d</w:t>
      </w:r>
      <w:r w:rsidR="00346F1B">
        <w:rPr>
          <w:rFonts w:eastAsiaTheme="minorEastAsia"/>
        </w:rPr>
        <w:t>’</w:t>
      </w:r>
      <w:r w:rsidR="00A90012">
        <w:rPr>
          <w:rFonts w:eastAsiaTheme="minorEastAsia"/>
        </w:rPr>
        <w:t>ordre pratique.</w:t>
      </w:r>
    </w:p>
    <w:p w14:paraId="7FD78893" w14:textId="0C5F5F5F" w:rsidR="00E872CE" w:rsidRPr="00A90012" w:rsidRDefault="00EE43A4" w:rsidP="00E94D39">
      <w:pPr>
        <w:pStyle w:val="Orateurengris"/>
        <w:spacing w:before="120"/>
        <w:ind w:left="709" w:hanging="709"/>
        <w:rPr>
          <w:rFonts w:eastAsiaTheme="minorEastAsia"/>
          <w:lang w:bidi="en-US"/>
        </w:rPr>
      </w:pPr>
      <w:r w:rsidRPr="00EE43A4">
        <w:rPr>
          <w:rFonts w:eastAsiaTheme="minorEastAsia"/>
          <w:lang w:bidi="en-US"/>
        </w:rPr>
        <w:t xml:space="preserve">Le </w:t>
      </w:r>
      <w:r w:rsidRPr="00EE43A4">
        <w:rPr>
          <w:rFonts w:eastAsiaTheme="minorEastAsia"/>
          <w:b/>
          <w:lang w:bidi="en-US"/>
        </w:rPr>
        <w:t>Secrétaire</w:t>
      </w:r>
      <w:r w:rsidRPr="00EE43A4">
        <w:rPr>
          <w:rFonts w:eastAsiaTheme="minorEastAsia"/>
          <w:lang w:bidi="en-US"/>
        </w:rPr>
        <w:t xml:space="preserve"> a r</w:t>
      </w:r>
      <w:r>
        <w:rPr>
          <w:rFonts w:eastAsiaTheme="minorEastAsia"/>
          <w:lang w:bidi="en-US"/>
        </w:rPr>
        <w:t xml:space="preserve">appelé aux </w:t>
      </w:r>
      <w:r w:rsidR="00A46CAD">
        <w:rPr>
          <w:rFonts w:eastAsiaTheme="minorEastAsia"/>
          <w:lang w:bidi="en-US"/>
        </w:rPr>
        <w:t>membres</w:t>
      </w:r>
      <w:r>
        <w:rPr>
          <w:rFonts w:eastAsiaTheme="minorEastAsia"/>
          <w:lang w:bidi="en-US"/>
        </w:rPr>
        <w:t xml:space="preserve"> du Bureau qu</w:t>
      </w:r>
      <w:r w:rsidR="00346F1B">
        <w:rPr>
          <w:rFonts w:eastAsiaTheme="minorEastAsia"/>
          <w:lang w:bidi="en-US"/>
        </w:rPr>
        <w:t>’</w:t>
      </w:r>
      <w:r>
        <w:rPr>
          <w:rFonts w:eastAsiaTheme="minorEastAsia"/>
          <w:lang w:bidi="en-US"/>
        </w:rPr>
        <w:t xml:space="preserve">ils devaient commencer à identifier de nouveaux </w:t>
      </w:r>
      <w:r w:rsidR="00A46CAD">
        <w:rPr>
          <w:rFonts w:eastAsiaTheme="minorEastAsia"/>
          <w:lang w:bidi="en-US"/>
        </w:rPr>
        <w:t>membres</w:t>
      </w:r>
      <w:r>
        <w:rPr>
          <w:rFonts w:eastAsiaTheme="minorEastAsia"/>
          <w:lang w:bidi="en-US"/>
        </w:rPr>
        <w:t xml:space="preserve"> au sein de leur groupe électoral en vue de l</w:t>
      </w:r>
      <w:r w:rsidR="00346F1B">
        <w:rPr>
          <w:rFonts w:eastAsiaTheme="minorEastAsia"/>
          <w:lang w:bidi="en-US"/>
        </w:rPr>
        <w:t>’</w:t>
      </w:r>
      <w:r>
        <w:rPr>
          <w:rFonts w:eastAsiaTheme="minorEastAsia"/>
          <w:lang w:bidi="en-US"/>
        </w:rPr>
        <w:t xml:space="preserve">élection à venir, plus tard dans la semaine. </w:t>
      </w:r>
      <w:r w:rsidR="00A816CB">
        <w:rPr>
          <w:rFonts w:eastAsiaTheme="minorEastAsia"/>
          <w:lang w:bidi="en-US"/>
        </w:rPr>
        <w:t>P</w:t>
      </w:r>
      <w:r w:rsidRPr="00EE43A4">
        <w:rPr>
          <w:rFonts w:eastAsiaTheme="minorEastAsia"/>
          <w:lang w:bidi="en-US"/>
        </w:rPr>
        <w:t>ar ailleurs</w:t>
      </w:r>
      <w:r>
        <w:rPr>
          <w:rFonts w:eastAsiaTheme="minorEastAsia"/>
          <w:lang w:bidi="en-US"/>
        </w:rPr>
        <w:t>, l</w:t>
      </w:r>
      <w:r w:rsidR="00346F1B">
        <w:rPr>
          <w:rFonts w:eastAsiaTheme="minorEastAsia"/>
          <w:lang w:bidi="en-US"/>
        </w:rPr>
        <w:t>’</w:t>
      </w:r>
      <w:r>
        <w:rPr>
          <w:rFonts w:eastAsiaTheme="minorEastAsia"/>
          <w:lang w:bidi="en-US"/>
        </w:rPr>
        <w:t xml:space="preserve">Allemagne </w:t>
      </w:r>
      <w:r w:rsidR="00A816CB">
        <w:rPr>
          <w:rFonts w:eastAsiaTheme="minorEastAsia"/>
          <w:lang w:bidi="en-US"/>
        </w:rPr>
        <w:t>et la Chaire UNESCO sur les études musicales transculturelles de l</w:t>
      </w:r>
      <w:r w:rsidR="00346F1B">
        <w:rPr>
          <w:rFonts w:eastAsiaTheme="minorEastAsia"/>
          <w:lang w:bidi="en-US"/>
        </w:rPr>
        <w:t>’</w:t>
      </w:r>
      <w:r w:rsidR="00A816CB">
        <w:rPr>
          <w:rFonts w:eastAsiaTheme="minorEastAsia"/>
          <w:lang w:bidi="en-US"/>
        </w:rPr>
        <w:t>U</w:t>
      </w:r>
      <w:r w:rsidR="00A816CB" w:rsidRPr="00A816CB">
        <w:rPr>
          <w:rFonts w:eastAsiaTheme="minorEastAsia"/>
          <w:lang w:bidi="en-US"/>
        </w:rPr>
        <w:t>niversité</w:t>
      </w:r>
      <w:r w:rsidR="00A816CB">
        <w:rPr>
          <w:rFonts w:eastAsiaTheme="minorEastAsia"/>
          <w:lang w:bidi="en-US"/>
        </w:rPr>
        <w:t xml:space="preserve"> Franz Liszt de Weimar invitaient tous les délégués à assister à la projection du film « </w:t>
      </w:r>
      <w:r w:rsidR="00A816CB">
        <w:t xml:space="preserve">GUZO Nord, un voyage aux origines de la musique en </w:t>
      </w:r>
      <w:r w:rsidR="00A816CB" w:rsidRPr="00F82F7C">
        <w:t>Éthiopie</w:t>
      </w:r>
      <w:r w:rsidR="00A816CB">
        <w:t xml:space="preserve"> », </w:t>
      </w:r>
      <w:r w:rsidR="00A90012">
        <w:t>après la clôture de la séance.</w:t>
      </w:r>
    </w:p>
    <w:p w14:paraId="54FE6D15" w14:textId="73EA27B1" w:rsidR="00292259" w:rsidRPr="00A90012" w:rsidRDefault="00A816CB" w:rsidP="002B4948">
      <w:pPr>
        <w:pStyle w:val="Orateurengris"/>
        <w:numPr>
          <w:ilvl w:val="0"/>
          <w:numId w:val="0"/>
        </w:numPr>
        <w:spacing w:before="120"/>
        <w:ind w:left="567" w:hanging="567"/>
        <w:jc w:val="center"/>
        <w:outlineLvl w:val="0"/>
        <w:rPr>
          <w:i/>
        </w:rPr>
      </w:pPr>
      <w:r>
        <w:rPr>
          <w:rFonts w:eastAsia="Cambria"/>
          <w:i/>
        </w:rPr>
        <w:t>[</w:t>
      </w:r>
      <w:r w:rsidR="00C62793">
        <w:rPr>
          <w:rFonts w:eastAsia="Cambria"/>
          <w:i/>
        </w:rPr>
        <w:t>Mercredi</w:t>
      </w:r>
      <w:r>
        <w:rPr>
          <w:rFonts w:eastAsia="Cambria"/>
          <w:i/>
        </w:rPr>
        <w:t xml:space="preserve"> 30 novembre, séance du matin</w:t>
      </w:r>
      <w:r w:rsidR="00AB00A8" w:rsidRPr="00EE43A4">
        <w:rPr>
          <w:i/>
        </w:rPr>
        <w:t>]</w:t>
      </w:r>
    </w:p>
    <w:p w14:paraId="6F033CFE" w14:textId="7901B3BF" w:rsidR="00AB00A8" w:rsidRPr="00F42644" w:rsidRDefault="00F42644" w:rsidP="00E94D39">
      <w:pPr>
        <w:pStyle w:val="Orateurengris"/>
        <w:numPr>
          <w:ilvl w:val="0"/>
          <w:numId w:val="0"/>
        </w:numPr>
        <w:spacing w:before="360" w:after="60"/>
        <w:ind w:left="567" w:hanging="567"/>
        <w:outlineLvl w:val="0"/>
        <w:rPr>
          <w:b/>
          <w:u w:val="single"/>
        </w:rPr>
      </w:pPr>
      <w:r>
        <w:rPr>
          <w:b/>
          <w:u w:val="single"/>
        </w:rPr>
        <w:t>POINT 10.</w:t>
      </w:r>
      <w:r w:rsidR="0095671F">
        <w:rPr>
          <w:b/>
          <w:u w:val="single"/>
        </w:rPr>
        <w:t>a</w:t>
      </w:r>
      <w:r>
        <w:rPr>
          <w:b/>
          <w:u w:val="single"/>
        </w:rPr>
        <w:t xml:space="preserve"> DE L</w:t>
      </w:r>
      <w:r w:rsidR="00346F1B">
        <w:rPr>
          <w:b/>
          <w:u w:val="single"/>
        </w:rPr>
        <w:t>’</w:t>
      </w:r>
      <w:r w:rsidRPr="00F42644">
        <w:rPr>
          <w:b/>
          <w:u w:val="single"/>
        </w:rPr>
        <w:t>ORDRE DU JOUR</w:t>
      </w:r>
      <w:r>
        <w:rPr>
          <w:b/>
          <w:u w:val="single"/>
        </w:rPr>
        <w:t> (SUITE) :</w:t>
      </w:r>
    </w:p>
    <w:p w14:paraId="5D819450" w14:textId="6600F2B5" w:rsidR="00E872CE" w:rsidRPr="00F42644" w:rsidRDefault="00F42644" w:rsidP="00E94D39">
      <w:pPr>
        <w:pStyle w:val="Orateurengris"/>
        <w:numPr>
          <w:ilvl w:val="0"/>
          <w:numId w:val="0"/>
        </w:numPr>
        <w:outlineLvl w:val="0"/>
        <w:rPr>
          <w:b/>
          <w:u w:val="single"/>
        </w:rPr>
      </w:pPr>
      <w:r>
        <w:rPr>
          <w:rFonts w:eastAsiaTheme="minorEastAsia"/>
          <w:b/>
          <w:color w:val="323133"/>
          <w:lang w:eastAsia="ja-JP"/>
        </w:rPr>
        <w:t xml:space="preserve">EXAMEN DES </w:t>
      </w:r>
      <w:r w:rsidRPr="00FA4FCF">
        <w:rPr>
          <w:rFonts w:eastAsiaTheme="minorEastAsia"/>
          <w:b/>
          <w:color w:val="323133"/>
          <w:lang w:eastAsia="ja-JP"/>
        </w:rPr>
        <w:t>CANDIDATURE</w:t>
      </w:r>
      <w:r>
        <w:rPr>
          <w:rFonts w:eastAsiaTheme="minorEastAsia"/>
          <w:b/>
          <w:color w:val="323133"/>
          <w:lang w:eastAsia="ja-JP"/>
        </w:rPr>
        <w:t xml:space="preserve">S POUR </w:t>
      </w:r>
      <w:r w:rsidRPr="00FA4FCF">
        <w:rPr>
          <w:rFonts w:eastAsiaTheme="minorEastAsia"/>
          <w:b/>
          <w:color w:val="323133"/>
          <w:lang w:eastAsia="ja-JP"/>
        </w:rPr>
        <w:t>INSCRIPTION</w:t>
      </w:r>
      <w:r>
        <w:rPr>
          <w:rFonts w:eastAsiaTheme="minorEastAsia"/>
          <w:b/>
          <w:color w:val="323133"/>
          <w:lang w:eastAsia="ja-JP"/>
        </w:rPr>
        <w:t xml:space="preserve"> SUR LA LISTE DU PATRIMOINE CULTUREL IMMATÉRIEL NÉCESSITANT UNE </w:t>
      </w:r>
      <w:r w:rsidRPr="00FA4FCF">
        <w:rPr>
          <w:rFonts w:eastAsiaTheme="minorEastAsia"/>
          <w:b/>
          <w:color w:val="323133"/>
          <w:lang w:eastAsia="ja-JP"/>
        </w:rPr>
        <w:t>SAUVEGARDE</w:t>
      </w:r>
      <w:r>
        <w:rPr>
          <w:rFonts w:eastAsiaTheme="minorEastAsia"/>
          <w:b/>
          <w:color w:val="323133"/>
          <w:lang w:eastAsia="ja-JP"/>
        </w:rPr>
        <w:t xml:space="preserve"> URGENTE</w:t>
      </w:r>
    </w:p>
    <w:p w14:paraId="170B00A1" w14:textId="0803D26C" w:rsidR="00F42644" w:rsidRPr="00F42644" w:rsidRDefault="00F42644" w:rsidP="00E94D39">
      <w:pPr>
        <w:pStyle w:val="Orateurengris"/>
        <w:spacing w:before="120"/>
        <w:ind w:left="709" w:hanging="709"/>
        <w:rPr>
          <w:rFonts w:eastAsia="MS Mincho"/>
        </w:rPr>
      </w:pPr>
      <w:r>
        <w:rPr>
          <w:rFonts w:eastAsia="MS Mincho"/>
        </w:rPr>
        <w:t xml:space="preserve">Le </w:t>
      </w:r>
      <w:r w:rsidRPr="00F42644">
        <w:rPr>
          <w:rFonts w:eastAsia="MS Mincho"/>
          <w:b/>
        </w:rPr>
        <w:t>Président</w:t>
      </w:r>
      <w:r>
        <w:rPr>
          <w:rFonts w:eastAsia="MS Mincho"/>
        </w:rPr>
        <w:t xml:space="preserve"> a rappelé au Comité qu</w:t>
      </w:r>
      <w:r w:rsidR="00346F1B">
        <w:rPr>
          <w:rFonts w:eastAsia="MS Mincho"/>
        </w:rPr>
        <w:t>’</w:t>
      </w:r>
      <w:r>
        <w:rPr>
          <w:rFonts w:eastAsia="MS Mincho"/>
        </w:rPr>
        <w:t>il avait déjà inscrit trois éléments, soumis respectivement par le Portugal, l</w:t>
      </w:r>
      <w:r w:rsidR="00346F1B">
        <w:rPr>
          <w:rFonts w:eastAsia="MS Mincho"/>
        </w:rPr>
        <w:t>’</w:t>
      </w:r>
      <w:r>
        <w:rPr>
          <w:rFonts w:eastAsia="MS Mincho"/>
        </w:rPr>
        <w:t>Ouganda et l</w:t>
      </w:r>
      <w:r w:rsidR="00346F1B">
        <w:rPr>
          <w:rFonts w:eastAsia="MS Mincho"/>
        </w:rPr>
        <w:t>’</w:t>
      </w:r>
      <w:r>
        <w:rPr>
          <w:rFonts w:eastAsia="MS Mincho"/>
        </w:rPr>
        <w:t>Ukraine, à la Liste de sauvegarde urgente et qu</w:t>
      </w:r>
      <w:r w:rsidR="00346F1B">
        <w:rPr>
          <w:rFonts w:eastAsia="MS Mincho"/>
        </w:rPr>
        <w:t>’</w:t>
      </w:r>
      <w:r>
        <w:rPr>
          <w:rFonts w:eastAsia="MS Mincho"/>
        </w:rPr>
        <w:t>il poursuivrait ses travaux avec l</w:t>
      </w:r>
      <w:r w:rsidR="00346F1B">
        <w:rPr>
          <w:rFonts w:eastAsia="MS Mincho"/>
        </w:rPr>
        <w:t>’</w:t>
      </w:r>
      <w:r>
        <w:rPr>
          <w:rFonts w:eastAsia="MS Mincho"/>
        </w:rPr>
        <w:t xml:space="preserve">examen de la </w:t>
      </w:r>
      <w:r w:rsidRPr="00F42644">
        <w:rPr>
          <w:rFonts w:eastAsia="MS Mincho"/>
        </w:rPr>
        <w:t>candidature</w:t>
      </w:r>
      <w:r>
        <w:rPr>
          <w:rFonts w:eastAsia="MS Mincho"/>
        </w:rPr>
        <w:t xml:space="preserve"> soumise par le Cambodge pour une </w:t>
      </w:r>
      <w:r w:rsidRPr="00F42644">
        <w:rPr>
          <w:rFonts w:eastAsia="MS Mincho"/>
        </w:rPr>
        <w:t>inscription</w:t>
      </w:r>
      <w:r>
        <w:rPr>
          <w:rFonts w:eastAsia="MS Mincho"/>
        </w:rPr>
        <w:t xml:space="preserve"> à la Liste de sauvegarde urgente combinée à une demande d</w:t>
      </w:r>
      <w:r w:rsidR="00346F1B">
        <w:rPr>
          <w:rFonts w:eastAsia="MS Mincho"/>
        </w:rPr>
        <w:t>’</w:t>
      </w:r>
      <w:r>
        <w:rPr>
          <w:rFonts w:eastAsia="MS Mincho"/>
        </w:rPr>
        <w:t>assistance internationale. La Comité examinerait ensuite les candidatures à la Liste représentative, avec la possibilité de prolonger la séance, si nécessaire.</w:t>
      </w:r>
    </w:p>
    <w:p w14:paraId="0DD1B522" w14:textId="488A28C1" w:rsidR="00F42644" w:rsidRPr="00F42644" w:rsidRDefault="00F42644" w:rsidP="00E94D39">
      <w:pPr>
        <w:pStyle w:val="Orateurengris"/>
        <w:spacing w:before="120"/>
        <w:ind w:left="709" w:hanging="709"/>
        <w:rPr>
          <w:rFonts w:eastAsia="MS Mincho"/>
        </w:rPr>
      </w:pPr>
      <w:r>
        <w:rPr>
          <w:rFonts w:eastAsia="MS Mincho"/>
        </w:rPr>
        <w:t xml:space="preserve">Le </w:t>
      </w:r>
      <w:r w:rsidRPr="00E55FD9">
        <w:rPr>
          <w:rFonts w:eastAsia="MS Mincho"/>
          <w:b/>
        </w:rPr>
        <w:t>Secrétaire</w:t>
      </w:r>
      <w:r>
        <w:rPr>
          <w:rFonts w:eastAsia="MS Mincho"/>
        </w:rPr>
        <w:t xml:space="preserve"> a informé le Comité que plusieurs réunions se dérouleraient pendant l</w:t>
      </w:r>
      <w:r w:rsidR="00346F1B">
        <w:rPr>
          <w:rFonts w:eastAsia="MS Mincho"/>
        </w:rPr>
        <w:t>’</w:t>
      </w:r>
      <w:r>
        <w:rPr>
          <w:rFonts w:eastAsia="MS Mincho"/>
        </w:rPr>
        <w:t>heure du déjeune</w:t>
      </w:r>
      <w:r w:rsidR="00E55FD9">
        <w:rPr>
          <w:rFonts w:eastAsia="MS Mincho"/>
        </w:rPr>
        <w:t>r : une réunion destinée aux facilitateurs de l</w:t>
      </w:r>
      <w:r w:rsidR="00346F1B">
        <w:rPr>
          <w:rFonts w:eastAsia="MS Mincho"/>
        </w:rPr>
        <w:t>’</w:t>
      </w:r>
      <w:r w:rsidR="00E55FD9">
        <w:rPr>
          <w:rFonts w:eastAsia="MS Mincho"/>
        </w:rPr>
        <w:t xml:space="preserve">UNESCO ; une session de travail pour les ONG ; et un atelier à composition non limitée sur Heritage Alive, une </w:t>
      </w:r>
      <w:r w:rsidR="00E55FD9" w:rsidRPr="00E55FD9">
        <w:rPr>
          <w:rFonts w:eastAsia="MS Mincho"/>
        </w:rPr>
        <w:t>publication</w:t>
      </w:r>
      <w:r w:rsidR="00E55FD9">
        <w:rPr>
          <w:rFonts w:eastAsia="MS Mincho"/>
        </w:rPr>
        <w:t xml:space="preserve"> du Forum des ONG. Il a en outre </w:t>
      </w:r>
      <w:r w:rsidR="00F50E52">
        <w:rPr>
          <w:rFonts w:eastAsia="MS Mincho"/>
        </w:rPr>
        <w:t xml:space="preserve">été </w:t>
      </w:r>
      <w:r w:rsidR="00E55FD9">
        <w:rPr>
          <w:rFonts w:eastAsia="MS Mincho"/>
        </w:rPr>
        <w:t>précisé que la réunion du Comité était très</w:t>
      </w:r>
      <w:r w:rsidR="00B869BF">
        <w:rPr>
          <w:rFonts w:eastAsia="MS Mincho"/>
        </w:rPr>
        <w:t xml:space="preserve"> suivie sur les médias sociaux.</w:t>
      </w:r>
    </w:p>
    <w:p w14:paraId="2E7BA67E" w14:textId="21EC5ED0" w:rsidR="00E55FD9" w:rsidRPr="00E55FD9" w:rsidRDefault="00E55FD9" w:rsidP="00E94D39">
      <w:pPr>
        <w:pStyle w:val="Orateurengris"/>
        <w:spacing w:before="120"/>
        <w:ind w:left="709" w:hanging="709"/>
        <w:rPr>
          <w:rFonts w:eastAsia="MS Mincho"/>
        </w:rPr>
      </w:pPr>
      <w:r>
        <w:rPr>
          <w:rFonts w:eastAsia="MS Mincho"/>
        </w:rPr>
        <w:t xml:space="preserve">Le </w:t>
      </w:r>
      <w:r w:rsidRPr="00E55FD9">
        <w:rPr>
          <w:rFonts w:eastAsia="MS Mincho"/>
          <w:b/>
        </w:rPr>
        <w:t>Président</w:t>
      </w:r>
      <w:r>
        <w:rPr>
          <w:rFonts w:eastAsia="MS Mincho"/>
        </w:rPr>
        <w:t xml:space="preserve"> est passé à l</w:t>
      </w:r>
      <w:r w:rsidR="00346F1B">
        <w:rPr>
          <w:rFonts w:eastAsia="MS Mincho"/>
        </w:rPr>
        <w:t>’</w:t>
      </w:r>
      <w:r>
        <w:rPr>
          <w:rFonts w:eastAsia="MS Mincho"/>
        </w:rPr>
        <w:t>examen du dossier soumis par le Cambodge.</w:t>
      </w:r>
    </w:p>
    <w:p w14:paraId="7F97F2FD" w14:textId="76DFCF5B" w:rsidR="00E55FD9" w:rsidRPr="00E55FD9" w:rsidRDefault="00E55FD9" w:rsidP="00E94D39">
      <w:pPr>
        <w:pStyle w:val="Orateurengris"/>
        <w:spacing w:before="120"/>
        <w:ind w:left="709" w:hanging="709"/>
        <w:rPr>
          <w:rFonts w:eastAsia="MS Mincho"/>
        </w:rPr>
      </w:pPr>
      <w:r>
        <w:rPr>
          <w:rFonts w:eastAsia="MS Mincho"/>
        </w:rPr>
        <w:t xml:space="preserve">La </w:t>
      </w:r>
      <w:r w:rsidRPr="00E55FD9">
        <w:rPr>
          <w:rFonts w:eastAsia="MS Mincho"/>
        </w:rPr>
        <w:t>délégation</w:t>
      </w:r>
      <w:r>
        <w:rPr>
          <w:rFonts w:eastAsia="MS Mincho"/>
        </w:rPr>
        <w:t xml:space="preserve"> de </w:t>
      </w:r>
      <w:r w:rsidRPr="00E55FD9">
        <w:rPr>
          <w:rFonts w:eastAsia="MS Mincho"/>
          <w:b/>
        </w:rPr>
        <w:t>Cuba</w:t>
      </w:r>
      <w:r w:rsidR="00F50E52">
        <w:rPr>
          <w:rFonts w:eastAsia="MS Mincho"/>
        </w:rPr>
        <w:t xml:space="preserve"> souhaitait</w:t>
      </w:r>
      <w:r>
        <w:rPr>
          <w:rFonts w:eastAsia="MS Mincho"/>
        </w:rPr>
        <w:t xml:space="preserve"> aborder la procédure à suivre lors de l</w:t>
      </w:r>
      <w:r w:rsidR="00346F1B">
        <w:rPr>
          <w:rFonts w:eastAsia="MS Mincho"/>
        </w:rPr>
        <w:t>’</w:t>
      </w:r>
      <w:r>
        <w:rPr>
          <w:rFonts w:eastAsia="MS Mincho"/>
        </w:rPr>
        <w:t xml:space="preserve">examen des candidatures à la Liste représentative. Elle a pris acte des limites de temps imposées par un </w:t>
      </w:r>
      <w:r w:rsidRPr="00E55FD9">
        <w:rPr>
          <w:rFonts w:eastAsia="MS Mincho"/>
        </w:rPr>
        <w:t>ordre du jour</w:t>
      </w:r>
      <w:r>
        <w:rPr>
          <w:rFonts w:eastAsia="MS Mincho"/>
        </w:rPr>
        <w:t xml:space="preserve"> déj</w:t>
      </w:r>
      <w:r w:rsidR="00F50E52">
        <w:rPr>
          <w:rFonts w:eastAsia="MS Mincho"/>
        </w:rPr>
        <w:t>à très serré. Néanmoins, elle souhaitait</w:t>
      </w:r>
      <w:r>
        <w:rPr>
          <w:rFonts w:eastAsia="MS Mincho"/>
        </w:rPr>
        <w:t xml:space="preserve"> qu</w:t>
      </w:r>
      <w:r w:rsidR="00346F1B">
        <w:rPr>
          <w:rFonts w:eastAsia="MS Mincho"/>
        </w:rPr>
        <w:t>’</w:t>
      </w:r>
      <w:r>
        <w:rPr>
          <w:rFonts w:eastAsia="MS Mincho"/>
        </w:rPr>
        <w:t>une certaine flexibilité soit envisageable lors de l</w:t>
      </w:r>
      <w:r w:rsidR="00346F1B">
        <w:rPr>
          <w:rFonts w:eastAsia="MS Mincho"/>
        </w:rPr>
        <w:t>’</w:t>
      </w:r>
      <w:r w:rsidRPr="00E55FD9">
        <w:rPr>
          <w:rFonts w:eastAsia="MS Mincho"/>
        </w:rPr>
        <w:t>inscription</w:t>
      </w:r>
      <w:r>
        <w:rPr>
          <w:rFonts w:eastAsia="MS Mincho"/>
        </w:rPr>
        <w:t xml:space="preserve"> des éléments car l</w:t>
      </w:r>
      <w:r w:rsidR="00346F1B">
        <w:rPr>
          <w:rFonts w:eastAsia="MS Mincho"/>
        </w:rPr>
        <w:t>’</w:t>
      </w:r>
      <w:r w:rsidRPr="00E55FD9">
        <w:rPr>
          <w:rFonts w:eastAsia="MS Mincho"/>
        </w:rPr>
        <w:t>inscription</w:t>
      </w:r>
      <w:r>
        <w:rPr>
          <w:rFonts w:eastAsia="MS Mincho"/>
        </w:rPr>
        <w:t xml:space="preserve"> était un moment très important pour toutes les délégations, et deux minutes n</w:t>
      </w:r>
      <w:r w:rsidR="00346F1B">
        <w:rPr>
          <w:rFonts w:eastAsia="MS Mincho"/>
        </w:rPr>
        <w:t>’</w:t>
      </w:r>
      <w:r>
        <w:rPr>
          <w:rFonts w:eastAsia="MS Mincho"/>
        </w:rPr>
        <w:t xml:space="preserve">étaient pas, selon la </w:t>
      </w:r>
      <w:r w:rsidRPr="00E55FD9">
        <w:rPr>
          <w:rFonts w:eastAsia="MS Mincho"/>
        </w:rPr>
        <w:t>délégation</w:t>
      </w:r>
      <w:r>
        <w:rPr>
          <w:rFonts w:eastAsia="MS Mincho"/>
        </w:rPr>
        <w:t xml:space="preserve">, suffisantes pour présenter un élément. La </w:t>
      </w:r>
      <w:r w:rsidRPr="00E55FD9">
        <w:rPr>
          <w:rFonts w:eastAsia="MS Mincho"/>
        </w:rPr>
        <w:t>délégation</w:t>
      </w:r>
      <w:r>
        <w:rPr>
          <w:rFonts w:eastAsia="MS Mincho"/>
        </w:rPr>
        <w:t xml:space="preserve"> a demandé au Président de faire preuve d</w:t>
      </w:r>
      <w:r w:rsidR="00346F1B">
        <w:rPr>
          <w:rFonts w:eastAsia="MS Mincho"/>
        </w:rPr>
        <w:t>’</w:t>
      </w:r>
      <w:r>
        <w:rPr>
          <w:rFonts w:eastAsia="MS Mincho"/>
        </w:rPr>
        <w:t>indulgence afin que les intervenants ne soient pas interrompus, com</w:t>
      </w:r>
      <w:r w:rsidR="00147A98">
        <w:rPr>
          <w:rFonts w:eastAsia="MS Mincho"/>
        </w:rPr>
        <w:t>m</w:t>
      </w:r>
      <w:r>
        <w:rPr>
          <w:rFonts w:eastAsia="MS Mincho"/>
        </w:rPr>
        <w:t>e on avait pu l</w:t>
      </w:r>
      <w:r w:rsidR="00346F1B">
        <w:rPr>
          <w:rFonts w:eastAsia="MS Mincho"/>
        </w:rPr>
        <w:t>’</w:t>
      </w:r>
      <w:r>
        <w:rPr>
          <w:rFonts w:eastAsia="MS Mincho"/>
        </w:rPr>
        <w:t xml:space="preserve">observer précédemment, </w:t>
      </w:r>
      <w:r w:rsidRPr="00E55FD9">
        <w:rPr>
          <w:rFonts w:eastAsia="MS Mincho"/>
        </w:rPr>
        <w:t>en particulier</w:t>
      </w:r>
      <w:r>
        <w:rPr>
          <w:rFonts w:eastAsia="MS Mincho"/>
        </w:rPr>
        <w:t xml:space="preserve"> </w:t>
      </w:r>
      <w:r w:rsidRPr="00E55FD9">
        <w:rPr>
          <w:rFonts w:eastAsia="MS Mincho"/>
        </w:rPr>
        <w:t>parce que</w:t>
      </w:r>
      <w:r>
        <w:rPr>
          <w:rFonts w:eastAsia="MS Mincho"/>
        </w:rPr>
        <w:t xml:space="preserve"> de nombreuses délégatio</w:t>
      </w:r>
      <w:r w:rsidR="00B869BF">
        <w:rPr>
          <w:rFonts w:eastAsia="MS Mincho"/>
        </w:rPr>
        <w:t>ns étaient venues de fort loin.</w:t>
      </w:r>
    </w:p>
    <w:p w14:paraId="6A7DA3F7" w14:textId="6871B1E1" w:rsidR="00147A98" w:rsidRPr="00147A98" w:rsidRDefault="00147A98" w:rsidP="00E94D39">
      <w:pPr>
        <w:pStyle w:val="Orateurengris"/>
        <w:spacing w:before="120"/>
        <w:ind w:left="709" w:hanging="709"/>
        <w:rPr>
          <w:rFonts w:eastAsia="MS Mincho"/>
        </w:rPr>
      </w:pPr>
      <w:r>
        <w:rPr>
          <w:rFonts w:eastAsia="MS Mincho"/>
        </w:rPr>
        <w:t xml:space="preserve">La </w:t>
      </w:r>
      <w:r w:rsidRPr="00147A98">
        <w:rPr>
          <w:rFonts w:eastAsia="MS Mincho"/>
        </w:rPr>
        <w:t>délégation</w:t>
      </w:r>
      <w:r>
        <w:rPr>
          <w:rFonts w:eastAsia="MS Mincho"/>
        </w:rPr>
        <w:t xml:space="preserve"> de l</w:t>
      </w:r>
      <w:r w:rsidR="00346F1B">
        <w:rPr>
          <w:rFonts w:eastAsia="MS Mincho"/>
        </w:rPr>
        <w:t>’</w:t>
      </w:r>
      <w:r w:rsidRPr="00147A98">
        <w:rPr>
          <w:rFonts w:eastAsia="MS Mincho"/>
          <w:b/>
        </w:rPr>
        <w:t>Algérie</w:t>
      </w:r>
      <w:r w:rsidR="00C12041">
        <w:rPr>
          <w:rFonts w:eastAsia="MS Mincho"/>
        </w:rPr>
        <w:t xml:space="preserve"> convenait</w:t>
      </w:r>
      <w:r>
        <w:rPr>
          <w:rFonts w:eastAsia="MS Mincho"/>
        </w:rPr>
        <w:t xml:space="preserve"> qu</w:t>
      </w:r>
      <w:r w:rsidR="00346F1B">
        <w:rPr>
          <w:rFonts w:eastAsia="MS Mincho"/>
        </w:rPr>
        <w:t>’</w:t>
      </w:r>
      <w:r>
        <w:rPr>
          <w:rFonts w:eastAsia="MS Mincho"/>
        </w:rPr>
        <w:t xml:space="preserve">il était utile de permettre aux délégations, </w:t>
      </w:r>
      <w:r w:rsidRPr="00147A98">
        <w:rPr>
          <w:rFonts w:eastAsia="MS Mincho"/>
        </w:rPr>
        <w:t>en particulier</w:t>
      </w:r>
      <w:r>
        <w:rPr>
          <w:rFonts w:eastAsia="MS Mincho"/>
        </w:rPr>
        <w:t xml:space="preserve"> aux communautés, d</w:t>
      </w:r>
      <w:r w:rsidR="00346F1B">
        <w:rPr>
          <w:rFonts w:eastAsia="MS Mincho"/>
        </w:rPr>
        <w:t>’</w:t>
      </w:r>
      <w:r>
        <w:rPr>
          <w:rFonts w:eastAsia="MS Mincho"/>
        </w:rPr>
        <w:t>exprimer leur opinion car elles avaient fait u</w:t>
      </w:r>
      <w:r w:rsidR="00B869BF">
        <w:rPr>
          <w:rFonts w:eastAsia="MS Mincho"/>
        </w:rPr>
        <w:t>n long voyage pour arriver ici.</w:t>
      </w:r>
    </w:p>
    <w:p w14:paraId="39C7B602" w14:textId="3A11420D" w:rsidR="00147A98" w:rsidRPr="00147A98" w:rsidRDefault="00147A98" w:rsidP="00E94D39">
      <w:pPr>
        <w:pStyle w:val="Orateurengris"/>
        <w:spacing w:before="120"/>
        <w:ind w:left="709" w:hanging="709"/>
        <w:rPr>
          <w:rFonts w:eastAsia="MS Mincho"/>
        </w:rPr>
      </w:pPr>
      <w:r>
        <w:rPr>
          <w:rFonts w:eastAsia="MS Mincho"/>
        </w:rPr>
        <w:t xml:space="preserve">La </w:t>
      </w:r>
      <w:r w:rsidRPr="00147A98">
        <w:rPr>
          <w:rFonts w:eastAsia="MS Mincho"/>
        </w:rPr>
        <w:t>délégation</w:t>
      </w:r>
      <w:r>
        <w:rPr>
          <w:rFonts w:eastAsia="MS Mincho"/>
        </w:rPr>
        <w:t xml:space="preserve"> du </w:t>
      </w:r>
      <w:r w:rsidRPr="00147A98">
        <w:rPr>
          <w:rFonts w:eastAsia="MS Mincho"/>
          <w:b/>
        </w:rPr>
        <w:t>Liban</w:t>
      </w:r>
      <w:r>
        <w:rPr>
          <w:rFonts w:eastAsia="MS Mincho"/>
        </w:rPr>
        <w:t xml:space="preserve"> partageait le sentiment exprimé par Cuba et l</w:t>
      </w:r>
      <w:r w:rsidR="00346F1B">
        <w:rPr>
          <w:rFonts w:eastAsia="MS Mincho"/>
        </w:rPr>
        <w:t>’</w:t>
      </w:r>
      <w:r>
        <w:rPr>
          <w:rFonts w:eastAsia="MS Mincho"/>
        </w:rPr>
        <w:t>Algérie quant à la possibilité d</w:t>
      </w:r>
      <w:r w:rsidR="00346F1B">
        <w:rPr>
          <w:rFonts w:eastAsia="MS Mincho"/>
        </w:rPr>
        <w:t>’</w:t>
      </w:r>
      <w:r>
        <w:rPr>
          <w:rFonts w:eastAsia="MS Mincho"/>
        </w:rPr>
        <w:t>accorder plus de temps à l</w:t>
      </w:r>
      <w:r w:rsidR="00346F1B">
        <w:rPr>
          <w:rFonts w:eastAsia="MS Mincho"/>
        </w:rPr>
        <w:t>’</w:t>
      </w:r>
      <w:r>
        <w:rPr>
          <w:rFonts w:eastAsia="MS Mincho"/>
        </w:rPr>
        <w:t>État soumissionnai</w:t>
      </w:r>
      <w:r w:rsidR="00B869BF">
        <w:rPr>
          <w:rFonts w:eastAsia="MS Mincho"/>
        </w:rPr>
        <w:t>re pour présenter son élément.</w:t>
      </w:r>
    </w:p>
    <w:p w14:paraId="10494BCF" w14:textId="69E59E7E" w:rsidR="00147A98" w:rsidRPr="00147A98" w:rsidRDefault="00147A98" w:rsidP="00E94D39">
      <w:pPr>
        <w:pStyle w:val="Orateurengris"/>
        <w:spacing w:before="120"/>
        <w:ind w:left="709" w:hanging="709"/>
        <w:rPr>
          <w:rFonts w:eastAsia="MS Mincho"/>
        </w:rPr>
      </w:pPr>
      <w:r>
        <w:rPr>
          <w:rFonts w:eastAsia="MS Mincho"/>
        </w:rPr>
        <w:t xml:space="preserve">La </w:t>
      </w:r>
      <w:r w:rsidRPr="00147A98">
        <w:rPr>
          <w:rFonts w:eastAsia="MS Mincho"/>
        </w:rPr>
        <w:t>délégation</w:t>
      </w:r>
      <w:r>
        <w:rPr>
          <w:rFonts w:eastAsia="MS Mincho"/>
        </w:rPr>
        <w:t xml:space="preserve"> du </w:t>
      </w:r>
      <w:r w:rsidRPr="00147A98">
        <w:rPr>
          <w:rFonts w:eastAsia="MS Mincho"/>
          <w:b/>
        </w:rPr>
        <w:t>Guatemala</w:t>
      </w:r>
      <w:r w:rsidR="00C12041">
        <w:rPr>
          <w:rFonts w:eastAsia="MS Mincho"/>
        </w:rPr>
        <w:t xml:space="preserve"> soutenait </w:t>
      </w:r>
      <w:r>
        <w:rPr>
          <w:rFonts w:eastAsia="MS Mincho"/>
        </w:rPr>
        <w:t>les remarques formulées par Cuba, l</w:t>
      </w:r>
      <w:r w:rsidR="00346F1B">
        <w:rPr>
          <w:rFonts w:eastAsia="MS Mincho"/>
        </w:rPr>
        <w:t>’</w:t>
      </w:r>
      <w:r w:rsidR="00B869BF">
        <w:rPr>
          <w:rFonts w:eastAsia="MS Mincho"/>
        </w:rPr>
        <w:t>Algérie et le Liban.</w:t>
      </w:r>
    </w:p>
    <w:p w14:paraId="5D3235CD" w14:textId="331D2A7D" w:rsidR="00147A98" w:rsidRPr="00147A98" w:rsidRDefault="00147A98" w:rsidP="00E94D39">
      <w:pPr>
        <w:pStyle w:val="Orateurengris"/>
        <w:spacing w:before="120"/>
        <w:ind w:left="709" w:hanging="709"/>
        <w:rPr>
          <w:rFonts w:eastAsia="MS Mincho"/>
        </w:rPr>
      </w:pPr>
      <w:r>
        <w:rPr>
          <w:rFonts w:eastAsia="MS Mincho"/>
        </w:rPr>
        <w:t xml:space="preserve">La </w:t>
      </w:r>
      <w:r w:rsidRPr="00147A98">
        <w:rPr>
          <w:rFonts w:eastAsia="MS Mincho"/>
        </w:rPr>
        <w:t>délégation</w:t>
      </w:r>
      <w:r>
        <w:rPr>
          <w:rFonts w:eastAsia="MS Mincho"/>
        </w:rPr>
        <w:t xml:space="preserve"> du </w:t>
      </w:r>
      <w:r w:rsidRPr="00147A98">
        <w:rPr>
          <w:rFonts w:eastAsia="MS Mincho"/>
          <w:b/>
        </w:rPr>
        <w:t>Sénégal</w:t>
      </w:r>
      <w:r>
        <w:rPr>
          <w:rFonts w:eastAsia="MS Mincho"/>
        </w:rPr>
        <w:t xml:space="preserve">, bien que consciente des contraintes de temps, </w:t>
      </w:r>
      <w:r w:rsidR="00C12041">
        <w:rPr>
          <w:rFonts w:eastAsia="MS Mincho"/>
        </w:rPr>
        <w:t xml:space="preserve">soutenait </w:t>
      </w:r>
      <w:r>
        <w:rPr>
          <w:rFonts w:eastAsia="MS Mincho"/>
        </w:rPr>
        <w:t xml:space="preserve">la demande </w:t>
      </w:r>
      <w:r w:rsidR="00C12041">
        <w:rPr>
          <w:rFonts w:eastAsia="MS Mincho"/>
        </w:rPr>
        <w:t xml:space="preserve">formulée </w:t>
      </w:r>
      <w:r>
        <w:rPr>
          <w:rFonts w:eastAsia="MS Mincho"/>
        </w:rPr>
        <w:t>par Cuba d</w:t>
      </w:r>
      <w:r w:rsidR="00346F1B">
        <w:rPr>
          <w:rFonts w:eastAsia="MS Mincho"/>
        </w:rPr>
        <w:t>’</w:t>
      </w:r>
      <w:r>
        <w:rPr>
          <w:rFonts w:eastAsia="MS Mincho"/>
        </w:rPr>
        <w:t>accorder plus de temps aux communautés afin qu</w:t>
      </w:r>
      <w:r w:rsidR="00346F1B">
        <w:rPr>
          <w:rFonts w:eastAsia="MS Mincho"/>
        </w:rPr>
        <w:t>’</w:t>
      </w:r>
      <w:r>
        <w:rPr>
          <w:rFonts w:eastAsia="MS Mincho"/>
        </w:rPr>
        <w:t>elles s</w:t>
      </w:r>
      <w:r w:rsidR="00346F1B">
        <w:rPr>
          <w:rFonts w:eastAsia="MS Mincho"/>
        </w:rPr>
        <w:t>’</w:t>
      </w:r>
      <w:r>
        <w:rPr>
          <w:rFonts w:eastAsia="MS Mincho"/>
        </w:rPr>
        <w:t>expr</w:t>
      </w:r>
      <w:r w:rsidR="00B869BF">
        <w:rPr>
          <w:rFonts w:eastAsia="MS Mincho"/>
        </w:rPr>
        <w:t>iment pendant les inscriptions.</w:t>
      </w:r>
    </w:p>
    <w:p w14:paraId="73002502" w14:textId="2F1DC94F" w:rsidR="00367F79" w:rsidRPr="00367F79" w:rsidRDefault="00367F79" w:rsidP="00E94D39">
      <w:pPr>
        <w:pStyle w:val="Orateurengris"/>
        <w:spacing w:before="120"/>
        <w:ind w:left="709" w:hanging="709"/>
        <w:rPr>
          <w:rFonts w:eastAsia="MS Mincho"/>
        </w:rPr>
      </w:pPr>
      <w:r>
        <w:rPr>
          <w:rFonts w:eastAsia="MS Mincho"/>
        </w:rPr>
        <w:t xml:space="preserve">La </w:t>
      </w:r>
      <w:r w:rsidRPr="00367F79">
        <w:rPr>
          <w:rFonts w:eastAsia="MS Mincho"/>
        </w:rPr>
        <w:t>délégation</w:t>
      </w:r>
      <w:r>
        <w:rPr>
          <w:rFonts w:eastAsia="MS Mincho"/>
        </w:rPr>
        <w:t xml:space="preserve"> de la </w:t>
      </w:r>
      <w:r w:rsidRPr="00367F79">
        <w:rPr>
          <w:rFonts w:eastAsia="MS Mincho"/>
          <w:b/>
        </w:rPr>
        <w:t>Palestine</w:t>
      </w:r>
      <w:r w:rsidR="00C12041">
        <w:rPr>
          <w:rFonts w:eastAsia="MS Mincho"/>
        </w:rPr>
        <w:t xml:space="preserve"> approuvait</w:t>
      </w:r>
      <w:r>
        <w:rPr>
          <w:rFonts w:eastAsia="MS Mincho"/>
        </w:rPr>
        <w:t xml:space="preserve"> les remarques</w:t>
      </w:r>
      <w:r w:rsidR="00C12041">
        <w:rPr>
          <w:rFonts w:eastAsia="MS Mincho"/>
        </w:rPr>
        <w:t xml:space="preserve"> faites par les délégations</w:t>
      </w:r>
      <w:r>
        <w:rPr>
          <w:rFonts w:eastAsia="MS Mincho"/>
        </w:rPr>
        <w:t>, ajoutant qu</w:t>
      </w:r>
      <w:r w:rsidR="00346F1B">
        <w:rPr>
          <w:rFonts w:eastAsia="MS Mincho"/>
        </w:rPr>
        <w:t>’</w:t>
      </w:r>
      <w:r>
        <w:rPr>
          <w:rFonts w:eastAsia="MS Mincho"/>
        </w:rPr>
        <w:t>il s</w:t>
      </w:r>
      <w:r w:rsidR="00346F1B">
        <w:rPr>
          <w:rFonts w:eastAsia="MS Mincho"/>
        </w:rPr>
        <w:t>’</w:t>
      </w:r>
      <w:r>
        <w:rPr>
          <w:rFonts w:eastAsia="MS Mincho"/>
        </w:rPr>
        <w:t>agissait là d</w:t>
      </w:r>
      <w:r w:rsidR="00346F1B">
        <w:rPr>
          <w:rFonts w:eastAsia="MS Mincho"/>
        </w:rPr>
        <w:t>’</w:t>
      </w:r>
      <w:r>
        <w:rPr>
          <w:rFonts w:eastAsia="MS Mincho"/>
        </w:rPr>
        <w:t>une expérience unique dans une vie.</w:t>
      </w:r>
    </w:p>
    <w:p w14:paraId="61EE99F6" w14:textId="0CAB8738" w:rsidR="00367F79" w:rsidRPr="00367F79" w:rsidRDefault="00367F79" w:rsidP="00E94D39">
      <w:pPr>
        <w:pStyle w:val="Orateurengris"/>
        <w:spacing w:before="120"/>
        <w:ind w:left="709" w:hanging="709"/>
        <w:rPr>
          <w:rFonts w:eastAsia="MS Mincho"/>
        </w:rPr>
      </w:pPr>
      <w:r>
        <w:rPr>
          <w:rFonts w:eastAsia="MS Mincho"/>
        </w:rPr>
        <w:t xml:space="preserve">Le </w:t>
      </w:r>
      <w:r w:rsidRPr="00367F79">
        <w:rPr>
          <w:rFonts w:eastAsia="MS Mincho"/>
          <w:b/>
        </w:rPr>
        <w:t>Président</w:t>
      </w:r>
      <w:r>
        <w:rPr>
          <w:rFonts w:eastAsia="MS Mincho"/>
        </w:rPr>
        <w:t xml:space="preserve"> comprenait les préoccupations exprimées et l</w:t>
      </w:r>
      <w:r w:rsidR="00346F1B">
        <w:rPr>
          <w:rFonts w:eastAsia="MS Mincho"/>
        </w:rPr>
        <w:t>’</w:t>
      </w:r>
      <w:r>
        <w:rPr>
          <w:rFonts w:eastAsia="MS Mincho"/>
        </w:rPr>
        <w:t xml:space="preserve">intérêt des communautés. </w:t>
      </w:r>
      <w:r w:rsidRPr="00367F79">
        <w:rPr>
          <w:rFonts w:eastAsia="MS Mincho"/>
        </w:rPr>
        <w:t>Toutefois</w:t>
      </w:r>
      <w:r>
        <w:rPr>
          <w:rFonts w:eastAsia="MS Mincho"/>
        </w:rPr>
        <w:t>, le Comité devait examiner 30 dossiers, ce qui relevait du défi à moins qu</w:t>
      </w:r>
      <w:r w:rsidR="00346F1B">
        <w:rPr>
          <w:rFonts w:eastAsia="MS Mincho"/>
        </w:rPr>
        <w:t>’</w:t>
      </w:r>
      <w:r>
        <w:rPr>
          <w:rFonts w:eastAsia="MS Mincho"/>
        </w:rPr>
        <w:t>un chronométrage précis ne soit mis en place. Il a accepté d</w:t>
      </w:r>
      <w:r w:rsidR="00346F1B">
        <w:rPr>
          <w:rFonts w:eastAsia="MS Mincho"/>
        </w:rPr>
        <w:t>’</w:t>
      </w:r>
      <w:r>
        <w:rPr>
          <w:rFonts w:eastAsia="MS Mincho"/>
        </w:rPr>
        <w:t xml:space="preserve">accorder le temps de parole nécessaire, </w:t>
      </w:r>
      <w:r w:rsidRPr="00367F79">
        <w:rPr>
          <w:rFonts w:eastAsia="MS Mincho"/>
        </w:rPr>
        <w:t>en particulier</w:t>
      </w:r>
      <w:r>
        <w:rPr>
          <w:rFonts w:eastAsia="MS Mincho"/>
        </w:rPr>
        <w:t xml:space="preserve"> aux communautés, mais a précisé qu</w:t>
      </w:r>
      <w:r w:rsidR="00346F1B">
        <w:rPr>
          <w:rFonts w:eastAsia="MS Mincho"/>
        </w:rPr>
        <w:t>’</w:t>
      </w:r>
      <w:r>
        <w:rPr>
          <w:rFonts w:eastAsia="MS Mincho"/>
        </w:rPr>
        <w:t xml:space="preserve">il conviendrait de faire une </w:t>
      </w:r>
      <w:r w:rsidRPr="00367F79">
        <w:rPr>
          <w:rFonts w:eastAsia="MS Mincho"/>
        </w:rPr>
        <w:t>utilisation</w:t>
      </w:r>
      <w:r w:rsidR="00B869BF">
        <w:rPr>
          <w:rFonts w:eastAsia="MS Mincho"/>
        </w:rPr>
        <w:t xml:space="preserve"> optimale du temps.</w:t>
      </w:r>
    </w:p>
    <w:p w14:paraId="329FA45D" w14:textId="60F98B12" w:rsidR="00367F79" w:rsidRPr="00367F79" w:rsidRDefault="00367F79" w:rsidP="00E94D39">
      <w:pPr>
        <w:pStyle w:val="Orateurengris"/>
        <w:spacing w:before="120"/>
        <w:ind w:left="709" w:hanging="709"/>
        <w:rPr>
          <w:rFonts w:eastAsia="MS Mincho"/>
        </w:rPr>
      </w:pPr>
      <w:r>
        <w:rPr>
          <w:rFonts w:eastAsia="MS Mincho"/>
        </w:rPr>
        <w:t xml:space="preserve">La </w:t>
      </w:r>
      <w:r w:rsidRPr="00367F79">
        <w:rPr>
          <w:rFonts w:eastAsia="MS Mincho"/>
        </w:rPr>
        <w:t>délégation</w:t>
      </w:r>
      <w:r>
        <w:rPr>
          <w:rFonts w:eastAsia="MS Mincho"/>
        </w:rPr>
        <w:t xml:space="preserve"> de </w:t>
      </w:r>
      <w:r w:rsidRPr="00367F79">
        <w:rPr>
          <w:rFonts w:eastAsia="MS Mincho"/>
          <w:b/>
        </w:rPr>
        <w:t>Cuba</w:t>
      </w:r>
      <w:r>
        <w:rPr>
          <w:rFonts w:eastAsia="MS Mincho"/>
        </w:rPr>
        <w:t xml:space="preserve"> a remercié le Président pour sa flexibilité et sa bonne gesti</w:t>
      </w:r>
      <w:r w:rsidR="00B869BF">
        <w:rPr>
          <w:rFonts w:eastAsia="MS Mincho"/>
        </w:rPr>
        <w:t>on du temps pendant la session.</w:t>
      </w:r>
    </w:p>
    <w:p w14:paraId="25D71B21" w14:textId="67517BB0" w:rsidR="00367F79" w:rsidRPr="00367F79" w:rsidRDefault="00367F79" w:rsidP="00E94D39">
      <w:pPr>
        <w:pStyle w:val="Orateurengris"/>
        <w:spacing w:before="120"/>
        <w:ind w:left="709" w:hanging="709"/>
        <w:rPr>
          <w:rFonts w:eastAsia="MS Mincho"/>
        </w:rPr>
      </w:pPr>
      <w:r>
        <w:rPr>
          <w:rFonts w:eastAsia="MS Mincho"/>
        </w:rPr>
        <w:t xml:space="preserve">La </w:t>
      </w:r>
      <w:r w:rsidRPr="00367F79">
        <w:rPr>
          <w:rFonts w:eastAsia="MS Mincho"/>
        </w:rPr>
        <w:t>délégation</w:t>
      </w:r>
      <w:r>
        <w:rPr>
          <w:rFonts w:eastAsia="MS Mincho"/>
        </w:rPr>
        <w:t xml:space="preserve"> de la </w:t>
      </w:r>
      <w:r w:rsidRPr="00367F79">
        <w:rPr>
          <w:rFonts w:eastAsia="MS Mincho"/>
          <w:b/>
        </w:rPr>
        <w:t>Hongrie</w:t>
      </w:r>
      <w:r w:rsidR="00C12041">
        <w:rPr>
          <w:rFonts w:eastAsia="MS Mincho"/>
        </w:rPr>
        <w:t xml:space="preserve"> souhaitait </w:t>
      </w:r>
      <w:r>
        <w:rPr>
          <w:rFonts w:eastAsia="MS Mincho"/>
        </w:rPr>
        <w:t>des éclaircissements quant au temps accordé pour les interventions. S</w:t>
      </w:r>
      <w:r w:rsidR="00346F1B">
        <w:rPr>
          <w:rFonts w:eastAsia="MS Mincho"/>
        </w:rPr>
        <w:t>’</w:t>
      </w:r>
      <w:r>
        <w:rPr>
          <w:rFonts w:eastAsia="MS Mincho"/>
        </w:rPr>
        <w:t>agissait-il des interventions des États soumissionnaires avant ou après l</w:t>
      </w:r>
      <w:r w:rsidR="00346F1B">
        <w:rPr>
          <w:rFonts w:eastAsia="MS Mincho"/>
        </w:rPr>
        <w:t>’</w:t>
      </w:r>
      <w:r>
        <w:rPr>
          <w:rFonts w:eastAsia="MS Mincho"/>
        </w:rPr>
        <w:t>adoption de la décision ?</w:t>
      </w:r>
    </w:p>
    <w:p w14:paraId="291AC6D3" w14:textId="33CC439C" w:rsidR="00367F79" w:rsidRPr="00367F79" w:rsidRDefault="00367F79" w:rsidP="00E94D39">
      <w:pPr>
        <w:pStyle w:val="Orateurengris"/>
        <w:spacing w:before="120"/>
        <w:ind w:left="709" w:hanging="709"/>
        <w:rPr>
          <w:rFonts w:eastAsia="MS Mincho"/>
        </w:rPr>
      </w:pPr>
      <w:r>
        <w:rPr>
          <w:rFonts w:eastAsia="MS Mincho"/>
        </w:rPr>
        <w:t xml:space="preserve">Le </w:t>
      </w:r>
      <w:r w:rsidRPr="00367F79">
        <w:rPr>
          <w:rFonts w:eastAsia="MS Mincho"/>
          <w:b/>
        </w:rPr>
        <w:t>Président</w:t>
      </w:r>
      <w:r>
        <w:rPr>
          <w:rFonts w:eastAsia="MS Mincho"/>
        </w:rPr>
        <w:t xml:space="preserve"> a précisé qu</w:t>
      </w:r>
      <w:r w:rsidR="00346F1B">
        <w:rPr>
          <w:rFonts w:eastAsia="MS Mincho"/>
        </w:rPr>
        <w:t>’</w:t>
      </w:r>
      <w:r>
        <w:rPr>
          <w:rFonts w:eastAsia="MS Mincho"/>
        </w:rPr>
        <w:t>il s</w:t>
      </w:r>
      <w:r w:rsidR="00346F1B">
        <w:rPr>
          <w:rFonts w:eastAsia="MS Mincho"/>
        </w:rPr>
        <w:t>’</w:t>
      </w:r>
      <w:r>
        <w:rPr>
          <w:rFonts w:eastAsia="MS Mincho"/>
        </w:rPr>
        <w:t>agissait de l</w:t>
      </w:r>
      <w:r w:rsidR="00346F1B">
        <w:rPr>
          <w:rFonts w:eastAsia="MS Mincho"/>
        </w:rPr>
        <w:t>’</w:t>
      </w:r>
      <w:r>
        <w:rPr>
          <w:rFonts w:eastAsia="MS Mincho"/>
        </w:rPr>
        <w:t>expression des points de vue des communautés une fois les décisions prises.</w:t>
      </w:r>
    </w:p>
    <w:p w14:paraId="3D45EEA6" w14:textId="5159AFBB" w:rsidR="00F076D6" w:rsidRPr="00F076D6" w:rsidRDefault="00F076D6" w:rsidP="00E94D39">
      <w:pPr>
        <w:pStyle w:val="Orateurengris"/>
        <w:spacing w:before="120"/>
        <w:ind w:left="709" w:hanging="709"/>
        <w:rPr>
          <w:rFonts w:eastAsia="MS Mincho"/>
        </w:rPr>
      </w:pPr>
      <w:r>
        <w:rPr>
          <w:rFonts w:eastAsia="MS Mincho"/>
        </w:rPr>
        <w:t xml:space="preserve">La </w:t>
      </w:r>
      <w:r w:rsidRPr="00F076D6">
        <w:rPr>
          <w:rFonts w:eastAsia="MS Mincho"/>
        </w:rPr>
        <w:t>délégation</w:t>
      </w:r>
      <w:r>
        <w:rPr>
          <w:rFonts w:eastAsia="MS Mincho"/>
        </w:rPr>
        <w:t xml:space="preserve"> de la </w:t>
      </w:r>
      <w:r w:rsidRPr="00F076D6">
        <w:rPr>
          <w:rFonts w:eastAsia="MS Mincho"/>
          <w:b/>
        </w:rPr>
        <w:t>Côte d</w:t>
      </w:r>
      <w:r w:rsidR="00346F1B">
        <w:rPr>
          <w:rFonts w:eastAsia="MS Mincho"/>
          <w:b/>
        </w:rPr>
        <w:t>’</w:t>
      </w:r>
      <w:r w:rsidRPr="00F076D6">
        <w:rPr>
          <w:rFonts w:eastAsia="MS Mincho"/>
          <w:b/>
        </w:rPr>
        <w:t>Ivoire</w:t>
      </w:r>
      <w:r>
        <w:rPr>
          <w:rFonts w:eastAsia="MS Mincho"/>
        </w:rPr>
        <w:t xml:space="preserve"> </w:t>
      </w:r>
      <w:r w:rsidR="00B17D7A">
        <w:rPr>
          <w:rFonts w:eastAsia="MS Mincho"/>
        </w:rPr>
        <w:t xml:space="preserve">a accueilli </w:t>
      </w:r>
      <w:r>
        <w:rPr>
          <w:rFonts w:eastAsia="MS Mincho"/>
        </w:rPr>
        <w:t>favorablement l</w:t>
      </w:r>
      <w:r w:rsidR="00346F1B">
        <w:rPr>
          <w:rFonts w:eastAsia="MS Mincho"/>
        </w:rPr>
        <w:t>’</w:t>
      </w:r>
      <w:r>
        <w:rPr>
          <w:rFonts w:eastAsia="MS Mincho"/>
        </w:rPr>
        <w:t>indulgence dont ferait preuve le Président s</w:t>
      </w:r>
      <w:r w:rsidR="00346F1B">
        <w:rPr>
          <w:rFonts w:eastAsia="MS Mincho"/>
        </w:rPr>
        <w:t>’</w:t>
      </w:r>
      <w:r>
        <w:rPr>
          <w:rFonts w:eastAsia="MS Mincho"/>
        </w:rPr>
        <w:t>agissant du</w:t>
      </w:r>
      <w:r w:rsidRPr="00F076D6">
        <w:rPr>
          <w:rFonts w:eastAsia="MS Mincho"/>
        </w:rPr>
        <w:t xml:space="preserve"> temps de parole accordé aux communautés. Toutefois, une société humaine devait avoir des règles et, en tant que tel, une limite du temps de parole entre trois et cinq minutes était nécessaire afin </w:t>
      </w:r>
      <w:r w:rsidR="00B869BF">
        <w:rPr>
          <w:rFonts w:eastAsia="MS Mincho"/>
        </w:rPr>
        <w:t>que chacun puisse être entendu.</w:t>
      </w:r>
    </w:p>
    <w:p w14:paraId="647FD681" w14:textId="1F950991" w:rsidR="00F076D6" w:rsidRDefault="00F076D6" w:rsidP="00E94D39">
      <w:pPr>
        <w:pStyle w:val="Orateurengris"/>
        <w:spacing w:before="120"/>
        <w:ind w:left="709" w:hanging="709"/>
        <w:rPr>
          <w:rFonts w:eastAsia="MS Mincho"/>
        </w:rPr>
      </w:pPr>
      <w:r>
        <w:rPr>
          <w:rFonts w:eastAsia="MS Mincho"/>
        </w:rPr>
        <w:t xml:space="preserve">Le </w:t>
      </w:r>
      <w:r w:rsidRPr="00F076D6">
        <w:rPr>
          <w:rFonts w:eastAsia="MS Mincho"/>
          <w:b/>
        </w:rPr>
        <w:t>Président</w:t>
      </w:r>
      <w:r>
        <w:rPr>
          <w:rFonts w:eastAsia="MS Mincho"/>
        </w:rPr>
        <w:t xml:space="preserve"> a pris note d</w:t>
      </w:r>
      <w:r w:rsidR="00346F1B">
        <w:rPr>
          <w:rFonts w:eastAsia="MS Mincho"/>
        </w:rPr>
        <w:t>’</w:t>
      </w:r>
      <w:r>
        <w:rPr>
          <w:rFonts w:eastAsia="MS Mincho"/>
        </w:rPr>
        <w:t>une motion d</w:t>
      </w:r>
      <w:r w:rsidR="00346F1B">
        <w:rPr>
          <w:rFonts w:eastAsia="MS Mincho"/>
        </w:rPr>
        <w:t>’</w:t>
      </w:r>
      <w:r w:rsidR="00B869BF">
        <w:rPr>
          <w:rFonts w:eastAsia="MS Mincho"/>
        </w:rPr>
        <w:t>ordre de la part de Cuba.</w:t>
      </w:r>
    </w:p>
    <w:p w14:paraId="0B9E51B7" w14:textId="6717C100" w:rsidR="00F076D6" w:rsidRDefault="00F076D6" w:rsidP="00E94D39">
      <w:pPr>
        <w:pStyle w:val="Orateurengris"/>
        <w:spacing w:before="120"/>
        <w:ind w:left="709" w:hanging="709"/>
        <w:rPr>
          <w:rFonts w:eastAsia="MS Mincho"/>
        </w:rPr>
      </w:pPr>
      <w:r>
        <w:rPr>
          <w:rFonts w:eastAsia="MS Mincho"/>
        </w:rPr>
        <w:t xml:space="preserve">La </w:t>
      </w:r>
      <w:r w:rsidRPr="00F076D6">
        <w:rPr>
          <w:rFonts w:eastAsia="MS Mincho"/>
        </w:rPr>
        <w:t>délégation</w:t>
      </w:r>
      <w:r>
        <w:rPr>
          <w:rFonts w:eastAsia="MS Mincho"/>
        </w:rPr>
        <w:t xml:space="preserve"> de </w:t>
      </w:r>
      <w:r w:rsidRPr="00F076D6">
        <w:rPr>
          <w:rFonts w:eastAsia="MS Mincho"/>
          <w:b/>
        </w:rPr>
        <w:t>Cuba</w:t>
      </w:r>
      <w:r>
        <w:rPr>
          <w:rFonts w:eastAsia="MS Mincho"/>
        </w:rPr>
        <w:t xml:space="preserve"> comprenait le point de vue </w:t>
      </w:r>
      <w:r w:rsidR="00B17D7A">
        <w:rPr>
          <w:rFonts w:eastAsia="MS Mincho"/>
        </w:rPr>
        <w:t>de la Côte d</w:t>
      </w:r>
      <w:r w:rsidR="00346F1B">
        <w:rPr>
          <w:rFonts w:eastAsia="MS Mincho"/>
        </w:rPr>
        <w:t>’</w:t>
      </w:r>
      <w:r w:rsidR="00B17D7A">
        <w:rPr>
          <w:rFonts w:eastAsia="MS Mincho"/>
        </w:rPr>
        <w:t>Ivoire et encourageait les délégations à faire un usage approprié du temps. Toutefois, mettre en place une limite de temps de parole rendrait en fait la gestion du temps plus difficile. Elle a accepté la flexibilité prônée par le Président et s</w:t>
      </w:r>
      <w:r w:rsidR="00346F1B">
        <w:rPr>
          <w:rFonts w:eastAsia="MS Mincho"/>
        </w:rPr>
        <w:t>’</w:t>
      </w:r>
      <w:r w:rsidR="00B17D7A">
        <w:rPr>
          <w:rFonts w:eastAsia="MS Mincho"/>
        </w:rPr>
        <w:t>est dite d</w:t>
      </w:r>
      <w:r w:rsidR="00346F1B">
        <w:rPr>
          <w:rFonts w:eastAsia="MS Mincho"/>
        </w:rPr>
        <w:t>’</w:t>
      </w:r>
      <w:r w:rsidR="00B17D7A">
        <w:rPr>
          <w:rFonts w:eastAsia="MS Mincho"/>
        </w:rPr>
        <w:t xml:space="preserve">accord avec sa position de ne </w:t>
      </w:r>
      <w:r w:rsidR="00E94D39">
        <w:rPr>
          <w:rFonts w:eastAsia="MS Mincho"/>
        </w:rPr>
        <w:t>pas écourter les présentations.</w:t>
      </w:r>
    </w:p>
    <w:p w14:paraId="7109CB46" w14:textId="56C327A1" w:rsidR="00B17D7A" w:rsidRPr="00B17D7A" w:rsidRDefault="00B17D7A" w:rsidP="00E94D39">
      <w:pPr>
        <w:pStyle w:val="Orateurengris"/>
        <w:spacing w:before="120"/>
        <w:ind w:left="709" w:hanging="709"/>
        <w:rPr>
          <w:rFonts w:eastAsia="MS Mincho"/>
        </w:rPr>
      </w:pPr>
      <w:r w:rsidRPr="00B17D7A">
        <w:rPr>
          <w:rFonts w:eastAsia="MS Mincho"/>
        </w:rPr>
        <w:t xml:space="preserve">En résumé, le </w:t>
      </w:r>
      <w:r w:rsidRPr="004B023A">
        <w:rPr>
          <w:rFonts w:eastAsia="MS Mincho"/>
          <w:b/>
        </w:rPr>
        <w:t>Président</w:t>
      </w:r>
      <w:r w:rsidRPr="00B17D7A">
        <w:rPr>
          <w:rFonts w:eastAsia="MS Mincho"/>
        </w:rPr>
        <w:t xml:space="preserve"> </w:t>
      </w:r>
      <w:r>
        <w:rPr>
          <w:rFonts w:eastAsia="MS Mincho"/>
        </w:rPr>
        <w:t xml:space="preserve">acceptait de ne pas interrompre les présentations des </w:t>
      </w:r>
      <w:r w:rsidRPr="00B17D7A">
        <w:rPr>
          <w:rFonts w:eastAsia="MS Mincho"/>
        </w:rPr>
        <w:t>communauté</w:t>
      </w:r>
      <w:r w:rsidR="004B023A">
        <w:rPr>
          <w:rFonts w:eastAsia="MS Mincho"/>
        </w:rPr>
        <w:t xml:space="preserve">s mais il rappelait aux délégués </w:t>
      </w:r>
      <w:r w:rsidR="00733C8C">
        <w:rPr>
          <w:rFonts w:eastAsia="MS Mincho"/>
        </w:rPr>
        <w:t>qu</w:t>
      </w:r>
      <w:r w:rsidR="00346F1B">
        <w:rPr>
          <w:rFonts w:eastAsia="MS Mincho"/>
        </w:rPr>
        <w:t>’</w:t>
      </w:r>
      <w:r w:rsidR="00733C8C">
        <w:rPr>
          <w:rFonts w:eastAsia="MS Mincho"/>
        </w:rPr>
        <w:t>il convenait d</w:t>
      </w:r>
      <w:r w:rsidR="00346F1B">
        <w:rPr>
          <w:rFonts w:eastAsia="MS Mincho"/>
        </w:rPr>
        <w:t>’</w:t>
      </w:r>
      <w:r w:rsidR="00733C8C">
        <w:rPr>
          <w:rFonts w:eastAsia="MS Mincho"/>
        </w:rPr>
        <w:t>être aussi rapide</w:t>
      </w:r>
      <w:r w:rsidR="004B023A">
        <w:rPr>
          <w:rFonts w:eastAsia="MS Mincho"/>
        </w:rPr>
        <w:t xml:space="preserve"> que possible afin de faciliter l</w:t>
      </w:r>
      <w:r w:rsidR="00346F1B">
        <w:rPr>
          <w:rFonts w:eastAsia="MS Mincho"/>
        </w:rPr>
        <w:t>’</w:t>
      </w:r>
      <w:r w:rsidR="004B023A">
        <w:rPr>
          <w:rFonts w:eastAsia="MS Mincho"/>
        </w:rPr>
        <w:t>examen des décisions. Ceci étant</w:t>
      </w:r>
      <w:r w:rsidR="008302EB">
        <w:rPr>
          <w:rFonts w:eastAsia="MS Mincho"/>
        </w:rPr>
        <w:t xml:space="preserve"> précisé</w:t>
      </w:r>
      <w:r w:rsidR="004B023A">
        <w:rPr>
          <w:rFonts w:eastAsia="MS Mincho"/>
        </w:rPr>
        <w:t>, il est passé à l</w:t>
      </w:r>
      <w:r w:rsidR="00346F1B">
        <w:rPr>
          <w:rFonts w:eastAsia="MS Mincho"/>
        </w:rPr>
        <w:t>’</w:t>
      </w:r>
      <w:r w:rsidR="004B023A">
        <w:rPr>
          <w:rFonts w:eastAsia="MS Mincho"/>
        </w:rPr>
        <w:t xml:space="preserve">examen du dossier de candidature soumis par le Cambodge, </w:t>
      </w:r>
      <w:r w:rsidR="008302EB">
        <w:rPr>
          <w:rFonts w:eastAsia="MS Mincho"/>
        </w:rPr>
        <w:t xml:space="preserve">le </w:t>
      </w:r>
      <w:r w:rsidR="008302EB" w:rsidRPr="008302EB">
        <w:rPr>
          <w:rFonts w:eastAsia="MS Mincho"/>
          <w:b/>
        </w:rPr>
        <w:t>chapei Dang Veng</w:t>
      </w:r>
      <w:r w:rsidR="008302EB">
        <w:rPr>
          <w:rFonts w:eastAsia="MS Mincho"/>
        </w:rPr>
        <w:t xml:space="preserve">, en expliquant que le Cambodge avait eu recours au nouveau mécanisme intégré introduit pour la première fois au cours du cycle 2016. Le pays avait soumis une </w:t>
      </w:r>
      <w:r w:rsidR="008302EB" w:rsidRPr="008302EB">
        <w:rPr>
          <w:rFonts w:eastAsia="MS Mincho"/>
        </w:rPr>
        <w:t>candidature</w:t>
      </w:r>
      <w:r w:rsidR="008302EB">
        <w:rPr>
          <w:rFonts w:eastAsia="MS Mincho"/>
        </w:rPr>
        <w:t xml:space="preserve"> à la Liste de sauvegarde urgente, et avait demandé simultanément une assistance internationale afin de soutenir la mise en œuvre du plan de sauvegarde proposé. Il était demandé au Comité</w:t>
      </w:r>
      <w:r w:rsidR="00733C8C">
        <w:rPr>
          <w:rFonts w:eastAsia="MS Mincho"/>
        </w:rPr>
        <w:t xml:space="preserve"> de décider si</w:t>
      </w:r>
      <w:r w:rsidR="008302EB">
        <w:rPr>
          <w:rFonts w:eastAsia="MS Mincho"/>
        </w:rPr>
        <w:t xml:space="preserve"> la </w:t>
      </w:r>
      <w:r w:rsidR="008302EB" w:rsidRPr="008302EB">
        <w:rPr>
          <w:rFonts w:eastAsia="MS Mincho"/>
        </w:rPr>
        <w:t>candidature</w:t>
      </w:r>
      <w:r w:rsidR="008302EB">
        <w:rPr>
          <w:rFonts w:eastAsia="MS Mincho"/>
        </w:rPr>
        <w:t xml:space="preserve"> remplissait les critères d</w:t>
      </w:r>
      <w:r w:rsidR="00346F1B">
        <w:rPr>
          <w:rFonts w:eastAsia="MS Mincho"/>
        </w:rPr>
        <w:t>’</w:t>
      </w:r>
      <w:r w:rsidR="008302EB" w:rsidRPr="008302EB">
        <w:rPr>
          <w:rFonts w:eastAsia="MS Mincho"/>
        </w:rPr>
        <w:t>inscription</w:t>
      </w:r>
      <w:r w:rsidR="008302EB">
        <w:rPr>
          <w:rFonts w:eastAsia="MS Mincho"/>
        </w:rPr>
        <w:t xml:space="preserve"> à la Liste de sauvegarde urgente et/ou si la demande d</w:t>
      </w:r>
      <w:r w:rsidR="00346F1B">
        <w:rPr>
          <w:rFonts w:eastAsia="MS Mincho"/>
        </w:rPr>
        <w:t>’</w:t>
      </w:r>
      <w:r w:rsidR="008302EB">
        <w:rPr>
          <w:rFonts w:eastAsia="MS Mincho"/>
        </w:rPr>
        <w:t>assistance internationale remplissait les critères d</w:t>
      </w:r>
      <w:r w:rsidR="00346F1B">
        <w:rPr>
          <w:rFonts w:eastAsia="MS Mincho"/>
        </w:rPr>
        <w:t>’</w:t>
      </w:r>
      <w:r w:rsidR="008302EB">
        <w:rPr>
          <w:rFonts w:eastAsia="MS Mincho"/>
        </w:rPr>
        <w:t>attribution de l</w:t>
      </w:r>
      <w:r w:rsidR="00346F1B">
        <w:rPr>
          <w:rFonts w:eastAsia="MS Mincho"/>
        </w:rPr>
        <w:t>’</w:t>
      </w:r>
      <w:r w:rsidR="008302EB" w:rsidRPr="008302EB">
        <w:rPr>
          <w:rFonts w:eastAsia="MS Mincho"/>
        </w:rPr>
        <w:t>assistance</w:t>
      </w:r>
      <w:r w:rsidR="008302EB">
        <w:rPr>
          <w:rFonts w:eastAsia="MS Mincho"/>
        </w:rPr>
        <w:t>. Le Président a souligné qu</w:t>
      </w:r>
      <w:r w:rsidR="00346F1B">
        <w:rPr>
          <w:rFonts w:eastAsia="MS Mincho"/>
        </w:rPr>
        <w:t>’</w:t>
      </w:r>
      <w:r w:rsidR="008302EB">
        <w:rPr>
          <w:rFonts w:eastAsia="MS Mincho"/>
        </w:rPr>
        <w:t xml:space="preserve">il était important que le Comité décide de la conformité de la </w:t>
      </w:r>
      <w:r w:rsidR="008302EB" w:rsidRPr="008302EB">
        <w:rPr>
          <w:rFonts w:eastAsia="MS Mincho"/>
        </w:rPr>
        <w:t>candidature</w:t>
      </w:r>
      <w:r w:rsidR="008302EB">
        <w:rPr>
          <w:rFonts w:eastAsia="MS Mincho"/>
        </w:rPr>
        <w:t xml:space="preserve"> aux critères d</w:t>
      </w:r>
      <w:r w:rsidR="00346F1B">
        <w:rPr>
          <w:rFonts w:eastAsia="MS Mincho"/>
        </w:rPr>
        <w:t>’</w:t>
      </w:r>
      <w:r w:rsidR="008302EB" w:rsidRPr="008302EB">
        <w:rPr>
          <w:rFonts w:eastAsia="MS Mincho"/>
        </w:rPr>
        <w:t>inscription</w:t>
      </w:r>
      <w:r w:rsidR="008302EB">
        <w:rPr>
          <w:rFonts w:eastAsia="MS Mincho"/>
        </w:rPr>
        <w:t xml:space="preserve"> sur la Liste de sauvegarde urgente indépendamment </w:t>
      </w:r>
      <w:r w:rsidR="00AD3EFA">
        <w:rPr>
          <w:rFonts w:eastAsia="MS Mincho"/>
        </w:rPr>
        <w:t xml:space="preserve">de </w:t>
      </w:r>
      <w:r w:rsidR="008302EB">
        <w:rPr>
          <w:rFonts w:eastAsia="MS Mincho"/>
        </w:rPr>
        <w:t xml:space="preserve">la satisfaction de la demande </w:t>
      </w:r>
      <w:r w:rsidR="00AD3EFA">
        <w:rPr>
          <w:rFonts w:eastAsia="MS Mincho"/>
        </w:rPr>
        <w:t>aux critères d</w:t>
      </w:r>
      <w:r w:rsidR="00346F1B">
        <w:rPr>
          <w:rFonts w:eastAsia="MS Mincho"/>
        </w:rPr>
        <w:t>’</w:t>
      </w:r>
      <w:r w:rsidR="00AD3EFA">
        <w:rPr>
          <w:rFonts w:eastAsia="MS Mincho"/>
        </w:rPr>
        <w:t>attribution de l</w:t>
      </w:r>
      <w:r w:rsidR="00346F1B">
        <w:rPr>
          <w:rFonts w:eastAsia="MS Mincho"/>
        </w:rPr>
        <w:t>’</w:t>
      </w:r>
      <w:r w:rsidR="00AD3EFA">
        <w:rPr>
          <w:rFonts w:eastAsia="MS Mincho"/>
        </w:rPr>
        <w:t>assistance internationale</w:t>
      </w:r>
      <w:r w:rsidR="008302EB">
        <w:rPr>
          <w:rFonts w:eastAsia="MS Mincho"/>
        </w:rPr>
        <w:t xml:space="preserve">. </w:t>
      </w:r>
      <w:r w:rsidR="00733C8C">
        <w:rPr>
          <w:rFonts w:eastAsia="MS Mincho"/>
        </w:rPr>
        <w:t>Avant d</w:t>
      </w:r>
      <w:r w:rsidR="00346F1B">
        <w:rPr>
          <w:rFonts w:eastAsia="MS Mincho"/>
        </w:rPr>
        <w:t>’</w:t>
      </w:r>
      <w:r w:rsidR="00733C8C">
        <w:rPr>
          <w:rFonts w:eastAsia="MS Mincho"/>
        </w:rPr>
        <w:t>entamer l</w:t>
      </w:r>
      <w:r w:rsidR="00346F1B">
        <w:rPr>
          <w:rFonts w:eastAsia="MS Mincho"/>
        </w:rPr>
        <w:t>’</w:t>
      </w:r>
      <w:r w:rsidR="00733C8C">
        <w:rPr>
          <w:rFonts w:eastAsia="MS Mincho"/>
        </w:rPr>
        <w:t xml:space="preserve">examen, le Président a rappelé les critères [A.1 à A.7 et le </w:t>
      </w:r>
      <w:r w:rsidR="00733C8C" w:rsidRPr="00733C8C">
        <w:rPr>
          <w:rFonts w:eastAsia="MS Mincho"/>
        </w:rPr>
        <w:t>paragraphe</w:t>
      </w:r>
      <w:r w:rsidR="00733C8C">
        <w:rPr>
          <w:rFonts w:eastAsia="MS Mincho"/>
        </w:rPr>
        <w:t xml:space="preserve"> 10 des Directives opérationnelles</w:t>
      </w:r>
      <w:r w:rsidR="00AD3EFA">
        <w:rPr>
          <w:rFonts w:eastAsia="MS Mincho"/>
        </w:rPr>
        <w:t xml:space="preserve"> présentant</w:t>
      </w:r>
      <w:r w:rsidR="00733C8C">
        <w:rPr>
          <w:rFonts w:eastAsia="MS Mincho"/>
        </w:rPr>
        <w:t xml:space="preserve"> </w:t>
      </w:r>
      <w:r w:rsidR="00E82F2C">
        <w:rPr>
          <w:rFonts w:eastAsia="MS Mincho"/>
        </w:rPr>
        <w:t>les critères 10.a et 10.b] pour l</w:t>
      </w:r>
      <w:r w:rsidR="00346F1B">
        <w:rPr>
          <w:rFonts w:eastAsia="MS Mincho"/>
        </w:rPr>
        <w:t>’</w:t>
      </w:r>
      <w:r w:rsidR="00E82F2C">
        <w:rPr>
          <w:rFonts w:eastAsia="MS Mincho"/>
        </w:rPr>
        <w:t xml:space="preserve">octroi </w:t>
      </w:r>
      <w:r w:rsidR="00733C8C">
        <w:rPr>
          <w:rFonts w:eastAsia="MS Mincho"/>
        </w:rPr>
        <w:t>de l</w:t>
      </w:r>
      <w:r w:rsidR="00346F1B">
        <w:rPr>
          <w:rFonts w:eastAsia="MS Mincho"/>
        </w:rPr>
        <w:t>’</w:t>
      </w:r>
      <w:r w:rsidR="00733C8C">
        <w:rPr>
          <w:rFonts w:eastAsia="MS Mincho"/>
        </w:rPr>
        <w:t>assistance internationale, qui ont été projeté</w:t>
      </w:r>
      <w:r w:rsidR="00AD3EFA">
        <w:rPr>
          <w:rFonts w:eastAsia="MS Mincho"/>
        </w:rPr>
        <w:t>s</w:t>
      </w:r>
      <w:r w:rsidR="00733C8C">
        <w:rPr>
          <w:rFonts w:eastAsia="MS Mincho"/>
        </w:rPr>
        <w:t xml:space="preserve"> sur les écrans. En outre, il était important de rappeler qu</w:t>
      </w:r>
      <w:r w:rsidR="00346F1B">
        <w:rPr>
          <w:rFonts w:eastAsia="MS Mincho"/>
        </w:rPr>
        <w:t>’</w:t>
      </w:r>
      <w:r w:rsidR="00733C8C">
        <w:rPr>
          <w:rFonts w:eastAsia="MS Mincho"/>
        </w:rPr>
        <w:t>il était demandé au Comité d</w:t>
      </w:r>
      <w:r w:rsidR="00346F1B">
        <w:rPr>
          <w:rFonts w:eastAsia="MS Mincho"/>
        </w:rPr>
        <w:t>’</w:t>
      </w:r>
      <w:r w:rsidR="00733C8C">
        <w:rPr>
          <w:rFonts w:eastAsia="MS Mincho"/>
        </w:rPr>
        <w:t xml:space="preserve">évaluer si la demande satisfaisait </w:t>
      </w:r>
      <w:r w:rsidR="00C12041">
        <w:rPr>
          <w:rFonts w:eastAsia="MS Mincho"/>
        </w:rPr>
        <w:t xml:space="preserve">les </w:t>
      </w:r>
      <w:r w:rsidR="00733C8C">
        <w:rPr>
          <w:rFonts w:eastAsia="MS Mincho"/>
        </w:rPr>
        <w:t>critères de l</w:t>
      </w:r>
      <w:r w:rsidR="00346F1B">
        <w:rPr>
          <w:rFonts w:eastAsia="MS Mincho"/>
        </w:rPr>
        <w:t>’</w:t>
      </w:r>
      <w:r w:rsidR="00733C8C">
        <w:rPr>
          <w:rFonts w:eastAsia="MS Mincho"/>
        </w:rPr>
        <w:t>assistance internationale dans son ensemble. En effet, il n</w:t>
      </w:r>
      <w:r w:rsidR="00346F1B">
        <w:rPr>
          <w:rFonts w:eastAsia="MS Mincho"/>
        </w:rPr>
        <w:t>’</w:t>
      </w:r>
      <w:r w:rsidR="00733C8C">
        <w:rPr>
          <w:rFonts w:eastAsia="MS Mincho"/>
        </w:rPr>
        <w:t xml:space="preserve">était pas nécessaire que la demande satisfasse chaque critère pour </w:t>
      </w:r>
      <w:r w:rsidR="00AD3EFA">
        <w:rPr>
          <w:rFonts w:eastAsia="MS Mincho"/>
        </w:rPr>
        <w:t xml:space="preserve">être </w:t>
      </w:r>
      <w:r w:rsidR="00733C8C">
        <w:rPr>
          <w:rFonts w:eastAsia="MS Mincho"/>
        </w:rPr>
        <w:t xml:space="preserve">acceptée. Le Président a donné la parole au </w:t>
      </w:r>
      <w:r w:rsidR="00754EC3">
        <w:rPr>
          <w:rFonts w:eastAsia="MS Mincho"/>
        </w:rPr>
        <w:t>Vice-Président</w:t>
      </w:r>
      <w:r w:rsidR="00733C8C">
        <w:rPr>
          <w:rFonts w:eastAsia="MS Mincho"/>
        </w:rPr>
        <w:t xml:space="preserve"> de l</w:t>
      </w:r>
      <w:r w:rsidR="00346F1B">
        <w:rPr>
          <w:rFonts w:eastAsia="MS Mincho"/>
        </w:rPr>
        <w:t>’</w:t>
      </w:r>
      <w:r w:rsidR="00733C8C">
        <w:rPr>
          <w:rFonts w:eastAsia="MS Mincho"/>
        </w:rPr>
        <w:t>Organe d</w:t>
      </w:r>
      <w:r w:rsidR="00346F1B">
        <w:rPr>
          <w:rFonts w:eastAsia="MS Mincho"/>
        </w:rPr>
        <w:t>’</w:t>
      </w:r>
      <w:r w:rsidR="00733C8C">
        <w:rPr>
          <w:rFonts w:eastAsia="MS Mincho"/>
        </w:rPr>
        <w:t>évaluation afin qu</w:t>
      </w:r>
      <w:r w:rsidR="00346F1B">
        <w:rPr>
          <w:rFonts w:eastAsia="MS Mincho"/>
        </w:rPr>
        <w:t>’</w:t>
      </w:r>
      <w:r w:rsidR="00733C8C">
        <w:rPr>
          <w:rFonts w:eastAsia="MS Mincho"/>
        </w:rPr>
        <w:t xml:space="preserve">il présente la </w:t>
      </w:r>
      <w:r w:rsidR="00733C8C" w:rsidRPr="00733C8C">
        <w:rPr>
          <w:rFonts w:eastAsia="MS Mincho"/>
        </w:rPr>
        <w:t>candidature</w:t>
      </w:r>
      <w:r w:rsidR="00E94D39">
        <w:rPr>
          <w:rFonts w:eastAsia="MS Mincho"/>
        </w:rPr>
        <w:t>.</w:t>
      </w:r>
    </w:p>
    <w:p w14:paraId="7C20A171" w14:textId="30702AF7" w:rsidR="00AD3EFA" w:rsidRPr="00AD3EFA" w:rsidRDefault="0003054C" w:rsidP="00E94D39">
      <w:pPr>
        <w:pStyle w:val="Orateurengris"/>
        <w:spacing w:before="120"/>
        <w:ind w:left="709" w:hanging="709"/>
        <w:rPr>
          <w:rFonts w:eastAsia="MS Mincho"/>
        </w:rPr>
      </w:pPr>
      <w:r>
        <w:rPr>
          <w:rFonts w:eastAsia="MS Mincho"/>
        </w:rPr>
        <w:t xml:space="preserve">Le </w:t>
      </w:r>
      <w:r w:rsidR="00754EC3">
        <w:rPr>
          <w:rFonts w:eastAsia="MS Mincho"/>
          <w:b/>
        </w:rPr>
        <w:t>Vice-Président</w:t>
      </w:r>
      <w:r>
        <w:rPr>
          <w:rFonts w:eastAsia="MS Mincho"/>
        </w:rPr>
        <w:t xml:space="preserve"> est ensuite passé à la </w:t>
      </w:r>
      <w:r w:rsidRPr="0003054C">
        <w:rPr>
          <w:rFonts w:eastAsia="MS Mincho"/>
        </w:rPr>
        <w:t>candidature</w:t>
      </w:r>
      <w:r>
        <w:rPr>
          <w:rFonts w:eastAsia="MS Mincho"/>
        </w:rPr>
        <w:t xml:space="preserve"> final</w:t>
      </w:r>
      <w:r w:rsidR="00874F06">
        <w:rPr>
          <w:rFonts w:eastAsia="MS Mincho"/>
        </w:rPr>
        <w:t>e</w:t>
      </w:r>
      <w:r>
        <w:rPr>
          <w:rFonts w:eastAsia="MS Mincho"/>
        </w:rPr>
        <w:t xml:space="preserve"> du </w:t>
      </w:r>
      <w:bookmarkStart w:id="16" w:name="Decision10a6"/>
      <w:r w:rsidRPr="00874F06">
        <w:rPr>
          <w:rFonts w:eastAsia="MS Mincho"/>
          <w:b/>
        </w:rPr>
        <w:t>chapei Dang Veng</w:t>
      </w:r>
      <w:r>
        <w:rPr>
          <w:rFonts w:eastAsia="MS Mincho"/>
        </w:rPr>
        <w:t xml:space="preserve"> </w:t>
      </w:r>
      <w:bookmarkEnd w:id="16"/>
      <w:r>
        <w:rPr>
          <w:rFonts w:eastAsia="MS Mincho"/>
        </w:rPr>
        <w:t>[projet de décision</w:t>
      </w:r>
      <w:r w:rsidR="00874F06">
        <w:rPr>
          <w:rFonts w:eastAsia="MS Mincho"/>
        </w:rPr>
        <w:t xml:space="preserve"> 11.COM 10.a.6] soumise par le C</w:t>
      </w:r>
      <w:r w:rsidR="00004CAB">
        <w:rPr>
          <w:rFonts w:eastAsia="MS Mincho"/>
        </w:rPr>
        <w:t>am</w:t>
      </w:r>
      <w:r w:rsidR="008C5842">
        <w:rPr>
          <w:rFonts w:eastAsia="MS Mincho"/>
        </w:rPr>
        <w:t>bodge.</w:t>
      </w:r>
      <w:r w:rsidR="00CE357A">
        <w:rPr>
          <w:rFonts w:eastAsia="MS Mincho"/>
        </w:rPr>
        <w:t xml:space="preserve"> Le chapei Dang Veng était</w:t>
      </w:r>
      <w:r w:rsidR="00004CAB">
        <w:rPr>
          <w:rFonts w:eastAsia="MS Mincho"/>
        </w:rPr>
        <w:t xml:space="preserve"> une tradition musicale liée à la vie</w:t>
      </w:r>
      <w:r w:rsidR="00874F06">
        <w:rPr>
          <w:rFonts w:eastAsia="MS Mincho"/>
        </w:rPr>
        <w:t xml:space="preserve">, </w:t>
      </w:r>
      <w:r w:rsidR="00004CAB">
        <w:rPr>
          <w:rFonts w:eastAsia="MS Mincho"/>
        </w:rPr>
        <w:t xml:space="preserve">aux </w:t>
      </w:r>
      <w:r w:rsidR="00874F06">
        <w:rPr>
          <w:rFonts w:eastAsia="MS Mincho"/>
        </w:rPr>
        <w:t xml:space="preserve">coutumes et </w:t>
      </w:r>
      <w:r w:rsidR="00004CAB">
        <w:rPr>
          <w:rFonts w:eastAsia="MS Mincho"/>
        </w:rPr>
        <w:t xml:space="preserve">aux </w:t>
      </w:r>
      <w:r w:rsidR="00874F06">
        <w:rPr>
          <w:rFonts w:eastAsia="MS Mincho"/>
        </w:rPr>
        <w:t xml:space="preserve">croyances du peuple cambodgien. </w:t>
      </w:r>
      <w:r w:rsidR="00004CAB">
        <w:rPr>
          <w:rFonts w:eastAsia="MS Mincho"/>
        </w:rPr>
        <w:t xml:space="preserve">Elle </w:t>
      </w:r>
      <w:r w:rsidR="00CE357A">
        <w:rPr>
          <w:rFonts w:eastAsia="MS Mincho"/>
        </w:rPr>
        <w:t>était</w:t>
      </w:r>
      <w:r w:rsidR="008C5842">
        <w:rPr>
          <w:rFonts w:eastAsia="MS Mincho"/>
        </w:rPr>
        <w:t xml:space="preserve"> </w:t>
      </w:r>
      <w:r w:rsidR="00004CAB">
        <w:rPr>
          <w:rFonts w:eastAsia="MS Mincho"/>
        </w:rPr>
        <w:t>pratiquée avec un chapei (une sorte de luth souvent utilisé lors de festivals culturels) qu</w:t>
      </w:r>
      <w:r w:rsidR="00346F1B">
        <w:rPr>
          <w:rFonts w:eastAsia="MS Mincho"/>
        </w:rPr>
        <w:t>’</w:t>
      </w:r>
      <w:r w:rsidR="00CE357A">
        <w:rPr>
          <w:rFonts w:eastAsia="MS Mincho"/>
        </w:rPr>
        <w:t>un chanteur accompagnait</w:t>
      </w:r>
      <w:r w:rsidR="00004CAB">
        <w:rPr>
          <w:rFonts w:eastAsia="MS Mincho"/>
        </w:rPr>
        <w:t xml:space="preserve"> de paroles allant de commentaires sur l</w:t>
      </w:r>
      <w:r w:rsidR="00346F1B">
        <w:rPr>
          <w:rFonts w:eastAsia="MS Mincho"/>
        </w:rPr>
        <w:t>’</w:t>
      </w:r>
      <w:r w:rsidR="00004CAB" w:rsidRPr="00004CAB">
        <w:rPr>
          <w:rFonts w:eastAsia="MS Mincho"/>
        </w:rPr>
        <w:t>éducation</w:t>
      </w:r>
      <w:r w:rsidR="00004CAB">
        <w:rPr>
          <w:rFonts w:eastAsia="MS Mincho"/>
        </w:rPr>
        <w:t xml:space="preserve"> et la société à des satires intégrant des poèmes, des contes populaires et des histoires inspirées du bouddhisme</w:t>
      </w:r>
      <w:r w:rsidR="00E82F2C">
        <w:rPr>
          <w:rFonts w:eastAsia="MS Mincho"/>
        </w:rPr>
        <w:t xml:space="preserve">. La </w:t>
      </w:r>
      <w:r w:rsidR="00E82F2C" w:rsidRPr="00E82F2C">
        <w:rPr>
          <w:rFonts w:eastAsia="MS Mincho"/>
        </w:rPr>
        <w:t xml:space="preserve">transmission </w:t>
      </w:r>
      <w:r w:rsidR="00E82F2C">
        <w:rPr>
          <w:rFonts w:eastAsia="MS Mincho"/>
        </w:rPr>
        <w:t>des connaissances et des valeurs, la création d</w:t>
      </w:r>
      <w:r w:rsidR="00346F1B">
        <w:rPr>
          <w:rFonts w:eastAsia="MS Mincho"/>
        </w:rPr>
        <w:t>’</w:t>
      </w:r>
      <w:r w:rsidR="00E82F2C">
        <w:rPr>
          <w:rFonts w:eastAsia="MS Mincho"/>
        </w:rPr>
        <w:t>un espace d</w:t>
      </w:r>
      <w:r w:rsidR="00346F1B">
        <w:rPr>
          <w:rFonts w:eastAsia="MS Mincho"/>
        </w:rPr>
        <w:t>’</w:t>
      </w:r>
      <w:r w:rsidR="00E82F2C">
        <w:rPr>
          <w:rFonts w:eastAsia="MS Mincho"/>
        </w:rPr>
        <w:t xml:space="preserve">expression et la contribution à la cohésion sociale, </w:t>
      </w:r>
      <w:r w:rsidR="00CE357A">
        <w:rPr>
          <w:rFonts w:eastAsia="MS Mincho"/>
        </w:rPr>
        <w:t xml:space="preserve">ainsi que </w:t>
      </w:r>
      <w:proofErr w:type="gramStart"/>
      <w:r w:rsidR="00CE357A">
        <w:rPr>
          <w:rFonts w:eastAsia="MS Mincho"/>
        </w:rPr>
        <w:t>le tradition</w:t>
      </w:r>
      <w:proofErr w:type="gramEnd"/>
      <w:r w:rsidR="00CE357A">
        <w:rPr>
          <w:rFonts w:eastAsia="MS Mincho"/>
        </w:rPr>
        <w:t xml:space="preserve"> qui était </w:t>
      </w:r>
      <w:r w:rsidR="00E82F2C">
        <w:rPr>
          <w:rFonts w:eastAsia="MS Mincho"/>
        </w:rPr>
        <w:t xml:space="preserve">transmise par voie orale, pourraient bientôt disparaître </w:t>
      </w:r>
      <w:r w:rsidR="00CE357A">
        <w:rPr>
          <w:rFonts w:eastAsia="MS Mincho"/>
        </w:rPr>
        <w:t xml:space="preserve">car on dénombrait </w:t>
      </w:r>
      <w:r w:rsidR="00E82F2C">
        <w:rPr>
          <w:rFonts w:eastAsia="MS Mincho"/>
        </w:rPr>
        <w:t xml:space="preserve">fort peu de praticiens </w:t>
      </w:r>
      <w:r w:rsidR="00CE357A">
        <w:rPr>
          <w:rFonts w:eastAsia="MS Mincho"/>
        </w:rPr>
        <w:t>de l</w:t>
      </w:r>
      <w:r w:rsidR="00346F1B">
        <w:rPr>
          <w:rFonts w:eastAsia="MS Mincho"/>
        </w:rPr>
        <w:t>’</w:t>
      </w:r>
      <w:r w:rsidR="00CE357A" w:rsidRPr="00CE357A">
        <w:rPr>
          <w:rFonts w:eastAsia="MS Mincho"/>
        </w:rPr>
        <w:t>élément</w:t>
      </w:r>
      <w:r w:rsidR="00CE357A">
        <w:rPr>
          <w:rFonts w:eastAsia="MS Mincho"/>
        </w:rPr>
        <w:t xml:space="preserve"> </w:t>
      </w:r>
      <w:r w:rsidR="00E82F2C">
        <w:rPr>
          <w:rFonts w:eastAsia="MS Mincho"/>
        </w:rPr>
        <w:t>en raison du régime des Khmers rouges. L</w:t>
      </w:r>
      <w:r w:rsidR="00346F1B">
        <w:rPr>
          <w:rFonts w:eastAsia="MS Mincho"/>
        </w:rPr>
        <w:t>’</w:t>
      </w:r>
      <w:r w:rsidR="00E82F2C">
        <w:rPr>
          <w:rFonts w:eastAsia="MS Mincho"/>
        </w:rPr>
        <w:t>Organe d</w:t>
      </w:r>
      <w:r w:rsidR="00346F1B">
        <w:rPr>
          <w:rFonts w:eastAsia="MS Mincho"/>
        </w:rPr>
        <w:t>’</w:t>
      </w:r>
      <w:r w:rsidR="00E82F2C">
        <w:rPr>
          <w:rFonts w:eastAsia="MS Mincho"/>
        </w:rPr>
        <w:t>évaluation a</w:t>
      </w:r>
      <w:r w:rsidR="00A32E17">
        <w:rPr>
          <w:rFonts w:eastAsia="MS Mincho"/>
        </w:rPr>
        <w:t>vait</w:t>
      </w:r>
      <w:r w:rsidR="00E82F2C">
        <w:rPr>
          <w:rFonts w:eastAsia="MS Mincho"/>
        </w:rPr>
        <w:t xml:space="preserve"> </w:t>
      </w:r>
      <w:r w:rsidR="00A32E17">
        <w:rPr>
          <w:rFonts w:eastAsia="MS Mincho"/>
        </w:rPr>
        <w:t xml:space="preserve">décidé </w:t>
      </w:r>
      <w:r w:rsidR="00E82F2C">
        <w:rPr>
          <w:rFonts w:eastAsia="MS Mincho"/>
        </w:rPr>
        <w:t xml:space="preserve">que les </w:t>
      </w:r>
      <w:r w:rsidR="00E82F2C" w:rsidRPr="00E82F2C">
        <w:rPr>
          <w:rFonts w:eastAsia="MS Mincho"/>
        </w:rPr>
        <w:t>informations</w:t>
      </w:r>
      <w:r w:rsidR="00E82F2C">
        <w:rPr>
          <w:rFonts w:eastAsia="MS Mincho"/>
        </w:rPr>
        <w:t xml:space="preserve"> présentées dans le dossier étaient suffisantes pour estimer que les cinq critères étaient satisfaits. Les objectifs de la </w:t>
      </w:r>
      <w:r w:rsidR="00E82F2C" w:rsidRPr="00E82F2C">
        <w:rPr>
          <w:rFonts w:eastAsia="MS Mincho"/>
        </w:rPr>
        <w:t>sauvegarde</w:t>
      </w:r>
      <w:r w:rsidR="00E82F2C">
        <w:rPr>
          <w:rFonts w:eastAsia="MS Mincho"/>
        </w:rPr>
        <w:t xml:space="preserve"> étaient en cohérence avec les menaces</w:t>
      </w:r>
      <w:r w:rsidR="00001CF7">
        <w:rPr>
          <w:rFonts w:eastAsia="MS Mincho"/>
        </w:rPr>
        <w:t>,</w:t>
      </w:r>
      <w:r w:rsidR="00E82F2C">
        <w:rPr>
          <w:rFonts w:eastAsia="MS Mincho"/>
        </w:rPr>
        <w:t xml:space="preserve"> et le dossier proposait un calendrier spécifique pour chaque activité et confirmait la </w:t>
      </w:r>
      <w:r w:rsidR="00E82F2C" w:rsidRPr="00E82F2C">
        <w:rPr>
          <w:rFonts w:eastAsia="MS Mincho"/>
        </w:rPr>
        <w:t>participation</w:t>
      </w:r>
      <w:r w:rsidR="00E82F2C">
        <w:rPr>
          <w:rFonts w:eastAsia="MS Mincho"/>
        </w:rPr>
        <w:t xml:space="preserve"> de </w:t>
      </w:r>
      <w:r w:rsidR="00AC081D">
        <w:rPr>
          <w:rFonts w:eastAsia="MS Mincho"/>
        </w:rPr>
        <w:t xml:space="preserve">la </w:t>
      </w:r>
      <w:r w:rsidR="00AC081D" w:rsidRPr="00AC081D">
        <w:rPr>
          <w:rFonts w:eastAsia="MS Mincho"/>
        </w:rPr>
        <w:t>communauté</w:t>
      </w:r>
      <w:r w:rsidR="00AC081D">
        <w:rPr>
          <w:rFonts w:eastAsia="MS Mincho"/>
        </w:rPr>
        <w:t xml:space="preserve"> à la mise en œuvre des mesures. L</w:t>
      </w:r>
      <w:r w:rsidR="00346F1B">
        <w:rPr>
          <w:rFonts w:eastAsia="MS Mincho"/>
        </w:rPr>
        <w:t>’</w:t>
      </w:r>
      <w:r w:rsidR="00AC081D">
        <w:rPr>
          <w:rFonts w:eastAsia="MS Mincho"/>
        </w:rPr>
        <w:t>Organe d</w:t>
      </w:r>
      <w:r w:rsidR="00346F1B">
        <w:rPr>
          <w:rFonts w:eastAsia="MS Mincho"/>
        </w:rPr>
        <w:t>’</w:t>
      </w:r>
      <w:r w:rsidR="00AC081D">
        <w:rPr>
          <w:rFonts w:eastAsia="MS Mincho"/>
        </w:rPr>
        <w:t>évaluation avait donc décidé de recommander l</w:t>
      </w:r>
      <w:r w:rsidR="00346F1B">
        <w:rPr>
          <w:rFonts w:eastAsia="MS Mincho"/>
        </w:rPr>
        <w:t>’</w:t>
      </w:r>
      <w:r w:rsidR="00AC081D" w:rsidRPr="00AC081D">
        <w:rPr>
          <w:rFonts w:eastAsia="MS Mincho"/>
        </w:rPr>
        <w:t>inscription</w:t>
      </w:r>
      <w:r w:rsidR="00AC081D">
        <w:rPr>
          <w:rFonts w:eastAsia="MS Mincho"/>
        </w:rPr>
        <w:t xml:space="preserve"> du chapei Dang Veng sur la Liste de sauvegarde urgente. Le Cambodge avait </w:t>
      </w:r>
      <w:r w:rsidR="00AC081D" w:rsidRPr="00AC081D">
        <w:rPr>
          <w:rFonts w:eastAsia="MS Mincho"/>
        </w:rPr>
        <w:t>également</w:t>
      </w:r>
      <w:r w:rsidR="00AC081D">
        <w:rPr>
          <w:rFonts w:eastAsia="MS Mincho"/>
        </w:rPr>
        <w:t xml:space="preserve"> demandé qu</w:t>
      </w:r>
      <w:r w:rsidR="00346F1B">
        <w:rPr>
          <w:rFonts w:eastAsia="MS Mincho"/>
        </w:rPr>
        <w:t>’</w:t>
      </w:r>
      <w:r w:rsidR="00AC081D">
        <w:rPr>
          <w:rFonts w:eastAsia="MS Mincho"/>
        </w:rPr>
        <w:t>une somme de 238</w:t>
      </w:r>
      <w:r w:rsidR="00695748">
        <w:rPr>
          <w:rFonts w:eastAsia="MS Mincho"/>
        </w:rPr>
        <w:t> </w:t>
      </w:r>
      <w:r w:rsidR="00AC081D">
        <w:rPr>
          <w:rFonts w:eastAsia="MS Mincho"/>
        </w:rPr>
        <w:t xml:space="preserve">970 </w:t>
      </w:r>
      <w:r w:rsidR="00AC081D" w:rsidRPr="00AC081D">
        <w:rPr>
          <w:rFonts w:eastAsia="MS Mincho"/>
        </w:rPr>
        <w:t>dollars des États-Unis</w:t>
      </w:r>
      <w:r w:rsidR="00AC081D">
        <w:rPr>
          <w:rFonts w:eastAsia="MS Mincho"/>
        </w:rPr>
        <w:t xml:space="preserve"> lui soit octroyée par le Fonds du PCI afin de mettre en œuvre le plan de sauvegarde</w:t>
      </w:r>
      <w:r w:rsidR="00001CF7">
        <w:rPr>
          <w:rFonts w:eastAsia="MS Mincho"/>
        </w:rPr>
        <w:t>. L</w:t>
      </w:r>
      <w:r w:rsidR="00346F1B">
        <w:rPr>
          <w:rFonts w:eastAsia="MS Mincho"/>
        </w:rPr>
        <w:t>’</w:t>
      </w:r>
      <w:r w:rsidR="00AC081D">
        <w:rPr>
          <w:rFonts w:eastAsia="MS Mincho"/>
        </w:rPr>
        <w:t>Organe d</w:t>
      </w:r>
      <w:r w:rsidR="00346F1B">
        <w:rPr>
          <w:rFonts w:eastAsia="MS Mincho"/>
        </w:rPr>
        <w:t>’</w:t>
      </w:r>
      <w:r w:rsidR="00AC081D">
        <w:rPr>
          <w:rFonts w:eastAsia="MS Mincho"/>
        </w:rPr>
        <w:t xml:space="preserve">évaluation avait évalué </w:t>
      </w:r>
      <w:r w:rsidR="00001CF7">
        <w:rPr>
          <w:rFonts w:eastAsia="MS Mincho"/>
        </w:rPr>
        <w:t xml:space="preserve">la demande </w:t>
      </w:r>
      <w:r w:rsidR="00AC081D">
        <w:rPr>
          <w:rFonts w:eastAsia="MS Mincho"/>
        </w:rPr>
        <w:t xml:space="preserve">et décidé que, selon les </w:t>
      </w:r>
      <w:r w:rsidR="00AC081D" w:rsidRPr="00AC081D">
        <w:rPr>
          <w:rFonts w:eastAsia="MS Mincho"/>
        </w:rPr>
        <w:t>informations</w:t>
      </w:r>
      <w:r w:rsidR="00AC081D">
        <w:rPr>
          <w:rFonts w:eastAsia="MS Mincho"/>
        </w:rPr>
        <w:t xml:space="preserve"> c</w:t>
      </w:r>
      <w:r w:rsidR="00001CF7">
        <w:rPr>
          <w:rFonts w:eastAsia="MS Mincho"/>
        </w:rPr>
        <w:t xml:space="preserve">ommuniquées dans le dossier, celle-ci </w:t>
      </w:r>
      <w:r w:rsidR="00AC081D">
        <w:rPr>
          <w:rFonts w:eastAsia="MS Mincho"/>
        </w:rPr>
        <w:t>répondait aux critères d</w:t>
      </w:r>
      <w:r w:rsidR="00346F1B">
        <w:rPr>
          <w:rFonts w:eastAsia="MS Mincho"/>
        </w:rPr>
        <w:t>’</w:t>
      </w:r>
      <w:r w:rsidR="00AC081D">
        <w:rPr>
          <w:rFonts w:eastAsia="MS Mincho"/>
        </w:rPr>
        <w:t>attribution de l</w:t>
      </w:r>
      <w:r w:rsidR="00346F1B">
        <w:rPr>
          <w:rFonts w:eastAsia="MS Mincho"/>
        </w:rPr>
        <w:t>’</w:t>
      </w:r>
      <w:r w:rsidR="00AC081D">
        <w:rPr>
          <w:rFonts w:eastAsia="MS Mincho"/>
        </w:rPr>
        <w:t xml:space="preserve">assistance internationale tels que définis dans les </w:t>
      </w:r>
      <w:r w:rsidR="00AC081D" w:rsidRPr="00AC081D">
        <w:rPr>
          <w:rFonts w:eastAsia="MS Mincho"/>
        </w:rPr>
        <w:t>p</w:t>
      </w:r>
      <w:r w:rsidR="00AC081D">
        <w:rPr>
          <w:rFonts w:eastAsia="MS Mincho"/>
        </w:rPr>
        <w:t>aragraphes 10 et 12 des Directives opérationnelles. L</w:t>
      </w:r>
      <w:r w:rsidR="00346F1B">
        <w:rPr>
          <w:rFonts w:eastAsia="MS Mincho"/>
        </w:rPr>
        <w:t>’</w:t>
      </w:r>
      <w:r w:rsidR="00AC081D">
        <w:rPr>
          <w:rFonts w:eastAsia="MS Mincho"/>
        </w:rPr>
        <w:t>Organe a</w:t>
      </w:r>
      <w:r w:rsidR="00001CF7">
        <w:rPr>
          <w:rFonts w:eastAsia="MS Mincho"/>
        </w:rPr>
        <w:t>vait</w:t>
      </w:r>
      <w:r w:rsidR="00AC081D">
        <w:rPr>
          <w:rFonts w:eastAsia="MS Mincho"/>
        </w:rPr>
        <w:t xml:space="preserve"> estimé que les </w:t>
      </w:r>
      <w:r w:rsidR="00AC081D" w:rsidRPr="00AC081D">
        <w:rPr>
          <w:rFonts w:eastAsia="MS Mincho"/>
        </w:rPr>
        <w:t>activités</w:t>
      </w:r>
      <w:r w:rsidR="00AC081D">
        <w:rPr>
          <w:rFonts w:eastAsia="MS Mincho"/>
        </w:rPr>
        <w:t xml:space="preserve"> de </w:t>
      </w:r>
      <w:r w:rsidR="00AC081D" w:rsidRPr="00AC081D">
        <w:rPr>
          <w:rFonts w:eastAsia="MS Mincho"/>
        </w:rPr>
        <w:t>sauvegarde</w:t>
      </w:r>
      <w:r w:rsidR="00AC081D">
        <w:rPr>
          <w:rFonts w:eastAsia="MS Mincho"/>
        </w:rPr>
        <w:t xml:space="preserve"> proposées étaient bien conçues, semblaient réalisables et étaient présentées selon un ordre logique. Il était </w:t>
      </w:r>
      <w:r w:rsidR="00AC081D" w:rsidRPr="00AC081D">
        <w:rPr>
          <w:rFonts w:eastAsia="MS Mincho"/>
        </w:rPr>
        <w:t>toutefois</w:t>
      </w:r>
      <w:r w:rsidR="00AC081D">
        <w:rPr>
          <w:rFonts w:eastAsia="MS Mincho"/>
        </w:rPr>
        <w:t xml:space="preserve"> nécessaire d</w:t>
      </w:r>
      <w:r w:rsidR="00346F1B">
        <w:rPr>
          <w:rFonts w:eastAsia="MS Mincho"/>
        </w:rPr>
        <w:t>’</w:t>
      </w:r>
      <w:r w:rsidR="00AC081D">
        <w:rPr>
          <w:rFonts w:eastAsia="MS Mincho"/>
        </w:rPr>
        <w:t>éviter tout danger de décontextualisation de l</w:t>
      </w:r>
      <w:r w:rsidR="00346F1B">
        <w:rPr>
          <w:rFonts w:eastAsia="MS Mincho"/>
        </w:rPr>
        <w:t>’</w:t>
      </w:r>
      <w:r w:rsidR="00AC081D" w:rsidRPr="00AC081D">
        <w:rPr>
          <w:rFonts w:eastAsia="MS Mincho"/>
        </w:rPr>
        <w:t>élément</w:t>
      </w:r>
      <w:r w:rsidR="00AC081D">
        <w:rPr>
          <w:rFonts w:eastAsia="MS Mincho"/>
        </w:rPr>
        <w:t>. L</w:t>
      </w:r>
      <w:r w:rsidR="00346F1B">
        <w:rPr>
          <w:rFonts w:eastAsia="MS Mincho"/>
        </w:rPr>
        <w:t>’</w:t>
      </w:r>
      <w:r w:rsidR="00AC081D">
        <w:rPr>
          <w:rFonts w:eastAsia="MS Mincho"/>
        </w:rPr>
        <w:t>Organe d</w:t>
      </w:r>
      <w:r w:rsidR="00346F1B">
        <w:rPr>
          <w:rFonts w:eastAsia="MS Mincho"/>
        </w:rPr>
        <w:t>’</w:t>
      </w:r>
      <w:r w:rsidR="00AC081D">
        <w:rPr>
          <w:rFonts w:eastAsia="MS Mincho"/>
        </w:rPr>
        <w:t>évaluation avait décidé de recommander l</w:t>
      </w:r>
      <w:r w:rsidR="00346F1B">
        <w:rPr>
          <w:rFonts w:eastAsia="MS Mincho"/>
        </w:rPr>
        <w:t>’</w:t>
      </w:r>
      <w:r w:rsidR="00AC081D">
        <w:rPr>
          <w:rFonts w:eastAsia="MS Mincho"/>
        </w:rPr>
        <w:t>approbation de la demande d</w:t>
      </w:r>
      <w:r w:rsidR="00346F1B">
        <w:rPr>
          <w:rFonts w:eastAsia="MS Mincho"/>
        </w:rPr>
        <w:t>’</w:t>
      </w:r>
      <w:r w:rsidR="00AC081D">
        <w:rPr>
          <w:rFonts w:eastAsia="MS Mincho"/>
        </w:rPr>
        <w:t>assistance internationale du Cambodge pour mettre en œuvre le plan de sauvegarde du chapei Dang Veng et l</w:t>
      </w:r>
      <w:r w:rsidR="00346F1B">
        <w:rPr>
          <w:rFonts w:eastAsia="MS Mincho"/>
        </w:rPr>
        <w:t>’</w:t>
      </w:r>
      <w:r w:rsidR="00AC081D">
        <w:rPr>
          <w:rFonts w:eastAsia="MS Mincho"/>
        </w:rPr>
        <w:t>attribution de la somme de 238</w:t>
      </w:r>
      <w:r w:rsidR="00695748">
        <w:rPr>
          <w:rFonts w:eastAsia="MS Mincho"/>
        </w:rPr>
        <w:t> </w:t>
      </w:r>
      <w:r w:rsidR="00AC081D">
        <w:rPr>
          <w:rFonts w:eastAsia="MS Mincho"/>
        </w:rPr>
        <w:t xml:space="preserve">970 </w:t>
      </w:r>
      <w:r w:rsidR="00AC081D" w:rsidRPr="00AC081D">
        <w:rPr>
          <w:rFonts w:eastAsia="MS Mincho"/>
        </w:rPr>
        <w:t>dollars des États-Unis</w:t>
      </w:r>
      <w:r w:rsidR="00AC081D">
        <w:rPr>
          <w:rFonts w:eastAsia="MS Mincho"/>
        </w:rPr>
        <w:t xml:space="preserve"> à l</w:t>
      </w:r>
      <w:r w:rsidR="00346F1B">
        <w:rPr>
          <w:rFonts w:eastAsia="MS Mincho"/>
        </w:rPr>
        <w:t>’</w:t>
      </w:r>
      <w:r w:rsidR="00AC081D">
        <w:rPr>
          <w:rFonts w:eastAsia="MS Mincho"/>
        </w:rPr>
        <w:t>Ét</w:t>
      </w:r>
      <w:r w:rsidR="00E94D39">
        <w:rPr>
          <w:rFonts w:eastAsia="MS Mincho"/>
        </w:rPr>
        <w:t>at soumissionnaire à cette fin.</w:t>
      </w:r>
    </w:p>
    <w:p w14:paraId="695BBC72" w14:textId="68A0FFA4" w:rsidR="00001CF7" w:rsidRPr="00001CF7" w:rsidRDefault="00001CF7" w:rsidP="00E94D39">
      <w:pPr>
        <w:pStyle w:val="Orateurengris"/>
        <w:spacing w:before="120"/>
        <w:ind w:left="709" w:hanging="709"/>
        <w:rPr>
          <w:rFonts w:eastAsiaTheme="minorEastAsia"/>
        </w:rPr>
      </w:pPr>
      <w:r>
        <w:rPr>
          <w:rFonts w:eastAsiaTheme="minorEastAsia"/>
        </w:rPr>
        <w:t xml:space="preserve">Le </w:t>
      </w:r>
      <w:r w:rsidRPr="00001CF7">
        <w:rPr>
          <w:rFonts w:eastAsiaTheme="minorEastAsia"/>
          <w:b/>
        </w:rPr>
        <w:t>Président</w:t>
      </w:r>
      <w:r>
        <w:rPr>
          <w:rFonts w:eastAsiaTheme="minorEastAsia"/>
        </w:rPr>
        <w:t xml:space="preserve"> a remercié le </w:t>
      </w:r>
      <w:r w:rsidR="00754EC3">
        <w:rPr>
          <w:rFonts w:eastAsiaTheme="minorEastAsia"/>
        </w:rPr>
        <w:t>Vice-Président</w:t>
      </w:r>
      <w:r>
        <w:rPr>
          <w:rFonts w:eastAsiaTheme="minorEastAsia"/>
        </w:rPr>
        <w:t xml:space="preserve"> pour l</w:t>
      </w:r>
      <w:r w:rsidR="00346F1B">
        <w:rPr>
          <w:rFonts w:eastAsiaTheme="minorEastAsia"/>
        </w:rPr>
        <w:t>’</w:t>
      </w:r>
      <w:r>
        <w:rPr>
          <w:rFonts w:eastAsiaTheme="minorEastAsia"/>
        </w:rPr>
        <w:t>explication détaillée, et en l</w:t>
      </w:r>
      <w:r w:rsidR="00346F1B">
        <w:rPr>
          <w:rFonts w:eastAsiaTheme="minorEastAsia"/>
        </w:rPr>
        <w:t>’</w:t>
      </w:r>
      <w:r>
        <w:rPr>
          <w:rFonts w:eastAsiaTheme="minorEastAsia"/>
        </w:rPr>
        <w:t>absence de demandes d</w:t>
      </w:r>
      <w:r w:rsidR="00346F1B">
        <w:rPr>
          <w:rFonts w:eastAsiaTheme="minorEastAsia"/>
        </w:rPr>
        <w:t>’</w:t>
      </w:r>
      <w:r>
        <w:rPr>
          <w:rFonts w:eastAsiaTheme="minorEastAsia"/>
        </w:rPr>
        <w:t>amendement, a proposé d</w:t>
      </w:r>
      <w:r w:rsidR="00346F1B">
        <w:rPr>
          <w:rFonts w:eastAsiaTheme="minorEastAsia"/>
        </w:rPr>
        <w:t>’</w:t>
      </w:r>
      <w:r>
        <w:rPr>
          <w:rFonts w:eastAsiaTheme="minorEastAsia"/>
        </w:rPr>
        <w:t>adopter le projet</w:t>
      </w:r>
      <w:r w:rsidR="00E94D39">
        <w:rPr>
          <w:rFonts w:eastAsiaTheme="minorEastAsia"/>
        </w:rPr>
        <w:t xml:space="preserve"> de décision dans son ensemble.</w:t>
      </w:r>
    </w:p>
    <w:p w14:paraId="0D51FE13" w14:textId="0E06712A" w:rsidR="00001CF7" w:rsidRPr="00001CF7" w:rsidRDefault="00001CF7" w:rsidP="00E94D39">
      <w:pPr>
        <w:pStyle w:val="Orateurengris"/>
        <w:spacing w:before="120"/>
        <w:ind w:left="709" w:hanging="709"/>
        <w:rPr>
          <w:rFonts w:eastAsiaTheme="minorEastAsia"/>
        </w:rPr>
      </w:pPr>
      <w:r>
        <w:rPr>
          <w:rFonts w:eastAsiaTheme="minorEastAsia"/>
        </w:rPr>
        <w:t xml:space="preserve">Après lui avoir adressé ses félicitations, la </w:t>
      </w:r>
      <w:r w:rsidRPr="00001CF7">
        <w:rPr>
          <w:rFonts w:eastAsiaTheme="minorEastAsia"/>
        </w:rPr>
        <w:t>délégation</w:t>
      </w:r>
      <w:r>
        <w:rPr>
          <w:rFonts w:eastAsiaTheme="minorEastAsia"/>
        </w:rPr>
        <w:t xml:space="preserve"> de l</w:t>
      </w:r>
      <w:r w:rsidR="00346F1B">
        <w:rPr>
          <w:rFonts w:eastAsiaTheme="minorEastAsia"/>
        </w:rPr>
        <w:t>’</w:t>
      </w:r>
      <w:r w:rsidRPr="00001CF7">
        <w:rPr>
          <w:rFonts w:eastAsiaTheme="minorEastAsia"/>
          <w:b/>
        </w:rPr>
        <w:t>Inde</w:t>
      </w:r>
      <w:r w:rsidR="00C12041">
        <w:rPr>
          <w:rFonts w:eastAsiaTheme="minorEastAsia"/>
        </w:rPr>
        <w:t xml:space="preserve"> a complimenté</w:t>
      </w:r>
      <w:r>
        <w:rPr>
          <w:rFonts w:eastAsiaTheme="minorEastAsia"/>
        </w:rPr>
        <w:t xml:space="preserve"> le Cambodge d</w:t>
      </w:r>
      <w:r w:rsidR="00346F1B">
        <w:rPr>
          <w:rFonts w:eastAsiaTheme="minorEastAsia"/>
        </w:rPr>
        <w:t>’</w:t>
      </w:r>
      <w:r>
        <w:rPr>
          <w:rFonts w:eastAsiaTheme="minorEastAsia"/>
        </w:rPr>
        <w:t xml:space="preserve">avoir présenté la </w:t>
      </w:r>
      <w:r w:rsidRPr="00001CF7">
        <w:rPr>
          <w:rFonts w:eastAsiaTheme="minorEastAsia"/>
        </w:rPr>
        <w:t>candidature</w:t>
      </w:r>
      <w:r w:rsidR="009A415E">
        <w:rPr>
          <w:rFonts w:eastAsiaTheme="minorEastAsia"/>
        </w:rPr>
        <w:t xml:space="preserve"> du chapei Dang V</w:t>
      </w:r>
      <w:r>
        <w:rPr>
          <w:rFonts w:eastAsiaTheme="minorEastAsia"/>
        </w:rPr>
        <w:t xml:space="preserve">eng </w:t>
      </w:r>
      <w:r w:rsidR="009A415E">
        <w:rPr>
          <w:rFonts w:eastAsiaTheme="minorEastAsia"/>
        </w:rPr>
        <w:t>à l</w:t>
      </w:r>
      <w:r w:rsidR="00346F1B">
        <w:rPr>
          <w:rFonts w:eastAsiaTheme="minorEastAsia"/>
        </w:rPr>
        <w:t>’</w:t>
      </w:r>
      <w:r w:rsidRPr="00001CF7">
        <w:rPr>
          <w:rFonts w:eastAsiaTheme="minorEastAsia"/>
        </w:rPr>
        <w:t>inscription</w:t>
      </w:r>
      <w:r>
        <w:rPr>
          <w:rFonts w:eastAsiaTheme="minorEastAsia"/>
        </w:rPr>
        <w:t xml:space="preserve"> tout en utilisant le Fonds du PCI pour </w:t>
      </w:r>
      <w:r w:rsidRPr="00001CF7">
        <w:rPr>
          <w:rFonts w:eastAsiaTheme="minorEastAsia"/>
        </w:rPr>
        <w:t>sauvegarde</w:t>
      </w:r>
      <w:r>
        <w:rPr>
          <w:rFonts w:eastAsiaTheme="minorEastAsia"/>
        </w:rPr>
        <w:t>r l</w:t>
      </w:r>
      <w:r w:rsidR="00346F1B">
        <w:rPr>
          <w:rFonts w:eastAsiaTheme="minorEastAsia"/>
        </w:rPr>
        <w:t>’</w:t>
      </w:r>
      <w:r w:rsidRPr="00001CF7">
        <w:rPr>
          <w:rFonts w:eastAsiaTheme="minorEastAsia"/>
        </w:rPr>
        <w:t>élément</w:t>
      </w:r>
      <w:r>
        <w:rPr>
          <w:rFonts w:eastAsiaTheme="minorEastAsia"/>
        </w:rPr>
        <w:t xml:space="preserve">, ce qui </w:t>
      </w:r>
      <w:r w:rsidR="009A415E">
        <w:rPr>
          <w:rFonts w:eastAsiaTheme="minorEastAsia"/>
        </w:rPr>
        <w:t>serait la voie à suivre à l</w:t>
      </w:r>
      <w:r w:rsidR="00346F1B">
        <w:rPr>
          <w:rFonts w:eastAsiaTheme="minorEastAsia"/>
        </w:rPr>
        <w:t>’</w:t>
      </w:r>
      <w:r w:rsidR="009A415E">
        <w:rPr>
          <w:rFonts w:eastAsiaTheme="minorEastAsia"/>
        </w:rPr>
        <w:t>avenir.</w:t>
      </w:r>
    </w:p>
    <w:p w14:paraId="1822928C" w14:textId="5A2D172D" w:rsidR="009A415E" w:rsidRPr="009A415E" w:rsidRDefault="009A415E" w:rsidP="00E94D39">
      <w:pPr>
        <w:pStyle w:val="Orateurengris"/>
        <w:spacing w:before="120"/>
        <w:ind w:left="709" w:hanging="709"/>
        <w:rPr>
          <w:rFonts w:eastAsia="MS Mincho"/>
          <w:lang w:bidi="en-US"/>
        </w:rPr>
      </w:pPr>
      <w:r>
        <w:rPr>
          <w:rFonts w:eastAsia="MS Mincho"/>
          <w:lang w:bidi="en-US"/>
        </w:rPr>
        <w:t>En l</w:t>
      </w:r>
      <w:r w:rsidR="00346F1B">
        <w:rPr>
          <w:rFonts w:eastAsia="MS Mincho"/>
          <w:lang w:bidi="en-US"/>
        </w:rPr>
        <w:t>’</w:t>
      </w:r>
      <w:r>
        <w:rPr>
          <w:rFonts w:eastAsia="MS Mincho"/>
          <w:lang w:bidi="en-US"/>
        </w:rPr>
        <w:t>absence d</w:t>
      </w:r>
      <w:r w:rsidR="00346F1B">
        <w:rPr>
          <w:rFonts w:eastAsia="MS Mincho"/>
          <w:lang w:bidi="en-US"/>
        </w:rPr>
        <w:t>’</w:t>
      </w:r>
      <w:r>
        <w:rPr>
          <w:rFonts w:eastAsia="MS Mincho"/>
          <w:lang w:bidi="en-US"/>
        </w:rPr>
        <w:t xml:space="preserve">autres commentaires ou </w:t>
      </w:r>
      <w:r w:rsidRPr="009A415E">
        <w:rPr>
          <w:rFonts w:eastAsia="MS Mincho"/>
          <w:lang w:bidi="en-US"/>
        </w:rPr>
        <w:t>objections</w:t>
      </w:r>
      <w:r>
        <w:rPr>
          <w:rFonts w:eastAsia="MS Mincho"/>
          <w:lang w:bidi="en-US"/>
        </w:rPr>
        <w:t xml:space="preserve">, le </w:t>
      </w:r>
      <w:r w:rsidRPr="009A415E">
        <w:rPr>
          <w:rFonts w:eastAsia="MS Mincho"/>
          <w:b/>
          <w:lang w:bidi="en-US"/>
        </w:rPr>
        <w:t>Président a déclaré adoptée la décision 11.COM 10.a.6 d</w:t>
      </w:r>
      <w:r w:rsidR="00346F1B">
        <w:rPr>
          <w:rFonts w:eastAsia="MS Mincho"/>
          <w:b/>
          <w:lang w:bidi="en-US"/>
        </w:rPr>
        <w:t>’</w:t>
      </w:r>
      <w:r w:rsidRPr="009A415E">
        <w:rPr>
          <w:rFonts w:eastAsia="MS Mincho"/>
          <w:b/>
          <w:lang w:bidi="en-US"/>
        </w:rPr>
        <w:t>inscrire le chapei Dang veng sur la Liste du patrimoine culturel immatériel nécessitant une sauvegarde urgente</w:t>
      </w:r>
      <w:r>
        <w:rPr>
          <w:rFonts w:eastAsia="MS Mincho"/>
          <w:b/>
          <w:lang w:bidi="en-US"/>
        </w:rPr>
        <w:t>,</w:t>
      </w:r>
      <w:r w:rsidRPr="009A415E">
        <w:rPr>
          <w:rFonts w:eastAsia="MS Mincho"/>
          <w:b/>
          <w:lang w:bidi="en-US"/>
        </w:rPr>
        <w:t xml:space="preserve"> et d</w:t>
      </w:r>
      <w:r w:rsidR="00346F1B">
        <w:rPr>
          <w:rFonts w:eastAsia="MS Mincho"/>
          <w:b/>
          <w:lang w:bidi="en-US"/>
        </w:rPr>
        <w:t>’</w:t>
      </w:r>
      <w:r w:rsidRPr="009A415E">
        <w:rPr>
          <w:rFonts w:eastAsia="MS Mincho"/>
          <w:b/>
          <w:lang w:bidi="en-US"/>
        </w:rPr>
        <w:t xml:space="preserve">approuver </w:t>
      </w:r>
      <w:r>
        <w:rPr>
          <w:rFonts w:eastAsia="MS Mincho"/>
          <w:b/>
          <w:lang w:bidi="en-US"/>
        </w:rPr>
        <w:t>l</w:t>
      </w:r>
      <w:r w:rsidR="00346F1B">
        <w:rPr>
          <w:rFonts w:eastAsia="MS Mincho"/>
          <w:b/>
          <w:lang w:bidi="en-US"/>
        </w:rPr>
        <w:t>’</w:t>
      </w:r>
      <w:r w:rsidRPr="009A415E">
        <w:rPr>
          <w:rFonts w:eastAsia="MS Mincho"/>
          <w:b/>
          <w:lang w:bidi="en-US"/>
        </w:rPr>
        <w:t>assistance internationale d</w:t>
      </w:r>
      <w:r w:rsidR="00346F1B">
        <w:rPr>
          <w:rFonts w:eastAsia="MS Mincho"/>
          <w:b/>
          <w:lang w:bidi="en-US"/>
        </w:rPr>
        <w:t>’</w:t>
      </w:r>
      <w:r w:rsidRPr="009A415E">
        <w:rPr>
          <w:rFonts w:eastAsia="MS Mincho"/>
          <w:b/>
          <w:lang w:bidi="en-US"/>
        </w:rPr>
        <w:t>un montant de 238</w:t>
      </w:r>
      <w:r w:rsidR="00695748">
        <w:rPr>
          <w:rFonts w:eastAsia="MS Mincho"/>
          <w:b/>
          <w:lang w:bidi="en-US"/>
        </w:rPr>
        <w:t> </w:t>
      </w:r>
      <w:r w:rsidRPr="009A415E">
        <w:rPr>
          <w:rFonts w:eastAsia="MS Mincho"/>
          <w:b/>
          <w:lang w:bidi="en-US"/>
        </w:rPr>
        <w:t>970 dollars des États-Unis octroyée à l</w:t>
      </w:r>
      <w:r w:rsidR="00346F1B">
        <w:rPr>
          <w:rFonts w:eastAsia="MS Mincho"/>
          <w:b/>
          <w:lang w:bidi="en-US"/>
        </w:rPr>
        <w:t>’</w:t>
      </w:r>
      <w:r w:rsidRPr="009A415E">
        <w:rPr>
          <w:rFonts w:eastAsia="MS Mincho"/>
          <w:b/>
          <w:lang w:bidi="en-US"/>
        </w:rPr>
        <w:t>État soumissionnair</w:t>
      </w:r>
      <w:r w:rsidR="00E94D39">
        <w:rPr>
          <w:rFonts w:eastAsia="MS Mincho"/>
          <w:lang w:bidi="en-US"/>
        </w:rPr>
        <w:t>e.</w:t>
      </w:r>
    </w:p>
    <w:p w14:paraId="65B1E963" w14:textId="0806AF77" w:rsidR="001C0F4D" w:rsidRPr="001C0F4D" w:rsidRDefault="009A415E" w:rsidP="00E94D39">
      <w:pPr>
        <w:pStyle w:val="Orateurengris"/>
        <w:spacing w:before="120"/>
        <w:ind w:left="709" w:hanging="709"/>
        <w:rPr>
          <w:rFonts w:eastAsia="MS Mincho"/>
          <w:lang w:bidi="en-US"/>
        </w:rPr>
      </w:pPr>
      <w:r w:rsidRPr="009A415E">
        <w:rPr>
          <w:rFonts w:eastAsia="MS Mincho"/>
          <w:lang w:bidi="en-US"/>
        </w:rPr>
        <w:t xml:space="preserve">La délégation du </w:t>
      </w:r>
      <w:r w:rsidRPr="009A415E">
        <w:rPr>
          <w:rFonts w:eastAsia="MS Mincho"/>
          <w:b/>
          <w:lang w:bidi="en-US"/>
        </w:rPr>
        <w:t>Cambodge</w:t>
      </w:r>
      <w:r w:rsidRPr="009A415E">
        <w:rPr>
          <w:rFonts w:eastAsia="MS Mincho"/>
          <w:lang w:bidi="en-US"/>
        </w:rPr>
        <w:t xml:space="preserve"> </w:t>
      </w:r>
      <w:r>
        <w:rPr>
          <w:rFonts w:eastAsia="MS Mincho"/>
          <w:lang w:bidi="en-US"/>
        </w:rPr>
        <w:t>a exprimé ses plus sincères remerciements à l</w:t>
      </w:r>
      <w:r w:rsidR="00346F1B">
        <w:rPr>
          <w:rFonts w:eastAsia="MS Mincho"/>
          <w:lang w:bidi="en-US"/>
        </w:rPr>
        <w:t>’</w:t>
      </w:r>
      <w:r w:rsidRPr="009A415E">
        <w:rPr>
          <w:rFonts w:eastAsia="MS Mincho"/>
          <w:lang w:bidi="en-US"/>
        </w:rPr>
        <w:t>Éthiopie</w:t>
      </w:r>
      <w:r>
        <w:rPr>
          <w:rFonts w:eastAsia="MS Mincho"/>
          <w:lang w:bidi="en-US"/>
        </w:rPr>
        <w:t xml:space="preserve">, </w:t>
      </w:r>
      <w:r w:rsidRPr="009A415E">
        <w:rPr>
          <w:rFonts w:eastAsia="MS Mincho"/>
          <w:lang w:bidi="en-US"/>
        </w:rPr>
        <w:t>en particulier</w:t>
      </w:r>
      <w:r>
        <w:rPr>
          <w:rFonts w:eastAsia="MS Mincho"/>
          <w:lang w:bidi="en-US"/>
        </w:rPr>
        <w:t xml:space="preserve"> au </w:t>
      </w:r>
      <w:r w:rsidRPr="009A415E">
        <w:rPr>
          <w:rFonts w:eastAsia="MS Mincho"/>
          <w:lang w:bidi="en-US"/>
        </w:rPr>
        <w:t>ministère</w:t>
      </w:r>
      <w:r>
        <w:rPr>
          <w:rFonts w:eastAsia="MS Mincho"/>
          <w:lang w:bidi="en-US"/>
        </w:rPr>
        <w:t xml:space="preserve"> de la Culture et du Tourisme, pour sa chaleureuse hospitalité et l</w:t>
      </w:r>
      <w:r w:rsidR="00346F1B">
        <w:rPr>
          <w:rFonts w:eastAsia="MS Mincho"/>
          <w:lang w:bidi="en-US"/>
        </w:rPr>
        <w:t>’</w:t>
      </w:r>
      <w:r w:rsidRPr="009A415E">
        <w:rPr>
          <w:rFonts w:eastAsia="MS Mincho"/>
          <w:lang w:bidi="en-US"/>
        </w:rPr>
        <w:t>organisation</w:t>
      </w:r>
      <w:r>
        <w:rPr>
          <w:rFonts w:eastAsia="MS Mincho"/>
          <w:lang w:bidi="en-US"/>
        </w:rPr>
        <w:t xml:space="preserve"> de cette session. La </w:t>
      </w:r>
      <w:r w:rsidRPr="009A415E">
        <w:rPr>
          <w:rFonts w:eastAsia="MS Mincho"/>
          <w:lang w:bidi="en-US"/>
        </w:rPr>
        <w:t>délégation</w:t>
      </w:r>
      <w:r>
        <w:rPr>
          <w:rFonts w:eastAsia="MS Mincho"/>
          <w:lang w:bidi="en-US"/>
        </w:rPr>
        <w:t xml:space="preserve"> a remercié le Secrétariat, </w:t>
      </w:r>
      <w:r w:rsidRPr="009A415E">
        <w:rPr>
          <w:rFonts w:eastAsia="MS Mincho"/>
          <w:lang w:bidi="en-US"/>
        </w:rPr>
        <w:t>en particulier</w:t>
      </w:r>
      <w:r>
        <w:rPr>
          <w:rFonts w:eastAsia="MS Mincho"/>
          <w:lang w:bidi="en-US"/>
        </w:rPr>
        <w:t xml:space="preserve"> le </w:t>
      </w:r>
      <w:r w:rsidRPr="009A415E">
        <w:rPr>
          <w:rFonts w:eastAsia="MS Mincho"/>
          <w:lang w:bidi="en-US"/>
        </w:rPr>
        <w:t>Secrétaire</w:t>
      </w:r>
      <w:r>
        <w:rPr>
          <w:rFonts w:eastAsia="MS Mincho"/>
          <w:lang w:bidi="en-US"/>
        </w:rPr>
        <w:t>, d</w:t>
      </w:r>
      <w:r w:rsidR="00346F1B">
        <w:rPr>
          <w:rFonts w:eastAsia="MS Mincho"/>
          <w:lang w:bidi="en-US"/>
        </w:rPr>
        <w:t>’</w:t>
      </w:r>
      <w:r>
        <w:rPr>
          <w:rFonts w:eastAsia="MS Mincho"/>
          <w:lang w:bidi="en-US"/>
        </w:rPr>
        <w:t>avoir supporté l</w:t>
      </w:r>
      <w:r w:rsidR="00346F1B">
        <w:rPr>
          <w:rFonts w:eastAsia="MS Mincho"/>
          <w:lang w:bidi="en-US"/>
        </w:rPr>
        <w:t>’</w:t>
      </w:r>
      <w:r>
        <w:rPr>
          <w:rFonts w:eastAsia="MS Mincho"/>
          <w:lang w:bidi="en-US"/>
        </w:rPr>
        <w:t xml:space="preserve">énorme charge de travail nécessaire à la réussite de cette réunion. Elle a </w:t>
      </w:r>
      <w:r w:rsidR="001C0F4D" w:rsidRPr="001C0F4D">
        <w:rPr>
          <w:rFonts w:eastAsia="MS Mincho"/>
          <w:lang w:bidi="en-US"/>
        </w:rPr>
        <w:t>également</w:t>
      </w:r>
      <w:r w:rsidR="001C0F4D">
        <w:rPr>
          <w:rFonts w:eastAsia="MS Mincho"/>
          <w:lang w:bidi="en-US"/>
        </w:rPr>
        <w:t xml:space="preserve"> exprimé sa sincère </w:t>
      </w:r>
      <w:r w:rsidR="001C0F4D" w:rsidRPr="001C0F4D">
        <w:rPr>
          <w:rFonts w:eastAsia="MS Mincho"/>
          <w:lang w:bidi="en-US"/>
        </w:rPr>
        <w:t>reconnaissance</w:t>
      </w:r>
      <w:r w:rsidR="001C0F4D">
        <w:rPr>
          <w:rFonts w:eastAsia="MS Mincho"/>
          <w:lang w:bidi="en-US"/>
        </w:rPr>
        <w:t xml:space="preserve"> et sa profonde gratitude à l</w:t>
      </w:r>
      <w:r w:rsidR="00346F1B">
        <w:rPr>
          <w:rFonts w:eastAsia="MS Mincho"/>
          <w:lang w:bidi="en-US"/>
        </w:rPr>
        <w:t>’</w:t>
      </w:r>
      <w:r w:rsidR="001C0F4D">
        <w:rPr>
          <w:rFonts w:eastAsia="MS Mincho"/>
          <w:lang w:bidi="en-US"/>
        </w:rPr>
        <w:t>Organe d</w:t>
      </w:r>
      <w:r w:rsidR="00346F1B">
        <w:rPr>
          <w:rFonts w:eastAsia="MS Mincho"/>
          <w:lang w:bidi="en-US"/>
        </w:rPr>
        <w:t>’</w:t>
      </w:r>
      <w:r w:rsidR="001C0F4D">
        <w:rPr>
          <w:rFonts w:eastAsia="MS Mincho"/>
          <w:lang w:bidi="en-US"/>
        </w:rPr>
        <w:t xml:space="preserve">évaluation et au Comité pour leur examen attentif de la </w:t>
      </w:r>
      <w:r w:rsidR="001C0F4D" w:rsidRPr="001C0F4D">
        <w:rPr>
          <w:rFonts w:eastAsia="MS Mincho"/>
          <w:lang w:bidi="en-US"/>
        </w:rPr>
        <w:t>candidature</w:t>
      </w:r>
      <w:r w:rsidR="001C0F4D">
        <w:rPr>
          <w:rFonts w:eastAsia="MS Mincho"/>
          <w:lang w:bidi="en-US"/>
        </w:rPr>
        <w:t xml:space="preserve"> et l</w:t>
      </w:r>
      <w:r w:rsidR="00346F1B">
        <w:rPr>
          <w:rFonts w:eastAsia="MS Mincho"/>
          <w:lang w:bidi="en-US"/>
        </w:rPr>
        <w:t>’</w:t>
      </w:r>
      <w:r w:rsidR="001C0F4D" w:rsidRPr="001C0F4D">
        <w:rPr>
          <w:rFonts w:eastAsia="MS Mincho"/>
          <w:lang w:bidi="en-US"/>
        </w:rPr>
        <w:t>inscription</w:t>
      </w:r>
      <w:r w:rsidR="001C0F4D">
        <w:rPr>
          <w:rFonts w:eastAsia="MS Mincho"/>
          <w:lang w:bidi="en-US"/>
        </w:rPr>
        <w:t xml:space="preserve"> du chapei Dang Veng sur la Liste de sauvegarde urgente avec une assistance financière, une décision qui témoignait des préoccupations </w:t>
      </w:r>
      <w:r w:rsidR="00B17131">
        <w:rPr>
          <w:rFonts w:eastAsia="MS Mincho"/>
          <w:lang w:bidi="en-US"/>
        </w:rPr>
        <w:t>et de l</w:t>
      </w:r>
      <w:r w:rsidR="00346F1B">
        <w:rPr>
          <w:rFonts w:eastAsia="MS Mincho"/>
          <w:lang w:bidi="en-US"/>
        </w:rPr>
        <w:t>’</w:t>
      </w:r>
      <w:r w:rsidR="00B17131" w:rsidRPr="00B17131">
        <w:rPr>
          <w:rFonts w:eastAsia="MS Mincho"/>
          <w:lang w:bidi="en-US"/>
        </w:rPr>
        <w:t>engagement</w:t>
      </w:r>
      <w:r w:rsidR="00B17131">
        <w:rPr>
          <w:rFonts w:eastAsia="MS Mincho"/>
          <w:lang w:bidi="en-US"/>
        </w:rPr>
        <w:t xml:space="preserve"> </w:t>
      </w:r>
      <w:r w:rsidR="001C0F4D">
        <w:rPr>
          <w:rFonts w:eastAsia="MS Mincho"/>
          <w:lang w:bidi="en-US"/>
        </w:rPr>
        <w:t xml:space="preserve">de la </w:t>
      </w:r>
      <w:r w:rsidR="001C0F4D" w:rsidRPr="001C0F4D">
        <w:rPr>
          <w:rFonts w:eastAsia="MS Mincho"/>
          <w:lang w:bidi="en-US"/>
        </w:rPr>
        <w:t>communauté</w:t>
      </w:r>
      <w:r w:rsidR="001C0F4D">
        <w:rPr>
          <w:rFonts w:eastAsia="MS Mincho"/>
          <w:lang w:bidi="en-US"/>
        </w:rPr>
        <w:t xml:space="preserve"> </w:t>
      </w:r>
      <w:r w:rsidR="00B17131">
        <w:rPr>
          <w:rFonts w:eastAsia="MS Mincho"/>
          <w:lang w:bidi="en-US"/>
        </w:rPr>
        <w:t xml:space="preserve">internationale </w:t>
      </w:r>
      <w:r w:rsidR="001C0F4D">
        <w:rPr>
          <w:rFonts w:eastAsia="MS Mincho"/>
          <w:lang w:bidi="en-US"/>
        </w:rPr>
        <w:t xml:space="preserve">en faveur </w:t>
      </w:r>
      <w:r w:rsidR="00B17131">
        <w:rPr>
          <w:rFonts w:eastAsia="MS Mincho"/>
          <w:lang w:bidi="en-US"/>
        </w:rPr>
        <w:t xml:space="preserve">de </w:t>
      </w:r>
      <w:r w:rsidR="001C0F4D">
        <w:rPr>
          <w:rFonts w:eastAsia="MS Mincho"/>
          <w:lang w:bidi="en-US"/>
        </w:rPr>
        <w:t xml:space="preserve">la </w:t>
      </w:r>
      <w:r w:rsidR="001C0F4D" w:rsidRPr="001C0F4D">
        <w:rPr>
          <w:rFonts w:eastAsia="MS Mincho"/>
          <w:lang w:bidi="en-US"/>
        </w:rPr>
        <w:t>sauvegarde</w:t>
      </w:r>
      <w:r w:rsidR="001C0F4D">
        <w:rPr>
          <w:rFonts w:eastAsia="MS Mincho"/>
          <w:lang w:bidi="en-US"/>
        </w:rPr>
        <w:t xml:space="preserve"> de l</w:t>
      </w:r>
      <w:r w:rsidR="00346F1B">
        <w:rPr>
          <w:rFonts w:eastAsia="MS Mincho"/>
          <w:lang w:bidi="en-US"/>
        </w:rPr>
        <w:t>’</w:t>
      </w:r>
      <w:r w:rsidR="001C0F4D" w:rsidRPr="001C0F4D">
        <w:rPr>
          <w:rFonts w:eastAsia="MS Mincho"/>
          <w:lang w:bidi="en-US"/>
        </w:rPr>
        <w:t>élément</w:t>
      </w:r>
      <w:r w:rsidR="001C0F4D">
        <w:rPr>
          <w:rFonts w:eastAsia="MS Mincho"/>
          <w:lang w:bidi="en-US"/>
        </w:rPr>
        <w:t xml:space="preserve"> pour les générations futures. La décision encourageait le Cambodge à agir immédiatement afin d</w:t>
      </w:r>
      <w:r w:rsidR="00346F1B">
        <w:rPr>
          <w:rFonts w:eastAsia="MS Mincho"/>
          <w:lang w:bidi="en-US"/>
        </w:rPr>
        <w:t>’</w:t>
      </w:r>
      <w:r w:rsidR="001C0F4D">
        <w:rPr>
          <w:rFonts w:eastAsia="MS Mincho"/>
          <w:lang w:bidi="en-US"/>
        </w:rPr>
        <w:t xml:space="preserve">assurer la </w:t>
      </w:r>
      <w:r w:rsidR="001C0F4D" w:rsidRPr="001C0F4D">
        <w:rPr>
          <w:rFonts w:eastAsia="MS Mincho"/>
          <w:lang w:bidi="en-US"/>
        </w:rPr>
        <w:t>continuité</w:t>
      </w:r>
      <w:r w:rsidR="001C0F4D">
        <w:rPr>
          <w:rFonts w:eastAsia="MS Mincho"/>
          <w:lang w:bidi="en-US"/>
        </w:rPr>
        <w:t xml:space="preserve"> et la </w:t>
      </w:r>
      <w:r w:rsidR="001C0F4D" w:rsidRPr="001C0F4D">
        <w:rPr>
          <w:rFonts w:eastAsia="MS Mincho"/>
          <w:lang w:bidi="en-US"/>
        </w:rPr>
        <w:t xml:space="preserve">transmission </w:t>
      </w:r>
      <w:r w:rsidR="001C0F4D">
        <w:rPr>
          <w:rFonts w:eastAsia="MS Mincho"/>
          <w:lang w:bidi="en-US"/>
        </w:rPr>
        <w:t xml:space="preserve">de cet important élément. Ayant tiré des enseignements des meilleures pratiques présentées par les autres pays dans le monde, la </w:t>
      </w:r>
      <w:r w:rsidR="001C0F4D" w:rsidRPr="001C0F4D">
        <w:rPr>
          <w:rFonts w:eastAsia="MS Mincho"/>
          <w:lang w:bidi="en-US"/>
        </w:rPr>
        <w:t>délégation</w:t>
      </w:r>
      <w:r w:rsidR="001C0F4D">
        <w:rPr>
          <w:rFonts w:eastAsia="MS Mincho"/>
          <w:lang w:bidi="en-US"/>
        </w:rPr>
        <w:t xml:space="preserve"> développerait un </w:t>
      </w:r>
      <w:r w:rsidR="001C0F4D" w:rsidRPr="001C0F4D">
        <w:rPr>
          <w:rFonts w:eastAsia="MS Mincho"/>
          <w:lang w:bidi="en-US"/>
        </w:rPr>
        <w:t>mécanisme</w:t>
      </w:r>
      <w:r w:rsidR="001C0F4D">
        <w:rPr>
          <w:rFonts w:eastAsia="MS Mincho"/>
          <w:lang w:bidi="en-US"/>
        </w:rPr>
        <w:t xml:space="preserve"> concret et pratique</w:t>
      </w:r>
      <w:r w:rsidR="00B17131">
        <w:rPr>
          <w:rFonts w:eastAsia="MS Mincho"/>
          <w:lang w:bidi="en-US"/>
        </w:rPr>
        <w:t>,</w:t>
      </w:r>
      <w:r w:rsidR="001C0F4D">
        <w:rPr>
          <w:rFonts w:eastAsia="MS Mincho"/>
          <w:lang w:bidi="en-US"/>
        </w:rPr>
        <w:t xml:space="preserve"> dans le cadre du contexte cambodgien</w:t>
      </w:r>
      <w:r w:rsidR="00B17131">
        <w:rPr>
          <w:rFonts w:eastAsia="MS Mincho"/>
          <w:lang w:bidi="en-US"/>
        </w:rPr>
        <w:t>,</w:t>
      </w:r>
      <w:r w:rsidR="001C0F4D">
        <w:rPr>
          <w:rFonts w:eastAsia="MS Mincho"/>
          <w:lang w:bidi="en-US"/>
        </w:rPr>
        <w:t xml:space="preserve"> pour sauvegarder le PCI en travaillant en étroite </w:t>
      </w:r>
      <w:r w:rsidR="001C0F4D" w:rsidRPr="001C0F4D">
        <w:rPr>
          <w:rFonts w:eastAsia="MS Mincho"/>
          <w:lang w:bidi="en-US"/>
        </w:rPr>
        <w:t>collaboration</w:t>
      </w:r>
      <w:r w:rsidR="001C0F4D">
        <w:rPr>
          <w:rFonts w:eastAsia="MS Mincho"/>
          <w:lang w:bidi="en-US"/>
        </w:rPr>
        <w:t xml:space="preserve"> avec les communautés détentrices, les ONG concernées et les autorités locales à tous les niveaux. Elle espérait </w:t>
      </w:r>
      <w:r w:rsidR="00C12041">
        <w:rPr>
          <w:rFonts w:eastAsia="MS Mincho"/>
          <w:lang w:bidi="en-US"/>
        </w:rPr>
        <w:t xml:space="preserve">vivement </w:t>
      </w:r>
      <w:r w:rsidR="001C0F4D">
        <w:rPr>
          <w:rFonts w:eastAsia="MS Mincho"/>
          <w:lang w:bidi="en-US"/>
        </w:rPr>
        <w:t>que, dans un proche avenir, elle pourrait demander le transfert de l</w:t>
      </w:r>
      <w:r w:rsidR="00346F1B">
        <w:rPr>
          <w:rFonts w:eastAsia="MS Mincho"/>
          <w:lang w:bidi="en-US"/>
        </w:rPr>
        <w:t>’</w:t>
      </w:r>
      <w:r w:rsidR="001C0F4D">
        <w:rPr>
          <w:rFonts w:eastAsia="MS Mincho"/>
          <w:lang w:bidi="en-US"/>
        </w:rPr>
        <w:t>élément de la Liste de sauvegarde urgente à la Liste représentative</w:t>
      </w:r>
      <w:r w:rsidR="00B17131">
        <w:rPr>
          <w:rFonts w:eastAsia="MS Mincho"/>
          <w:lang w:bidi="en-US"/>
        </w:rPr>
        <w:t xml:space="preserve">. Enfin, la </w:t>
      </w:r>
      <w:r w:rsidR="00B17131" w:rsidRPr="00B17131">
        <w:rPr>
          <w:rFonts w:eastAsia="MS Mincho"/>
          <w:lang w:bidi="en-US"/>
        </w:rPr>
        <w:t>délégation</w:t>
      </w:r>
      <w:r w:rsidR="00B17131">
        <w:rPr>
          <w:rFonts w:eastAsia="MS Mincho"/>
          <w:lang w:bidi="en-US"/>
        </w:rPr>
        <w:t xml:space="preserve"> a exprimé sa</w:t>
      </w:r>
      <w:r w:rsidR="001C0F4D">
        <w:rPr>
          <w:rFonts w:eastAsia="MS Mincho"/>
          <w:lang w:bidi="en-US"/>
        </w:rPr>
        <w:t xml:space="preserve"> volonté de travailler avec le Secrétariat afin d</w:t>
      </w:r>
      <w:r w:rsidR="00346F1B">
        <w:rPr>
          <w:rFonts w:eastAsia="MS Mincho"/>
          <w:lang w:bidi="en-US"/>
        </w:rPr>
        <w:t>’</w:t>
      </w:r>
      <w:r w:rsidR="001C0F4D">
        <w:rPr>
          <w:rFonts w:eastAsia="MS Mincho"/>
          <w:lang w:bidi="en-US"/>
        </w:rPr>
        <w:t xml:space="preserve">éviter </w:t>
      </w:r>
      <w:r w:rsidR="00B17131">
        <w:rPr>
          <w:rFonts w:eastAsia="MS Mincho"/>
          <w:lang w:bidi="en-US"/>
        </w:rPr>
        <w:t>toute incohérence, c</w:t>
      </w:r>
      <w:r w:rsidR="00E94D39">
        <w:rPr>
          <w:rFonts w:eastAsia="MS Mincho"/>
          <w:lang w:bidi="en-US"/>
        </w:rPr>
        <w:t>omme le recommandait le Comité.</w:t>
      </w:r>
    </w:p>
    <w:p w14:paraId="356208A5" w14:textId="1BC52073" w:rsidR="00C609E6" w:rsidRPr="00333476" w:rsidRDefault="00333476" w:rsidP="004448E9">
      <w:pPr>
        <w:pStyle w:val="Orateurengris"/>
        <w:numPr>
          <w:ilvl w:val="0"/>
          <w:numId w:val="0"/>
        </w:numPr>
        <w:spacing w:before="360" w:after="60"/>
        <w:ind w:left="567" w:hanging="567"/>
        <w:outlineLvl w:val="0"/>
        <w:rPr>
          <w:rFonts w:eastAsia="Cambria"/>
          <w:b/>
          <w:u w:val="single"/>
        </w:rPr>
      </w:pPr>
      <w:bookmarkStart w:id="17" w:name="Item10b"/>
      <w:r>
        <w:rPr>
          <w:b/>
          <w:u w:val="single"/>
        </w:rPr>
        <w:t>POINT 10 DE L</w:t>
      </w:r>
      <w:r w:rsidR="00346F1B">
        <w:rPr>
          <w:b/>
          <w:u w:val="single"/>
        </w:rPr>
        <w:t>’</w:t>
      </w:r>
      <w:r w:rsidRPr="00333476">
        <w:rPr>
          <w:b/>
          <w:u w:val="single"/>
        </w:rPr>
        <w:t>ORDRE DU JOUR</w:t>
      </w:r>
      <w:r>
        <w:rPr>
          <w:b/>
          <w:u w:val="single"/>
        </w:rPr>
        <w:t> :</w:t>
      </w:r>
    </w:p>
    <w:bookmarkEnd w:id="17"/>
    <w:p w14:paraId="78362EA3" w14:textId="4DAEB601" w:rsidR="00333476" w:rsidRPr="004448E9" w:rsidRDefault="00333476" w:rsidP="002B4948">
      <w:pPr>
        <w:pStyle w:val="Orateurengris"/>
        <w:numPr>
          <w:ilvl w:val="0"/>
          <w:numId w:val="0"/>
        </w:numPr>
        <w:outlineLvl w:val="0"/>
        <w:rPr>
          <w:rFonts w:eastAsiaTheme="minorEastAsia"/>
          <w:b/>
          <w:color w:val="323133"/>
          <w:lang w:eastAsia="ja-JP"/>
        </w:rPr>
      </w:pPr>
      <w:r>
        <w:rPr>
          <w:rFonts w:eastAsiaTheme="minorEastAsia"/>
          <w:b/>
          <w:color w:val="323133"/>
          <w:lang w:eastAsia="ja-JP"/>
        </w:rPr>
        <w:t xml:space="preserve">EXAMEN DES CANDIDATURES POUR </w:t>
      </w:r>
      <w:r w:rsidRPr="00333476">
        <w:rPr>
          <w:rFonts w:eastAsiaTheme="minorEastAsia"/>
          <w:b/>
          <w:color w:val="323133"/>
          <w:lang w:eastAsia="ja-JP"/>
        </w:rPr>
        <w:t>INSCRIPTION</w:t>
      </w:r>
      <w:r>
        <w:rPr>
          <w:rFonts w:eastAsiaTheme="minorEastAsia"/>
          <w:b/>
          <w:color w:val="323133"/>
          <w:lang w:eastAsia="ja-JP"/>
        </w:rPr>
        <w:t xml:space="preserve"> SUR LA LISTE REPRÉSENTATIVE DU PATRIMOINE CULTUREL IMMATÉRIEL DE L</w:t>
      </w:r>
      <w:r w:rsidR="00346F1B">
        <w:rPr>
          <w:rFonts w:eastAsiaTheme="minorEastAsia"/>
          <w:b/>
          <w:color w:val="323133"/>
          <w:lang w:eastAsia="ja-JP"/>
        </w:rPr>
        <w:t>’</w:t>
      </w:r>
      <w:r>
        <w:rPr>
          <w:rFonts w:eastAsiaTheme="minorEastAsia"/>
          <w:b/>
          <w:color w:val="323133"/>
          <w:lang w:eastAsia="ja-JP"/>
        </w:rPr>
        <w:t>HUMANITÉ</w:t>
      </w:r>
    </w:p>
    <w:p w14:paraId="2990EF7B" w14:textId="06C24BE6" w:rsidR="00C609E6" w:rsidRPr="00333476" w:rsidRDefault="00F678BF" w:rsidP="004448E9">
      <w:pPr>
        <w:pStyle w:val="NormalWeb"/>
        <w:keepNext/>
        <w:tabs>
          <w:tab w:val="left" w:pos="709"/>
          <w:tab w:val="left" w:pos="1418"/>
          <w:tab w:val="left" w:pos="2126"/>
          <w:tab w:val="left" w:pos="2835"/>
        </w:tabs>
        <w:spacing w:before="120" w:beforeAutospacing="0" w:after="60" w:afterAutospacing="0"/>
        <w:ind w:left="567" w:hanging="567"/>
        <w:rPr>
          <w:rFonts w:ascii="Arial" w:hAnsi="Arial" w:cs="Arial"/>
          <w:i/>
          <w:sz w:val="22"/>
          <w:szCs w:val="22"/>
          <w:lang w:val="fr-FR" w:eastAsia="fr-FR"/>
        </w:rPr>
      </w:pPr>
      <w:r w:rsidRPr="00333476">
        <w:rPr>
          <w:rFonts w:ascii="Arial" w:hAnsi="Arial" w:cs="Arial"/>
          <w:b/>
          <w:sz w:val="22"/>
          <w:szCs w:val="22"/>
          <w:lang w:val="fr-FR"/>
        </w:rPr>
        <w:tab/>
      </w:r>
      <w:r w:rsidR="00C609E6" w:rsidRPr="00333476">
        <w:rPr>
          <w:rFonts w:ascii="Arial" w:hAnsi="Arial" w:cs="Arial"/>
          <w:b/>
          <w:sz w:val="22"/>
          <w:szCs w:val="22"/>
          <w:lang w:val="fr-FR"/>
        </w:rPr>
        <w:t>Document</w:t>
      </w:r>
      <w:r w:rsidR="00C609E6" w:rsidRPr="00333476">
        <w:rPr>
          <w:rFonts w:ascii="Arial" w:hAnsi="Arial" w:cs="Arial"/>
          <w:b/>
          <w:sz w:val="22"/>
          <w:szCs w:val="22"/>
          <w:lang w:val="fr-FR"/>
        </w:rPr>
        <w:tab/>
      </w:r>
      <w:r w:rsidR="007B1438">
        <w:fldChar w:fldCharType="begin"/>
      </w:r>
      <w:r w:rsidR="007B1438" w:rsidRPr="007B1438">
        <w:rPr>
          <w:lang w:val="fr-FR"/>
        </w:rPr>
        <w:instrText xml:space="preserve"> HYPERLINK "https://ich.unesco.org/doc/src/ITH-16-11.COM-10.b-FR.docx" </w:instrText>
      </w:r>
      <w:r w:rsidR="007B1438">
        <w:fldChar w:fldCharType="separate"/>
      </w:r>
      <w:r w:rsidR="00C609E6" w:rsidRPr="00333476">
        <w:rPr>
          <w:rStyle w:val="Hyperlink"/>
          <w:rFonts w:ascii="Arial" w:hAnsi="Arial" w:cs="Arial"/>
          <w:i/>
          <w:sz w:val="22"/>
          <w:szCs w:val="22"/>
          <w:lang w:val="fr-FR" w:eastAsia="fr-FR"/>
        </w:rPr>
        <w:t>ITH/16/11.COM/10.b</w:t>
      </w:r>
      <w:r w:rsidR="007B1438">
        <w:rPr>
          <w:rStyle w:val="Hyperlink"/>
          <w:rFonts w:ascii="Arial" w:hAnsi="Arial" w:cs="Arial"/>
          <w:i/>
          <w:sz w:val="22"/>
          <w:szCs w:val="22"/>
          <w:lang w:val="fr-FR" w:eastAsia="fr-FR"/>
        </w:rPr>
        <w:fldChar w:fldCharType="end"/>
      </w:r>
    </w:p>
    <w:p w14:paraId="294C2798" w14:textId="7D3A2240" w:rsidR="007826AF" w:rsidRDefault="00F678BF" w:rsidP="002B4948">
      <w:pPr>
        <w:pStyle w:val="NormalWeb"/>
        <w:keepNext/>
        <w:tabs>
          <w:tab w:val="left" w:pos="709"/>
          <w:tab w:val="left" w:pos="1418"/>
          <w:tab w:val="left" w:pos="2126"/>
          <w:tab w:val="left" w:pos="2835"/>
        </w:tabs>
        <w:spacing w:before="0" w:beforeAutospacing="0" w:after="60" w:afterAutospacing="0"/>
        <w:ind w:left="567" w:hanging="567"/>
        <w:rPr>
          <w:rStyle w:val="Hyperlink"/>
          <w:rFonts w:ascii="Arial" w:hAnsi="Arial" w:cs="Arial"/>
          <w:i/>
          <w:sz w:val="22"/>
          <w:szCs w:val="22"/>
          <w:lang w:val="fr-FR" w:eastAsia="fr-FR"/>
        </w:rPr>
      </w:pPr>
      <w:r w:rsidRPr="00333476">
        <w:rPr>
          <w:rFonts w:ascii="Arial" w:hAnsi="Arial" w:cs="Arial"/>
          <w:b/>
          <w:sz w:val="22"/>
          <w:szCs w:val="22"/>
          <w:lang w:val="fr-FR" w:eastAsia="fr-FR"/>
        </w:rPr>
        <w:tab/>
      </w:r>
      <w:r w:rsidR="00C609E6" w:rsidRPr="00333476">
        <w:rPr>
          <w:rFonts w:ascii="Arial" w:hAnsi="Arial" w:cs="Arial"/>
          <w:b/>
          <w:sz w:val="22"/>
          <w:szCs w:val="22"/>
          <w:lang w:val="fr-FR" w:eastAsia="fr-FR"/>
        </w:rPr>
        <w:t xml:space="preserve">Nominations </w:t>
      </w:r>
      <w:r w:rsidRPr="00333476">
        <w:rPr>
          <w:rFonts w:ascii="Arial" w:hAnsi="Arial" w:cs="Arial"/>
          <w:b/>
          <w:sz w:val="22"/>
          <w:szCs w:val="22"/>
          <w:lang w:val="fr-FR" w:eastAsia="fr-FR"/>
        </w:rPr>
        <w:tab/>
      </w:r>
      <w:r w:rsidR="007B1438">
        <w:fldChar w:fldCharType="begin"/>
      </w:r>
      <w:r w:rsidR="007B1438" w:rsidRPr="007B1438">
        <w:rPr>
          <w:lang w:val="fr-FR"/>
        </w:rPr>
        <w:instrText xml:space="preserve"> HYPERLINK "https://ich.unesco.org/fr/10b-representative-list-00891" </w:instrText>
      </w:r>
      <w:r w:rsidR="007B1438">
        <w:fldChar w:fldCharType="separate"/>
      </w:r>
      <w:r w:rsidR="00333476">
        <w:rPr>
          <w:rStyle w:val="Hyperlink"/>
          <w:rFonts w:ascii="Arial" w:hAnsi="Arial" w:cs="Arial"/>
          <w:i/>
          <w:sz w:val="22"/>
          <w:szCs w:val="22"/>
          <w:lang w:val="fr-FR" w:eastAsia="fr-FR"/>
        </w:rPr>
        <w:t>37 candidatures</w:t>
      </w:r>
      <w:r w:rsidR="007B1438">
        <w:rPr>
          <w:rStyle w:val="Hyperlink"/>
          <w:rFonts w:ascii="Arial" w:hAnsi="Arial" w:cs="Arial"/>
          <w:i/>
          <w:sz w:val="22"/>
          <w:szCs w:val="22"/>
          <w:lang w:val="fr-FR" w:eastAsia="fr-FR"/>
        </w:rPr>
        <w:fldChar w:fldCharType="end"/>
      </w:r>
    </w:p>
    <w:p w14:paraId="5CB01222" w14:textId="6997ADDC" w:rsidR="00F20606" w:rsidRPr="007826AF" w:rsidRDefault="00F678BF" w:rsidP="002B4948">
      <w:pPr>
        <w:pStyle w:val="NormalWeb"/>
        <w:keepNext/>
        <w:tabs>
          <w:tab w:val="left" w:pos="709"/>
          <w:tab w:val="left" w:pos="1418"/>
          <w:tab w:val="left" w:pos="2126"/>
          <w:tab w:val="left" w:pos="2835"/>
        </w:tabs>
        <w:spacing w:before="0" w:beforeAutospacing="0" w:after="60" w:afterAutospacing="0"/>
        <w:ind w:left="567" w:hanging="567"/>
        <w:rPr>
          <w:rFonts w:ascii="Arial" w:hAnsi="Arial" w:cs="Arial"/>
          <w:b/>
          <w:sz w:val="22"/>
          <w:szCs w:val="22"/>
          <w:lang w:val="fr-FR" w:eastAsia="fr-FR"/>
        </w:rPr>
      </w:pPr>
      <w:r w:rsidRPr="00AE07E0">
        <w:rPr>
          <w:rFonts w:ascii="Arial" w:hAnsi="Arial" w:cs="Arial"/>
          <w:b/>
          <w:sz w:val="22"/>
          <w:szCs w:val="22"/>
          <w:lang w:val="fr-FR"/>
        </w:rPr>
        <w:tab/>
      </w:r>
      <w:r w:rsidR="00333476" w:rsidRPr="00AE07E0">
        <w:rPr>
          <w:rFonts w:ascii="Arial" w:hAnsi="Arial" w:cs="Arial"/>
          <w:b/>
          <w:sz w:val="22"/>
          <w:szCs w:val="22"/>
          <w:lang w:val="fr-FR"/>
        </w:rPr>
        <w:t>Dé</w:t>
      </w:r>
      <w:r w:rsidR="00C609E6" w:rsidRPr="00AE07E0">
        <w:rPr>
          <w:rFonts w:ascii="Arial" w:hAnsi="Arial" w:cs="Arial"/>
          <w:b/>
          <w:sz w:val="22"/>
          <w:szCs w:val="22"/>
          <w:lang w:val="fr-FR"/>
        </w:rPr>
        <w:t>cision</w:t>
      </w:r>
      <w:r w:rsidR="00C609E6" w:rsidRPr="00AE07E0">
        <w:rPr>
          <w:rFonts w:ascii="Arial" w:hAnsi="Arial" w:cs="Arial"/>
          <w:b/>
          <w:sz w:val="22"/>
          <w:szCs w:val="22"/>
          <w:lang w:val="fr-FR"/>
        </w:rPr>
        <w:tab/>
      </w:r>
      <w:r w:rsidR="00333476" w:rsidRPr="00AE07E0">
        <w:rPr>
          <w:rFonts w:ascii="Arial" w:hAnsi="Arial" w:cs="Arial"/>
          <w:i/>
          <w:sz w:val="22"/>
          <w:szCs w:val="22"/>
          <w:lang w:val="fr-FR"/>
        </w:rPr>
        <w:t>11.COM 10.b</w:t>
      </w:r>
    </w:p>
    <w:p w14:paraId="3760D5B6" w14:textId="766D5582" w:rsidR="004B26B7" w:rsidRDefault="00333476" w:rsidP="007826AF">
      <w:pPr>
        <w:pStyle w:val="Orateurengris"/>
        <w:spacing w:before="120"/>
        <w:ind w:left="709" w:hanging="709"/>
      </w:pPr>
      <w:r>
        <w:t xml:space="preserve">Après avoir remercié le Cambodge, le </w:t>
      </w:r>
      <w:r w:rsidRPr="00333476">
        <w:rPr>
          <w:b/>
        </w:rPr>
        <w:t>Président</w:t>
      </w:r>
      <w:r>
        <w:t xml:space="preserve"> est ensuite passé au point suivant de l</w:t>
      </w:r>
      <w:r w:rsidR="00346F1B">
        <w:t>’</w:t>
      </w:r>
      <w:r>
        <w:t>ord</w:t>
      </w:r>
      <w:r w:rsidR="004B26B7">
        <w:t xml:space="preserve">re du jour, le point 10.b, et </w:t>
      </w:r>
      <w:r>
        <w:t>l</w:t>
      </w:r>
      <w:r w:rsidR="00346F1B">
        <w:t>’</w:t>
      </w:r>
      <w:r>
        <w:t>examen des candidatures pour inscription sur la Liste représentative du patrimoine culturel immatériel de l</w:t>
      </w:r>
      <w:r w:rsidR="00346F1B">
        <w:t>’</w:t>
      </w:r>
      <w:r>
        <w:t xml:space="preserve">humanité. </w:t>
      </w:r>
      <w:r w:rsidR="004B26B7">
        <w:t>Avant de commencer l</w:t>
      </w:r>
      <w:r w:rsidR="00346F1B">
        <w:t>’</w:t>
      </w:r>
      <w:r w:rsidR="004B26B7">
        <w:t>examen d</w:t>
      </w:r>
      <w:r w:rsidR="008A190B">
        <w:t>es candidatures, le Président souhaitait</w:t>
      </w:r>
      <w:r w:rsidR="004B26B7">
        <w:t xml:space="preserve"> rappeler au Comité les critères d</w:t>
      </w:r>
      <w:r w:rsidR="00346F1B">
        <w:t>’</w:t>
      </w:r>
      <w:r w:rsidR="004B26B7">
        <w:t xml:space="preserve">inscription [R.1 à R.5] qui ont été </w:t>
      </w:r>
      <w:r w:rsidR="008052AC">
        <w:t>dûment</w:t>
      </w:r>
      <w:r w:rsidR="004B26B7">
        <w:t xml:space="preserve"> expliqués et présentés à l</w:t>
      </w:r>
      <w:r w:rsidR="00346F1B">
        <w:t>’</w:t>
      </w:r>
      <w:r w:rsidR="004B26B7">
        <w:t>écran. Il a également rappelé que les cinq critères devaient être satisfaits. Il est ensuite passé à l</w:t>
      </w:r>
      <w:r w:rsidR="00346F1B">
        <w:t>’</w:t>
      </w:r>
      <w:r w:rsidR="004B26B7">
        <w:t>examen du premier dossier soumis par l</w:t>
      </w:r>
      <w:r w:rsidR="00346F1B">
        <w:t>’</w:t>
      </w:r>
      <w:r w:rsidR="004B26B7">
        <w:t>Afghanistan, l</w:t>
      </w:r>
      <w:r w:rsidR="00346F1B">
        <w:t>’</w:t>
      </w:r>
      <w:r w:rsidR="004B26B7">
        <w:t>Azerbaïdjan, l</w:t>
      </w:r>
      <w:r w:rsidR="00346F1B">
        <w:t>’</w:t>
      </w:r>
      <w:r w:rsidR="004B26B7">
        <w:t>Inde, la République islamique d</w:t>
      </w:r>
      <w:r w:rsidR="00346F1B">
        <w:t>’</w:t>
      </w:r>
      <w:r w:rsidR="004B26B7">
        <w:t>Iran, l</w:t>
      </w:r>
      <w:r w:rsidR="00346F1B">
        <w:t>’</w:t>
      </w:r>
      <w:r w:rsidR="004B26B7">
        <w:t>Iraq, le Kazakhsta</w:t>
      </w:r>
      <w:r w:rsidR="007C3207">
        <w:t>n, le</w:t>
      </w:r>
      <w:r w:rsidR="004B26B7">
        <w:t xml:space="preserve"> </w:t>
      </w:r>
      <w:r w:rsidR="004B26B7" w:rsidRPr="00580F07">
        <w:rPr>
          <w:rFonts w:eastAsiaTheme="minorEastAsia"/>
          <w:color w:val="1A1A1A"/>
        </w:rPr>
        <w:t>Kirghizistan</w:t>
      </w:r>
      <w:r w:rsidR="004B26B7">
        <w:t>, la Pakistan, le Tadjikistan, la Turquie, le Turkménistan et l</w:t>
      </w:r>
      <w:r w:rsidR="00346F1B">
        <w:t>’</w:t>
      </w:r>
      <w:r w:rsidR="004B26B7">
        <w:t>Ouzb</w:t>
      </w:r>
      <w:r w:rsidR="007826AF">
        <w:t>ékistan.</w:t>
      </w:r>
    </w:p>
    <w:p w14:paraId="7A203F39" w14:textId="4A1ECF90" w:rsidR="007C3207" w:rsidRPr="00B96E2C" w:rsidRDefault="007C3207" w:rsidP="007826AF">
      <w:pPr>
        <w:pStyle w:val="Orateurengris"/>
        <w:spacing w:before="120"/>
        <w:ind w:left="709" w:hanging="709"/>
      </w:pPr>
      <w:r>
        <w:t xml:space="preserve">Le </w:t>
      </w:r>
      <w:r w:rsidR="00754EC3">
        <w:rPr>
          <w:b/>
        </w:rPr>
        <w:t>Vice-Président</w:t>
      </w:r>
      <w:r w:rsidRPr="007C3207">
        <w:rPr>
          <w:b/>
        </w:rPr>
        <w:t xml:space="preserve"> de l</w:t>
      </w:r>
      <w:r w:rsidR="00346F1B">
        <w:rPr>
          <w:b/>
        </w:rPr>
        <w:t>’</w:t>
      </w:r>
      <w:r w:rsidRPr="007C3207">
        <w:rPr>
          <w:b/>
        </w:rPr>
        <w:t>Organe d</w:t>
      </w:r>
      <w:r w:rsidR="00346F1B">
        <w:rPr>
          <w:b/>
        </w:rPr>
        <w:t>’</w:t>
      </w:r>
      <w:r w:rsidRPr="007C3207">
        <w:rPr>
          <w:b/>
        </w:rPr>
        <w:t>évaluation</w:t>
      </w:r>
      <w:r>
        <w:t xml:space="preserve"> est passé à la candidature de </w:t>
      </w:r>
      <w:bookmarkStart w:id="18" w:name="Decision10b1"/>
      <w:r w:rsidRPr="00333476">
        <w:rPr>
          <w:b/>
        </w:rPr>
        <w:t>Nawrouz, Novruz, Nowrouz, Nowrouz, Nawrouz, Nauryz, Nooruz, Nowruz, Navruz, Nevruz, Nowruz, Navruz</w:t>
      </w:r>
      <w:r>
        <w:rPr>
          <w:rFonts w:eastAsiaTheme="minorEastAsia"/>
          <w:lang w:eastAsia="ja-JP"/>
        </w:rPr>
        <w:t xml:space="preserve"> </w:t>
      </w:r>
      <w:bookmarkEnd w:id="18"/>
      <w:r>
        <w:rPr>
          <w:rFonts w:eastAsiaTheme="minorEastAsia"/>
          <w:lang w:eastAsia="ja-JP"/>
        </w:rPr>
        <w:t xml:space="preserve">[projet de décision 11.COM 10.b.1] soumise par </w:t>
      </w:r>
      <w:r>
        <w:t>l</w:t>
      </w:r>
      <w:r w:rsidR="00346F1B">
        <w:t>’</w:t>
      </w:r>
      <w:r>
        <w:t>Afghanistan, l</w:t>
      </w:r>
      <w:r w:rsidR="00346F1B">
        <w:t>’</w:t>
      </w:r>
      <w:r>
        <w:t>Azerbaïdjan, l</w:t>
      </w:r>
      <w:r w:rsidR="00346F1B">
        <w:t>’</w:t>
      </w:r>
      <w:r>
        <w:t>Inde, la République islamique d</w:t>
      </w:r>
      <w:r w:rsidR="00346F1B">
        <w:t>’</w:t>
      </w:r>
      <w:r>
        <w:t>Iran, l</w:t>
      </w:r>
      <w:r w:rsidR="00346F1B">
        <w:t>’</w:t>
      </w:r>
      <w:r>
        <w:t xml:space="preserve">Iraq, le Kazakhstan, le </w:t>
      </w:r>
      <w:r w:rsidRPr="00580F07">
        <w:rPr>
          <w:rFonts w:eastAsiaTheme="minorEastAsia"/>
          <w:color w:val="1A1A1A"/>
        </w:rPr>
        <w:t>Kirghizistan</w:t>
      </w:r>
      <w:r w:rsidR="00B96E2C">
        <w:t>, le</w:t>
      </w:r>
      <w:r>
        <w:t xml:space="preserve"> Pakistan, le Tadjikistan, la Turquie, le Turkménistan et l</w:t>
      </w:r>
      <w:r w:rsidR="00346F1B">
        <w:t>’</w:t>
      </w:r>
      <w:r>
        <w:t xml:space="preserve">Ouzbékistan. Dans ces pays, le Nouvel An, célébré le 21 mars, </w:t>
      </w:r>
      <w:r w:rsidR="00CE357A">
        <w:t>était</w:t>
      </w:r>
      <w:r w:rsidR="008C5842">
        <w:t xml:space="preserve"> </w:t>
      </w:r>
      <w:r>
        <w:t xml:space="preserve">connu sous les noms de Nauzyz, Navruz, Nawrouz, Nevruz, Nooruz, Novruz, Nowrouz ou Nowruz. Pendant deux semaines, </w:t>
      </w:r>
      <w:r w:rsidR="006663E8">
        <w:t xml:space="preserve">conformément à la </w:t>
      </w:r>
      <w:r>
        <w:t>c</w:t>
      </w:r>
      <w:r w:rsidR="00CE357A">
        <w:t>outume, on organisait</w:t>
      </w:r>
      <w:r w:rsidR="006663E8">
        <w:t xml:space="preserve"> </w:t>
      </w:r>
      <w:r w:rsidR="00CE357A">
        <w:t>un</w:t>
      </w:r>
      <w:r>
        <w:t xml:space="preserve"> repas spécial, des visites dans les familles, des rituels publics et des représentations données dans la rue pour </w:t>
      </w:r>
      <w:r w:rsidR="00782181">
        <w:t xml:space="preserve">favoriser </w:t>
      </w:r>
      <w:r>
        <w:t>la coexistence pacifique des communautés</w:t>
      </w:r>
      <w:r w:rsidR="00B96E2C">
        <w:t xml:space="preserve">. Ces pratiques </w:t>
      </w:r>
      <w:r w:rsidR="00CE357A">
        <w:t xml:space="preserve">étaient </w:t>
      </w:r>
      <w:r w:rsidR="00B96E2C">
        <w:t>transmises par la participation. L</w:t>
      </w:r>
      <w:r w:rsidR="00346F1B">
        <w:t>’</w:t>
      </w:r>
      <w:r w:rsidR="00B96E2C">
        <w:t>Organe d</w:t>
      </w:r>
      <w:r w:rsidR="00346F1B">
        <w:t>’</w:t>
      </w:r>
      <w:r w:rsidR="00B96E2C">
        <w:t xml:space="preserve">évaluation avait décidé que, selon les informations présentées dans le dossier, la candidature satisfaisait </w:t>
      </w:r>
      <w:r w:rsidR="008A190B">
        <w:t xml:space="preserve">les </w:t>
      </w:r>
      <w:r w:rsidR="00B96E2C">
        <w:t>cinq critères. La première inscription de cette candidature multinationale avait eu lieu en 2009, et les sept États parties d</w:t>
      </w:r>
      <w:r w:rsidR="00346F1B">
        <w:t>’</w:t>
      </w:r>
      <w:r w:rsidR="00B96E2C">
        <w:t>origine avaient pu observer un effet positif de l</w:t>
      </w:r>
      <w:r w:rsidR="00346F1B">
        <w:t>’</w:t>
      </w:r>
      <w:r w:rsidR="00B96E2C">
        <w:t>inscription. Les États soumissionnaires (les sept États d</w:t>
      </w:r>
      <w:r w:rsidR="00346F1B">
        <w:t>’</w:t>
      </w:r>
      <w:r w:rsidR="00B96E2C">
        <w:t>origine et cinq nouveaux États) pensait que cette inscription élargie favoriserait également le dialogue culturel et la compréhension de l</w:t>
      </w:r>
      <w:r w:rsidR="00346F1B">
        <w:t>’</w:t>
      </w:r>
      <w:r w:rsidR="00B96E2C">
        <w:t>objectif de paix, de cohésion sociale, d</w:t>
      </w:r>
      <w:r w:rsidR="00346F1B">
        <w:t>’</w:t>
      </w:r>
      <w:r w:rsidR="00B96E2C">
        <w:t xml:space="preserve">intégration, de réconciliation et de solidarité. </w:t>
      </w:r>
      <w:r w:rsidR="00B96E2C" w:rsidRPr="00B96E2C">
        <w:t>L</w:t>
      </w:r>
      <w:r w:rsidR="00346F1B">
        <w:t>’</w:t>
      </w:r>
      <w:r w:rsidR="00B96E2C" w:rsidRPr="00B96E2C">
        <w:t>Organe d</w:t>
      </w:r>
      <w:r w:rsidR="00346F1B">
        <w:t>’</w:t>
      </w:r>
      <w:r w:rsidR="00B96E2C" w:rsidRPr="00B96E2C">
        <w:t>évaluation avait décidé de recommander l</w:t>
      </w:r>
      <w:r w:rsidR="00346F1B">
        <w:t>’</w:t>
      </w:r>
      <w:r w:rsidR="00B96E2C" w:rsidRPr="00B96E2C">
        <w:t>inscription de Nawrouz, Novruz, Nowrouz, Nowrouz, Nawrouz, Nauryz, Nooruz, Nowruz, Navruz, Nevruz, Nowruz, Navruz</w:t>
      </w:r>
      <w:r w:rsidR="00B96E2C">
        <w:rPr>
          <w:b/>
        </w:rPr>
        <w:t xml:space="preserve"> </w:t>
      </w:r>
      <w:r w:rsidR="00B96E2C" w:rsidRPr="00B96E2C">
        <w:t xml:space="preserve">sur la </w:t>
      </w:r>
      <w:r w:rsidR="00782181">
        <w:t>Liste représentative du patrimoine culturel immatériel de l</w:t>
      </w:r>
      <w:r w:rsidR="00346F1B">
        <w:t>’</w:t>
      </w:r>
      <w:r w:rsidR="007826AF">
        <w:t>humanité.</w:t>
      </w:r>
    </w:p>
    <w:p w14:paraId="2545B3F0" w14:textId="646ED49B" w:rsidR="00782181" w:rsidRPr="00782181" w:rsidRDefault="00782181" w:rsidP="007826AF">
      <w:pPr>
        <w:pStyle w:val="Orateurengris"/>
        <w:spacing w:before="120"/>
        <w:ind w:left="709" w:hanging="709"/>
        <w:rPr>
          <w:rFonts w:eastAsia="MS Mincho"/>
          <w:lang w:bidi="en-US"/>
        </w:rPr>
      </w:pPr>
      <w:r>
        <w:rPr>
          <w:rFonts w:eastAsia="MS Mincho"/>
          <w:lang w:bidi="en-US"/>
        </w:rPr>
        <w:t xml:space="preserve">Le </w:t>
      </w:r>
      <w:r w:rsidRPr="00782181">
        <w:rPr>
          <w:rFonts w:eastAsia="MS Mincho"/>
          <w:b/>
          <w:lang w:bidi="en-US"/>
        </w:rPr>
        <w:t>Président</w:t>
      </w:r>
      <w:r>
        <w:rPr>
          <w:rFonts w:eastAsia="MS Mincho"/>
          <w:lang w:bidi="en-US"/>
        </w:rPr>
        <w:t xml:space="preserve"> a remercié le </w:t>
      </w:r>
      <w:r w:rsidR="00754EC3">
        <w:rPr>
          <w:rFonts w:eastAsia="MS Mincho"/>
          <w:lang w:bidi="en-US"/>
        </w:rPr>
        <w:t>Vice-Président</w:t>
      </w:r>
      <w:r>
        <w:rPr>
          <w:rFonts w:eastAsia="MS Mincho"/>
          <w:lang w:bidi="en-US"/>
        </w:rPr>
        <w:t xml:space="preserve"> pour l</w:t>
      </w:r>
      <w:r w:rsidR="00346F1B">
        <w:rPr>
          <w:rFonts w:eastAsia="MS Mincho"/>
          <w:lang w:bidi="en-US"/>
        </w:rPr>
        <w:t>’</w:t>
      </w:r>
      <w:r>
        <w:rPr>
          <w:rFonts w:eastAsia="MS Mincho"/>
          <w:lang w:bidi="en-US"/>
        </w:rPr>
        <w:t>explication détaillée et, en l</w:t>
      </w:r>
      <w:r w:rsidR="00346F1B">
        <w:rPr>
          <w:rFonts w:eastAsia="MS Mincho"/>
          <w:lang w:bidi="en-US"/>
        </w:rPr>
        <w:t>’</w:t>
      </w:r>
      <w:r>
        <w:rPr>
          <w:rFonts w:eastAsia="MS Mincho"/>
          <w:lang w:bidi="en-US"/>
        </w:rPr>
        <w:t>absence de demandes d</w:t>
      </w:r>
      <w:r w:rsidR="00346F1B">
        <w:rPr>
          <w:rFonts w:eastAsia="MS Mincho"/>
          <w:lang w:bidi="en-US"/>
        </w:rPr>
        <w:t>’</w:t>
      </w:r>
      <w:r w:rsidRPr="00782181">
        <w:rPr>
          <w:rFonts w:eastAsia="MS Mincho"/>
          <w:lang w:bidi="en-US"/>
        </w:rPr>
        <w:t>amendement</w:t>
      </w:r>
      <w:r>
        <w:rPr>
          <w:rFonts w:eastAsia="MS Mincho"/>
          <w:lang w:bidi="en-US"/>
        </w:rPr>
        <w:t>, a proposé d</w:t>
      </w:r>
      <w:r w:rsidR="00346F1B">
        <w:rPr>
          <w:rFonts w:eastAsia="MS Mincho"/>
          <w:lang w:bidi="en-US"/>
        </w:rPr>
        <w:t>’</w:t>
      </w:r>
      <w:r>
        <w:rPr>
          <w:rFonts w:eastAsia="MS Mincho"/>
          <w:lang w:bidi="en-US"/>
        </w:rPr>
        <w:t>adopter le projet de décision dans son ensemble. En l</w:t>
      </w:r>
      <w:r w:rsidR="00346F1B">
        <w:rPr>
          <w:rFonts w:eastAsia="MS Mincho"/>
          <w:lang w:bidi="en-US"/>
        </w:rPr>
        <w:t>’</w:t>
      </w:r>
      <w:r>
        <w:rPr>
          <w:rFonts w:eastAsia="MS Mincho"/>
          <w:lang w:bidi="en-US"/>
        </w:rPr>
        <w:t>absence de commentaires ou d</w:t>
      </w:r>
      <w:r w:rsidR="00346F1B">
        <w:rPr>
          <w:rFonts w:eastAsia="MS Mincho"/>
          <w:lang w:bidi="en-US"/>
        </w:rPr>
        <w:t>’</w:t>
      </w:r>
      <w:r>
        <w:rPr>
          <w:rFonts w:eastAsia="MS Mincho"/>
          <w:lang w:bidi="en-US"/>
        </w:rPr>
        <w:t xml:space="preserve">objections, le </w:t>
      </w:r>
      <w:r w:rsidRPr="00782181">
        <w:rPr>
          <w:rFonts w:eastAsia="MS Mincho"/>
          <w:b/>
          <w:lang w:bidi="en-US"/>
        </w:rPr>
        <w:t>Président a déclaré adoptée la décision 11.COM 10.b.1 d</w:t>
      </w:r>
      <w:r w:rsidR="00346F1B">
        <w:rPr>
          <w:rFonts w:eastAsia="MS Mincho"/>
          <w:b/>
          <w:lang w:bidi="en-US"/>
        </w:rPr>
        <w:t>’</w:t>
      </w:r>
      <w:r w:rsidRPr="00782181">
        <w:rPr>
          <w:rFonts w:eastAsia="MS Mincho"/>
          <w:b/>
          <w:lang w:bidi="en-US"/>
        </w:rPr>
        <w:t xml:space="preserve">inscrire </w:t>
      </w:r>
      <w:r w:rsidRPr="00782181">
        <w:rPr>
          <w:b/>
        </w:rPr>
        <w:t>Nawrouz, Novruz, Nowrouz, Nowrouz, Nawrouz, Nauryz, Nooruz, Nowruz, Navruz, Nevruz, Nowruz</w:t>
      </w:r>
      <w:r w:rsidRPr="00333476">
        <w:rPr>
          <w:b/>
        </w:rPr>
        <w:t>, Navruz</w:t>
      </w:r>
      <w:r>
        <w:rPr>
          <w:b/>
        </w:rPr>
        <w:t xml:space="preserve"> sur la Liste représentative du patrimoine culturel immatériel de l</w:t>
      </w:r>
      <w:r w:rsidR="00346F1B">
        <w:rPr>
          <w:b/>
        </w:rPr>
        <w:t>’</w:t>
      </w:r>
      <w:r w:rsidRPr="00782181">
        <w:rPr>
          <w:b/>
        </w:rPr>
        <w:t>humanité</w:t>
      </w:r>
      <w:r w:rsidR="007826AF">
        <w:rPr>
          <w:b/>
        </w:rPr>
        <w:t>.</w:t>
      </w:r>
    </w:p>
    <w:p w14:paraId="243E75B5" w14:textId="6A5E2369" w:rsidR="00782181" w:rsidRPr="00782181" w:rsidRDefault="00782181" w:rsidP="007826AF">
      <w:pPr>
        <w:pStyle w:val="Orateurengris"/>
        <w:spacing w:before="120"/>
        <w:ind w:left="709" w:hanging="709"/>
        <w:rPr>
          <w:rFonts w:eastAsia="MS Mincho"/>
          <w:lang w:bidi="en-US"/>
        </w:rPr>
      </w:pPr>
      <w:r>
        <w:rPr>
          <w:rFonts w:eastAsia="MS Mincho"/>
          <w:lang w:bidi="en-US"/>
        </w:rPr>
        <w:t xml:space="preserve">La </w:t>
      </w:r>
      <w:r w:rsidRPr="00782181">
        <w:rPr>
          <w:rFonts w:eastAsia="MS Mincho"/>
          <w:lang w:bidi="en-US"/>
        </w:rPr>
        <w:t>délégation</w:t>
      </w:r>
      <w:r>
        <w:rPr>
          <w:rFonts w:eastAsia="MS Mincho"/>
          <w:lang w:bidi="en-US"/>
        </w:rPr>
        <w:t xml:space="preserve"> de la </w:t>
      </w:r>
      <w:r w:rsidRPr="00782181">
        <w:rPr>
          <w:rFonts w:eastAsia="MS Mincho"/>
          <w:b/>
          <w:lang w:bidi="en-US"/>
        </w:rPr>
        <w:t>République islamique d</w:t>
      </w:r>
      <w:r w:rsidR="00346F1B">
        <w:rPr>
          <w:rFonts w:eastAsia="MS Mincho"/>
          <w:b/>
          <w:lang w:bidi="en-US"/>
        </w:rPr>
        <w:t>’</w:t>
      </w:r>
      <w:r w:rsidRPr="00782181">
        <w:rPr>
          <w:rFonts w:eastAsia="MS Mincho"/>
          <w:b/>
          <w:lang w:bidi="en-US"/>
        </w:rPr>
        <w:t>Iran</w:t>
      </w:r>
      <w:r>
        <w:rPr>
          <w:rFonts w:eastAsia="MS Mincho"/>
          <w:lang w:bidi="en-US"/>
        </w:rPr>
        <w:t xml:space="preserve"> a évoqué Nawrouz comme étant l</w:t>
      </w:r>
      <w:r w:rsidR="00346F1B">
        <w:rPr>
          <w:rFonts w:eastAsia="MS Mincho"/>
          <w:lang w:bidi="en-US"/>
        </w:rPr>
        <w:t>’</w:t>
      </w:r>
      <w:r>
        <w:rPr>
          <w:rFonts w:eastAsia="MS Mincho"/>
          <w:lang w:bidi="en-US"/>
        </w:rPr>
        <w:t xml:space="preserve">une des plus anciennes </w:t>
      </w:r>
      <w:r w:rsidR="0007629C">
        <w:rPr>
          <w:rFonts w:eastAsia="MS Mincho"/>
          <w:lang w:bidi="en-US"/>
        </w:rPr>
        <w:t xml:space="preserve">fêtes </w:t>
      </w:r>
      <w:r>
        <w:rPr>
          <w:rFonts w:eastAsia="MS Mincho"/>
          <w:lang w:bidi="en-US"/>
        </w:rPr>
        <w:t xml:space="preserve">du Nouvel An, </w:t>
      </w:r>
      <w:r w:rsidR="0007629C">
        <w:rPr>
          <w:rFonts w:eastAsia="MS Mincho"/>
          <w:lang w:bidi="en-US"/>
        </w:rPr>
        <w:t xml:space="preserve">célébrée </w:t>
      </w:r>
      <w:r w:rsidR="008D4702">
        <w:rPr>
          <w:rFonts w:eastAsia="MS Mincho"/>
          <w:lang w:bidi="en-US"/>
        </w:rPr>
        <w:t xml:space="preserve">depuis des millénaires, </w:t>
      </w:r>
      <w:r>
        <w:rPr>
          <w:rFonts w:eastAsia="MS Mincho"/>
          <w:lang w:bidi="en-US"/>
        </w:rPr>
        <w:t xml:space="preserve">dans une vaste zone </w:t>
      </w:r>
      <w:r w:rsidRPr="00782181">
        <w:rPr>
          <w:rFonts w:eastAsia="MS Mincho"/>
          <w:lang w:bidi="en-US"/>
        </w:rPr>
        <w:t>géographique</w:t>
      </w:r>
      <w:r>
        <w:rPr>
          <w:rFonts w:eastAsia="MS Mincho"/>
          <w:lang w:bidi="en-US"/>
        </w:rPr>
        <w:t>, par des nations, des communautés et des groupes ethniques divers. L</w:t>
      </w:r>
      <w:r w:rsidR="00346F1B">
        <w:rPr>
          <w:rFonts w:eastAsia="MS Mincho"/>
          <w:lang w:bidi="en-US"/>
        </w:rPr>
        <w:t>’</w:t>
      </w:r>
      <w:r w:rsidRPr="00782181">
        <w:rPr>
          <w:rFonts w:eastAsia="MS Mincho"/>
          <w:lang w:bidi="en-US"/>
        </w:rPr>
        <w:t>inscription</w:t>
      </w:r>
      <w:r w:rsidR="0007629C">
        <w:rPr>
          <w:rFonts w:eastAsia="MS Mincho"/>
          <w:lang w:bidi="en-US"/>
        </w:rPr>
        <w:t xml:space="preserve"> du</w:t>
      </w:r>
      <w:r>
        <w:rPr>
          <w:rFonts w:eastAsia="MS Mincho"/>
          <w:lang w:bidi="en-US"/>
        </w:rPr>
        <w:t xml:space="preserve"> dossier de candidature mul</w:t>
      </w:r>
      <w:r w:rsidR="0007629C">
        <w:rPr>
          <w:rFonts w:eastAsia="MS Mincho"/>
          <w:lang w:bidi="en-US"/>
        </w:rPr>
        <w:t>tinationale, préparé par douze États parties, prouvait que l</w:t>
      </w:r>
      <w:r w:rsidR="00346F1B">
        <w:rPr>
          <w:rFonts w:eastAsia="MS Mincho"/>
          <w:lang w:bidi="en-US"/>
        </w:rPr>
        <w:t>’</w:t>
      </w:r>
      <w:r w:rsidR="0007629C" w:rsidRPr="0007629C">
        <w:rPr>
          <w:rFonts w:eastAsia="MS Mincho"/>
          <w:lang w:bidi="en-US"/>
        </w:rPr>
        <w:t>élément</w:t>
      </w:r>
      <w:r w:rsidR="008D4702">
        <w:rPr>
          <w:rFonts w:eastAsia="MS Mincho"/>
          <w:lang w:bidi="en-US"/>
        </w:rPr>
        <w:t xml:space="preserve"> était vivant</w:t>
      </w:r>
      <w:r w:rsidR="0007629C">
        <w:rPr>
          <w:rFonts w:eastAsia="MS Mincho"/>
          <w:lang w:bidi="en-US"/>
        </w:rPr>
        <w:t xml:space="preserve"> </w:t>
      </w:r>
      <w:r w:rsidR="008D4702">
        <w:rPr>
          <w:rFonts w:eastAsia="MS Mincho"/>
          <w:lang w:bidi="en-US"/>
        </w:rPr>
        <w:t xml:space="preserve">et un </w:t>
      </w:r>
      <w:r w:rsidR="0007629C">
        <w:rPr>
          <w:rFonts w:eastAsia="MS Mincho"/>
          <w:lang w:bidi="en-US"/>
        </w:rPr>
        <w:t xml:space="preserve">digne </w:t>
      </w:r>
      <w:r w:rsidR="0007629C" w:rsidRPr="0007629C">
        <w:rPr>
          <w:rFonts w:eastAsia="MS Mincho"/>
          <w:lang w:bidi="en-US"/>
        </w:rPr>
        <w:t>représentant</w:t>
      </w:r>
      <w:r w:rsidR="0007629C">
        <w:rPr>
          <w:rFonts w:eastAsia="MS Mincho"/>
          <w:lang w:bidi="en-US"/>
        </w:rPr>
        <w:t xml:space="preserve"> </w:t>
      </w:r>
      <w:r w:rsidR="008D4702">
        <w:rPr>
          <w:rFonts w:eastAsia="MS Mincho"/>
          <w:lang w:bidi="en-US"/>
        </w:rPr>
        <w:t xml:space="preserve">de </w:t>
      </w:r>
      <w:r w:rsidR="0007629C">
        <w:rPr>
          <w:rFonts w:eastAsia="MS Mincho"/>
          <w:lang w:bidi="en-US"/>
        </w:rPr>
        <w:t>l</w:t>
      </w:r>
      <w:r w:rsidR="00346F1B">
        <w:rPr>
          <w:rFonts w:eastAsia="MS Mincho"/>
          <w:lang w:bidi="en-US"/>
        </w:rPr>
        <w:t>’</w:t>
      </w:r>
      <w:r w:rsidR="0007629C">
        <w:rPr>
          <w:rFonts w:eastAsia="MS Mincho"/>
          <w:lang w:bidi="en-US"/>
        </w:rPr>
        <w:t xml:space="preserve">esprit de la </w:t>
      </w:r>
      <w:r w:rsidR="0007629C" w:rsidRPr="0007629C">
        <w:rPr>
          <w:rFonts w:eastAsia="MS Mincho"/>
          <w:lang w:bidi="en-US"/>
        </w:rPr>
        <w:t>Convention</w:t>
      </w:r>
      <w:r w:rsidR="0007629C">
        <w:rPr>
          <w:rFonts w:eastAsia="MS Mincho"/>
          <w:lang w:bidi="en-US"/>
        </w:rPr>
        <w:t xml:space="preserve"> de 2003. La </w:t>
      </w:r>
      <w:r w:rsidR="0007629C" w:rsidRPr="0007629C">
        <w:rPr>
          <w:rFonts w:eastAsia="MS Mincho"/>
          <w:lang w:bidi="en-US"/>
        </w:rPr>
        <w:t>délégation</w:t>
      </w:r>
      <w:r w:rsidR="0007629C">
        <w:rPr>
          <w:rFonts w:eastAsia="MS Mincho"/>
          <w:lang w:bidi="en-US"/>
        </w:rPr>
        <w:t xml:space="preserve"> a félicité l</w:t>
      </w:r>
      <w:r w:rsidR="00346F1B">
        <w:rPr>
          <w:rFonts w:eastAsia="MS Mincho"/>
          <w:lang w:bidi="en-US"/>
        </w:rPr>
        <w:t>’</w:t>
      </w:r>
      <w:r w:rsidR="0007629C">
        <w:rPr>
          <w:rFonts w:eastAsia="MS Mincho"/>
          <w:lang w:bidi="en-US"/>
        </w:rPr>
        <w:t>UNESCO pour cette réussite, ajoutant qu</w:t>
      </w:r>
      <w:r w:rsidR="00346F1B">
        <w:rPr>
          <w:rFonts w:eastAsia="MS Mincho"/>
          <w:lang w:bidi="en-US"/>
        </w:rPr>
        <w:t>’</w:t>
      </w:r>
      <w:r w:rsidR="0007629C">
        <w:rPr>
          <w:rFonts w:eastAsia="MS Mincho"/>
          <w:lang w:bidi="en-US"/>
        </w:rPr>
        <w:t>elle formait l</w:t>
      </w:r>
      <w:r w:rsidR="00346F1B">
        <w:rPr>
          <w:rFonts w:eastAsia="MS Mincho"/>
          <w:lang w:bidi="en-US"/>
        </w:rPr>
        <w:t>’</w:t>
      </w:r>
      <w:r w:rsidR="0007629C">
        <w:rPr>
          <w:rFonts w:eastAsia="MS Mincho"/>
          <w:lang w:bidi="en-US"/>
        </w:rPr>
        <w:t>espoir que</w:t>
      </w:r>
      <w:r w:rsidR="008D4702">
        <w:rPr>
          <w:rFonts w:eastAsia="MS Mincho"/>
          <w:lang w:bidi="en-US"/>
        </w:rPr>
        <w:t>,</w:t>
      </w:r>
      <w:r w:rsidR="0007629C">
        <w:rPr>
          <w:rFonts w:eastAsia="MS Mincho"/>
          <w:lang w:bidi="en-US"/>
        </w:rPr>
        <w:t xml:space="preserve"> chaque année, un des douze pays du Nawrouz puisse célébrer la fête avec les onze autres. Au nom des douze pays, la délégation a exprimé sa </w:t>
      </w:r>
      <w:r w:rsidR="0007629C" w:rsidRPr="0007629C">
        <w:rPr>
          <w:rFonts w:eastAsia="MS Mincho"/>
          <w:lang w:bidi="en-US"/>
        </w:rPr>
        <w:t>reconnaissance</w:t>
      </w:r>
      <w:r w:rsidR="0007629C">
        <w:rPr>
          <w:rFonts w:eastAsia="MS Mincho"/>
          <w:lang w:bidi="en-US"/>
        </w:rPr>
        <w:t xml:space="preserve"> au Secrétariat pour l</w:t>
      </w:r>
      <w:r w:rsidR="00346F1B">
        <w:rPr>
          <w:rFonts w:eastAsia="MS Mincho"/>
          <w:lang w:bidi="en-US"/>
        </w:rPr>
        <w:t>’</w:t>
      </w:r>
      <w:r w:rsidR="0007629C" w:rsidRPr="0007629C">
        <w:rPr>
          <w:rFonts w:eastAsia="MS Mincho"/>
          <w:lang w:bidi="en-US"/>
        </w:rPr>
        <w:t>inscription</w:t>
      </w:r>
      <w:r w:rsidR="0007629C">
        <w:rPr>
          <w:rFonts w:eastAsia="MS Mincho"/>
          <w:lang w:bidi="en-US"/>
        </w:rPr>
        <w:t>. [Autr</w:t>
      </w:r>
      <w:r w:rsidR="008A190B">
        <w:rPr>
          <w:rFonts w:eastAsia="MS Mincho"/>
          <w:lang w:bidi="en-US"/>
        </w:rPr>
        <w:t>e intervenant : l</w:t>
      </w:r>
      <w:r w:rsidR="00346F1B">
        <w:rPr>
          <w:rFonts w:eastAsia="MS Mincho"/>
          <w:lang w:bidi="en-US"/>
        </w:rPr>
        <w:t>’</w:t>
      </w:r>
      <w:r w:rsidR="008A190B">
        <w:rPr>
          <w:rFonts w:eastAsia="MS Mincho"/>
          <w:lang w:bidi="en-US"/>
        </w:rPr>
        <w:t>Ambassadeur de l</w:t>
      </w:r>
      <w:r w:rsidR="00346F1B">
        <w:rPr>
          <w:rFonts w:eastAsia="MS Mincho"/>
          <w:lang w:bidi="en-US"/>
        </w:rPr>
        <w:t>’</w:t>
      </w:r>
      <w:r w:rsidR="0007629C">
        <w:rPr>
          <w:rFonts w:eastAsia="MS Mincho"/>
          <w:lang w:bidi="en-US"/>
        </w:rPr>
        <w:t>Iran auprès de l</w:t>
      </w:r>
      <w:r w:rsidR="00346F1B">
        <w:rPr>
          <w:rFonts w:eastAsia="MS Mincho"/>
          <w:lang w:bidi="en-US"/>
        </w:rPr>
        <w:t>’</w:t>
      </w:r>
      <w:r w:rsidR="0007629C">
        <w:rPr>
          <w:rFonts w:eastAsia="MS Mincho"/>
          <w:lang w:bidi="en-US"/>
        </w:rPr>
        <w:t>UNESCO] Il a parlé d</w:t>
      </w:r>
      <w:r w:rsidR="00346F1B">
        <w:rPr>
          <w:rFonts w:eastAsia="MS Mincho"/>
          <w:lang w:bidi="en-US"/>
        </w:rPr>
        <w:t>’</w:t>
      </w:r>
      <w:r w:rsidR="0007629C">
        <w:rPr>
          <w:rFonts w:eastAsia="MS Mincho"/>
          <w:lang w:bidi="en-US"/>
        </w:rPr>
        <w:t>Omar Khayyamn qui, il y a plusieurs siècles, av</w:t>
      </w:r>
      <w:r w:rsidR="001830C0">
        <w:rPr>
          <w:rFonts w:eastAsia="MS Mincho"/>
          <w:lang w:bidi="en-US"/>
        </w:rPr>
        <w:t>ait calculé le moment précis de l</w:t>
      </w:r>
      <w:r w:rsidR="00346F1B">
        <w:rPr>
          <w:rFonts w:eastAsia="MS Mincho"/>
          <w:lang w:bidi="en-US"/>
        </w:rPr>
        <w:t>’</w:t>
      </w:r>
      <w:r w:rsidR="001830C0">
        <w:rPr>
          <w:rFonts w:eastAsia="MS Mincho"/>
          <w:lang w:bidi="en-US"/>
        </w:rPr>
        <w:t>entrée dans</w:t>
      </w:r>
      <w:r w:rsidR="0007629C">
        <w:rPr>
          <w:rFonts w:eastAsia="MS Mincho"/>
          <w:lang w:bidi="en-US"/>
        </w:rPr>
        <w:t xml:space="preserve"> Nowruz, sa poésie était d</w:t>
      </w:r>
      <w:r w:rsidR="00346F1B">
        <w:rPr>
          <w:rFonts w:eastAsia="MS Mincho"/>
          <w:lang w:bidi="en-US"/>
        </w:rPr>
        <w:t>’</w:t>
      </w:r>
      <w:r w:rsidR="0007629C">
        <w:rPr>
          <w:rFonts w:eastAsia="MS Mincho"/>
          <w:lang w:bidi="en-US"/>
        </w:rPr>
        <w:t xml:space="preserve">ailleurs remplie </w:t>
      </w:r>
      <w:r w:rsidR="001830C0">
        <w:rPr>
          <w:rFonts w:eastAsia="MS Mincho"/>
          <w:lang w:bidi="en-US"/>
        </w:rPr>
        <w:t>de ces</w:t>
      </w:r>
      <w:r w:rsidR="0007629C">
        <w:rPr>
          <w:rFonts w:eastAsia="MS Mincho"/>
          <w:lang w:bidi="en-US"/>
        </w:rPr>
        <w:t xml:space="preserve"> image</w:t>
      </w:r>
      <w:r w:rsidR="001830C0">
        <w:rPr>
          <w:rFonts w:eastAsia="MS Mincho"/>
          <w:lang w:bidi="en-US"/>
        </w:rPr>
        <w:t>s</w:t>
      </w:r>
      <w:r w:rsidR="0007629C">
        <w:rPr>
          <w:rFonts w:eastAsia="MS Mincho"/>
          <w:lang w:bidi="en-US"/>
        </w:rPr>
        <w:t>. L</w:t>
      </w:r>
      <w:r w:rsidR="00346F1B">
        <w:rPr>
          <w:rFonts w:eastAsia="MS Mincho"/>
          <w:lang w:bidi="en-US"/>
        </w:rPr>
        <w:t>’</w:t>
      </w:r>
      <w:r w:rsidR="0007629C">
        <w:rPr>
          <w:rFonts w:eastAsia="MS Mincho"/>
          <w:lang w:bidi="en-US"/>
        </w:rPr>
        <w:t>intervenant a récité un poème en persan, ainsi traduit : « </w:t>
      </w:r>
      <w:r w:rsidR="001830C0">
        <w:rPr>
          <w:rFonts w:eastAsia="MS Mincho"/>
          <w:lang w:bidi="en-US"/>
        </w:rPr>
        <w:t>Lorsque la pluie lave le visage des tulipes puis s</w:t>
      </w:r>
      <w:r w:rsidR="00346F1B">
        <w:rPr>
          <w:rFonts w:eastAsia="MS Mincho"/>
          <w:lang w:bidi="en-US"/>
        </w:rPr>
        <w:t>’</w:t>
      </w:r>
      <w:r w:rsidR="001830C0">
        <w:rPr>
          <w:rFonts w:eastAsia="MS Mincho"/>
          <w:lang w:bidi="en-US"/>
        </w:rPr>
        <w:t xml:space="preserve">enfuit, </w:t>
      </w:r>
      <w:r w:rsidR="004F7B48">
        <w:rPr>
          <w:rFonts w:eastAsia="MS Mincho"/>
          <w:lang w:bidi="en-US"/>
        </w:rPr>
        <w:t>lève-toi</w:t>
      </w:r>
      <w:r w:rsidR="001830C0">
        <w:rPr>
          <w:rFonts w:eastAsia="MS Mincho"/>
          <w:lang w:bidi="en-US"/>
        </w:rPr>
        <w:t xml:space="preserve"> et prends résolument le verre de vin, car cette fleur à peine éclose qui </w:t>
      </w:r>
      <w:r w:rsidR="008D4702">
        <w:rPr>
          <w:rFonts w:eastAsia="MS Mincho"/>
          <w:lang w:bidi="en-US"/>
        </w:rPr>
        <w:t>s</w:t>
      </w:r>
      <w:r w:rsidR="00346F1B">
        <w:rPr>
          <w:rFonts w:eastAsia="MS Mincho"/>
          <w:lang w:bidi="en-US"/>
        </w:rPr>
        <w:t>’</w:t>
      </w:r>
      <w:r w:rsidR="008D4702">
        <w:rPr>
          <w:rFonts w:eastAsia="MS Mincho"/>
          <w:lang w:bidi="en-US"/>
        </w:rPr>
        <w:t>épanouit désormais</w:t>
      </w:r>
      <w:r w:rsidR="001830C0">
        <w:rPr>
          <w:rFonts w:eastAsia="MS Mincho"/>
          <w:lang w:bidi="en-US"/>
        </w:rPr>
        <w:t xml:space="preserve">, </w:t>
      </w:r>
      <w:r w:rsidR="008D4702">
        <w:rPr>
          <w:rFonts w:eastAsia="MS Mincho"/>
          <w:lang w:bidi="en-US"/>
        </w:rPr>
        <w:t xml:space="preserve">poussera bientôt sur tes cendres </w:t>
      </w:r>
      <w:r w:rsidR="001830C0">
        <w:rPr>
          <w:rFonts w:eastAsia="MS Mincho"/>
          <w:lang w:bidi="en-US"/>
        </w:rPr>
        <w:t>alors que tu ne seras plus là. Pendant que tu es ici, prends Nowruz et prends le ver</w:t>
      </w:r>
      <w:r w:rsidR="007826AF">
        <w:rPr>
          <w:rFonts w:eastAsia="MS Mincho"/>
          <w:lang w:bidi="en-US"/>
        </w:rPr>
        <w:t>re de vin comme cette tulipe ».</w:t>
      </w:r>
    </w:p>
    <w:p w14:paraId="462FBE6D" w14:textId="6654C043" w:rsidR="007D7CAD" w:rsidRDefault="007D7CAD" w:rsidP="007826AF">
      <w:pPr>
        <w:pStyle w:val="Orateurengris"/>
        <w:spacing w:before="120"/>
        <w:ind w:left="709" w:hanging="709"/>
      </w:pPr>
      <w:r>
        <w:t xml:space="preserve">La délégation du </w:t>
      </w:r>
      <w:r w:rsidRPr="000E50B6">
        <w:rPr>
          <w:b/>
        </w:rPr>
        <w:t>Kazakhstan</w:t>
      </w:r>
      <w:r w:rsidR="000E50B6">
        <w:t xml:space="preserve"> a évoqué</w:t>
      </w:r>
      <w:r>
        <w:t xml:space="preserve"> l</w:t>
      </w:r>
      <w:r w:rsidR="00346F1B">
        <w:t>’</w:t>
      </w:r>
      <w:r>
        <w:t>honneur qu</w:t>
      </w:r>
      <w:r w:rsidR="00346F1B">
        <w:t>’</w:t>
      </w:r>
      <w:r>
        <w:t>elle ressentait à s</w:t>
      </w:r>
      <w:r w:rsidR="00346F1B">
        <w:t>’</w:t>
      </w:r>
      <w:r>
        <w:t>exprimer à l</w:t>
      </w:r>
      <w:r w:rsidR="00346F1B">
        <w:t>’</w:t>
      </w:r>
      <w:r>
        <w:t>occasion de</w:t>
      </w:r>
      <w:r w:rsidR="000E50B6">
        <w:t xml:space="preserve"> l</w:t>
      </w:r>
      <w:r w:rsidR="00346F1B">
        <w:t>’</w:t>
      </w:r>
      <w:r w:rsidR="000E50B6">
        <w:t>inscription de</w:t>
      </w:r>
      <w:r>
        <w:t xml:space="preserve"> Nauryz sur la Liste représentative du patrimoine c</w:t>
      </w:r>
      <w:r w:rsidR="0014251F">
        <w:t>ulturel immatériel de l</w:t>
      </w:r>
      <w:r w:rsidR="00346F1B">
        <w:t>’</w:t>
      </w:r>
      <w:r w:rsidR="0014251F">
        <w:t>humanité. Nauryz, l</w:t>
      </w:r>
      <w:r w:rsidR="00346F1B">
        <w:t>’</w:t>
      </w:r>
      <w:r w:rsidR="0014251F">
        <w:t>une des principales fêtes de la population kazakh</w:t>
      </w:r>
      <w:r w:rsidR="00A8402B">
        <w:t>e</w:t>
      </w:r>
      <w:r w:rsidR="0014251F">
        <w:t xml:space="preserve"> ainsi que de nombreuses autres nations d</w:t>
      </w:r>
      <w:r w:rsidR="00346F1B">
        <w:t>’</w:t>
      </w:r>
      <w:r w:rsidR="0014251F">
        <w:t>Asie, était célébrée depuis plus de 5</w:t>
      </w:r>
      <w:r w:rsidR="00346F1B">
        <w:t> 000</w:t>
      </w:r>
      <w:r w:rsidR="0014251F">
        <w:t xml:space="preserve"> ans, rassemblant des personnes d</w:t>
      </w:r>
      <w:r w:rsidR="00346F1B">
        <w:t>’</w:t>
      </w:r>
      <w:r w:rsidR="0014251F">
        <w:t>âges, d</w:t>
      </w:r>
      <w:r w:rsidR="00346F1B">
        <w:t>’</w:t>
      </w:r>
      <w:r w:rsidR="0014251F">
        <w:t>ethnies, de religions et de milieux professionnels différents. La fête de Nauryz incarnait la paix, le respect mutuel et l</w:t>
      </w:r>
      <w:r w:rsidR="00346F1B">
        <w:t>’</w:t>
      </w:r>
      <w:r w:rsidR="0014251F">
        <w:t>unité nationale du Kazakhstan moderne. La délégation a exprimé sa reconnaissance à tous les partenaires qui avaient participé à la préparation de ce dossier de candidature élargie, et aux experts des douze pays qui s</w:t>
      </w:r>
      <w:r w:rsidR="00346F1B">
        <w:t>’</w:t>
      </w:r>
      <w:r w:rsidR="0014251F">
        <w:t>étaient impliqués dans cette procédure complexe, en particulier les collègues iraniens, coordinateurs de ce dossier multinational. La délégation a remercié le Président et le Comité pour leur décision, et l</w:t>
      </w:r>
      <w:r w:rsidR="00346F1B">
        <w:t>’</w:t>
      </w:r>
      <w:r w:rsidR="0014251F">
        <w:t>Éthiopie p</w:t>
      </w:r>
      <w:r w:rsidR="007826AF">
        <w:t>our sa chaleureuse hospitalité.</w:t>
      </w:r>
    </w:p>
    <w:p w14:paraId="6D402743" w14:textId="6A1EC9AB" w:rsidR="0014251F" w:rsidRDefault="0014251F" w:rsidP="007826AF">
      <w:pPr>
        <w:pStyle w:val="Orateurengris"/>
        <w:spacing w:before="120"/>
        <w:ind w:left="709" w:hanging="709"/>
      </w:pPr>
      <w:r>
        <w:t>La délégation de l</w:t>
      </w:r>
      <w:r w:rsidR="00346F1B">
        <w:t>’</w:t>
      </w:r>
      <w:r w:rsidRPr="0014251F">
        <w:rPr>
          <w:b/>
        </w:rPr>
        <w:t>Afghanistan</w:t>
      </w:r>
      <w:r>
        <w:t xml:space="preserve"> a remercié le Secrétariat et l</w:t>
      </w:r>
      <w:r w:rsidR="00346F1B">
        <w:t>’</w:t>
      </w:r>
      <w:r>
        <w:t>Organe d</w:t>
      </w:r>
      <w:r w:rsidR="00346F1B">
        <w:t>’</w:t>
      </w:r>
      <w:r>
        <w:t>évaluation, et a félicité les États parties d</w:t>
      </w:r>
      <w:r w:rsidR="00346F1B">
        <w:t>’</w:t>
      </w:r>
      <w:r>
        <w:t>avoir contribué à l</w:t>
      </w:r>
      <w:r w:rsidR="00346F1B">
        <w:t>’</w:t>
      </w:r>
      <w:r>
        <w:t>inscription réussie de la candidature, qui reflétait parfaitement l</w:t>
      </w:r>
      <w:r w:rsidR="00346F1B">
        <w:t>’</w:t>
      </w:r>
      <w:r w:rsidR="007826AF">
        <w:t>esprit de la Convention.</w:t>
      </w:r>
    </w:p>
    <w:p w14:paraId="209F5BF9" w14:textId="3483F494" w:rsidR="0014251F" w:rsidRDefault="0014251F" w:rsidP="007826AF">
      <w:pPr>
        <w:pStyle w:val="Orateurengris"/>
        <w:spacing w:before="120"/>
        <w:ind w:left="709" w:hanging="709"/>
      </w:pPr>
      <w:r>
        <w:t>La délégation de l</w:t>
      </w:r>
      <w:r w:rsidR="00346F1B">
        <w:t>’</w:t>
      </w:r>
      <w:r w:rsidRPr="0014251F">
        <w:rPr>
          <w:b/>
        </w:rPr>
        <w:t>Inde</w:t>
      </w:r>
      <w:r>
        <w:t xml:space="preserve"> a exprimé sa joie suite à l</w:t>
      </w:r>
      <w:r w:rsidR="00346F1B">
        <w:t>’</w:t>
      </w:r>
      <w:r>
        <w:t>élargissement de l</w:t>
      </w:r>
      <w:r w:rsidR="00346F1B">
        <w:t>’</w:t>
      </w:r>
      <w:r>
        <w:t>inscription à un groupe q</w:t>
      </w:r>
      <w:r w:rsidR="00A8402B">
        <w:t>ui comprenait désormais 12 pays, ajoutant qu</w:t>
      </w:r>
      <w:r w:rsidR="00346F1B">
        <w:t>’</w:t>
      </w:r>
      <w:r w:rsidR="00A8402B">
        <w:t>il s</w:t>
      </w:r>
      <w:r w:rsidR="00346F1B">
        <w:t>’</w:t>
      </w:r>
      <w:r w:rsidR="00A8402B">
        <w:t>agissait là d</w:t>
      </w:r>
      <w:r w:rsidR="00346F1B">
        <w:t>’</w:t>
      </w:r>
      <w:r w:rsidR="00A8402B">
        <w:t>un magnifique lien qui unissait tous les pays. La délégation a salué l</w:t>
      </w:r>
      <w:r w:rsidR="00346F1B">
        <w:t>’</w:t>
      </w:r>
      <w:r w:rsidR="00A8402B">
        <w:t>Ambassadeur d</w:t>
      </w:r>
      <w:r w:rsidR="00346F1B">
        <w:t>’</w:t>
      </w:r>
      <w:r w:rsidR="00A8402B">
        <w:t>Iran, M. Ahmad Jalali, pour sa conduite avisée des travaux qui avait permis à cette candidature d</w:t>
      </w:r>
      <w:r w:rsidR="00346F1B">
        <w:t>’</w:t>
      </w:r>
      <w:r w:rsidR="00A8402B">
        <w:t>about</w:t>
      </w:r>
      <w:r w:rsidR="007826AF">
        <w:t>ir à cette heureuse conclusion.</w:t>
      </w:r>
    </w:p>
    <w:p w14:paraId="4755CE87" w14:textId="5CCB894C" w:rsidR="00A8402B" w:rsidRDefault="00A8402B" w:rsidP="007826AF">
      <w:pPr>
        <w:pStyle w:val="Orateurengris"/>
        <w:spacing w:before="120"/>
        <w:ind w:left="709" w:hanging="709"/>
      </w:pPr>
      <w:r>
        <w:t xml:space="preserve">La délégation de la </w:t>
      </w:r>
      <w:r w:rsidRPr="00A8402B">
        <w:rPr>
          <w:b/>
        </w:rPr>
        <w:t>Mongolie</w:t>
      </w:r>
      <w:r>
        <w:t xml:space="preserve"> a félicité les douze États soumissionnaires pour la réussite de cette candidature conjointe de Nawrouz. La fête de Nawrouz étant très célébrée parmi les communautés de la minorité ethnique kazakhe de Mongolie, la délégation a exprimé sa ferme intention de se joindre à la can</w:t>
      </w:r>
      <w:r w:rsidR="007826AF">
        <w:t>didature dans un avenir proche.</w:t>
      </w:r>
    </w:p>
    <w:p w14:paraId="561C65B4" w14:textId="6C3C3F9E" w:rsidR="00A8402B" w:rsidRPr="00A8402B" w:rsidRDefault="00A8402B" w:rsidP="007826AF">
      <w:pPr>
        <w:pStyle w:val="Orateurengris"/>
        <w:spacing w:before="120"/>
        <w:ind w:left="709" w:hanging="709"/>
      </w:pPr>
      <w:r>
        <w:t xml:space="preserve">Le </w:t>
      </w:r>
      <w:r w:rsidRPr="00A8402B">
        <w:rPr>
          <w:b/>
        </w:rPr>
        <w:t>Président</w:t>
      </w:r>
      <w:r>
        <w:t xml:space="preserve"> a félicité les États soumissionnaires, puis il est passé au dossier de candidature suivant, soumis par l</w:t>
      </w:r>
      <w:r w:rsidR="00346F1B">
        <w:t>’</w:t>
      </w:r>
      <w:r>
        <w:t xml:space="preserve">Azerbaïdjan, la République </w:t>
      </w:r>
      <w:r w:rsidR="00906F9C">
        <w:t>islamique d</w:t>
      </w:r>
      <w:r w:rsidR="00346F1B">
        <w:t>’</w:t>
      </w:r>
      <w:r w:rsidR="00906F9C">
        <w:t xml:space="preserve">Iran, le Kazakhstan, le </w:t>
      </w:r>
      <w:r w:rsidR="00906F9C" w:rsidRPr="00580F07">
        <w:rPr>
          <w:rFonts w:eastAsiaTheme="minorEastAsia"/>
          <w:color w:val="1A1A1A"/>
        </w:rPr>
        <w:t>Kirghizistan</w:t>
      </w:r>
      <w:r w:rsidR="00906F9C">
        <w:t xml:space="preserve"> </w:t>
      </w:r>
      <w:r w:rsidR="007826AF">
        <w:t>et la Turquie.</w:t>
      </w:r>
    </w:p>
    <w:p w14:paraId="05B69723" w14:textId="21D98945" w:rsidR="004161FA" w:rsidRPr="004161FA" w:rsidRDefault="00A8402B" w:rsidP="007826AF">
      <w:pPr>
        <w:pStyle w:val="Orateurengris"/>
        <w:spacing w:before="120"/>
        <w:ind w:left="709" w:hanging="709"/>
      </w:pPr>
      <w:r>
        <w:t xml:space="preserve">Le </w:t>
      </w:r>
      <w:r w:rsidR="00754EC3">
        <w:rPr>
          <w:b/>
        </w:rPr>
        <w:t>Vice-Président</w:t>
      </w:r>
      <w:r>
        <w:t xml:space="preserve"> est ensuite passé à la candidature suivante, </w:t>
      </w:r>
      <w:bookmarkStart w:id="19" w:name="Decision10b2"/>
      <w:r w:rsidRPr="00A8402B">
        <w:rPr>
          <w:b/>
        </w:rPr>
        <w:t xml:space="preserve">la culture de la fabrication </w:t>
      </w:r>
      <w:r w:rsidR="00906F9C">
        <w:rPr>
          <w:b/>
        </w:rPr>
        <w:t xml:space="preserve">et du partage </w:t>
      </w:r>
      <w:r w:rsidRPr="00A8402B">
        <w:rPr>
          <w:b/>
        </w:rPr>
        <w:t>du pain plat : Lavash, Katyrma, Jupka</w:t>
      </w:r>
      <w:r>
        <w:rPr>
          <w:b/>
        </w:rPr>
        <w:t>,</w:t>
      </w:r>
      <w:r w:rsidRPr="00A8402B">
        <w:rPr>
          <w:b/>
        </w:rPr>
        <w:t xml:space="preserve"> Yufka </w:t>
      </w:r>
      <w:bookmarkEnd w:id="19"/>
      <w:r>
        <w:t>[projet de décision 11.COM 10.b.2]</w:t>
      </w:r>
      <w:r w:rsidR="00906F9C">
        <w:t xml:space="preserve"> soumise par l</w:t>
      </w:r>
      <w:r w:rsidR="00346F1B">
        <w:t>’</w:t>
      </w:r>
      <w:r w:rsidR="00906F9C">
        <w:t>Azerbaïdjan, la République islamique d</w:t>
      </w:r>
      <w:r w:rsidR="00346F1B">
        <w:t>’</w:t>
      </w:r>
      <w:r w:rsidR="00906F9C">
        <w:t xml:space="preserve">Iran, le Kazakhstan, le </w:t>
      </w:r>
      <w:r w:rsidR="00906F9C" w:rsidRPr="00580F07">
        <w:rPr>
          <w:rFonts w:eastAsiaTheme="minorEastAsia"/>
          <w:color w:val="1A1A1A"/>
        </w:rPr>
        <w:t>Kirghizistan</w:t>
      </w:r>
      <w:r w:rsidR="00906F9C">
        <w:t xml:space="preserve"> et la Turquie. La fabrication et le partage du pain plat (lavash, katyrma, jupka ou yufka) dans les communauté</w:t>
      </w:r>
      <w:r w:rsidR="00A32E17">
        <w:t>s</w:t>
      </w:r>
      <w:r w:rsidR="00906F9C">
        <w:t xml:space="preserve"> d</w:t>
      </w:r>
      <w:r w:rsidR="00346F1B">
        <w:t>’</w:t>
      </w:r>
      <w:r w:rsidR="00906F9C">
        <w:t>Azerbaïdjan, d</w:t>
      </w:r>
      <w:r w:rsidR="00346F1B">
        <w:t>’</w:t>
      </w:r>
      <w:r w:rsidR="00906F9C">
        <w:t xml:space="preserve">Iran, du Kazakhstan, du </w:t>
      </w:r>
      <w:r w:rsidR="00906F9C" w:rsidRPr="00580F07">
        <w:rPr>
          <w:rFonts w:eastAsiaTheme="minorEastAsia"/>
          <w:color w:val="1A1A1A"/>
        </w:rPr>
        <w:t>Kirghizistan</w:t>
      </w:r>
      <w:r w:rsidR="00A32E17">
        <w:t xml:space="preserve"> et de Turquie </w:t>
      </w:r>
      <w:r w:rsidR="00972333">
        <w:t xml:space="preserve">était </w:t>
      </w:r>
      <w:r w:rsidR="00906F9C">
        <w:t xml:space="preserve">une tradition très répandue. Les </w:t>
      </w:r>
      <w:r w:rsidR="00A46CAD">
        <w:t>membres</w:t>
      </w:r>
      <w:r w:rsidR="00906F9C">
        <w:t xml:space="preserve"> de la famille y particip</w:t>
      </w:r>
      <w:r w:rsidR="00A32E17">
        <w:t>ai</w:t>
      </w:r>
      <w:r w:rsidR="00906F9C">
        <w:t>ent mais dans le</w:t>
      </w:r>
      <w:r w:rsidR="00A32E17">
        <w:t>s zones rurales, les voisins pou</w:t>
      </w:r>
      <w:r w:rsidR="00906F9C">
        <w:t>v</w:t>
      </w:r>
      <w:r w:rsidR="00A32E17">
        <w:t>ai</w:t>
      </w:r>
      <w:r w:rsidR="00906F9C">
        <w:t xml:space="preserve">ent également y prendre part. Cuit dans un four ou un chaudron, </w:t>
      </w:r>
      <w:r w:rsidR="00CE357A">
        <w:t xml:space="preserve">voire </w:t>
      </w:r>
      <w:r w:rsidR="00906F9C">
        <w:t xml:space="preserve">sur </w:t>
      </w:r>
      <w:r w:rsidR="00A32E17">
        <w:t>une plaque de métal, le pain était</w:t>
      </w:r>
      <w:r w:rsidR="00906F9C">
        <w:t xml:space="preserve"> partagé lors des repas habituels, des mariages, des naissances, des funérailles et </w:t>
      </w:r>
      <w:r w:rsidR="004161FA">
        <w:t xml:space="preserve">de </w:t>
      </w:r>
      <w:r w:rsidR="00906F9C">
        <w:t xml:space="preserve">diverses fêtes, en particulier pour </w:t>
      </w:r>
      <w:r w:rsidR="004161FA">
        <w:t xml:space="preserve">souhaiter </w:t>
      </w:r>
      <w:r w:rsidR="00906F9C">
        <w:t xml:space="preserve">la prospérité. </w:t>
      </w:r>
      <w:r w:rsidR="004161FA">
        <w:t xml:space="preserve">Transmise par la participation et de maître à apprenti, la pratique </w:t>
      </w:r>
      <w:r w:rsidR="00CE357A">
        <w:t xml:space="preserve">était </w:t>
      </w:r>
      <w:r w:rsidR="004161FA">
        <w:t>une expression de l</w:t>
      </w:r>
      <w:r w:rsidR="00346F1B">
        <w:t>’</w:t>
      </w:r>
      <w:r w:rsidR="004161FA">
        <w:t xml:space="preserve">hospitalité et de la solidarité, et un symbole de racines culturelles communes tout en </w:t>
      </w:r>
      <w:r w:rsidR="00CE357A">
        <w:t xml:space="preserve">œuvrant au renforcement du </w:t>
      </w:r>
      <w:r w:rsidR="004161FA">
        <w:t>sentiment d</w:t>
      </w:r>
      <w:r w:rsidR="00346F1B">
        <w:t>’</w:t>
      </w:r>
      <w:r w:rsidR="004161FA">
        <w:t>appartenance à la communauté. L</w:t>
      </w:r>
      <w:r w:rsidR="00346F1B">
        <w:t>’</w:t>
      </w:r>
      <w:r w:rsidR="004161FA">
        <w:t>Organe d</w:t>
      </w:r>
      <w:r w:rsidR="00346F1B">
        <w:t>’</w:t>
      </w:r>
      <w:r w:rsidR="004161FA">
        <w:t xml:space="preserve">évaluation avait estimé que, selon les informations présentées dans le dossier, la candidature satisfaisait </w:t>
      </w:r>
      <w:r w:rsidR="003D10E2">
        <w:t xml:space="preserve">les </w:t>
      </w:r>
      <w:r w:rsidR="004161FA">
        <w:t>cinq critères. Le dossier démontrait que la fabrication et le partage du pain plat jouaient une variété de rôle</w:t>
      </w:r>
      <w:r w:rsidR="00365A02">
        <w:t>s</w:t>
      </w:r>
      <w:r w:rsidR="004161FA">
        <w:t xml:space="preserve"> sociaux et culturels, contribuant à la cohésion sociale, au respect mutuel, à la paix, à l</w:t>
      </w:r>
      <w:r w:rsidR="00346F1B">
        <w:t>’</w:t>
      </w:r>
      <w:r w:rsidR="004161FA">
        <w:t>hospitalité et aux échanges entre les communautés concernées. Dans les cinq pays, la procédure de candidature avait été lancée par les communautés et les ONG</w:t>
      </w:r>
      <w:r w:rsidR="003D10E2">
        <w:t>,</w:t>
      </w:r>
      <w:r w:rsidR="004161FA">
        <w:t xml:space="preserve"> et avait été soutenue par les autorités concernées. </w:t>
      </w:r>
      <w:r w:rsidR="004161FA" w:rsidRPr="002A1921">
        <w:t>L</w:t>
      </w:r>
      <w:r w:rsidR="00346F1B">
        <w:t>’</w:t>
      </w:r>
      <w:r w:rsidR="004161FA" w:rsidRPr="002A1921">
        <w:t>Organe d</w:t>
      </w:r>
      <w:r w:rsidR="00346F1B">
        <w:t>’</w:t>
      </w:r>
      <w:r w:rsidR="004161FA" w:rsidRPr="002A1921">
        <w:t>évaluation avait décidé de recommander l</w:t>
      </w:r>
      <w:r w:rsidR="00346F1B">
        <w:t>’</w:t>
      </w:r>
      <w:r w:rsidR="004161FA" w:rsidRPr="002A1921">
        <w:t>inscription de la culture de la fabrication et du partage du pain plat : Lavash, Katyrma, Jupka, Yufka sur la Liste représentative</w:t>
      </w:r>
      <w:r w:rsidR="004161FA" w:rsidRPr="004161FA">
        <w:t>.</w:t>
      </w:r>
    </w:p>
    <w:p w14:paraId="22868AC5" w14:textId="493D2F1F" w:rsidR="00CE357A" w:rsidRDefault="00CE357A" w:rsidP="007826AF">
      <w:pPr>
        <w:pStyle w:val="Orateurengris"/>
        <w:spacing w:before="120"/>
        <w:ind w:left="709" w:hanging="709"/>
      </w:pPr>
      <w:r>
        <w:t xml:space="preserve">Le </w:t>
      </w:r>
      <w:r w:rsidRPr="00CE357A">
        <w:rPr>
          <w:b/>
        </w:rPr>
        <w:t>Président</w:t>
      </w:r>
      <w:r>
        <w:t xml:space="preserve"> a remercié le </w:t>
      </w:r>
      <w:r w:rsidR="00754EC3">
        <w:t>Vice-Président</w:t>
      </w:r>
      <w:r>
        <w:t xml:space="preserve"> pour l</w:t>
      </w:r>
      <w:r w:rsidR="00346F1B">
        <w:t>’</w:t>
      </w:r>
      <w:r>
        <w:t>explication détaillée et, en l</w:t>
      </w:r>
      <w:r w:rsidR="00346F1B">
        <w:t>’</w:t>
      </w:r>
      <w:r>
        <w:t>absence de demandes d</w:t>
      </w:r>
      <w:r w:rsidR="00346F1B">
        <w:t>’</w:t>
      </w:r>
      <w:r>
        <w:t>amendement, a proposé l</w:t>
      </w:r>
      <w:r w:rsidR="00346F1B">
        <w:t>’</w:t>
      </w:r>
      <w:r>
        <w:t>adoption du projet de décision dans son ensemble.</w:t>
      </w:r>
    </w:p>
    <w:p w14:paraId="19A96E75" w14:textId="7A3A18E2" w:rsidR="00CE357A" w:rsidRDefault="00CE357A" w:rsidP="007826AF">
      <w:pPr>
        <w:pStyle w:val="Orateurengris"/>
        <w:spacing w:before="120"/>
        <w:ind w:left="709" w:hanging="709"/>
      </w:pPr>
      <w:r>
        <w:t>La délégation de l</w:t>
      </w:r>
      <w:r w:rsidR="00346F1B">
        <w:t>’</w:t>
      </w:r>
      <w:r w:rsidRPr="00CE357A">
        <w:rPr>
          <w:b/>
        </w:rPr>
        <w:t>Arménie</w:t>
      </w:r>
      <w:r>
        <w:t xml:space="preserve"> a demandé que la décision soit repoussée afin de trouver une solution à certaines parties du projet de décision </w:t>
      </w:r>
      <w:r w:rsidR="000B7E8D">
        <w:t xml:space="preserve">sur lesquelles </w:t>
      </w:r>
      <w:r>
        <w:t xml:space="preserve">elle souhaitait </w:t>
      </w:r>
      <w:r w:rsidR="000B7E8D">
        <w:t xml:space="preserve">échanger </w:t>
      </w:r>
      <w:r>
        <w:t xml:space="preserve">avec les États soumissionnaires. </w:t>
      </w:r>
      <w:r w:rsidR="000B7E8D">
        <w:t>La délégation a expliqué que cela éviterait de lancer un débat alors qu</w:t>
      </w:r>
      <w:r w:rsidR="00346F1B">
        <w:t>’</w:t>
      </w:r>
      <w:r w:rsidR="000B7E8D">
        <w:t xml:space="preserve">une solution pouvait être </w:t>
      </w:r>
      <w:r w:rsidR="00365A02">
        <w:t>trouvée, comme cela avait été le</w:t>
      </w:r>
      <w:r w:rsidR="000B7E8D">
        <w:t xml:space="preserve"> cas deux années auparavant pour une candidature</w:t>
      </w:r>
      <w:r w:rsidR="00B8112C">
        <w:t xml:space="preserve"> semblable à celle-ci</w:t>
      </w:r>
      <w:r w:rsidR="007826AF">
        <w:t>.</w:t>
      </w:r>
    </w:p>
    <w:p w14:paraId="2F2E9C08" w14:textId="0D68D1CB" w:rsidR="00B8112C" w:rsidRDefault="00B8112C" w:rsidP="007826AF">
      <w:pPr>
        <w:pStyle w:val="Orateurengris"/>
        <w:spacing w:before="120"/>
        <w:ind w:left="709" w:hanging="709"/>
      </w:pPr>
      <w:r>
        <w:t>La délégation de l</w:t>
      </w:r>
      <w:r w:rsidR="00346F1B">
        <w:t>’</w:t>
      </w:r>
      <w:r w:rsidRPr="00B8112C">
        <w:rPr>
          <w:b/>
        </w:rPr>
        <w:t>Afghanistan</w:t>
      </w:r>
      <w:r w:rsidR="00450503">
        <w:t xml:space="preserve"> souhaitait </w:t>
      </w:r>
      <w:r>
        <w:t>rappeler un proverbe arménien qui, en soi, constituait un élément de patrimoine culturel immatériel : « Ce que tu donnes t</w:t>
      </w:r>
      <w:r w:rsidR="00346F1B">
        <w:t>’</w:t>
      </w:r>
      <w:r>
        <w:t>appartient, ce que tu gardes est perdu à jamais ». Le don en question était le pain, et le partage du pain et du sel, ou, comme on dit en français, « casser la croute », et c</w:t>
      </w:r>
      <w:r w:rsidR="00346F1B">
        <w:t>’</w:t>
      </w:r>
      <w:r>
        <w:t>était non seulement quelque chose de bien mais également un devoir dans de nombreuses sociétés. À cet égard, la délégation souhaitait que l</w:t>
      </w:r>
      <w:r w:rsidR="00346F1B">
        <w:t>’</w:t>
      </w:r>
      <w:r>
        <w:t xml:space="preserve">on </w:t>
      </w:r>
      <w:r w:rsidR="006D61D5">
        <w:t xml:space="preserve">maintienne </w:t>
      </w:r>
      <w:r>
        <w:t>l</w:t>
      </w:r>
      <w:r w:rsidR="00346F1B">
        <w:t>’</w:t>
      </w:r>
      <w:r>
        <w:t>esprit de consensus et que l</w:t>
      </w:r>
      <w:r w:rsidR="00346F1B">
        <w:t>’</w:t>
      </w:r>
      <w:r>
        <w:t>on respecte l</w:t>
      </w:r>
      <w:r w:rsidR="00346F1B">
        <w:t>’</w:t>
      </w:r>
      <w:r>
        <w:t>excellent travail accompli par l</w:t>
      </w:r>
      <w:r w:rsidR="00346F1B">
        <w:t>’</w:t>
      </w:r>
      <w:r>
        <w:t>Organe d</w:t>
      </w:r>
      <w:r w:rsidR="00346F1B">
        <w:t>’</w:t>
      </w:r>
      <w:r>
        <w:t>évaluation. En outre, tous les critères avaient été satisfaits. La délégation a appelé le Comité à demeurer attaché à l</w:t>
      </w:r>
      <w:r w:rsidR="00346F1B">
        <w:t>’</w:t>
      </w:r>
      <w:r>
        <w:t>esprit de consensus. Toutefois, s</w:t>
      </w:r>
      <w:r w:rsidR="00346F1B">
        <w:t>’</w:t>
      </w:r>
      <w:r>
        <w:t xml:space="preserve">il y avait des </w:t>
      </w:r>
      <w:r w:rsidR="006D61D5">
        <w:t xml:space="preserve">questions </w:t>
      </w:r>
      <w:r>
        <w:t xml:space="preserve">techniques dans la candidature, </w:t>
      </w:r>
      <w:r w:rsidR="006D61D5">
        <w:t xml:space="preserve">il conviendrait de donner à </w:t>
      </w:r>
      <w:r>
        <w:t>l</w:t>
      </w:r>
      <w:r w:rsidR="00346F1B">
        <w:t>’</w:t>
      </w:r>
      <w:r>
        <w:t xml:space="preserve">Azerbaïdjan, </w:t>
      </w:r>
      <w:r w:rsidR="006D61D5">
        <w:t xml:space="preserve">à </w:t>
      </w:r>
      <w:r>
        <w:t xml:space="preserve">la Turquie </w:t>
      </w:r>
      <w:r w:rsidR="006D61D5">
        <w:t>et aux autres États l</w:t>
      </w:r>
      <w:r w:rsidR="00346F1B">
        <w:t>’</w:t>
      </w:r>
      <w:r w:rsidR="006D61D5">
        <w:t>opportunité d</w:t>
      </w:r>
      <w:r w:rsidR="00346F1B">
        <w:t>’</w:t>
      </w:r>
      <w:r w:rsidR="006D61D5">
        <w:t>apporter des éclaircissements, et ce, bien que l</w:t>
      </w:r>
      <w:r w:rsidR="00346F1B">
        <w:t>’</w:t>
      </w:r>
      <w:r w:rsidR="006D61D5">
        <w:t>excellent travail de l</w:t>
      </w:r>
      <w:r w:rsidR="00346F1B">
        <w:t>’</w:t>
      </w:r>
      <w:r w:rsidR="006D61D5">
        <w:t>Organe d</w:t>
      </w:r>
      <w:r w:rsidR="00346F1B">
        <w:t>’</w:t>
      </w:r>
      <w:r w:rsidR="006D61D5">
        <w:t>évaluation ait permis de démontrer que tous les critères avaient ét</w:t>
      </w:r>
      <w:r w:rsidR="007826AF">
        <w:t>é satisfaits de façon positive.</w:t>
      </w:r>
    </w:p>
    <w:p w14:paraId="4CB69A71" w14:textId="3C191B26" w:rsidR="006D61D5" w:rsidRDefault="006D61D5" w:rsidP="007826AF">
      <w:pPr>
        <w:pStyle w:val="Orateurengris"/>
        <w:spacing w:before="120"/>
        <w:ind w:left="709" w:hanging="709"/>
      </w:pPr>
      <w:r>
        <w:t xml:space="preserve">La délégation de </w:t>
      </w:r>
      <w:r w:rsidRPr="006D61D5">
        <w:rPr>
          <w:b/>
        </w:rPr>
        <w:t>Chypre</w:t>
      </w:r>
      <w:r>
        <w:t xml:space="preserve"> a demandé à l</w:t>
      </w:r>
      <w:r w:rsidR="00346F1B">
        <w:t>’</w:t>
      </w:r>
      <w:r>
        <w:t>Arménie d</w:t>
      </w:r>
      <w:r w:rsidR="00346F1B">
        <w:t>’</w:t>
      </w:r>
      <w:r>
        <w:t>expliquer les raisons just</w:t>
      </w:r>
      <w:r w:rsidR="007826AF">
        <w:t>ifiant cette demande de report.</w:t>
      </w:r>
    </w:p>
    <w:p w14:paraId="74B17844" w14:textId="4E48399F" w:rsidR="006D61D5" w:rsidRDefault="006D61D5" w:rsidP="007826AF">
      <w:pPr>
        <w:pStyle w:val="Orateurengris"/>
        <w:spacing w:before="120"/>
        <w:ind w:left="709" w:hanging="709"/>
      </w:pPr>
      <w:r>
        <w:t xml:space="preserve">La délégation de la </w:t>
      </w:r>
      <w:r w:rsidRPr="006D61D5">
        <w:rPr>
          <w:b/>
        </w:rPr>
        <w:t>Mongolie</w:t>
      </w:r>
      <w:r>
        <w:t xml:space="preserve"> a remercié l</w:t>
      </w:r>
      <w:r w:rsidR="00346F1B">
        <w:t>’</w:t>
      </w:r>
      <w:r>
        <w:t>Organe d</w:t>
      </w:r>
      <w:r w:rsidR="00346F1B">
        <w:t>’</w:t>
      </w:r>
      <w:r>
        <w:t>évaluation pour son travail ardu</w:t>
      </w:r>
      <w:r w:rsidR="003D10E2">
        <w:t xml:space="preserve">. Elle soutenait </w:t>
      </w:r>
      <w:r>
        <w:t>la proposition de l</w:t>
      </w:r>
      <w:r w:rsidR="00346F1B">
        <w:t>’</w:t>
      </w:r>
      <w:r>
        <w:t>Afghanistan demandant au Comité de respecter la décision de l</w:t>
      </w:r>
      <w:r w:rsidR="00346F1B">
        <w:t>’</w:t>
      </w:r>
      <w:r>
        <w:t>Organe d</w:t>
      </w:r>
      <w:r w:rsidR="00346F1B">
        <w:t>’</w:t>
      </w:r>
      <w:r w:rsidR="007826AF">
        <w:t>évaluation.</w:t>
      </w:r>
    </w:p>
    <w:p w14:paraId="40F9E893" w14:textId="377D0931" w:rsidR="006D61D5" w:rsidRDefault="00005D42" w:rsidP="007826AF">
      <w:pPr>
        <w:pStyle w:val="Orateurengris"/>
        <w:spacing w:before="120"/>
        <w:ind w:left="709" w:hanging="709"/>
      </w:pPr>
      <w:r>
        <w:t xml:space="preserve">La délégation du </w:t>
      </w:r>
      <w:r w:rsidRPr="00005D42">
        <w:rPr>
          <w:b/>
        </w:rPr>
        <w:t>Sénégal</w:t>
      </w:r>
      <w:r>
        <w:t xml:space="preserve"> était surprise par la demande de report </w:t>
      </w:r>
      <w:r w:rsidR="00503AE3">
        <w:t>car l</w:t>
      </w:r>
      <w:r w:rsidR="00346F1B">
        <w:t>’</w:t>
      </w:r>
      <w:r w:rsidR="00503AE3">
        <w:t>Organe d</w:t>
      </w:r>
      <w:r w:rsidR="00346F1B">
        <w:t>’</w:t>
      </w:r>
      <w:r w:rsidR="00503AE3">
        <w:t>évaluation avait recommandé l</w:t>
      </w:r>
      <w:r w:rsidR="00346F1B">
        <w:t>’</w:t>
      </w:r>
      <w:r w:rsidR="00503AE3">
        <w:t xml:space="preserve">inscription et tous les critères </w:t>
      </w:r>
      <w:r w:rsidR="00D53B22">
        <w:t xml:space="preserve">étaient </w:t>
      </w:r>
      <w:r w:rsidR="00503AE3">
        <w:t>satisfaits</w:t>
      </w:r>
      <w:r w:rsidR="00D53B22">
        <w:t>. En outre, aucune justification n</w:t>
      </w:r>
      <w:r w:rsidR="00346F1B">
        <w:t>’</w:t>
      </w:r>
      <w:r w:rsidR="00D53B22">
        <w:t xml:space="preserve">avait été donnée au Comité quant </w:t>
      </w:r>
      <w:r w:rsidR="003D10E2">
        <w:t xml:space="preserve">à </w:t>
      </w:r>
      <w:r w:rsidR="00D53B22">
        <w:t>cette demande. La délégation était opposée à ce report et souhaitait que l</w:t>
      </w:r>
      <w:r w:rsidR="00346F1B">
        <w:t>’</w:t>
      </w:r>
      <w:r w:rsidR="007826AF">
        <w:t>on avance.</w:t>
      </w:r>
    </w:p>
    <w:p w14:paraId="62382A07" w14:textId="395117C0" w:rsidR="00D53B22" w:rsidRDefault="00D53B22" w:rsidP="007826AF">
      <w:pPr>
        <w:pStyle w:val="Orateurengris"/>
        <w:spacing w:before="120"/>
        <w:ind w:left="709" w:hanging="709"/>
      </w:pPr>
      <w:r>
        <w:t xml:space="preserve">La délégation des </w:t>
      </w:r>
      <w:r w:rsidRPr="00D53B22">
        <w:rPr>
          <w:b/>
        </w:rPr>
        <w:t>Philippines</w:t>
      </w:r>
      <w:r>
        <w:t xml:space="preserve"> soutenait la recommandation de l</w:t>
      </w:r>
      <w:r w:rsidR="00346F1B">
        <w:t>’</w:t>
      </w:r>
      <w:r>
        <w:t>Organe d</w:t>
      </w:r>
      <w:r w:rsidR="00346F1B">
        <w:t>’</w:t>
      </w:r>
      <w:r>
        <w:t>évaluation d</w:t>
      </w:r>
      <w:r w:rsidR="00346F1B">
        <w:t>’</w:t>
      </w:r>
      <w:r>
        <w:t>inscrire cette candidature multinationale, ajoutant qu</w:t>
      </w:r>
      <w:r w:rsidR="00346F1B">
        <w:t>’</w:t>
      </w:r>
      <w:r>
        <w:t xml:space="preserve">elle avait été </w:t>
      </w:r>
      <w:r w:rsidR="006B2274">
        <w:t xml:space="preserve">également </w:t>
      </w:r>
      <w:r>
        <w:t>examinée par des experts aux Philippines. Elle a par ailleurs précisé que la nature multinationale de la candidature ne témoignait pas uniquement de la très grande portée de la tradition mais qu</w:t>
      </w:r>
      <w:r w:rsidR="00346F1B">
        <w:t>’</w:t>
      </w:r>
      <w:r>
        <w:t>elle mettait en évidence l</w:t>
      </w:r>
      <w:r w:rsidR="00346F1B">
        <w:t>’</w:t>
      </w:r>
      <w:r>
        <w:t>esprit de la Convention en encourageant le rapprochement des cultures et la compréhension interculturelle et en ne laissant aucune place à la notion d</w:t>
      </w:r>
      <w:r w:rsidR="00346F1B">
        <w:t>’</w:t>
      </w:r>
      <w:r>
        <w:t> « exclusivité » de l</w:t>
      </w:r>
      <w:r w:rsidR="00346F1B">
        <w:t>’</w:t>
      </w:r>
      <w:r>
        <w:t xml:space="preserve">élément. Toute position qui porterait atteinte à ce caractère inclusif et </w:t>
      </w:r>
      <w:r w:rsidR="00934742">
        <w:t>à cette volonté d</w:t>
      </w:r>
      <w:r w:rsidR="00346F1B">
        <w:t>’</w:t>
      </w:r>
      <w:r w:rsidR="00934742">
        <w:t xml:space="preserve">ouverture serait contraire à </w:t>
      </w:r>
      <w:r>
        <w:t>l</w:t>
      </w:r>
      <w:r w:rsidR="00346F1B">
        <w:t>’</w:t>
      </w:r>
      <w:r>
        <w:t xml:space="preserve">esprit même de la Convention. </w:t>
      </w:r>
      <w:r w:rsidR="00934742">
        <w:t>Par ailleurs, la délégation a rappelé l</w:t>
      </w:r>
      <w:r w:rsidR="00346F1B">
        <w:t>’</w:t>
      </w:r>
      <w:r w:rsidR="00934742">
        <w:t>importance de la Liste représentative du patrimoine culturel immatériel de l</w:t>
      </w:r>
      <w:r w:rsidR="00346F1B">
        <w:t>’</w:t>
      </w:r>
      <w:r w:rsidR="00934742">
        <w:t>humanité en tant que liste représentant la diversité et les aspects multiformes de la créativité humai</w:t>
      </w:r>
      <w:r w:rsidR="006B2274">
        <w:t>ne et témoignant de la grande nécessité</w:t>
      </w:r>
      <w:r w:rsidR="00934742">
        <w:t xml:space="preserve"> de sauvegarde</w:t>
      </w:r>
      <w:r w:rsidR="006B2274">
        <w:t>r</w:t>
      </w:r>
      <w:r w:rsidR="00934742">
        <w:t xml:space="preserve"> ces traditions. </w:t>
      </w:r>
      <w:r w:rsidR="006B2274">
        <w:t>Il serait offensant de nier de tels aspects inclusifs et multiformes. La délégation soutenait</w:t>
      </w:r>
      <w:r w:rsidR="007826AF">
        <w:t xml:space="preserve"> donc le dossier multinational.</w:t>
      </w:r>
    </w:p>
    <w:p w14:paraId="47E58B2D" w14:textId="2DECCB41" w:rsidR="006B2274" w:rsidRDefault="003A6355" w:rsidP="007826AF">
      <w:pPr>
        <w:pStyle w:val="Orateurengris"/>
        <w:spacing w:before="120"/>
        <w:ind w:left="709" w:hanging="709"/>
      </w:pPr>
      <w:r>
        <w:t>Le</w:t>
      </w:r>
      <w:r w:rsidR="006B2274">
        <w:t xml:space="preserve"> </w:t>
      </w:r>
      <w:r w:rsidR="006B2274" w:rsidRPr="006B2274">
        <w:rPr>
          <w:b/>
        </w:rPr>
        <w:t>Président</w:t>
      </w:r>
      <w:r w:rsidR="006B2274">
        <w:t xml:space="preserve"> a demandé à l</w:t>
      </w:r>
      <w:r w:rsidR="00346F1B">
        <w:t>’</w:t>
      </w:r>
      <w:r w:rsidR="006B2274">
        <w:t>Arménie de présenter les raisons justi</w:t>
      </w:r>
      <w:r w:rsidR="007826AF">
        <w:t>fiant le report de la décision.</w:t>
      </w:r>
    </w:p>
    <w:p w14:paraId="146C6CC9" w14:textId="0EFC71A5" w:rsidR="006B2274" w:rsidRPr="006B2274" w:rsidRDefault="006B2274" w:rsidP="007826AF">
      <w:pPr>
        <w:pStyle w:val="Orateurengris"/>
        <w:spacing w:before="120"/>
        <w:ind w:left="709" w:hanging="709"/>
      </w:pPr>
      <w:r w:rsidRPr="006B2274">
        <w:t>La délégation d</w:t>
      </w:r>
      <w:r>
        <w:t>e l</w:t>
      </w:r>
      <w:r w:rsidR="00346F1B">
        <w:t>’</w:t>
      </w:r>
      <w:r w:rsidRPr="006B2274">
        <w:rPr>
          <w:b/>
        </w:rPr>
        <w:t>Arménie</w:t>
      </w:r>
      <w:r>
        <w:t xml:space="preserve"> avait présenté plusieurs amendements au projet de décision mais souhaitait en débattre auparavant avec les États soumissionnaires afin de trouver une solution commune et consensuelle. Son </w:t>
      </w:r>
      <w:r w:rsidR="003D10E2">
        <w:t xml:space="preserve">objectif </w:t>
      </w:r>
      <w:r>
        <w:t>n</w:t>
      </w:r>
      <w:r w:rsidR="00346F1B">
        <w:t>’</w:t>
      </w:r>
      <w:r>
        <w:t>était pas de discriminer un pays contre un groupe de cinq pays. La délégation souhaitait s</w:t>
      </w:r>
      <w:r w:rsidR="00346F1B">
        <w:t>’</w:t>
      </w:r>
      <w:r>
        <w:t>assurer que, quelle que soit la candidature proposée, toutes les candidatures étaient traitées de la même manière afin d</w:t>
      </w:r>
      <w:r w:rsidR="00346F1B">
        <w:t>’</w:t>
      </w:r>
      <w:r>
        <w:t xml:space="preserve">éviter que des règles </w:t>
      </w:r>
      <w:r w:rsidR="00070056">
        <w:t>différentes ne s</w:t>
      </w:r>
      <w:r w:rsidR="00346F1B">
        <w:t>’</w:t>
      </w:r>
      <w:r w:rsidR="00070056">
        <w:t>appliquent. Elle a expliqué que l</w:t>
      </w:r>
      <w:r w:rsidR="00346F1B">
        <w:t>’</w:t>
      </w:r>
      <w:r w:rsidR="00070056">
        <w:t>Organe d</w:t>
      </w:r>
      <w:r w:rsidR="00346F1B">
        <w:t>’</w:t>
      </w:r>
      <w:r w:rsidR="00070056">
        <w:t xml:space="preserve">évaluation avait proposé que les noms des pays soient indiqués dans le titre </w:t>
      </w:r>
      <w:r w:rsidR="00FF3445">
        <w:t>de l</w:t>
      </w:r>
      <w:r w:rsidR="00346F1B">
        <w:t>’</w:t>
      </w:r>
      <w:r w:rsidR="00FF3445">
        <w:t xml:space="preserve">élément en lieu et place des </w:t>
      </w:r>
      <w:r w:rsidR="00070056">
        <w:t>adjectifs de nationalité. L</w:t>
      </w:r>
      <w:r w:rsidR="00346F1B">
        <w:t>’</w:t>
      </w:r>
      <w:r w:rsidR="00070056">
        <w:t>Arménie avait proposé [pour un</w:t>
      </w:r>
      <w:r w:rsidR="00365A02">
        <w:t>e</w:t>
      </w:r>
      <w:r w:rsidR="00070056">
        <w:t xml:space="preserve"> autre candidature] qu</w:t>
      </w:r>
      <w:r w:rsidR="00346F1B">
        <w:t>’</w:t>
      </w:r>
      <w:r w:rsidR="00070056">
        <w:t>il n</w:t>
      </w:r>
      <w:r w:rsidR="00346F1B">
        <w:t>’</w:t>
      </w:r>
      <w:r w:rsidR="00070056">
        <w:t>y ait aucun nom de pays dans le titre tandis que la Turquie faisait partie des délégations qui insistaient pour que les noms de pays figurent dans le titre. La délégation ne parvenait pas à comprendre pourquoi ce dossier serait traité différemment d</w:t>
      </w:r>
      <w:r w:rsidR="00346F1B">
        <w:t>’</w:t>
      </w:r>
      <w:r w:rsidR="00070056">
        <w:t>une candidature identique présentée deux ans plus tôt. Elle a rappelé que deux paragraphes supplémentaires avaient été ajoutés au dossier arménien et qu</w:t>
      </w:r>
      <w:r w:rsidR="00346F1B">
        <w:t>’</w:t>
      </w:r>
      <w:r w:rsidR="00070056">
        <w:t xml:space="preserve">il était donc logique que les mêmes paragraphes et </w:t>
      </w:r>
      <w:r w:rsidR="00FF3445">
        <w:t>qu</w:t>
      </w:r>
      <w:r w:rsidR="00346F1B">
        <w:t>’</w:t>
      </w:r>
      <w:r w:rsidR="00070056">
        <w:t>un libellé identique soient ajoutés à la présente candidature. La logique qui sous-tendait l</w:t>
      </w:r>
      <w:r w:rsidR="00346F1B">
        <w:t>’</w:t>
      </w:r>
      <w:r w:rsidR="00070056">
        <w:t>ajout de ces paragraphes à la décision était d</w:t>
      </w:r>
      <w:r w:rsidR="00346F1B">
        <w:t>’</w:t>
      </w:r>
      <w:r w:rsidR="00070056">
        <w:t xml:space="preserve">éviter toute compréhension ou interprétation erronée </w:t>
      </w:r>
      <w:r w:rsidR="00BB2658">
        <w:t>selon laquelle l</w:t>
      </w:r>
      <w:r w:rsidR="00346F1B">
        <w:t>’</w:t>
      </w:r>
      <w:r w:rsidR="00BB2658">
        <w:t>élément en question n</w:t>
      </w:r>
      <w:r w:rsidR="00346F1B">
        <w:t>’</w:t>
      </w:r>
      <w:r w:rsidR="00BB2658">
        <w:t>était pratiqué que dans les limites du territoire de l</w:t>
      </w:r>
      <w:r w:rsidR="00346F1B">
        <w:t>’</w:t>
      </w:r>
      <w:r w:rsidR="00BB2658">
        <w:t>État soumissionnaire ou des États soumissionnaires. La question était donc de savoir pourquoi une approche devrait-elle être acceptable pour un seul État présentant une candidature et pas pour cinq États présentant une candidature, comme c</w:t>
      </w:r>
      <w:r w:rsidR="00346F1B">
        <w:t>’</w:t>
      </w:r>
      <w:r w:rsidR="00BB2658">
        <w:t>était ici le cas. La délégation souhaitait donc un report afin de pouvoir débattre de ces questions avec certaines des délégations soumissionnaires, permettant ainsi de gagner du temps lors du processus de révision du texte de la décision, mais également d</w:t>
      </w:r>
      <w:r w:rsidR="00346F1B">
        <w:t>’</w:t>
      </w:r>
      <w:r w:rsidR="00BB2658">
        <w:t>éviter toute complication susceptible de se produire si le Comité décidait d</w:t>
      </w:r>
      <w:r w:rsidR="00346F1B">
        <w:t>’</w:t>
      </w:r>
      <w:r w:rsidR="00BB2658">
        <w:t xml:space="preserve">avoir recours à </w:t>
      </w:r>
      <w:r w:rsidR="00FF3445">
        <w:t xml:space="preserve">un </w:t>
      </w:r>
      <w:r w:rsidR="00BB2658">
        <w:t>vote plutô</w:t>
      </w:r>
      <w:r w:rsidR="007826AF">
        <w:t>t que de négocier une solution.</w:t>
      </w:r>
    </w:p>
    <w:p w14:paraId="6F52C6E2" w14:textId="5F2B128C" w:rsidR="00FF3445" w:rsidRPr="00FF3445" w:rsidRDefault="00FF3445" w:rsidP="007826AF">
      <w:pPr>
        <w:pStyle w:val="Orateurengris"/>
        <w:spacing w:before="120"/>
        <w:ind w:left="709" w:hanging="709"/>
      </w:pPr>
      <w:r>
        <w:t xml:space="preserve">La délégation de la </w:t>
      </w:r>
      <w:r w:rsidRPr="00FF3445">
        <w:rPr>
          <w:b/>
        </w:rPr>
        <w:t>Hongrie</w:t>
      </w:r>
      <w:r>
        <w:t xml:space="preserve"> a félicité les États d</w:t>
      </w:r>
      <w:r w:rsidR="00346F1B">
        <w:t>’</w:t>
      </w:r>
      <w:r>
        <w:t>Azerbaïdjan, de la République islamique d</w:t>
      </w:r>
      <w:r w:rsidR="00346F1B">
        <w:t>’</w:t>
      </w:r>
      <w:r>
        <w:t xml:space="preserve">Iran, du Kazakhstan, du </w:t>
      </w:r>
      <w:r w:rsidRPr="00580F07">
        <w:rPr>
          <w:rFonts w:eastAsiaTheme="minorEastAsia"/>
          <w:color w:val="1A1A1A"/>
        </w:rPr>
        <w:t>Kirghizistan</w:t>
      </w:r>
      <w:r>
        <w:t xml:space="preserve"> et de Turquie pour leur candidature réussie qui reflétait véritablement l</w:t>
      </w:r>
      <w:r w:rsidR="00346F1B">
        <w:t>’</w:t>
      </w:r>
      <w:r>
        <w:t>esprit de la Convention en matière de coopération internationale et témoignait d</w:t>
      </w:r>
      <w:r w:rsidR="00346F1B">
        <w:t>’</w:t>
      </w:r>
      <w:r>
        <w:t xml:space="preserve">un patrimoine </w:t>
      </w:r>
      <w:r w:rsidR="007826AF">
        <w:t>culturel commun dans la région.</w:t>
      </w:r>
    </w:p>
    <w:p w14:paraId="4FF287DA" w14:textId="6F4CA777" w:rsidR="00FF3445" w:rsidRDefault="00FF3445" w:rsidP="007826AF">
      <w:pPr>
        <w:pStyle w:val="Orateurengris"/>
        <w:spacing w:before="120"/>
        <w:ind w:left="709" w:hanging="709"/>
      </w:pPr>
      <w:r>
        <w:t xml:space="preserve">Après avoir interrompu la Hongrie, le </w:t>
      </w:r>
      <w:r w:rsidRPr="00FF3445">
        <w:rPr>
          <w:b/>
        </w:rPr>
        <w:t>Président</w:t>
      </w:r>
      <w:r>
        <w:t xml:space="preserve"> a pris note d</w:t>
      </w:r>
      <w:r w:rsidR="00346F1B">
        <w:t>’</w:t>
      </w:r>
      <w:r>
        <w:t>une motion d</w:t>
      </w:r>
      <w:r w:rsidR="00346F1B">
        <w:t>’</w:t>
      </w:r>
      <w:r>
        <w:t>ordre de la part de l</w:t>
      </w:r>
      <w:r w:rsidR="00346F1B">
        <w:t>’</w:t>
      </w:r>
      <w:r w:rsidR="007826AF">
        <w:t>Arménie.</w:t>
      </w:r>
    </w:p>
    <w:p w14:paraId="51861FC8" w14:textId="1866C251" w:rsidR="00FF3445" w:rsidRDefault="00FF3445" w:rsidP="007826AF">
      <w:pPr>
        <w:pStyle w:val="Orateurengris"/>
        <w:spacing w:before="120"/>
        <w:ind w:left="709" w:hanging="709"/>
      </w:pPr>
      <w:r>
        <w:t>La délégation de l</w:t>
      </w:r>
      <w:r w:rsidR="00346F1B">
        <w:t>’</w:t>
      </w:r>
      <w:r w:rsidRPr="00FF3445">
        <w:rPr>
          <w:b/>
        </w:rPr>
        <w:t>Arménie</w:t>
      </w:r>
      <w:r>
        <w:t xml:space="preserve"> a demandé si le dossier était en cours d</w:t>
      </w:r>
      <w:r w:rsidR="00346F1B">
        <w:t>’</w:t>
      </w:r>
      <w:r>
        <w:t>examen car elle avait demandé que le débat soit reporté et, en conséquence, les déclarations ne devraient porter que sur le report et no</w:t>
      </w:r>
      <w:r w:rsidR="007826AF">
        <w:t>n sur la candidature elle-même.</w:t>
      </w:r>
    </w:p>
    <w:p w14:paraId="43138138" w14:textId="6AE97129" w:rsidR="00C72FBB" w:rsidRDefault="00C72FBB" w:rsidP="007826AF">
      <w:pPr>
        <w:pStyle w:val="Orateurengris"/>
        <w:spacing w:before="120"/>
        <w:ind w:left="709" w:hanging="709"/>
      </w:pPr>
      <w:r>
        <w:t xml:space="preserve">Le </w:t>
      </w:r>
      <w:r w:rsidRPr="00C72FBB">
        <w:rPr>
          <w:b/>
        </w:rPr>
        <w:t>Président</w:t>
      </w:r>
      <w:r>
        <w:t xml:space="preserve"> a pris note de la demande de l</w:t>
      </w:r>
      <w:r w:rsidR="00346F1B">
        <w:t>’</w:t>
      </w:r>
      <w:r>
        <w:t>Arménie de reporter la décision, et il a été demandé au Comité d</w:t>
      </w:r>
      <w:r w:rsidR="00346F1B">
        <w:t>’</w:t>
      </w:r>
      <w:r>
        <w:t>examiner d</w:t>
      </w:r>
      <w:r w:rsidR="00346F1B">
        <w:t>’</w:t>
      </w:r>
      <w:r w:rsidR="007826AF">
        <w:t>abord cette question.</w:t>
      </w:r>
    </w:p>
    <w:p w14:paraId="2BFDB2E5" w14:textId="5DE9C0E7" w:rsidR="00C72FBB" w:rsidRDefault="00C72FBB" w:rsidP="007826AF">
      <w:pPr>
        <w:pStyle w:val="Orateurengris"/>
        <w:spacing w:before="120"/>
        <w:ind w:left="709" w:hanging="709"/>
      </w:pPr>
      <w:r>
        <w:t xml:space="preserve">La délégation de la </w:t>
      </w:r>
      <w:r w:rsidRPr="00C72FBB">
        <w:rPr>
          <w:b/>
        </w:rPr>
        <w:t>Hongrie</w:t>
      </w:r>
      <w:r>
        <w:t xml:space="preserve"> a déclaré ne pas soutenir la demande de repor</w:t>
      </w:r>
      <w:r w:rsidR="007826AF">
        <w:t>t et a demandé une décision.</w:t>
      </w:r>
    </w:p>
    <w:p w14:paraId="4DDAEA4A" w14:textId="0647E3D7" w:rsidR="006130A8" w:rsidRDefault="006130A8" w:rsidP="007826AF">
      <w:pPr>
        <w:pStyle w:val="Orateurengris"/>
        <w:spacing w:before="120"/>
        <w:ind w:left="709" w:hanging="709"/>
      </w:pPr>
      <w:r>
        <w:t>La délégation de l</w:t>
      </w:r>
      <w:r w:rsidR="00346F1B">
        <w:t>’</w:t>
      </w:r>
      <w:r w:rsidRPr="006130A8">
        <w:rPr>
          <w:b/>
        </w:rPr>
        <w:t>Inde</w:t>
      </w:r>
      <w:r>
        <w:t xml:space="preserve"> a fait remarquer que s</w:t>
      </w:r>
      <w:r w:rsidR="00346F1B">
        <w:t>’</w:t>
      </w:r>
      <w:r>
        <w:t>agissant de la préparation, du processus d</w:t>
      </w:r>
      <w:r w:rsidR="00346F1B">
        <w:t>’</w:t>
      </w:r>
      <w:r>
        <w:t>élaboration, des mesures de sauvegarde proposées et de l</w:t>
      </w:r>
      <w:r w:rsidR="00346F1B">
        <w:t>’</w:t>
      </w:r>
      <w:r>
        <w:t>inventaire, la candidature en cours d</w:t>
      </w:r>
      <w:r w:rsidR="00346F1B">
        <w:t>’</w:t>
      </w:r>
      <w:r>
        <w:t>examen était une réussite, comme l</w:t>
      </w:r>
      <w:r w:rsidR="00346F1B">
        <w:t>’</w:t>
      </w:r>
      <w:r>
        <w:t>avait démontré l</w:t>
      </w:r>
      <w:r w:rsidR="00346F1B">
        <w:t>’</w:t>
      </w:r>
      <w:r>
        <w:t>Organe d</w:t>
      </w:r>
      <w:r w:rsidR="00346F1B">
        <w:t>’</w:t>
      </w:r>
      <w:r>
        <w:t>évaluation. Toutefois, l</w:t>
      </w:r>
      <w:r w:rsidR="00346F1B">
        <w:t>’</w:t>
      </w:r>
      <w:r>
        <w:t>Arménie avait évoqué le consensus et la nécessité de disposer de temps pour trouver une solution à l</w:t>
      </w:r>
      <w:r w:rsidR="00346F1B">
        <w:t>’</w:t>
      </w:r>
      <w:r>
        <w:t>amiable. En tant que défenseur du dialogue, de la négociation et de l</w:t>
      </w:r>
      <w:r w:rsidR="00346F1B">
        <w:t>’</w:t>
      </w:r>
      <w:r>
        <w:t>esprit de compromis, la délégation soutenait les efforts dépl</w:t>
      </w:r>
      <w:r w:rsidR="00365A02">
        <w:t>oyés pour trouver une solution.</w:t>
      </w:r>
    </w:p>
    <w:p w14:paraId="4A2B7FAE" w14:textId="1A3F5246" w:rsidR="00031672" w:rsidRDefault="00031672" w:rsidP="007826AF">
      <w:pPr>
        <w:pStyle w:val="Orateurengris"/>
        <w:spacing w:before="120"/>
        <w:ind w:left="709" w:hanging="709"/>
      </w:pPr>
      <w:r>
        <w:t>La délégation de l</w:t>
      </w:r>
      <w:r w:rsidR="00346F1B">
        <w:t>’</w:t>
      </w:r>
      <w:r w:rsidRPr="00031672">
        <w:rPr>
          <w:b/>
        </w:rPr>
        <w:t>Afghanistan</w:t>
      </w:r>
      <w:r>
        <w:t xml:space="preserve"> a déclaré qu</w:t>
      </w:r>
      <w:r w:rsidR="00346F1B">
        <w:t>’</w:t>
      </w:r>
      <w:r>
        <w:t>une motion d</w:t>
      </w:r>
      <w:r w:rsidR="00346F1B">
        <w:t>’</w:t>
      </w:r>
      <w:r>
        <w:t>ordre était</w:t>
      </w:r>
      <w:r w:rsidR="00566F3C">
        <w:t>,</w:t>
      </w:r>
      <w:r>
        <w:t xml:space="preserve"> par définition</w:t>
      </w:r>
      <w:r w:rsidR="00566F3C">
        <w:t>,</w:t>
      </w:r>
      <w:r>
        <w:t xml:space="preserve"> une </w:t>
      </w:r>
      <w:r w:rsidR="00566F3C">
        <w:t>modification du</w:t>
      </w:r>
      <w:r>
        <w:t xml:space="preserve"> Règlement intérieur</w:t>
      </w:r>
      <w:r w:rsidR="003D10E2">
        <w:t>, et elle souhaitait</w:t>
      </w:r>
      <w:r w:rsidR="00566F3C">
        <w:t xml:space="preserve"> savoir quelle était la </w:t>
      </w:r>
      <w:r w:rsidR="007826AF">
        <w:t>raison justifiant cette motion.</w:t>
      </w:r>
    </w:p>
    <w:p w14:paraId="58A9EB34" w14:textId="7119789E" w:rsidR="00566F3C" w:rsidRDefault="00566F3C" w:rsidP="007826AF">
      <w:pPr>
        <w:pStyle w:val="Orateurengris"/>
        <w:spacing w:before="120"/>
        <w:ind w:left="709" w:hanging="709"/>
      </w:pPr>
      <w:r>
        <w:t>Le Secrétaire a rappelé à l</w:t>
      </w:r>
      <w:r w:rsidR="00346F1B">
        <w:t>’</w:t>
      </w:r>
      <w:r w:rsidRPr="00566F3C">
        <w:rPr>
          <w:b/>
        </w:rPr>
        <w:t>Afghanistan</w:t>
      </w:r>
      <w:r>
        <w:t xml:space="preserve"> l</w:t>
      </w:r>
      <w:r w:rsidR="00346F1B">
        <w:t>’</w:t>
      </w:r>
      <w:r>
        <w:t>article 28.1 du Règlement intérieur du Comité qui stipulait qu</w:t>
      </w:r>
      <w:r w:rsidR="00346F1B">
        <w:t>’</w:t>
      </w:r>
      <w:r>
        <w:t xml:space="preserve">un État </w:t>
      </w:r>
      <w:r w:rsidR="00A46CAD">
        <w:t>membre</w:t>
      </w:r>
      <w:r>
        <w:t xml:space="preserve"> pouvait </w:t>
      </w:r>
      <w:r w:rsidR="00833C35">
        <w:t xml:space="preserve">proposer </w:t>
      </w:r>
      <w:r>
        <w:t>une motion d</w:t>
      </w:r>
      <w:r w:rsidR="00346F1B">
        <w:t>’</w:t>
      </w:r>
      <w:r>
        <w:t>ordre sur laquelle le Président</w:t>
      </w:r>
      <w:r w:rsidR="007826AF">
        <w:t xml:space="preserve"> se prononcerait immédiatement.</w:t>
      </w:r>
    </w:p>
    <w:p w14:paraId="16A989BE" w14:textId="09D90C6C" w:rsidR="00566F3C" w:rsidRDefault="00F57F91" w:rsidP="007826AF">
      <w:pPr>
        <w:pStyle w:val="Orateurengris"/>
        <w:spacing w:before="120"/>
        <w:ind w:left="709" w:hanging="709"/>
      </w:pPr>
      <w:r>
        <w:t xml:space="preserve">Ayant pris </w:t>
      </w:r>
      <w:r w:rsidR="00566F3C">
        <w:t>note de la motion d</w:t>
      </w:r>
      <w:r w:rsidR="00346F1B">
        <w:t>’</w:t>
      </w:r>
      <w:r w:rsidR="00566F3C">
        <w:t xml:space="preserve">ordre, la délégation de la </w:t>
      </w:r>
      <w:r w:rsidR="00566F3C" w:rsidRPr="00566F3C">
        <w:rPr>
          <w:b/>
        </w:rPr>
        <w:t>République de Corée</w:t>
      </w:r>
      <w:r w:rsidR="00566F3C">
        <w:t xml:space="preserve"> </w:t>
      </w:r>
      <w:r>
        <w:t xml:space="preserve">ne souhaitait pas </w:t>
      </w:r>
      <w:r w:rsidR="00566F3C">
        <w:t xml:space="preserve">prendre </w:t>
      </w:r>
      <w:r w:rsidR="007826AF">
        <w:t>la parole à ce moment du débat.</w:t>
      </w:r>
    </w:p>
    <w:p w14:paraId="5839F140" w14:textId="2CBA8F4E" w:rsidR="00566F3C" w:rsidRDefault="00566F3C" w:rsidP="007826AF">
      <w:pPr>
        <w:pStyle w:val="Orateurengris"/>
        <w:spacing w:before="120"/>
        <w:ind w:left="709" w:hanging="709"/>
      </w:pPr>
      <w:r>
        <w:t xml:space="preserve">La délégation de </w:t>
      </w:r>
      <w:r w:rsidRPr="00566F3C">
        <w:rPr>
          <w:b/>
        </w:rPr>
        <w:t>Cuba</w:t>
      </w:r>
      <w:r>
        <w:t xml:space="preserve"> a rappelé que la Turquie et l</w:t>
      </w:r>
      <w:r w:rsidR="00346F1B">
        <w:t>’</w:t>
      </w:r>
      <w:r>
        <w:t xml:space="preserve">Azerbaïdjan avaient réussi à trouver un accord [dans un cas précédent]. Elle </w:t>
      </w:r>
      <w:r w:rsidR="00F57F91">
        <w:t xml:space="preserve">souhaitait </w:t>
      </w:r>
      <w:r>
        <w:t>savoir quel était le délai de report proposé, c.-à-d. était-ce jusqu</w:t>
      </w:r>
      <w:r w:rsidR="00346F1B">
        <w:t>’</w:t>
      </w:r>
      <w:r>
        <w:t xml:space="preserve">à la prochaine réunion du Comité ou la fin de la présente session, ou </w:t>
      </w:r>
      <w:r w:rsidR="00D05C10">
        <w:t xml:space="preserve">était-ce </w:t>
      </w:r>
      <w:r>
        <w:t>juste le temps nécessaire pour négocier avec les différentes part</w:t>
      </w:r>
      <w:r w:rsidR="00F57F91">
        <w:t xml:space="preserve">ies prenantes ? La délégation souhaitait </w:t>
      </w:r>
      <w:r>
        <w:t>que des é</w:t>
      </w:r>
      <w:r w:rsidR="00D05C10">
        <w:t>claircissements soient apportés ajoutant qu</w:t>
      </w:r>
      <w:r w:rsidR="00346F1B">
        <w:t>’</w:t>
      </w:r>
      <w:r w:rsidR="00D05C10">
        <w:t>il s</w:t>
      </w:r>
      <w:r w:rsidR="00346F1B">
        <w:t>’</w:t>
      </w:r>
      <w:r w:rsidR="00D05C10">
        <w:t>agissait là d</w:t>
      </w:r>
      <w:r w:rsidR="00346F1B">
        <w:t>’</w:t>
      </w:r>
      <w:r w:rsidR="00D05C10">
        <w:t>un point important car il était normal de négocier des accords dans le cadre d</w:t>
      </w:r>
      <w:r w:rsidR="00346F1B">
        <w:t>’</w:t>
      </w:r>
      <w:r w:rsidR="00D05C10">
        <w:t>une même session du</w:t>
      </w:r>
      <w:r w:rsidR="007826AF">
        <w:t xml:space="preserve"> Comité.</w:t>
      </w:r>
    </w:p>
    <w:p w14:paraId="0B4A5C11" w14:textId="2247BBDE" w:rsidR="00D05C10" w:rsidRDefault="003A6355" w:rsidP="007826AF">
      <w:pPr>
        <w:pStyle w:val="Orateurengris"/>
        <w:spacing w:before="120"/>
        <w:ind w:left="709" w:hanging="709"/>
      </w:pPr>
      <w:r>
        <w:t>Le</w:t>
      </w:r>
      <w:r w:rsidR="00D05C10">
        <w:t xml:space="preserve"> </w:t>
      </w:r>
      <w:r w:rsidR="00D05C10" w:rsidRPr="00D05C10">
        <w:rPr>
          <w:b/>
        </w:rPr>
        <w:t>Président</w:t>
      </w:r>
      <w:r w:rsidR="00D05C10">
        <w:t xml:space="preserve"> a précisé que le consensus devait être obtenu le jour même compte tenu du nombre de points à débatt</w:t>
      </w:r>
      <w:r w:rsidR="007826AF">
        <w:t>re lors de la présente session.</w:t>
      </w:r>
    </w:p>
    <w:p w14:paraId="7D627BF7" w14:textId="3A48F1CD" w:rsidR="00D05C10" w:rsidRDefault="00D05C10" w:rsidP="007826AF">
      <w:pPr>
        <w:pStyle w:val="Orateurengris"/>
        <w:spacing w:before="120"/>
        <w:ind w:left="709" w:hanging="709"/>
      </w:pPr>
      <w:r>
        <w:t xml:space="preserve">La délégation de la </w:t>
      </w:r>
      <w:r w:rsidRPr="00D05C10">
        <w:rPr>
          <w:b/>
        </w:rPr>
        <w:t>Hongrie</w:t>
      </w:r>
      <w:r>
        <w:t xml:space="preserve"> a rappelé sa précédente intervention aux termes de laquelle elle souhaitait qu</w:t>
      </w:r>
      <w:r w:rsidR="00346F1B">
        <w:t>’</w:t>
      </w:r>
      <w:r>
        <w:t>une décision soit prise le jour même. Elle était toutefois disposée à ce que les discussions entre les États parties se déroulent à l</w:t>
      </w:r>
      <w:r w:rsidR="00346F1B">
        <w:t>’</w:t>
      </w:r>
      <w:r>
        <w:t>extérieur de la session, si c</w:t>
      </w:r>
      <w:r w:rsidR="00346F1B">
        <w:t>’</w:t>
      </w:r>
      <w:r>
        <w:t>était la volonté générale du Comité, pour autant que la décision soit prise le jour mê</w:t>
      </w:r>
      <w:r w:rsidR="007826AF">
        <w:t>me.</w:t>
      </w:r>
    </w:p>
    <w:p w14:paraId="7502E9C3" w14:textId="51114F17" w:rsidR="00D05C10" w:rsidRDefault="00D05C10" w:rsidP="007826AF">
      <w:pPr>
        <w:pStyle w:val="Orateurengris"/>
        <w:spacing w:before="120"/>
        <w:ind w:left="709" w:hanging="709"/>
      </w:pPr>
      <w:r>
        <w:t>La délégation de l</w:t>
      </w:r>
      <w:r w:rsidR="00346F1B">
        <w:t>’</w:t>
      </w:r>
      <w:r w:rsidRPr="00D05C10">
        <w:rPr>
          <w:b/>
        </w:rPr>
        <w:t>Inde</w:t>
      </w:r>
      <w:r>
        <w:t xml:space="preserve"> a réaffirmé qu</w:t>
      </w:r>
      <w:r w:rsidR="00346F1B">
        <w:t>’</w:t>
      </w:r>
      <w:r>
        <w:t xml:space="preserve">elle </w:t>
      </w:r>
      <w:r w:rsidR="00AF2339">
        <w:t>était favorable à un</w:t>
      </w:r>
      <w:r>
        <w:t xml:space="preserve"> dialogue entre les États concernés</w:t>
      </w:r>
      <w:r w:rsidR="00AF2339">
        <w:t>, sous réserve de l</w:t>
      </w:r>
      <w:r w:rsidR="00346F1B">
        <w:t>’</w:t>
      </w:r>
      <w:r w:rsidR="00AF2339">
        <w:t>accord des</w:t>
      </w:r>
      <w:r w:rsidR="007826AF">
        <w:t xml:space="preserve"> États souhaitant y participer.</w:t>
      </w:r>
    </w:p>
    <w:p w14:paraId="69887E85" w14:textId="2354C015" w:rsidR="00AF2339" w:rsidRDefault="00AF2339" w:rsidP="007826AF">
      <w:pPr>
        <w:pStyle w:val="Orateurengris"/>
        <w:spacing w:before="120"/>
        <w:ind w:left="709" w:hanging="709"/>
      </w:pPr>
      <w:r>
        <w:t xml:space="preserve">La délégation de </w:t>
      </w:r>
      <w:r w:rsidRPr="00AF2339">
        <w:rPr>
          <w:b/>
        </w:rPr>
        <w:t>Chypre</w:t>
      </w:r>
      <w:r>
        <w:t xml:space="preserve"> soutenait la position de l</w:t>
      </w:r>
      <w:r w:rsidR="00346F1B">
        <w:t>’</w:t>
      </w:r>
      <w:r>
        <w:t>Inde en faveur d</w:t>
      </w:r>
      <w:r w:rsidR="00346F1B">
        <w:t>’</w:t>
      </w:r>
      <w:r>
        <w:t>un dialogue entre les États parties.</w:t>
      </w:r>
    </w:p>
    <w:p w14:paraId="01CD4BDB" w14:textId="535A773F" w:rsidR="00AF2339" w:rsidRDefault="00AF2339" w:rsidP="007826AF">
      <w:pPr>
        <w:pStyle w:val="Orateurengris"/>
        <w:spacing w:before="120"/>
        <w:ind w:left="709" w:hanging="709"/>
      </w:pPr>
      <w:r>
        <w:t xml:space="preserve">La délégation de la </w:t>
      </w:r>
      <w:r w:rsidRPr="00AF2339">
        <w:rPr>
          <w:b/>
        </w:rPr>
        <w:t>Côte d</w:t>
      </w:r>
      <w:r w:rsidR="00346F1B">
        <w:rPr>
          <w:b/>
        </w:rPr>
        <w:t>’</w:t>
      </w:r>
      <w:r w:rsidRPr="00AF2339">
        <w:rPr>
          <w:b/>
        </w:rPr>
        <w:t>Ivoire</w:t>
      </w:r>
      <w:r>
        <w:t xml:space="preserve"> a apporté son soutien aux remarques de l</w:t>
      </w:r>
      <w:r w:rsidR="00346F1B">
        <w:t>’</w:t>
      </w:r>
      <w:r>
        <w:t>Inde et de Chypre, ajoutant que dans un esprit de consensus et dans l</w:t>
      </w:r>
      <w:r w:rsidR="00346F1B">
        <w:t>’</w:t>
      </w:r>
      <w:r>
        <w:t>esprit même de la Convention, les États parties devraient avoir la possibilité de se consulter.</w:t>
      </w:r>
    </w:p>
    <w:p w14:paraId="10009614" w14:textId="44BB9247" w:rsidR="00AF2339" w:rsidRDefault="00AF2339" w:rsidP="007826AF">
      <w:pPr>
        <w:pStyle w:val="Orateurengris"/>
        <w:spacing w:before="120"/>
        <w:ind w:left="709" w:hanging="709"/>
      </w:pPr>
      <w:r>
        <w:t>La délégation de l</w:t>
      </w:r>
      <w:r w:rsidR="00346F1B">
        <w:t>’</w:t>
      </w:r>
      <w:r w:rsidRPr="00AF2339">
        <w:rPr>
          <w:b/>
        </w:rPr>
        <w:t>Autriche</w:t>
      </w:r>
      <w:r>
        <w:t xml:space="preserve"> a également apporté son soutien </w:t>
      </w:r>
      <w:r w:rsidR="00154F5D">
        <w:t xml:space="preserve">à la </w:t>
      </w:r>
      <w:r>
        <w:t>proposition de l</w:t>
      </w:r>
      <w:r w:rsidR="00346F1B">
        <w:t>’</w:t>
      </w:r>
      <w:r w:rsidR="007826AF">
        <w:t>Inde.</w:t>
      </w:r>
    </w:p>
    <w:p w14:paraId="566F87FD" w14:textId="641D4E87" w:rsidR="00154F5D" w:rsidRDefault="00154F5D" w:rsidP="007826AF">
      <w:pPr>
        <w:pStyle w:val="Orateurengris"/>
        <w:spacing w:before="120"/>
        <w:ind w:left="709" w:hanging="709"/>
      </w:pPr>
      <w:r>
        <w:t xml:space="preserve">La délégation de la </w:t>
      </w:r>
      <w:r w:rsidRPr="00154F5D">
        <w:rPr>
          <w:b/>
        </w:rPr>
        <w:t>République de Corée</w:t>
      </w:r>
      <w:r>
        <w:t xml:space="preserve"> soutenait la proposition. Elle a toutefois rappelé le Comité à ses obligations envers les responsables des communautés, comme le Gouverneur de Jeju qui était venu spécialement ce jour pour participer à la discussion sur le dossier de candidature qui le concernait. La délégation a donc demandé que les discussions sur le dossier de déroulent une fois tous les dossiers de candidature examinés, </w:t>
      </w:r>
      <w:r w:rsidR="007826AF">
        <w:t>ce qui signifiait le lendemain.</w:t>
      </w:r>
    </w:p>
    <w:p w14:paraId="0CA07A4F" w14:textId="4B504FBA" w:rsidR="00154F5D" w:rsidRPr="00154F5D" w:rsidRDefault="0007230D" w:rsidP="007826AF">
      <w:pPr>
        <w:pStyle w:val="Orateurengris"/>
        <w:spacing w:before="120"/>
        <w:ind w:left="709" w:hanging="709"/>
      </w:pPr>
      <w:r>
        <w:t>Le</w:t>
      </w:r>
      <w:r w:rsidR="00154F5D">
        <w:t xml:space="preserve"> </w:t>
      </w:r>
      <w:r w:rsidR="00154F5D" w:rsidRPr="00154F5D">
        <w:rPr>
          <w:b/>
        </w:rPr>
        <w:t>Président</w:t>
      </w:r>
      <w:r w:rsidR="00154F5D">
        <w:t xml:space="preserve"> a donc proposé de retarder </w:t>
      </w:r>
      <w:r>
        <w:t>l</w:t>
      </w:r>
      <w:r w:rsidR="00346F1B">
        <w:t>’</w:t>
      </w:r>
      <w:r>
        <w:t xml:space="preserve">examen de </w:t>
      </w:r>
      <w:r w:rsidR="007826AF">
        <w:t>ce point.</w:t>
      </w:r>
    </w:p>
    <w:p w14:paraId="5B85BEE3" w14:textId="77446E36" w:rsidR="00154F5D" w:rsidRPr="00154F5D" w:rsidRDefault="00154F5D" w:rsidP="007826AF">
      <w:pPr>
        <w:pStyle w:val="Orateurengris"/>
        <w:spacing w:before="120"/>
        <w:ind w:left="709" w:hanging="709"/>
      </w:pPr>
      <w:r>
        <w:t xml:space="preserve">La délégation du </w:t>
      </w:r>
      <w:r w:rsidRPr="00154F5D">
        <w:rPr>
          <w:b/>
        </w:rPr>
        <w:t>Congo</w:t>
      </w:r>
      <w:r w:rsidR="00F57F91">
        <w:t xml:space="preserve"> soutenait </w:t>
      </w:r>
      <w:r>
        <w:t>la suggestion de l</w:t>
      </w:r>
      <w:r w:rsidR="00346F1B">
        <w:t>’</w:t>
      </w:r>
      <w:r>
        <w:t xml:space="preserve">Inde selon laquelle les États concernés pourraient parvenir à un accord et </w:t>
      </w:r>
      <w:r w:rsidR="00B36D77">
        <w:t>examiner la question</w:t>
      </w:r>
      <w:r w:rsidR="007826AF">
        <w:t xml:space="preserve"> le jour même.</w:t>
      </w:r>
    </w:p>
    <w:p w14:paraId="775F7433" w14:textId="341B9AB2" w:rsidR="00B36D77" w:rsidRPr="00B36D77" w:rsidRDefault="00B36D77" w:rsidP="007826AF">
      <w:pPr>
        <w:pStyle w:val="Orateurengris"/>
        <w:spacing w:before="120"/>
        <w:ind w:left="709" w:hanging="709"/>
      </w:pPr>
      <w:r>
        <w:t>La délégation de l</w:t>
      </w:r>
      <w:r w:rsidR="00346F1B">
        <w:t>’</w:t>
      </w:r>
      <w:r w:rsidRPr="00B36D77">
        <w:rPr>
          <w:b/>
        </w:rPr>
        <w:t>Afghanistan</w:t>
      </w:r>
      <w:r>
        <w:t xml:space="preserve"> n</w:t>
      </w:r>
      <w:r w:rsidR="00346F1B">
        <w:t>’</w:t>
      </w:r>
      <w:r>
        <w:t>avait pas d</w:t>
      </w:r>
      <w:r w:rsidR="00346F1B">
        <w:t>’</w:t>
      </w:r>
      <w:r>
        <w:t>objection à retarder l</w:t>
      </w:r>
      <w:r w:rsidR="00346F1B">
        <w:t>’</w:t>
      </w:r>
      <w:r>
        <w:t>adoption de la décision jusqu</w:t>
      </w:r>
      <w:r w:rsidR="00346F1B">
        <w:t>’</w:t>
      </w:r>
      <w:r>
        <w:t>à plus tard dans la journée, il était en effet préférable que la décis</w:t>
      </w:r>
      <w:r w:rsidR="00365A02">
        <w:t>ion soit le fruit du consensus.</w:t>
      </w:r>
    </w:p>
    <w:p w14:paraId="56933C7B" w14:textId="3029C2E5" w:rsidR="00B36D77" w:rsidRPr="00B36D77" w:rsidRDefault="00B36D77" w:rsidP="007826AF">
      <w:pPr>
        <w:pStyle w:val="Orateurengris"/>
        <w:spacing w:before="120"/>
        <w:ind w:left="709" w:hanging="709"/>
      </w:pPr>
      <w:r>
        <w:t xml:space="preserve">La délégation de </w:t>
      </w:r>
      <w:r>
        <w:rPr>
          <w:b/>
        </w:rPr>
        <w:t>Sainte-</w:t>
      </w:r>
      <w:r w:rsidRPr="00B36D77">
        <w:rPr>
          <w:b/>
        </w:rPr>
        <w:t>Lucie</w:t>
      </w:r>
      <w:r>
        <w:t xml:space="preserve"> a demandé si les parties concernées s</w:t>
      </w:r>
      <w:r w:rsidR="00346F1B">
        <w:t>’</w:t>
      </w:r>
      <w:r>
        <w:t xml:space="preserve">exprimeraient </w:t>
      </w:r>
      <w:r w:rsidR="007826AF">
        <w:t>si on leur en donnait le temps.</w:t>
      </w:r>
    </w:p>
    <w:p w14:paraId="3DAF8C2F" w14:textId="5B90B85E" w:rsidR="00B36D77" w:rsidRPr="00B36D77" w:rsidRDefault="003A6355" w:rsidP="007826AF">
      <w:pPr>
        <w:pStyle w:val="Orateurengris"/>
        <w:spacing w:before="120"/>
        <w:ind w:left="709" w:hanging="709"/>
      </w:pPr>
      <w:r>
        <w:t>Le</w:t>
      </w:r>
      <w:r w:rsidR="00B36D77">
        <w:t xml:space="preserve"> </w:t>
      </w:r>
      <w:r w:rsidR="00B36D77" w:rsidRPr="00B36D77">
        <w:rPr>
          <w:b/>
        </w:rPr>
        <w:t>Président</w:t>
      </w:r>
      <w:r w:rsidR="00B36D77">
        <w:t xml:space="preserve"> a répondu que c</w:t>
      </w:r>
      <w:r w:rsidR="00346F1B">
        <w:t>’</w:t>
      </w:r>
      <w:r w:rsidR="00B36D77">
        <w:t>était l</w:t>
      </w:r>
      <w:r w:rsidR="00346F1B">
        <w:t>’</w:t>
      </w:r>
      <w:r w:rsidR="00B36D77">
        <w:t>hypothèse de base pour une demande de report, et a encouragé les États parties conce</w:t>
      </w:r>
      <w:r w:rsidR="007826AF">
        <w:t>rnés à se consulter plus avant.</w:t>
      </w:r>
    </w:p>
    <w:p w14:paraId="5AE46433" w14:textId="7CEC43D7" w:rsidR="00B36D77" w:rsidRPr="00B36D77" w:rsidRDefault="00B36D77" w:rsidP="007826AF">
      <w:pPr>
        <w:pStyle w:val="Orateurengris"/>
        <w:spacing w:before="120"/>
        <w:ind w:left="709" w:hanging="709"/>
      </w:pPr>
      <w:r>
        <w:t xml:space="preserve">La délégation de </w:t>
      </w:r>
      <w:r w:rsidRPr="009845C1">
        <w:rPr>
          <w:b/>
        </w:rPr>
        <w:t>Maurice</w:t>
      </w:r>
      <w:r>
        <w:t xml:space="preserve"> é</w:t>
      </w:r>
      <w:r w:rsidR="00F57F91">
        <w:t>tait favorable au dialogue et espérait</w:t>
      </w:r>
      <w:r>
        <w:t xml:space="preserve"> que ce point </w:t>
      </w:r>
      <w:r w:rsidR="00F57F91">
        <w:t>pourrait</w:t>
      </w:r>
      <w:r>
        <w:t xml:space="preserve"> ê</w:t>
      </w:r>
      <w:r w:rsidR="009845C1">
        <w:t>tre traité plus tard au terme d</w:t>
      </w:r>
      <w:r w:rsidR="00346F1B">
        <w:t>’</w:t>
      </w:r>
      <w:r>
        <w:t xml:space="preserve">un dialogue entre </w:t>
      </w:r>
      <w:r w:rsidR="007826AF">
        <w:t>tous les organes concernés.</w:t>
      </w:r>
    </w:p>
    <w:p w14:paraId="4C502C2E" w14:textId="1631B7D7" w:rsidR="009845C1" w:rsidRPr="009845C1" w:rsidRDefault="009845C1" w:rsidP="007826AF">
      <w:pPr>
        <w:pStyle w:val="Orateurengris"/>
        <w:spacing w:before="120"/>
        <w:ind w:left="709" w:hanging="709"/>
      </w:pPr>
      <w:r>
        <w:t xml:space="preserve">La délégation des </w:t>
      </w:r>
      <w:r w:rsidRPr="009845C1">
        <w:rPr>
          <w:b/>
        </w:rPr>
        <w:t>Philippines</w:t>
      </w:r>
      <w:r>
        <w:t xml:space="preserve"> soutenait la proposition de l</w:t>
      </w:r>
      <w:r w:rsidR="00346F1B">
        <w:t>’</w:t>
      </w:r>
      <w:r>
        <w:t>Inde d</w:t>
      </w:r>
      <w:r w:rsidR="00346F1B">
        <w:t>’</w:t>
      </w:r>
      <w:r>
        <w:t xml:space="preserve">engager le dialogue le </w:t>
      </w:r>
      <w:r w:rsidR="003F5A08">
        <w:t>jour même.</w:t>
      </w:r>
    </w:p>
    <w:p w14:paraId="5174D7B9" w14:textId="554A65B2" w:rsidR="009845C1" w:rsidRPr="009845C1" w:rsidRDefault="009677CB" w:rsidP="003F5A08">
      <w:pPr>
        <w:pStyle w:val="Orateurengris"/>
        <w:spacing w:before="120"/>
        <w:ind w:left="709" w:hanging="709"/>
      </w:pPr>
      <w:r>
        <w:t>La délégation de l</w:t>
      </w:r>
      <w:r w:rsidR="00346F1B">
        <w:t>’</w:t>
      </w:r>
      <w:r w:rsidRPr="009677CB">
        <w:rPr>
          <w:b/>
        </w:rPr>
        <w:t>Algérie</w:t>
      </w:r>
      <w:r>
        <w:t xml:space="preserve"> était également favorable à une discussion au terme de laquelle on pourrait parvenir à un consensus. Elle a toutefois demandé au Président</w:t>
      </w:r>
      <w:r w:rsidR="00DA334F">
        <w:t xml:space="preserve"> d</w:t>
      </w:r>
      <w:r w:rsidR="00346F1B">
        <w:t>’</w:t>
      </w:r>
      <w:r w:rsidR="00DA334F">
        <w:t>apporter son aide afin de</w:t>
      </w:r>
      <w:r w:rsidR="00D53CBD">
        <w:t xml:space="preserve"> faciliter la prise de décisions </w:t>
      </w:r>
      <w:r w:rsidR="00DA334F">
        <w:t xml:space="preserve">par </w:t>
      </w:r>
      <w:r>
        <w:t>les États conce</w:t>
      </w:r>
      <w:r w:rsidR="003F5A08">
        <w:t>rnés.</w:t>
      </w:r>
    </w:p>
    <w:p w14:paraId="4FDCBF27" w14:textId="6C303A8D" w:rsidR="00DA334F" w:rsidRPr="00DA334F" w:rsidRDefault="00DA334F" w:rsidP="003F5A08">
      <w:pPr>
        <w:pStyle w:val="Orateurengris"/>
        <w:spacing w:before="120"/>
        <w:ind w:left="709" w:hanging="709"/>
      </w:pPr>
      <w:r>
        <w:t>La délégation de l</w:t>
      </w:r>
      <w:r w:rsidR="00346F1B">
        <w:t>’</w:t>
      </w:r>
      <w:r w:rsidRPr="00DA334F">
        <w:rPr>
          <w:b/>
        </w:rPr>
        <w:t>Éthiopie</w:t>
      </w:r>
      <w:r w:rsidR="00F57F91">
        <w:t xml:space="preserve"> souhaitait</w:t>
      </w:r>
      <w:r>
        <w:t xml:space="preserve"> entendre le point de </w:t>
      </w:r>
      <w:r w:rsidR="003F5A08">
        <w:t>vue de la Turquie sur le sujet.</w:t>
      </w:r>
    </w:p>
    <w:p w14:paraId="65A52E41" w14:textId="482C893B" w:rsidR="00DA334F" w:rsidRPr="00DA334F" w:rsidRDefault="00DA334F" w:rsidP="003F5A08">
      <w:pPr>
        <w:pStyle w:val="Orateurengris"/>
        <w:spacing w:before="120"/>
        <w:ind w:left="709" w:hanging="709"/>
      </w:pPr>
      <w:r>
        <w:t>En tant qu</w:t>
      </w:r>
      <w:r w:rsidR="00346F1B">
        <w:t>’</w:t>
      </w:r>
      <w:r>
        <w:t xml:space="preserve">un des États soumissionnaires du dossier, la délégation de la </w:t>
      </w:r>
      <w:r w:rsidRPr="00DA334F">
        <w:rPr>
          <w:b/>
        </w:rPr>
        <w:t>Turquie</w:t>
      </w:r>
      <w:r>
        <w:t xml:space="preserve"> a expliqué qu</w:t>
      </w:r>
      <w:r w:rsidR="00346F1B">
        <w:t>’</w:t>
      </w:r>
      <w:r>
        <w:t>elle avait été, depuis le début de la procédure, très ouverte au dialogue constructif facilité par le Secrétariat. La délégation poursuivrait dans cette même voie du dialogue, puisque c</w:t>
      </w:r>
      <w:r w:rsidR="00346F1B">
        <w:t>’</w:t>
      </w:r>
      <w:r>
        <w:t>était le souhait du Comité, a</w:t>
      </w:r>
      <w:r w:rsidR="003F5A08">
        <w:t>fin de parvenir à un consensus.</w:t>
      </w:r>
    </w:p>
    <w:p w14:paraId="73F10A2C" w14:textId="624D5990" w:rsidR="00DA334F" w:rsidRDefault="003A6355" w:rsidP="003F5A08">
      <w:pPr>
        <w:pStyle w:val="Orateurengris"/>
        <w:spacing w:before="120"/>
        <w:ind w:left="709" w:hanging="709"/>
      </w:pPr>
      <w:r>
        <w:t>Le</w:t>
      </w:r>
      <w:r w:rsidR="00DA334F">
        <w:t xml:space="preserve"> </w:t>
      </w:r>
      <w:r w:rsidR="00DA334F" w:rsidRPr="00DA334F">
        <w:rPr>
          <w:b/>
        </w:rPr>
        <w:t>Président</w:t>
      </w:r>
      <w:r w:rsidR="00DA334F">
        <w:t xml:space="preserve"> </w:t>
      </w:r>
      <w:r w:rsidR="00F57F91">
        <w:t>supposait</w:t>
      </w:r>
      <w:r w:rsidR="00206F69">
        <w:t xml:space="preserve"> </w:t>
      </w:r>
      <w:r w:rsidR="00DA334F">
        <w:t>que cet engagement en faveur d</w:t>
      </w:r>
      <w:r w:rsidR="00346F1B">
        <w:t>’</w:t>
      </w:r>
      <w:r w:rsidR="00DA334F">
        <w:t xml:space="preserve">un dialogue constructif se concrétiserait et que le Comité </w:t>
      </w:r>
      <w:r w:rsidR="00206F69">
        <w:t>reviendrait à l</w:t>
      </w:r>
      <w:r w:rsidR="00346F1B">
        <w:t>’</w:t>
      </w:r>
      <w:r w:rsidR="00206F69">
        <w:t xml:space="preserve">examen </w:t>
      </w:r>
      <w:r w:rsidR="00F57F91">
        <w:t>du dossier après le déjeuner. Le</w:t>
      </w:r>
      <w:r w:rsidR="00206F69">
        <w:t xml:space="preserve"> Président a observé que la République islamique d</w:t>
      </w:r>
      <w:r w:rsidR="00346F1B">
        <w:t>’</w:t>
      </w:r>
      <w:r w:rsidR="00206F69">
        <w:t>Iran demandait la parole mais, en l</w:t>
      </w:r>
      <w:r w:rsidR="00346F1B">
        <w:t>’</w:t>
      </w:r>
      <w:r w:rsidR="00206F69">
        <w:t>absence de question spécifique adressée à l</w:t>
      </w:r>
      <w:r w:rsidR="00346F1B">
        <w:t>’</w:t>
      </w:r>
      <w:r w:rsidR="00206F69">
        <w:t>Iran, il était d</w:t>
      </w:r>
      <w:r w:rsidR="00F57F91">
        <w:t>ans l</w:t>
      </w:r>
      <w:r w:rsidR="00346F1B">
        <w:t>’</w:t>
      </w:r>
      <w:r w:rsidR="00F57F91">
        <w:t>incapacité de satisfaire</w:t>
      </w:r>
      <w:r w:rsidR="00206F69">
        <w:t xml:space="preserve"> cet</w:t>
      </w:r>
      <w:r w:rsidR="003F5A08">
        <w:t>te demande.</w:t>
      </w:r>
    </w:p>
    <w:p w14:paraId="219BFE29" w14:textId="17294261" w:rsidR="00206F69" w:rsidRPr="00206F69" w:rsidRDefault="00206F69" w:rsidP="003F5A08">
      <w:pPr>
        <w:pStyle w:val="Orateurengris"/>
        <w:spacing w:before="120"/>
        <w:ind w:left="709" w:hanging="709"/>
      </w:pPr>
      <w:r>
        <w:t>La délégation de l</w:t>
      </w:r>
      <w:r w:rsidR="00346F1B">
        <w:t>’</w:t>
      </w:r>
      <w:r w:rsidRPr="00206F69">
        <w:rPr>
          <w:b/>
        </w:rPr>
        <w:t>Afghanistan</w:t>
      </w:r>
      <w:r>
        <w:t xml:space="preserve"> a exprimé le souhait que la République islamique d</w:t>
      </w:r>
      <w:r w:rsidR="00346F1B">
        <w:t>’</w:t>
      </w:r>
      <w:r>
        <w:t>Iran soit autorisée à prendre la parole.</w:t>
      </w:r>
    </w:p>
    <w:p w14:paraId="5A15B0E0" w14:textId="2FB3A9E6" w:rsidR="00206F69" w:rsidRPr="00206F69" w:rsidRDefault="00BA5021" w:rsidP="003F5A08">
      <w:pPr>
        <w:pStyle w:val="Orateurengris"/>
        <w:spacing w:before="120"/>
        <w:ind w:left="709" w:hanging="709"/>
      </w:pPr>
      <w:r>
        <w:t>Le</w:t>
      </w:r>
      <w:r w:rsidR="00206F69">
        <w:t xml:space="preserve"> </w:t>
      </w:r>
      <w:r w:rsidR="00206F69" w:rsidRPr="00206F69">
        <w:rPr>
          <w:b/>
        </w:rPr>
        <w:t>Président</w:t>
      </w:r>
      <w:r w:rsidR="00206F69">
        <w:t xml:space="preserve"> a rappelé que le Règlement intérieur stipulait qu</w:t>
      </w:r>
      <w:r w:rsidR="00346F1B">
        <w:t>’</w:t>
      </w:r>
      <w:r w:rsidR="00206F69">
        <w:t>une question spécifique devait être adressée à l</w:t>
      </w:r>
      <w:r w:rsidR="00346F1B">
        <w:t>’</w:t>
      </w:r>
      <w:r w:rsidR="00206F69">
        <w:t>État partie concerné. Le Président a demandé à l</w:t>
      </w:r>
      <w:r w:rsidR="00346F1B">
        <w:t>’</w:t>
      </w:r>
      <w:r w:rsidR="00206F69">
        <w:t>Afghanistan d</w:t>
      </w:r>
      <w:r w:rsidR="00346F1B">
        <w:t>’</w:t>
      </w:r>
      <w:r w:rsidR="00206F69">
        <w:t>êtr</w:t>
      </w:r>
      <w:r w:rsidR="003F5A08">
        <w:t>e plus précis dans sa question.</w:t>
      </w:r>
    </w:p>
    <w:p w14:paraId="5458B852" w14:textId="3252B42C" w:rsidR="00206F69" w:rsidRPr="00206F69" w:rsidRDefault="00206F69" w:rsidP="003F5A08">
      <w:pPr>
        <w:pStyle w:val="Orateurengris"/>
        <w:spacing w:before="120"/>
        <w:ind w:left="709" w:hanging="709"/>
      </w:pPr>
      <w:r>
        <w:t>La délégation de l</w:t>
      </w:r>
      <w:r w:rsidR="00346F1B">
        <w:t>’</w:t>
      </w:r>
      <w:r w:rsidRPr="00E045BF">
        <w:rPr>
          <w:b/>
        </w:rPr>
        <w:t>Afghanistan</w:t>
      </w:r>
      <w:r>
        <w:t xml:space="preserve"> n</w:t>
      </w:r>
      <w:r w:rsidR="00346F1B">
        <w:t>’</w:t>
      </w:r>
      <w:r>
        <w:t xml:space="preserve">était pas entrée dans </w:t>
      </w:r>
      <w:r w:rsidR="00E045BF">
        <w:t xml:space="preserve">les </w:t>
      </w:r>
      <w:r>
        <w:t>détails du dossier</w:t>
      </w:r>
      <w:r w:rsidR="00E045BF">
        <w:t>. Elle souhaitait savoir si la République islamique d</w:t>
      </w:r>
      <w:r w:rsidR="00346F1B">
        <w:t>’</w:t>
      </w:r>
      <w:r w:rsidR="00E045BF">
        <w:t>Iran avait quelque chose de particulier</w:t>
      </w:r>
      <w:r w:rsidR="003F5A08">
        <w:t xml:space="preserve"> à ajouter à ce stade du débat.</w:t>
      </w:r>
    </w:p>
    <w:p w14:paraId="4DE56CC2" w14:textId="3FF64BC2" w:rsidR="00E045BF" w:rsidRPr="00E045BF" w:rsidRDefault="00F57F91" w:rsidP="003F5A08">
      <w:pPr>
        <w:pStyle w:val="Orateurengris"/>
        <w:spacing w:before="120"/>
        <w:ind w:left="709" w:hanging="709"/>
      </w:pPr>
      <w:r>
        <w:t>Le</w:t>
      </w:r>
      <w:r w:rsidR="00E045BF">
        <w:t xml:space="preserve"> </w:t>
      </w:r>
      <w:r w:rsidR="00E045BF" w:rsidRPr="00E045BF">
        <w:rPr>
          <w:b/>
        </w:rPr>
        <w:t>Président</w:t>
      </w:r>
      <w:r w:rsidR="00E045BF">
        <w:t xml:space="preserve"> a demandé à l</w:t>
      </w:r>
      <w:r w:rsidR="00346F1B">
        <w:t>’</w:t>
      </w:r>
      <w:r w:rsidR="00E045BF">
        <w:t xml:space="preserve">Afghanistan si elle souscrivait au </w:t>
      </w:r>
      <w:r>
        <w:t xml:space="preserve">principe du </w:t>
      </w:r>
      <w:r w:rsidR="00E045BF">
        <w:t>report du point, ajoutant que toute discussion sur des points précis du dossier aurait lieu plus tard au cours de la journée. Il est ensuite passé à la candidature suiv</w:t>
      </w:r>
      <w:r w:rsidR="003F5A08">
        <w:t>ante soumise par le Bangladesh.</w:t>
      </w:r>
    </w:p>
    <w:p w14:paraId="05675BFB" w14:textId="62519F67" w:rsidR="00E045BF" w:rsidRPr="008B49C9" w:rsidRDefault="00BA5021" w:rsidP="003F5A08">
      <w:pPr>
        <w:pStyle w:val="Orateurengris"/>
        <w:spacing w:before="120"/>
        <w:ind w:left="709" w:hanging="709"/>
      </w:pPr>
      <w:r w:rsidRPr="00BA5021">
        <w:t xml:space="preserve">Le </w:t>
      </w:r>
      <w:r w:rsidR="00754EC3">
        <w:t>Vice-Président</w:t>
      </w:r>
      <w:r>
        <w:t xml:space="preserve"> est passé à la candidature suivante, </w:t>
      </w:r>
      <w:bookmarkStart w:id="20" w:name="Decision10b3"/>
      <w:r w:rsidRPr="008B49C9">
        <w:rPr>
          <w:b/>
        </w:rPr>
        <w:t xml:space="preserve">la Mangal Shobhajatra du Pahela Baikash </w:t>
      </w:r>
      <w:bookmarkEnd w:id="20"/>
      <w:r>
        <w:t xml:space="preserve">[projet de décision 11.COM 10.b.3], soumise par le Bangladesh. La Mangal </w:t>
      </w:r>
      <w:r w:rsidR="00F10CA2">
        <w:t xml:space="preserve">Shobhajatra était un événement </w:t>
      </w:r>
      <w:r>
        <w:t>festif ouv</w:t>
      </w:r>
      <w:r w:rsidR="008B49C9">
        <w:t>ert au public qui célébrait, chaque 14 avril, Pahe</w:t>
      </w:r>
      <w:r>
        <w:t>l</w:t>
      </w:r>
      <w:r w:rsidR="008B49C9">
        <w:t>a</w:t>
      </w:r>
      <w:r>
        <w:t xml:space="preserve"> B</w:t>
      </w:r>
      <w:r w:rsidR="00252BAC">
        <w:t>ais</w:t>
      </w:r>
      <w:r w:rsidR="00066E1B">
        <w:t>hakh (le jour du Nouvel An). L</w:t>
      </w:r>
      <w:r w:rsidR="00346F1B">
        <w:t>’</w:t>
      </w:r>
      <w:r w:rsidR="00066E1B">
        <w:t xml:space="preserve">événement était </w:t>
      </w:r>
      <w:r>
        <w:t>organisé par les étudiants et</w:t>
      </w:r>
      <w:r w:rsidR="00F10CA2">
        <w:t xml:space="preserve"> enseignants de la faculté des Beaux-A</w:t>
      </w:r>
      <w:r>
        <w:t>rts de l</w:t>
      </w:r>
      <w:r w:rsidR="00346F1B">
        <w:t>’</w:t>
      </w:r>
      <w:r>
        <w:t xml:space="preserve">université de </w:t>
      </w:r>
      <w:r w:rsidR="00F10CA2">
        <w:t>Dacca. La tradition remontait à 1989 lorsque les étudiants, frustrés de devoir suivre les règles militaires, avaient voulu apporter à la communauté l</w:t>
      </w:r>
      <w:r w:rsidR="00346F1B">
        <w:t>’</w:t>
      </w:r>
      <w:r w:rsidR="00F10CA2">
        <w:t>espoir d</w:t>
      </w:r>
      <w:r w:rsidR="00346F1B">
        <w:t>’</w:t>
      </w:r>
      <w:r w:rsidR="00F10CA2">
        <w:t>un avenir meilleur. À cette occasion, on réalisait des masques et des chars symbolisant la force et la paix et censés repousser le mal pour ouvrir la voie au progrès. Transmis par l</w:t>
      </w:r>
      <w:r w:rsidR="00346F1B">
        <w:t>’</w:t>
      </w:r>
      <w:r w:rsidR="00F10CA2">
        <w:t>école, l</w:t>
      </w:r>
      <w:r w:rsidR="00346F1B">
        <w:t>’</w:t>
      </w:r>
      <w:r w:rsidR="00F10CA2">
        <w:t>élément encourageait la solidarité et la démocratie. L</w:t>
      </w:r>
      <w:r w:rsidR="00346F1B">
        <w:t>’</w:t>
      </w:r>
      <w:r w:rsidR="00F10CA2">
        <w:t>Organe d</w:t>
      </w:r>
      <w:r w:rsidR="00346F1B">
        <w:t>’</w:t>
      </w:r>
      <w:r w:rsidR="00F10CA2">
        <w:t>évaluation avait été heureux d</w:t>
      </w:r>
      <w:r w:rsidR="00346F1B">
        <w:t>’</w:t>
      </w:r>
      <w:r w:rsidR="00F10CA2">
        <w:t>examiner la candidature</w:t>
      </w:r>
      <w:r w:rsidR="00227673">
        <w:t xml:space="preserve"> d</w:t>
      </w:r>
      <w:r w:rsidR="00346F1B">
        <w:t>’</w:t>
      </w:r>
      <w:r w:rsidR="00227673">
        <w:t>un élément du PCI dont l</w:t>
      </w:r>
      <w:r w:rsidR="00346F1B">
        <w:t>’</w:t>
      </w:r>
      <w:r w:rsidR="00227673">
        <w:t>histoire était relativement récente et qui avait été créé par des é</w:t>
      </w:r>
      <w:r w:rsidR="00066E1B">
        <w:t xml:space="preserve">tudiants et des enseignants </w:t>
      </w:r>
      <w:r w:rsidR="008B49C9">
        <w:t>de l</w:t>
      </w:r>
      <w:r w:rsidR="00346F1B">
        <w:t>’</w:t>
      </w:r>
      <w:r w:rsidR="008B49C9">
        <w:t>université</w:t>
      </w:r>
      <w:r w:rsidR="00066E1B">
        <w:t xml:space="preserve"> pleins d</w:t>
      </w:r>
      <w:r w:rsidR="00346F1B">
        <w:t>’</w:t>
      </w:r>
      <w:r w:rsidR="00066E1B">
        <w:t>enthousiasme</w:t>
      </w:r>
      <w:r w:rsidR="008B49C9">
        <w:t>. Après un examen attentif, l</w:t>
      </w:r>
      <w:r w:rsidR="00346F1B">
        <w:t>’</w:t>
      </w:r>
      <w:r w:rsidR="008B49C9">
        <w:t xml:space="preserve">Organe avait décidé que bien que la candidature satisfasse </w:t>
      </w:r>
      <w:r w:rsidR="00F57F91">
        <w:t xml:space="preserve">les </w:t>
      </w:r>
      <w:r w:rsidR="008B49C9">
        <w:t>critères R.1, R.2, R.3 et R.4, les informations communiquées dans le dossier n</w:t>
      </w:r>
      <w:r w:rsidR="00346F1B">
        <w:t>’</w:t>
      </w:r>
      <w:r w:rsidR="008B49C9">
        <w:t>étaient pas suffisantes pour permettre au Comité de déterminer si le critère R.5 était satisfait. Le dossier présentait un extrait de l</w:t>
      </w:r>
      <w:r w:rsidR="00346F1B">
        <w:t>’</w:t>
      </w:r>
      <w:r w:rsidR="008B49C9">
        <w:t>inventaire du PCI du Bangladesh, dressé par le ministère des Affaires culturelles. Toutefois, cet extrait apportait la preuve de l</w:t>
      </w:r>
      <w:r w:rsidR="00346F1B">
        <w:t>’</w:t>
      </w:r>
      <w:r w:rsidR="008B49C9">
        <w:t>inclusion</w:t>
      </w:r>
      <w:r w:rsidR="000A3269">
        <w:t>, en 2007,</w:t>
      </w:r>
      <w:r w:rsidR="008B49C9">
        <w:t xml:space="preserve"> de la fête du Pahela Baishakh dans son ensemble plutôt que de la Mangal Shobhajatra en particulier. L</w:t>
      </w:r>
      <w:r w:rsidR="00346F1B">
        <w:t>’</w:t>
      </w:r>
      <w:r w:rsidR="008B49C9">
        <w:t xml:space="preserve">État soumissionnaire ne démontrait </w:t>
      </w:r>
      <w:r w:rsidR="000A3269">
        <w:t xml:space="preserve">pas </w:t>
      </w:r>
      <w:r w:rsidR="008B49C9">
        <w:t>que l</w:t>
      </w:r>
      <w:r w:rsidR="00346F1B">
        <w:t>’</w:t>
      </w:r>
      <w:r w:rsidR="008B49C9">
        <w:t xml:space="preserve">inventaire avait été dressé avec la participation des communautés, groupes et individus concernés. En outre, des informations sur les mécanismes de mise à jour </w:t>
      </w:r>
      <w:r w:rsidR="008B49C9" w:rsidRPr="008B49C9">
        <w:t>faisaient défaut. L</w:t>
      </w:r>
      <w:r w:rsidR="00346F1B">
        <w:t>’</w:t>
      </w:r>
      <w:r w:rsidR="008B49C9" w:rsidRPr="008B49C9">
        <w:t>Organe d</w:t>
      </w:r>
      <w:r w:rsidR="00346F1B">
        <w:t>’</w:t>
      </w:r>
      <w:r w:rsidR="008B49C9" w:rsidRPr="008B49C9">
        <w:t>évaluation avait donc décidé de recommander le renvoi de la Mangal Shobhajatra du Pahela Baikash</w:t>
      </w:r>
      <w:r w:rsidR="008B49C9">
        <w:t xml:space="preserve"> à l</w:t>
      </w:r>
      <w:r w:rsidR="00346F1B">
        <w:t>’</w:t>
      </w:r>
      <w:r w:rsidR="008B49C9">
        <w:t>État soumissionnair</w:t>
      </w:r>
      <w:r w:rsidR="007B503E">
        <w:t>e pour complément d</w:t>
      </w:r>
      <w:r w:rsidR="00346F1B">
        <w:t>’</w:t>
      </w:r>
      <w:r w:rsidR="007B503E">
        <w:t>information</w:t>
      </w:r>
      <w:r w:rsidR="003F5A08">
        <w:t>.</w:t>
      </w:r>
    </w:p>
    <w:p w14:paraId="5B6DEB94" w14:textId="351FC4B9" w:rsidR="000A3269" w:rsidRPr="000A3269" w:rsidRDefault="000A3269" w:rsidP="003F5A08">
      <w:pPr>
        <w:pStyle w:val="Orateurengris"/>
        <w:spacing w:before="120"/>
        <w:ind w:left="709" w:hanging="709"/>
      </w:pPr>
      <w:r>
        <w:t xml:space="preserve">Le </w:t>
      </w:r>
      <w:r w:rsidRPr="000A3269">
        <w:rPr>
          <w:b/>
        </w:rPr>
        <w:t>Président</w:t>
      </w:r>
      <w:r>
        <w:t xml:space="preserve"> a remercié le </w:t>
      </w:r>
      <w:r w:rsidR="00754EC3">
        <w:t>Vice-Président</w:t>
      </w:r>
      <w:r>
        <w:t xml:space="preserve"> pour l</w:t>
      </w:r>
      <w:r w:rsidR="00346F1B">
        <w:t>’</w:t>
      </w:r>
      <w:r>
        <w:t>explication détaillée du dossier, et a pris note d</w:t>
      </w:r>
      <w:r w:rsidR="00346F1B">
        <w:t>’</w:t>
      </w:r>
      <w:r>
        <w:t>un amendement soumis par l</w:t>
      </w:r>
      <w:r w:rsidR="00346F1B">
        <w:t>’</w:t>
      </w:r>
      <w:r w:rsidR="003F5A08">
        <w:t>Inde.</w:t>
      </w:r>
    </w:p>
    <w:p w14:paraId="557E96A8" w14:textId="0EDF0433" w:rsidR="008001EC" w:rsidRPr="000A3269" w:rsidRDefault="00252BAC" w:rsidP="003F5A08">
      <w:pPr>
        <w:pStyle w:val="Orateurengris"/>
        <w:spacing w:before="120"/>
        <w:ind w:left="709" w:hanging="709"/>
      </w:pPr>
      <w:r>
        <w:t>La délégation de l</w:t>
      </w:r>
      <w:r w:rsidR="00346F1B">
        <w:t>’</w:t>
      </w:r>
      <w:r w:rsidRPr="00252BAC">
        <w:rPr>
          <w:b/>
        </w:rPr>
        <w:t>Inde</w:t>
      </w:r>
      <w:r>
        <w:t xml:space="preserve"> a félicité le Bangladesh </w:t>
      </w:r>
      <w:r w:rsidR="00066E1B">
        <w:t>d</w:t>
      </w:r>
      <w:r w:rsidR="00346F1B">
        <w:t>’</w:t>
      </w:r>
      <w:r w:rsidR="00066E1B">
        <w:t>avoir soumis cette candidature, ajoutant qu</w:t>
      </w:r>
      <w:r w:rsidR="00346F1B">
        <w:t>’</w:t>
      </w:r>
      <w:r w:rsidR="00066E1B">
        <w:t>elle avait trouvé des plus séduisan</w:t>
      </w:r>
      <w:r w:rsidR="00E85B4B">
        <w:t>tes la représentation que donnait</w:t>
      </w:r>
      <w:r w:rsidR="00066E1B">
        <w:t xml:space="preserve"> le festival de la solidarité et la démocratie, unissant les populations sans distinction de caste, de croyance, de religion, de genre ou d</w:t>
      </w:r>
      <w:r w:rsidR="00346F1B">
        <w:t>’</w:t>
      </w:r>
      <w:r w:rsidR="00066E1B">
        <w:t>âge</w:t>
      </w:r>
      <w:r w:rsidR="00BE15BB">
        <w:t>. Elle a par ailleurs souligné à quel point cela était pertinent dans le monde contemporain. Ell</w:t>
      </w:r>
      <w:r w:rsidR="00E85B4B">
        <w:t>e a rap</w:t>
      </w:r>
      <w:r w:rsidR="00F57F91">
        <w:t>pelé que l</w:t>
      </w:r>
      <w:r w:rsidR="00346F1B">
        <w:t>’</w:t>
      </w:r>
      <w:r w:rsidR="00F57F91">
        <w:t>élément satisfaisait</w:t>
      </w:r>
      <w:r w:rsidR="00BE15BB">
        <w:t xml:space="preserve"> quatre critères (R.1, R.2, R.3 et R.4) et qu</w:t>
      </w:r>
      <w:r w:rsidR="00346F1B">
        <w:t>’</w:t>
      </w:r>
      <w:r w:rsidR="00BE15BB">
        <w:t>il avait reçu un renvoi parce qu</w:t>
      </w:r>
      <w:r w:rsidR="00346F1B">
        <w:t>’</w:t>
      </w:r>
      <w:r w:rsidR="00BE15BB">
        <w:t xml:space="preserve">il </w:t>
      </w:r>
      <w:r w:rsidR="00E85B4B">
        <w:t xml:space="preserve">ne </w:t>
      </w:r>
      <w:r w:rsidR="00BE15BB">
        <w:t>satisfai</w:t>
      </w:r>
      <w:r w:rsidR="00E85B4B">
        <w:t>sai</w:t>
      </w:r>
      <w:r w:rsidR="00BE15BB">
        <w:t xml:space="preserve">t </w:t>
      </w:r>
      <w:r w:rsidR="00F57F91">
        <w:t>pas</w:t>
      </w:r>
      <w:r w:rsidR="00BE15BB">
        <w:t xml:space="preserve"> un seul critère, </w:t>
      </w:r>
      <w:r w:rsidR="00E85B4B">
        <w:t xml:space="preserve">le </w:t>
      </w:r>
      <w:r w:rsidR="00BE15BB">
        <w:t>R.5, concernant l</w:t>
      </w:r>
      <w:r w:rsidR="00346F1B">
        <w:t>’</w:t>
      </w:r>
      <w:r w:rsidR="00BE15BB">
        <w:t>inventaire. Après avoir étudié le dossier, la délégation estimait que l</w:t>
      </w:r>
      <w:r w:rsidR="00346F1B">
        <w:t>’</w:t>
      </w:r>
      <w:r w:rsidR="00BE15BB">
        <w:t>État avait fourni suffisamment d</w:t>
      </w:r>
      <w:r w:rsidR="00346F1B">
        <w:t>’</w:t>
      </w:r>
      <w:r w:rsidR="00BE15BB">
        <w:t>informations sur l</w:t>
      </w:r>
      <w:r w:rsidR="00346F1B">
        <w:t>’</w:t>
      </w:r>
      <w:r w:rsidR="00BE15BB">
        <w:t>inclusion de l</w:t>
      </w:r>
      <w:r w:rsidR="00346F1B">
        <w:t>’</w:t>
      </w:r>
      <w:r w:rsidR="00BE15BB">
        <w:t>élément dans l</w:t>
      </w:r>
      <w:r w:rsidR="00346F1B">
        <w:t>’</w:t>
      </w:r>
      <w:r w:rsidR="00BE15BB">
        <w:t>inventaire du PCI du Bangladesh, et avait annexé les pages correspondantes de l</w:t>
      </w:r>
      <w:r w:rsidR="00346F1B">
        <w:t>’</w:t>
      </w:r>
      <w:r w:rsidR="00BE15BB">
        <w:t>inventaire. À la lecture des différentes parties de l</w:t>
      </w:r>
      <w:r w:rsidR="00346F1B">
        <w:t>’</w:t>
      </w:r>
      <w:r w:rsidR="00BE15BB">
        <w:t>inventaire, il semblait évident que l</w:t>
      </w:r>
      <w:r w:rsidR="00346F1B">
        <w:t>’</w:t>
      </w:r>
      <w:r w:rsidR="00BE15BB">
        <w:t>inclusion de l</w:t>
      </w:r>
      <w:r w:rsidR="00346F1B">
        <w:t>’</w:t>
      </w:r>
      <w:r w:rsidR="00BE15BB">
        <w:t>élément dans l</w:t>
      </w:r>
      <w:r w:rsidR="00346F1B">
        <w:t>’</w:t>
      </w:r>
      <w:r w:rsidR="00BE15BB">
        <w:t>inventaire était le résultat d</w:t>
      </w:r>
      <w:r w:rsidR="00346F1B">
        <w:t>’</w:t>
      </w:r>
      <w:r w:rsidR="00BE15BB">
        <w:t xml:space="preserve">une </w:t>
      </w:r>
      <w:r w:rsidR="00E85B4B">
        <w:t xml:space="preserve">étude </w:t>
      </w:r>
      <w:r w:rsidR="00BE15BB">
        <w:t xml:space="preserve">culturelle minutieuse réalisée au moyen de visites sur le terrain et avec </w:t>
      </w:r>
      <w:r w:rsidR="00F57F91">
        <w:t xml:space="preserve">la participation des détenteurs </w:t>
      </w:r>
      <w:r w:rsidR="00BE15BB">
        <w:t xml:space="preserve">et des praticiens. Il apparaissait également clairement que </w:t>
      </w:r>
      <w:r w:rsidR="00E85B4B">
        <w:t xml:space="preserve">le </w:t>
      </w:r>
      <w:r w:rsidR="00BE15BB">
        <w:t>ministère des Affaires culturelles était l</w:t>
      </w:r>
      <w:r w:rsidR="00346F1B">
        <w:t>’</w:t>
      </w:r>
      <w:r w:rsidR="00BE15BB">
        <w:t>organe responsable de son administration et de sa mise à jour qui, et c</w:t>
      </w:r>
      <w:r w:rsidR="00346F1B">
        <w:t>’</w:t>
      </w:r>
      <w:r w:rsidR="00BE15BB">
        <w:t>était un point important, avai</w:t>
      </w:r>
      <w:r w:rsidR="008001EC">
        <w:t>t été réalisée avec le consentement explicite des détenteurs et praticiens. La délégation a rappelé que la Convention stipulait que « chaque État partie dresse, de façon adaptée à sa situation, un ou plusieurs inventaires du patrimoine culturel immatériel présent sur son territoire ». Le Comité ne pouvait évidemment pas attendre des inventaires de tous les États parties</w:t>
      </w:r>
      <w:r w:rsidR="00E85B4B">
        <w:t xml:space="preserve"> qu</w:t>
      </w:r>
      <w:r w:rsidR="00346F1B">
        <w:t>’</w:t>
      </w:r>
      <w:r w:rsidR="00E85B4B">
        <w:t>ils soient tous</w:t>
      </w:r>
      <w:r w:rsidR="008001EC">
        <w:t xml:space="preserve"> </w:t>
      </w:r>
      <w:r w:rsidR="00276E5A">
        <w:t>identiques afin de satisfaire le</w:t>
      </w:r>
      <w:r w:rsidR="008001EC">
        <w:t xml:space="preserve"> critère R.5. La délégation était donc d</w:t>
      </w:r>
      <w:r w:rsidR="00346F1B">
        <w:t>’</w:t>
      </w:r>
      <w:r w:rsidR="008001EC">
        <w:t>avis que l</w:t>
      </w:r>
      <w:r w:rsidR="00346F1B">
        <w:t>’</w:t>
      </w:r>
      <w:r w:rsidR="008001EC">
        <w:t>élément avait sa</w:t>
      </w:r>
      <w:r w:rsidR="00276E5A">
        <w:t>tisfait le</w:t>
      </w:r>
      <w:r w:rsidR="008001EC">
        <w:t xml:space="preserve"> critère R.5 et elle</w:t>
      </w:r>
      <w:r w:rsidR="00276E5A">
        <w:t xml:space="preserve"> recommandait</w:t>
      </w:r>
      <w:r w:rsidR="008001EC">
        <w:t>, par conséquent, son inscriptio</w:t>
      </w:r>
      <w:r w:rsidR="00276E5A">
        <w:t>n. À cette fin, la délégation proposait</w:t>
      </w:r>
      <w:r w:rsidR="008001EC">
        <w:t xml:space="preserve"> de supprimer tout le paragraphe 3 et de placer le texte suivant sur le critère R.5 à la fin du paragraphe 2</w:t>
      </w:r>
      <w:r w:rsidR="00E85B4B">
        <w:t xml:space="preserve"> </w:t>
      </w:r>
      <w:r w:rsidR="008001EC">
        <w:t>: « L</w:t>
      </w:r>
      <w:r w:rsidR="00346F1B">
        <w:t>’</w:t>
      </w:r>
      <w:r w:rsidR="008001EC">
        <w:t xml:space="preserve">élément a été inclus en 2007 dans une étude sur le patrimoine culturel matériel et immatériel de Bangladesh </w:t>
      </w:r>
      <w:r w:rsidR="00E85B4B">
        <w:t xml:space="preserve">préparée par la Société asiatique du Bangladesh </w:t>
      </w:r>
      <w:r w:rsidR="008001EC">
        <w:t>pour le ministère des Affaires culturelles</w:t>
      </w:r>
      <w:r w:rsidR="00E85B4B">
        <w:t>, comme faisant partie de la célébration du Pahela Baishakh. Cette étude est considérée comme l</w:t>
      </w:r>
      <w:r w:rsidR="00346F1B">
        <w:t>’</w:t>
      </w:r>
      <w:r w:rsidR="00E85B4B">
        <w:t>inventaire du patrimoine culturel immatériel du Bangladesh. Il est tenu est mis à jour par le ministère des Affaires culturelles du Bangladesh. ». Il conviendrait également d</w:t>
      </w:r>
      <w:r w:rsidR="00346F1B">
        <w:t>’</w:t>
      </w:r>
      <w:r w:rsidR="00E85B4B">
        <w:t xml:space="preserve">insérer un nouveau paragraphe 3 ainsi rédigé : « Inscrit </w:t>
      </w:r>
      <w:r w:rsidR="00E85B4B" w:rsidRPr="008B49C9">
        <w:t>la Mangal Shobhajatra du Pahela Baikash</w:t>
      </w:r>
      <w:r w:rsidR="00E85B4B">
        <w:t xml:space="preserve"> sur la Liste représentative du patrimoine culturel immatériel de l</w:t>
      </w:r>
      <w:r w:rsidR="00346F1B">
        <w:t>’</w:t>
      </w:r>
      <w:r w:rsidR="00E85B4B">
        <w:t>humanité. ». Les deux derniers paragraphes ser</w:t>
      </w:r>
      <w:r w:rsidR="003F5A08">
        <w:t>aient entièrement supprimés.</w:t>
      </w:r>
    </w:p>
    <w:p w14:paraId="250B0024" w14:textId="38F0A043" w:rsidR="00D93CC2" w:rsidRDefault="00D93CC2" w:rsidP="003F5A08">
      <w:pPr>
        <w:pStyle w:val="Orateurengris"/>
        <w:spacing w:before="120"/>
        <w:ind w:left="709" w:hanging="709"/>
      </w:pPr>
      <w:r>
        <w:t xml:space="preserve">Le </w:t>
      </w:r>
      <w:r w:rsidRPr="00D93CC2">
        <w:rPr>
          <w:b/>
        </w:rPr>
        <w:t>Président</w:t>
      </w:r>
      <w:r>
        <w:t xml:space="preserve"> a remercié l</w:t>
      </w:r>
      <w:r w:rsidR="00346F1B">
        <w:t>’</w:t>
      </w:r>
      <w:r>
        <w:t>Inde, ajoutant qu</w:t>
      </w:r>
      <w:r w:rsidR="00346F1B">
        <w:t>’</w:t>
      </w:r>
      <w:r>
        <w:t>il reviendrait vers la délégation pour les détails de l</w:t>
      </w:r>
      <w:r w:rsidR="00346F1B">
        <w:t>’</w:t>
      </w:r>
      <w:r>
        <w:t>amendement suite au débat général.</w:t>
      </w:r>
    </w:p>
    <w:p w14:paraId="29C66C56" w14:textId="29B1AD6A" w:rsidR="00D93CC2" w:rsidRPr="00D93CC2" w:rsidRDefault="00D93CC2" w:rsidP="003F5A08">
      <w:pPr>
        <w:pStyle w:val="Orateurengris"/>
        <w:spacing w:before="120"/>
        <w:ind w:left="709" w:hanging="709"/>
      </w:pPr>
      <w:r>
        <w:t xml:space="preserve">La délégation de la </w:t>
      </w:r>
      <w:r w:rsidRPr="00D93CC2">
        <w:rPr>
          <w:b/>
        </w:rPr>
        <w:t>Zambie</w:t>
      </w:r>
      <w:r>
        <w:t xml:space="preserve"> soutenait la proposition de l</w:t>
      </w:r>
      <w:r w:rsidR="00346F1B">
        <w:t>’</w:t>
      </w:r>
      <w:r>
        <w:t>Inde d</w:t>
      </w:r>
      <w:r w:rsidR="00346F1B">
        <w:t>’</w:t>
      </w:r>
      <w:r>
        <w:t>inscrire l</w:t>
      </w:r>
      <w:r w:rsidR="00346F1B">
        <w:t>’</w:t>
      </w:r>
      <w:r>
        <w:t>élément, ajoutant qu</w:t>
      </w:r>
      <w:r w:rsidR="00346F1B">
        <w:t>’</w:t>
      </w:r>
      <w:r>
        <w:t>il avait été précisé par la délégation que le critère R.5 faisant référence à l</w:t>
      </w:r>
      <w:r w:rsidR="00346F1B">
        <w:t>’</w:t>
      </w:r>
      <w:r>
        <w:t>article 12 de la Convention qui stipulait que l</w:t>
      </w:r>
      <w:r w:rsidR="00346F1B">
        <w:t>’</w:t>
      </w:r>
      <w:r>
        <w:t>inventaire pouvait être adapté aux dispositions partic</w:t>
      </w:r>
      <w:r w:rsidR="003F5A08">
        <w:t>ulières prises par chaque pays.</w:t>
      </w:r>
    </w:p>
    <w:p w14:paraId="2BF9BBD9" w14:textId="33C93339" w:rsidR="00D93CC2" w:rsidRPr="00D93CC2" w:rsidRDefault="00D93CC2" w:rsidP="003F5A08">
      <w:pPr>
        <w:pStyle w:val="Orateurengris"/>
        <w:spacing w:before="120"/>
        <w:ind w:left="709" w:hanging="709"/>
      </w:pPr>
      <w:r>
        <w:t xml:space="preserve">La délégation de </w:t>
      </w:r>
      <w:r w:rsidRPr="00D93CC2">
        <w:rPr>
          <w:b/>
        </w:rPr>
        <w:t>Maurice</w:t>
      </w:r>
      <w:r>
        <w:t xml:space="preserve"> a félicité le Bangladesh, et a souligné qu</w:t>
      </w:r>
      <w:r w:rsidR="00346F1B">
        <w:t>’</w:t>
      </w:r>
      <w:r>
        <w:t>il était clairement mentionné dans le dossier que l</w:t>
      </w:r>
      <w:r w:rsidR="00346F1B">
        <w:t>’</w:t>
      </w:r>
      <w:r>
        <w:t>inscription de l</w:t>
      </w:r>
      <w:r w:rsidR="00346F1B">
        <w:t>’</w:t>
      </w:r>
      <w:r>
        <w:t>élément à l</w:t>
      </w:r>
      <w:r w:rsidR="00346F1B">
        <w:t>’</w:t>
      </w:r>
      <w:r>
        <w:t>inventaire reposa</w:t>
      </w:r>
      <w:r w:rsidR="00C56EED">
        <w:t>it sur le consentement explicite</w:t>
      </w:r>
      <w:r>
        <w:t xml:space="preserve"> de</w:t>
      </w:r>
      <w:r w:rsidR="003F5A08">
        <w:t>s détenteurs et des praticiens.</w:t>
      </w:r>
    </w:p>
    <w:p w14:paraId="1E53CB10" w14:textId="6ED22DF9" w:rsidR="00AB37E4" w:rsidRDefault="00B23F63" w:rsidP="003F5A08">
      <w:pPr>
        <w:pStyle w:val="Orateurengris"/>
        <w:spacing w:before="120"/>
        <w:ind w:left="709" w:hanging="709"/>
      </w:pPr>
      <w:r>
        <w:t xml:space="preserve">La délégation de la </w:t>
      </w:r>
      <w:r w:rsidRPr="00B23F63">
        <w:rPr>
          <w:b/>
        </w:rPr>
        <w:t>Turquie</w:t>
      </w:r>
      <w:r>
        <w:t xml:space="preserve"> a également félicité le Bangladesh en faisant remarquer que l</w:t>
      </w:r>
      <w:r w:rsidR="00346F1B">
        <w:t>’</w:t>
      </w:r>
      <w:r>
        <w:t>élément contribuait à la solidarité et à l</w:t>
      </w:r>
      <w:r w:rsidR="00346F1B">
        <w:t>’</w:t>
      </w:r>
      <w:r>
        <w:t xml:space="preserve">identité culturelle de sa communauté. </w:t>
      </w:r>
      <w:r w:rsidR="00261F34">
        <w:t xml:space="preserve">Le dossier décrivait </w:t>
      </w:r>
      <w:r>
        <w:t xml:space="preserve">clairement la façon dont </w:t>
      </w:r>
      <w:r w:rsidR="00261F34">
        <w:t>l</w:t>
      </w:r>
      <w:r w:rsidR="00346F1B">
        <w:t>’</w:t>
      </w:r>
      <w:r w:rsidR="00261F34">
        <w:t>élément donnait de la visibilité au PCI tout en renforçant la sensibilisation à ce patrimoine. Le dossier faisait également référence à une approche ascendante des mesures de sauvegarde proposées. S</w:t>
      </w:r>
      <w:r w:rsidR="00346F1B">
        <w:t>’</w:t>
      </w:r>
      <w:r w:rsidR="00261F34">
        <w:t>agissant du cri</w:t>
      </w:r>
      <w:r w:rsidR="00450503">
        <w:t>tère R.5, la délégation estimait</w:t>
      </w:r>
      <w:r w:rsidR="00261F34">
        <w:t xml:space="preserve"> que la Convention autorisait une certaine flexibilité dans la préparation des inventaires nationaux, selon les circonstances propres à chaque pays. En outre, la délégation n</w:t>
      </w:r>
      <w:r w:rsidR="00346F1B">
        <w:t>’</w:t>
      </w:r>
      <w:r w:rsidR="00261F34">
        <w:t>était pas favorable à ce qu</w:t>
      </w:r>
      <w:r w:rsidR="00346F1B">
        <w:t>’</w:t>
      </w:r>
      <w:r w:rsidR="00261F34">
        <w:t>une trop grande rigidité s</w:t>
      </w:r>
      <w:r w:rsidR="00346F1B">
        <w:t>’</w:t>
      </w:r>
      <w:r w:rsidR="00261F34">
        <w:t>exerce dans la réalisation de l</w:t>
      </w:r>
      <w:r w:rsidR="00346F1B">
        <w:t>’</w:t>
      </w:r>
      <w:r w:rsidR="00261F34">
        <w:t>inventaire car cela pou</w:t>
      </w:r>
      <w:r w:rsidR="00AB37E4">
        <w:t>rrait placer la barre trop haut</w:t>
      </w:r>
      <w:r w:rsidR="00261F34">
        <w:t xml:space="preserve"> pour certains pays. Le Bangladesh disposait d</w:t>
      </w:r>
      <w:r w:rsidR="00346F1B">
        <w:t>’</w:t>
      </w:r>
      <w:r w:rsidR="00261F34">
        <w:t xml:space="preserve">un inventaire dont un extrait avait été soumis dans le dossier de candidature, et le Comité avait été informé que le ministère des Affaires culturelles était responsable de </w:t>
      </w:r>
      <w:r w:rsidR="00AB37E4">
        <w:t xml:space="preserve">la tenue </w:t>
      </w:r>
      <w:r w:rsidR="00261F34">
        <w:t>et de la mise à jour de l</w:t>
      </w:r>
      <w:r w:rsidR="00346F1B">
        <w:t>’</w:t>
      </w:r>
      <w:r w:rsidR="00261F34">
        <w:t xml:space="preserve">inventaire. </w:t>
      </w:r>
      <w:r w:rsidR="00AB37E4">
        <w:t xml:space="preserve">Ainsi, la délégation se réjouissait que la candidature satisfasse </w:t>
      </w:r>
      <w:r w:rsidR="00276E5A">
        <w:t xml:space="preserve">le </w:t>
      </w:r>
      <w:r w:rsidR="00AB37E4">
        <w:t>critère R.5 et elle soutenait pleinement la proposition de l</w:t>
      </w:r>
      <w:r w:rsidR="00346F1B">
        <w:t>’</w:t>
      </w:r>
      <w:r w:rsidR="00AB37E4">
        <w:t>Inde d</w:t>
      </w:r>
      <w:r w:rsidR="00346F1B">
        <w:t>’</w:t>
      </w:r>
      <w:r w:rsidR="00365A02">
        <w:t>inscrire la candidature.</w:t>
      </w:r>
    </w:p>
    <w:p w14:paraId="5EC3A657" w14:textId="42CA354B" w:rsidR="00AB37E4" w:rsidRDefault="00AB37E4" w:rsidP="003F5A08">
      <w:pPr>
        <w:pStyle w:val="Orateurengris"/>
        <w:spacing w:before="120"/>
        <w:ind w:left="709" w:hanging="709"/>
      </w:pPr>
      <w:r>
        <w:t>La délégation de l</w:t>
      </w:r>
      <w:r w:rsidR="00346F1B">
        <w:t>’</w:t>
      </w:r>
      <w:r w:rsidRPr="00AB37E4">
        <w:rPr>
          <w:b/>
        </w:rPr>
        <w:t>Afghanistan</w:t>
      </w:r>
      <w:r w:rsidR="00276E5A">
        <w:t xml:space="preserve"> </w:t>
      </w:r>
      <w:r>
        <w:t>souscri</w:t>
      </w:r>
      <w:r w:rsidR="00276E5A">
        <w:t>vai</w:t>
      </w:r>
      <w:r>
        <w:t>t aux remarques formulée</w:t>
      </w:r>
      <w:r w:rsidR="00276E5A">
        <w:t>s par l</w:t>
      </w:r>
      <w:r w:rsidR="00346F1B">
        <w:t>’</w:t>
      </w:r>
      <w:r w:rsidR="00276E5A">
        <w:t>Inde et la Turquie et convenait</w:t>
      </w:r>
      <w:r>
        <w:t xml:space="preserve"> que les informations demandées éta</w:t>
      </w:r>
      <w:r w:rsidR="003F5A08">
        <w:t>ient présentes dans le dossier.</w:t>
      </w:r>
    </w:p>
    <w:p w14:paraId="01E9B18F" w14:textId="4D2FFDDE" w:rsidR="00AB37E4" w:rsidRPr="00AB37E4" w:rsidRDefault="00AB37E4" w:rsidP="003F5A08">
      <w:pPr>
        <w:pStyle w:val="Orateurengris"/>
        <w:spacing w:before="120"/>
        <w:ind w:left="709" w:hanging="709"/>
      </w:pPr>
      <w:r>
        <w:t xml:space="preserve">La délégation de la </w:t>
      </w:r>
      <w:r w:rsidRPr="00AB37E4">
        <w:rPr>
          <w:b/>
        </w:rPr>
        <w:t>République de Corée</w:t>
      </w:r>
      <w:r>
        <w:t xml:space="preserve"> a remercié l</w:t>
      </w:r>
      <w:r w:rsidR="00346F1B">
        <w:t>’</w:t>
      </w:r>
      <w:r>
        <w:t>Inde pour l</w:t>
      </w:r>
      <w:r w:rsidR="00346F1B">
        <w:t>’</w:t>
      </w:r>
      <w:r>
        <w:t>explication détaillée du dossier et la présentation du contexte de l</w:t>
      </w:r>
      <w:r w:rsidR="00346F1B">
        <w:t>’</w:t>
      </w:r>
      <w:r>
        <w:t>inventaire au Bangladesh. En conséquence, la délégation était favorable à l</w:t>
      </w:r>
      <w:r w:rsidR="00346F1B">
        <w:t>’</w:t>
      </w:r>
      <w:r>
        <w:t>amendement proposé. Toutefois, cela ne saurait signifier que la ré</w:t>
      </w:r>
      <w:r w:rsidR="000C4404">
        <w:t>alisation de l</w:t>
      </w:r>
      <w:r w:rsidR="00346F1B">
        <w:t>’</w:t>
      </w:r>
      <w:r w:rsidR="000C4404">
        <w:t>inventaire était une composante non essentielle de la sauvegarde du PCI au nive</w:t>
      </w:r>
      <w:r w:rsidR="00276E5A">
        <w:t>au national, et la délégation estimait</w:t>
      </w:r>
      <w:r w:rsidR="000C4404">
        <w:t xml:space="preserve"> que l</w:t>
      </w:r>
      <w:r w:rsidR="00346F1B">
        <w:t>’</w:t>
      </w:r>
      <w:r w:rsidR="000C4404">
        <w:t>Organe d</w:t>
      </w:r>
      <w:r w:rsidR="00346F1B">
        <w:t>’</w:t>
      </w:r>
      <w:r w:rsidR="000C4404">
        <w:t>évaluation avait soulevé cette question avec beaucoup de pertinen</w:t>
      </w:r>
      <w:r w:rsidR="003F5A08">
        <w:t>ce dans son projet de décision.</w:t>
      </w:r>
    </w:p>
    <w:p w14:paraId="7513442C" w14:textId="2012C957" w:rsidR="000C4404" w:rsidRPr="000C4404" w:rsidRDefault="000C4404" w:rsidP="003F5A08">
      <w:pPr>
        <w:pStyle w:val="Orateurengris"/>
        <w:spacing w:before="120"/>
        <w:ind w:left="709" w:hanging="709"/>
      </w:pPr>
      <w:r>
        <w:t xml:space="preserve">Après avoir pris note de </w:t>
      </w:r>
      <w:r w:rsidRPr="000C4404">
        <w:t>la longue liste d</w:t>
      </w:r>
      <w:r w:rsidR="00346F1B">
        <w:t>’</w:t>
      </w:r>
      <w:r>
        <w:t xml:space="preserve">intervenants, le </w:t>
      </w:r>
      <w:r w:rsidRPr="000C4404">
        <w:rPr>
          <w:b/>
        </w:rPr>
        <w:t>Président</w:t>
      </w:r>
      <w:r w:rsidR="002567C8">
        <w:t xml:space="preserve"> a souligné que les </w:t>
      </w:r>
      <w:r w:rsidR="00A46CAD">
        <w:t>membres du Comité</w:t>
      </w:r>
      <w:r>
        <w:t xml:space="preserve"> étaient en grande partie favorables à l</w:t>
      </w:r>
      <w:r w:rsidR="00346F1B">
        <w:t>’</w:t>
      </w:r>
      <w:r>
        <w:t>amendement, et il a donc demandé que l</w:t>
      </w:r>
      <w:r w:rsidR="00346F1B">
        <w:t>’</w:t>
      </w:r>
      <w:r>
        <w:t>on passe au pro</w:t>
      </w:r>
      <w:r w:rsidR="003F5A08">
        <w:t>jet de décision.</w:t>
      </w:r>
    </w:p>
    <w:p w14:paraId="070074DC" w14:textId="14C1EDD6" w:rsidR="000C4404" w:rsidRPr="000C4404" w:rsidRDefault="000C4404" w:rsidP="003F5A08">
      <w:pPr>
        <w:pStyle w:val="Orateurengris"/>
        <w:spacing w:before="120"/>
        <w:ind w:left="709" w:hanging="709"/>
      </w:pPr>
      <w:r>
        <w:t>La délégation de la</w:t>
      </w:r>
      <w:r w:rsidR="000C1781">
        <w:t xml:space="preserve"> </w:t>
      </w:r>
      <w:r w:rsidR="000C1781" w:rsidRPr="000C1781">
        <w:rPr>
          <w:b/>
        </w:rPr>
        <w:t>Hongrie</w:t>
      </w:r>
      <w:r w:rsidR="000C1781">
        <w:t xml:space="preserve"> </w:t>
      </w:r>
      <w:r>
        <w:t>souscri</w:t>
      </w:r>
      <w:r w:rsidR="000C1781">
        <w:t xml:space="preserve">vait à la proposition </w:t>
      </w:r>
      <w:r>
        <w:t>du Président</w:t>
      </w:r>
      <w:r w:rsidR="00276E5A">
        <w:t xml:space="preserve">. Elle </w:t>
      </w:r>
      <w:r w:rsidR="0040517F">
        <w:t xml:space="preserve">souhaitait </w:t>
      </w:r>
      <w:r w:rsidR="000C1781">
        <w:t>toutefois relever le commentaire de la République de Corée et présen</w:t>
      </w:r>
      <w:r w:rsidR="00365A02">
        <w:t>ter un amendement dans ce sens.</w:t>
      </w:r>
    </w:p>
    <w:p w14:paraId="447601F6" w14:textId="4DE0C028" w:rsidR="000C1781" w:rsidRPr="000C1781" w:rsidRDefault="000C1781" w:rsidP="003F5A08">
      <w:pPr>
        <w:pStyle w:val="Orateurengris"/>
        <w:spacing w:before="120"/>
        <w:ind w:left="709" w:hanging="709"/>
      </w:pPr>
      <w:r>
        <w:t>La délégation de l</w:t>
      </w:r>
      <w:r w:rsidR="00346F1B">
        <w:t>’</w:t>
      </w:r>
      <w:r w:rsidRPr="000C1781">
        <w:rPr>
          <w:b/>
        </w:rPr>
        <w:t>Autriche</w:t>
      </w:r>
      <w:r>
        <w:t xml:space="preserve"> a félicité le Bangladesh pour la soumission d</w:t>
      </w:r>
      <w:r w:rsidR="00346F1B">
        <w:t>’</w:t>
      </w:r>
      <w:r>
        <w:t>un élément qui favorisait le dialogue intergénérationnel et la cohésion sociale. Toutefois, comme mentionné par l</w:t>
      </w:r>
      <w:r w:rsidR="00346F1B">
        <w:t>’</w:t>
      </w:r>
      <w:r>
        <w:t>Organe d</w:t>
      </w:r>
      <w:r w:rsidR="00346F1B">
        <w:t>’</w:t>
      </w:r>
      <w:r>
        <w:t>évaluation, l</w:t>
      </w:r>
      <w:r w:rsidR="00346F1B">
        <w:t>’</w:t>
      </w:r>
      <w:r>
        <w:t>inventaire avait été dressé sous la forme d</w:t>
      </w:r>
      <w:r w:rsidR="00346F1B">
        <w:t>’</w:t>
      </w:r>
      <w:r>
        <w:t xml:space="preserve">une étude publiée en 2007 et des doutes persistaient quant aux modalités de participation des communautés </w:t>
      </w:r>
      <w:r w:rsidR="006A5C70">
        <w:t>à l</w:t>
      </w:r>
      <w:r w:rsidR="00346F1B">
        <w:t>’</w:t>
      </w:r>
      <w:r w:rsidR="006A5C70">
        <w:t xml:space="preserve">inventaire, </w:t>
      </w:r>
      <w:r>
        <w:t xml:space="preserve">et de </w:t>
      </w:r>
      <w:r w:rsidR="006A5C70">
        <w:t xml:space="preserve">sa </w:t>
      </w:r>
      <w:r>
        <w:t>mise à jour. La délégation a ajouté que pour tous les dossiers qui ne satisfa</w:t>
      </w:r>
      <w:r w:rsidR="00F978E2">
        <w:t>isaient pas le</w:t>
      </w:r>
      <w:r>
        <w:t xml:space="preserve"> critère R.5, elle avait essayé de trouver des informations complémentaires dans les rapports périodiques re</w:t>
      </w:r>
      <w:r w:rsidR="006A5C70">
        <w:t>spectifs mais le rapport pour c</w:t>
      </w:r>
      <w:r>
        <w:t>e</w:t>
      </w:r>
      <w:r w:rsidR="006A5C70">
        <w:t xml:space="preserve"> </w:t>
      </w:r>
      <w:r>
        <w:t>pays n</w:t>
      </w:r>
      <w:r w:rsidR="00346F1B">
        <w:t>’</w:t>
      </w:r>
      <w:r>
        <w:t>était pas encore disponible et cela n</w:t>
      </w:r>
      <w:r w:rsidR="00346F1B">
        <w:t>’</w:t>
      </w:r>
      <w:r w:rsidR="003F5A08">
        <w:t>avait pas été possible.</w:t>
      </w:r>
    </w:p>
    <w:p w14:paraId="00CA89F8" w14:textId="11317B11" w:rsidR="006A5C70" w:rsidRPr="006A5C70" w:rsidRDefault="006A5C70" w:rsidP="003F5A08">
      <w:pPr>
        <w:pStyle w:val="Orateurengris"/>
        <w:spacing w:before="120"/>
        <w:ind w:left="709" w:hanging="709"/>
      </w:pPr>
      <w:r>
        <w:t xml:space="preserve">Le </w:t>
      </w:r>
      <w:r w:rsidRPr="006A5C70">
        <w:rPr>
          <w:b/>
        </w:rPr>
        <w:t>Président</w:t>
      </w:r>
      <w:r>
        <w:t xml:space="preserve"> a invité le Bangladesh à répondre à la question de l</w:t>
      </w:r>
      <w:r w:rsidR="00346F1B">
        <w:t>’</w:t>
      </w:r>
      <w:r w:rsidR="003F5A08">
        <w:t>Autriche.</w:t>
      </w:r>
    </w:p>
    <w:p w14:paraId="13ECB466" w14:textId="7E425EE4" w:rsidR="006A5C70" w:rsidRPr="006A5C70" w:rsidRDefault="006A5C70" w:rsidP="003F5A08">
      <w:pPr>
        <w:pStyle w:val="Orateurengris"/>
        <w:spacing w:before="120"/>
        <w:ind w:left="709" w:hanging="709"/>
      </w:pPr>
      <w:r>
        <w:t xml:space="preserve">La délégation du </w:t>
      </w:r>
      <w:r w:rsidRPr="006A5C70">
        <w:rPr>
          <w:b/>
        </w:rPr>
        <w:t>Bangladesh</w:t>
      </w:r>
      <w:r>
        <w:t xml:space="preserve"> a remercié le Président pour sa conduite des travaux du Comité et l</w:t>
      </w:r>
      <w:r w:rsidR="00346F1B">
        <w:t>’</w:t>
      </w:r>
      <w:r>
        <w:t>Éthiopie pour sa chaleureuse hospitalité. La délégation a évoqué l</w:t>
      </w:r>
      <w:r w:rsidR="00346F1B">
        <w:t>’</w:t>
      </w:r>
      <w:r>
        <w:t xml:space="preserve">engagement du pays </w:t>
      </w:r>
      <w:r w:rsidR="00276E5A">
        <w:t xml:space="preserve">en faveur de </w:t>
      </w:r>
      <w:r>
        <w:t>la sauvegarde du PCI et s</w:t>
      </w:r>
      <w:r w:rsidR="00346F1B">
        <w:t>’</w:t>
      </w:r>
      <w:r>
        <w:t xml:space="preserve">est dite consciente que les inventaires étaient une étape importante. </w:t>
      </w:r>
      <w:r w:rsidR="00931ECD">
        <w:t xml:space="preserve">De ce fait, </w:t>
      </w:r>
      <w:r w:rsidR="00423145">
        <w:t xml:space="preserve">en 2005-2006, </w:t>
      </w:r>
      <w:r w:rsidR="00931ECD">
        <w:t>l</w:t>
      </w:r>
      <w:r>
        <w:t>e ministère des Affaires culturelles avait</w:t>
      </w:r>
      <w:r w:rsidR="00931ECD">
        <w:t xml:space="preserve"> </w:t>
      </w:r>
      <w:r w:rsidR="00423145">
        <w:t xml:space="preserve">commandité </w:t>
      </w:r>
      <w:r>
        <w:t>une étude culturelle du PCI du Bangladesh dont les résultats avaient été officiellement adoptés afin de constituer</w:t>
      </w:r>
      <w:r w:rsidR="00423145">
        <w:t>, en 2007,</w:t>
      </w:r>
      <w:r>
        <w:t xml:space="preserve"> l</w:t>
      </w:r>
      <w:r w:rsidR="00346F1B">
        <w:t>’</w:t>
      </w:r>
      <w:r>
        <w:t>inventaire du PCI</w:t>
      </w:r>
      <w:r w:rsidR="00423145">
        <w:t xml:space="preserve"> du Bangladesh. Le</w:t>
      </w:r>
      <w:r>
        <w:t xml:space="preserve"> ministère des Affaires culturelles était également responsable de la tenue et de la mise à jour de l</w:t>
      </w:r>
      <w:r w:rsidR="00346F1B">
        <w:t>’</w:t>
      </w:r>
      <w:r>
        <w:t>inventaire du PCI, et les onze volumes constituant l</w:t>
      </w:r>
      <w:r w:rsidR="00346F1B">
        <w:t>’</w:t>
      </w:r>
      <w:r>
        <w:t>inventaire incluait l</w:t>
      </w:r>
      <w:r w:rsidR="00346F1B">
        <w:t>’</w:t>
      </w:r>
      <w:r>
        <w:t>élément soumis à candidature. La délégatio</w:t>
      </w:r>
      <w:r w:rsidR="00423145">
        <w:t>n a informé le</w:t>
      </w:r>
      <w:r>
        <w:t xml:space="preserve"> Comité</w:t>
      </w:r>
      <w:r w:rsidR="00423145">
        <w:t xml:space="preserve"> que le Professeur Nisar</w:t>
      </w:r>
      <w:r>
        <w:t xml:space="preserve"> Hoss</w:t>
      </w:r>
      <w:r w:rsidR="00423145">
        <w:t>ain, Recteur de la faculté des B</w:t>
      </w:r>
      <w:r>
        <w:t>eaux-Arts de l</w:t>
      </w:r>
      <w:r w:rsidR="00346F1B">
        <w:t>’</w:t>
      </w:r>
      <w:r>
        <w:t>université de Dacca [présent dans l</w:t>
      </w:r>
      <w:r w:rsidR="00346F1B">
        <w:t>’</w:t>
      </w:r>
      <w:r>
        <w:t>assemblée], avait étroitement participé tant à l</w:t>
      </w:r>
      <w:r w:rsidR="00346F1B">
        <w:t>’</w:t>
      </w:r>
      <w:r>
        <w:t>étude culturelle réalisée en 2005-2006 qu</w:t>
      </w:r>
      <w:r w:rsidR="00346F1B">
        <w:t>’</w:t>
      </w:r>
      <w:r>
        <w:t>à la préparation du dossier de candidature en 2014-2015. En fait, l</w:t>
      </w:r>
      <w:r w:rsidR="00346F1B">
        <w:t>’</w:t>
      </w:r>
      <w:r>
        <w:t>étude n</w:t>
      </w:r>
      <w:r w:rsidR="00346F1B">
        <w:t>’</w:t>
      </w:r>
      <w:r>
        <w:t xml:space="preserve">était pas uniquement constituée de travaux de recherche mais également de visites de terrain </w:t>
      </w:r>
      <w:r w:rsidR="00423145">
        <w:t xml:space="preserve">organisées </w:t>
      </w:r>
      <w:r>
        <w:t xml:space="preserve">afin de consulter les </w:t>
      </w:r>
      <w:r w:rsidR="00931ECD">
        <w:t>communautés de praticiens et de détenteurs de tous les éléments inclus dans l</w:t>
      </w:r>
      <w:r w:rsidR="00346F1B">
        <w:t>’</w:t>
      </w:r>
      <w:r w:rsidR="00931ECD">
        <w:t>inventaire. La délégation était également consciente que tous les inventaires nécessitaient d</w:t>
      </w:r>
      <w:r w:rsidR="00346F1B">
        <w:t>’</w:t>
      </w:r>
      <w:r w:rsidR="00931ECD">
        <w:t>être constamment mis à jour, ce qui était le cas pour son propre inventaire. Le ministère des Affaires culturelles et le Bureau de l</w:t>
      </w:r>
      <w:r w:rsidR="00346F1B">
        <w:t>’</w:t>
      </w:r>
      <w:r w:rsidR="00931ECD">
        <w:t>UNESCO de Dacca étaient alors en train de mettre conjointement en œuvre le projet intitulé « Renforcer les capacités nationales de sauvegarde du patrimoine culturel immatériel pour le développement durable » dont l</w:t>
      </w:r>
      <w:r w:rsidR="00346F1B">
        <w:t>’</w:t>
      </w:r>
      <w:r w:rsidR="00931ECD">
        <w:t>un des objectifs était de mettre à jour et de rationaliser l</w:t>
      </w:r>
      <w:r w:rsidR="00346F1B">
        <w:t>’</w:t>
      </w:r>
      <w:r w:rsidR="00931ECD">
        <w:t>inventaire du PCI du Bangladesh. Selon la délégation, le Secrétaire était tenu informé du projet. L</w:t>
      </w:r>
      <w:r w:rsidR="00346F1B">
        <w:t>’</w:t>
      </w:r>
      <w:r w:rsidR="00931ECD">
        <w:t xml:space="preserve">élément « la </w:t>
      </w:r>
      <w:r w:rsidR="00931ECD" w:rsidRPr="008B49C9">
        <w:t>Mangal Shobhajatra du Pahela Baikash</w:t>
      </w:r>
      <w:r w:rsidR="00931ECD">
        <w:t> » avait une fois de plus été inclus dans l</w:t>
      </w:r>
      <w:r w:rsidR="00346F1B">
        <w:t>’</w:t>
      </w:r>
      <w:r w:rsidR="00931ECD">
        <w:t>inventaire en cours de réalisation dans le cadre du projet susmentionné. La délégation a rappelé au Comité</w:t>
      </w:r>
      <w:r w:rsidR="00423145">
        <w:t xml:space="preserve"> qu</w:t>
      </w:r>
      <w:r w:rsidR="00346F1B">
        <w:t>’</w:t>
      </w:r>
      <w:r w:rsidR="00423145">
        <w:t>il convenait de</w:t>
      </w:r>
      <w:r w:rsidR="00931ECD">
        <w:t xml:space="preserve"> garder à l</w:t>
      </w:r>
      <w:r w:rsidR="00346F1B">
        <w:t>’</w:t>
      </w:r>
      <w:r w:rsidR="00931ECD">
        <w:t>esprit que les structures politiques et administratives de tous les États, et donc la portée et la méthodologie des inventaires, n</w:t>
      </w:r>
      <w:r w:rsidR="00346F1B">
        <w:t>’</w:t>
      </w:r>
      <w:r w:rsidR="00931ECD">
        <w:t>étaient pas identiqu</w:t>
      </w:r>
      <w:r w:rsidR="003F5A08">
        <w:t>es dans tous les États parties.</w:t>
      </w:r>
    </w:p>
    <w:p w14:paraId="5EB5CD7D" w14:textId="533F46FD" w:rsidR="00B56778" w:rsidRPr="00B56778" w:rsidRDefault="00B56778" w:rsidP="003F5A08">
      <w:pPr>
        <w:pStyle w:val="Orateurengris"/>
        <w:spacing w:before="120"/>
        <w:ind w:left="709" w:hanging="709"/>
      </w:pPr>
      <w:r>
        <w:t>S</w:t>
      </w:r>
      <w:r w:rsidR="00346F1B">
        <w:t>’</w:t>
      </w:r>
      <w:r>
        <w:t xml:space="preserve">agissant de ce dossier, la délégation du </w:t>
      </w:r>
      <w:r w:rsidRPr="00B56778">
        <w:rPr>
          <w:b/>
        </w:rPr>
        <w:t>Guatemala</w:t>
      </w:r>
      <w:r>
        <w:t xml:space="preserve"> a demandé qu</w:t>
      </w:r>
      <w:r w:rsidR="00346F1B">
        <w:t>’</w:t>
      </w:r>
      <w:r>
        <w:t>une certaine flexibilité s</w:t>
      </w:r>
      <w:r w:rsidR="00346F1B">
        <w:t>’</w:t>
      </w:r>
      <w:r>
        <w:t>applique pour le critère R.5</w:t>
      </w:r>
      <w:r w:rsidR="003F5A08">
        <w:t>.</w:t>
      </w:r>
    </w:p>
    <w:p w14:paraId="5F1B66D8" w14:textId="069E6EB9" w:rsidR="00B56778" w:rsidRPr="00B56778" w:rsidRDefault="00B56778" w:rsidP="003F5A08">
      <w:pPr>
        <w:pStyle w:val="Orateurengris"/>
        <w:spacing w:before="120"/>
        <w:ind w:left="709" w:hanging="709"/>
      </w:pPr>
      <w:r>
        <w:t>Avant de donner la parole à l</w:t>
      </w:r>
      <w:r w:rsidR="00346F1B">
        <w:t>’</w:t>
      </w:r>
      <w:r>
        <w:t xml:space="preserve">Algérie, le </w:t>
      </w:r>
      <w:r w:rsidRPr="00B56778">
        <w:rPr>
          <w:b/>
        </w:rPr>
        <w:t>Président</w:t>
      </w:r>
      <w:r>
        <w:t xml:space="preserve"> a fait remarquer que le Comité était parvenu à un consensus et que l</w:t>
      </w:r>
      <w:r w:rsidR="00346F1B">
        <w:t>’</w:t>
      </w:r>
      <w:r>
        <w:t>on pouvait passer au projet de décision. Il a signalé une motion d</w:t>
      </w:r>
      <w:r w:rsidR="00346F1B">
        <w:t>’</w:t>
      </w:r>
      <w:r>
        <w:t>ordre de la part de la Palest</w:t>
      </w:r>
      <w:r w:rsidR="003F5A08">
        <w:t>ine.</w:t>
      </w:r>
    </w:p>
    <w:p w14:paraId="0AE73A9B" w14:textId="63E6FAF4" w:rsidR="00B56778" w:rsidRDefault="00B56778" w:rsidP="003F5A08">
      <w:pPr>
        <w:pStyle w:val="Orateurengris"/>
        <w:spacing w:before="120"/>
        <w:ind w:left="709" w:hanging="709"/>
      </w:pPr>
      <w:r>
        <w:t xml:space="preserve">La délégation de la </w:t>
      </w:r>
      <w:r w:rsidRPr="00B56778">
        <w:rPr>
          <w:b/>
        </w:rPr>
        <w:t>Palestine</w:t>
      </w:r>
      <w:r>
        <w:t xml:space="preserve"> a rappelé que la proposition était d</w:t>
      </w:r>
      <w:r w:rsidR="00346F1B">
        <w:t>’</w:t>
      </w:r>
      <w:r>
        <w:t>examiner le projet de décision, puis de donner la parole aux pays désireux de s</w:t>
      </w:r>
      <w:r w:rsidR="00346F1B">
        <w:t>’</w:t>
      </w:r>
      <w:r>
        <w:t>exprimer pour recueillir leurs opinions. Elle a remercié le Bangladesh pour ses éclaircissements, et a demandé au Président de se conformer à la proposition initiale.</w:t>
      </w:r>
    </w:p>
    <w:p w14:paraId="1B8911C8" w14:textId="32567DD2" w:rsidR="00B56778" w:rsidRPr="00B56778" w:rsidRDefault="00B56778" w:rsidP="003F5A08">
      <w:pPr>
        <w:pStyle w:val="Orateurengris"/>
        <w:spacing w:before="120"/>
        <w:ind w:left="709" w:hanging="709"/>
      </w:pPr>
      <w:r>
        <w:t xml:space="preserve">Le </w:t>
      </w:r>
      <w:r w:rsidRPr="00B56778">
        <w:rPr>
          <w:b/>
        </w:rPr>
        <w:t>Président</w:t>
      </w:r>
      <w:r>
        <w:t xml:space="preserve"> a remercié la Palestine et est pa</w:t>
      </w:r>
      <w:r w:rsidR="002567C8">
        <w:t xml:space="preserve">ssé au projet de décision, les </w:t>
      </w:r>
      <w:r w:rsidR="00A46CAD">
        <w:t>membres du Comité</w:t>
      </w:r>
      <w:r>
        <w:t xml:space="preserve"> pourra</w:t>
      </w:r>
      <w:r w:rsidR="003F5A08">
        <w:t>ient ensuite prendre la parole.</w:t>
      </w:r>
    </w:p>
    <w:p w14:paraId="58A12289" w14:textId="2E135A7E" w:rsidR="00B56778" w:rsidRPr="00B56778" w:rsidRDefault="00B56778" w:rsidP="003F5A08">
      <w:pPr>
        <w:pStyle w:val="Orateurengris"/>
        <w:spacing w:before="120"/>
        <w:ind w:left="709" w:hanging="709"/>
      </w:pPr>
      <w:r>
        <w:t xml:space="preserve">La délégation de </w:t>
      </w:r>
      <w:r w:rsidRPr="00B56778">
        <w:rPr>
          <w:b/>
        </w:rPr>
        <w:t>Maurice</w:t>
      </w:r>
      <w:r>
        <w:t xml:space="preserve"> a accepté de reprendre la parole </w:t>
      </w:r>
      <w:r w:rsidR="003F5A08">
        <w:t>plus tard.</w:t>
      </w:r>
    </w:p>
    <w:p w14:paraId="773FB4BC" w14:textId="487E2CCB" w:rsidR="00B56778" w:rsidRDefault="00B56778" w:rsidP="003F5A08">
      <w:pPr>
        <w:pStyle w:val="Orateurengris"/>
        <w:spacing w:before="120"/>
        <w:ind w:left="709" w:hanging="709"/>
      </w:pPr>
      <w:r>
        <w:t xml:space="preserve">Prenant note des amendements, le </w:t>
      </w:r>
      <w:r w:rsidRPr="00B56778">
        <w:rPr>
          <w:b/>
        </w:rPr>
        <w:t>Président</w:t>
      </w:r>
      <w:r>
        <w:t xml:space="preserve"> est passé à l</w:t>
      </w:r>
      <w:r w:rsidR="00346F1B">
        <w:t>’</w:t>
      </w:r>
      <w:r>
        <w:t>adoption du projet de décision paragraphe par paragraphe. En l</w:t>
      </w:r>
      <w:r w:rsidR="00346F1B">
        <w:t>’</w:t>
      </w:r>
      <w:r>
        <w:t>absence d</w:t>
      </w:r>
      <w:r w:rsidR="00346F1B">
        <w:t>’</w:t>
      </w:r>
      <w:r>
        <w:t xml:space="preserve">autres commentaires ou objections, le paragraphe 1 a été adopté. Le paragraphe 2 sur les critères R.1 à R.4 a été </w:t>
      </w:r>
      <w:r w:rsidR="008052AC">
        <w:t>dûment</w:t>
      </w:r>
      <w:r>
        <w:t xml:space="preserve"> adopté. Le Président est passé au </w:t>
      </w:r>
      <w:r w:rsidR="00276E5A">
        <w:t xml:space="preserve">paragraphe sur le </w:t>
      </w:r>
      <w:r>
        <w:t>critère R.5 en prenant note de l</w:t>
      </w:r>
      <w:r w:rsidR="00346F1B">
        <w:t>’</w:t>
      </w:r>
      <w:r>
        <w:t>amendement présenté par l</w:t>
      </w:r>
      <w:r w:rsidR="00346F1B">
        <w:t>’</w:t>
      </w:r>
      <w:r w:rsidR="003F5A08">
        <w:t>Inde.</w:t>
      </w:r>
    </w:p>
    <w:p w14:paraId="0B834C19" w14:textId="4B1BEF5F" w:rsidR="001C3885" w:rsidRDefault="001C3885" w:rsidP="003F5A08">
      <w:pPr>
        <w:pStyle w:val="Orateurengris"/>
        <w:spacing w:before="120"/>
        <w:ind w:left="709" w:hanging="709"/>
      </w:pPr>
      <w:r>
        <w:t xml:space="preserve">La délégation de la </w:t>
      </w:r>
      <w:r w:rsidRPr="001C3885">
        <w:rPr>
          <w:b/>
        </w:rPr>
        <w:t>Palestine</w:t>
      </w:r>
      <w:r>
        <w:t xml:space="preserve"> s</w:t>
      </w:r>
      <w:r w:rsidR="00346F1B">
        <w:t>’</w:t>
      </w:r>
      <w:r>
        <w:t>est portée coauteur de l</w:t>
      </w:r>
      <w:r w:rsidR="00346F1B">
        <w:t>’</w:t>
      </w:r>
      <w:r>
        <w:t>amendement présenté par l</w:t>
      </w:r>
      <w:r w:rsidR="00346F1B">
        <w:t>’</w:t>
      </w:r>
      <w:r w:rsidR="003F5A08">
        <w:t>Inde.</w:t>
      </w:r>
    </w:p>
    <w:p w14:paraId="40EE33C3" w14:textId="636BA9CC" w:rsidR="001C3885" w:rsidRPr="001C3885" w:rsidRDefault="001C3885" w:rsidP="003F5A08">
      <w:pPr>
        <w:pStyle w:val="Orateurengris"/>
        <w:spacing w:before="120"/>
        <w:ind w:left="709" w:hanging="709"/>
      </w:pPr>
      <w:r w:rsidRPr="001C3885">
        <w:t xml:space="preserve">La délégation de </w:t>
      </w:r>
      <w:r w:rsidRPr="001C3885">
        <w:rPr>
          <w:b/>
        </w:rPr>
        <w:t>Cuba</w:t>
      </w:r>
      <w:r>
        <w:t xml:space="preserve"> a remercié l</w:t>
      </w:r>
      <w:r w:rsidR="00346F1B">
        <w:t>’</w:t>
      </w:r>
      <w:r>
        <w:t>Inde d</w:t>
      </w:r>
      <w:r w:rsidR="00346F1B">
        <w:t>’</w:t>
      </w:r>
      <w:r>
        <w:t>avoir présenté l</w:t>
      </w:r>
      <w:r w:rsidR="00346F1B">
        <w:t>’</w:t>
      </w:r>
      <w:r>
        <w:t>amendement, qu</w:t>
      </w:r>
      <w:r w:rsidR="00346F1B">
        <w:t>’</w:t>
      </w:r>
      <w:r>
        <w:t>elle soutenait également, ajoutant que ce ne serait certainement ni la première ni la dernière fois que le Comité se trouverait confronté à une telle situation. Elle a remercié le Bangladesh d</w:t>
      </w:r>
      <w:r w:rsidR="00346F1B">
        <w:t>’</w:t>
      </w:r>
      <w:r>
        <w:t>avoir communiqué des informations et a demandé que le fait qu</w:t>
      </w:r>
      <w:r w:rsidR="00346F1B">
        <w:t>’</w:t>
      </w:r>
      <w:r>
        <w:t xml:space="preserve">une décision </w:t>
      </w:r>
      <w:r w:rsidR="007F448E">
        <w:t>ait été révisée sur la base d</w:t>
      </w:r>
      <w:r w:rsidR="00346F1B">
        <w:t>’</w:t>
      </w:r>
      <w:r>
        <w:t xml:space="preserve">informations fournies pendant la session soit reflété dans la décision elle-même. À </w:t>
      </w:r>
      <w:r w:rsidR="005C66C7">
        <w:t>défaut, on pourrait croire qu</w:t>
      </w:r>
      <w:r w:rsidR="00346F1B">
        <w:t>’</w:t>
      </w:r>
      <w:r w:rsidR="005C66C7">
        <w:t>il s</w:t>
      </w:r>
      <w:r w:rsidR="00346F1B">
        <w:t>’</w:t>
      </w:r>
      <w:r w:rsidR="005C66C7">
        <w:t>agissait de la recommandation directe de l</w:t>
      </w:r>
      <w:r w:rsidR="00346F1B">
        <w:t>’</w:t>
      </w:r>
      <w:r w:rsidR="005C66C7">
        <w:t>Organe d</w:t>
      </w:r>
      <w:r w:rsidR="00346F1B">
        <w:t>’</w:t>
      </w:r>
      <w:r w:rsidR="005C66C7">
        <w:t>évaluation, ce qui n</w:t>
      </w:r>
      <w:r w:rsidR="00346F1B">
        <w:t>’</w:t>
      </w:r>
      <w:r w:rsidR="005C66C7">
        <w:t>était pas le cas. Bien qu</w:t>
      </w:r>
      <w:r w:rsidR="00346F1B">
        <w:t>’</w:t>
      </w:r>
      <w:r w:rsidR="005C66C7">
        <w:t>elle soutienne la proposition de l</w:t>
      </w:r>
      <w:r w:rsidR="00346F1B">
        <w:t>’</w:t>
      </w:r>
      <w:r w:rsidR="005C66C7">
        <w:t xml:space="preserve">Inde, la délégation a demandé que la décision reflète le fait que des informations complémentaires aient été communiquées par le Bangladesh. Le Comité étant susceptible de se trouver dans la même situation à plusieurs reprises, il était important </w:t>
      </w:r>
      <w:r w:rsidR="007F448E">
        <w:t>que cela soit stipulé clairement dans la décision afin de refléter la réalité et ne pas don</w:t>
      </w:r>
      <w:r w:rsidR="003F5A08">
        <w:t>ner lieu à des interprétations.</w:t>
      </w:r>
    </w:p>
    <w:p w14:paraId="794519E4" w14:textId="378ACB16" w:rsidR="007F448E" w:rsidRPr="007F448E" w:rsidRDefault="003A6355" w:rsidP="003F5A08">
      <w:pPr>
        <w:pStyle w:val="Orateurengris"/>
        <w:spacing w:before="120"/>
        <w:ind w:left="709" w:hanging="709"/>
      </w:pPr>
      <w:r>
        <w:t>Le</w:t>
      </w:r>
      <w:r w:rsidR="007F448E">
        <w:t xml:space="preserve"> </w:t>
      </w:r>
      <w:r w:rsidR="007F448E" w:rsidRPr="00264B8E">
        <w:rPr>
          <w:b/>
        </w:rPr>
        <w:t>Président</w:t>
      </w:r>
      <w:r w:rsidR="007F448E">
        <w:t xml:space="preserve"> a demandé à la délégation si elle </w:t>
      </w:r>
      <w:r w:rsidR="00276E5A">
        <w:t>proposait</w:t>
      </w:r>
      <w:r w:rsidR="00264B8E">
        <w:t xml:space="preserve"> une version différente de l</w:t>
      </w:r>
      <w:r w:rsidR="00346F1B">
        <w:t>’</w:t>
      </w:r>
      <w:r w:rsidR="00264B8E">
        <w:t>amendement.</w:t>
      </w:r>
    </w:p>
    <w:p w14:paraId="22857674" w14:textId="0E5F495E" w:rsidR="00264B8E" w:rsidRDefault="00264B8E" w:rsidP="003F5A08">
      <w:pPr>
        <w:pStyle w:val="Orateurengris"/>
        <w:spacing w:before="120"/>
        <w:ind w:left="709" w:hanging="709"/>
      </w:pPr>
      <w:r>
        <w:t xml:space="preserve">La délégation de </w:t>
      </w:r>
      <w:r w:rsidRPr="00264B8E">
        <w:rPr>
          <w:b/>
        </w:rPr>
        <w:t>Cuba</w:t>
      </w:r>
      <w:r>
        <w:t xml:space="preserve"> s</w:t>
      </w:r>
      <w:r w:rsidR="00346F1B">
        <w:t>’</w:t>
      </w:r>
      <w:r>
        <w:t>est dite prête à adopter l</w:t>
      </w:r>
      <w:r w:rsidR="00346F1B">
        <w:t>’</w:t>
      </w:r>
      <w:r>
        <w:t>amendement de l</w:t>
      </w:r>
      <w:r w:rsidR="00346F1B">
        <w:t>’</w:t>
      </w:r>
      <w:r>
        <w:t xml:space="preserve">Inde mais elle </w:t>
      </w:r>
      <w:r w:rsidR="00276E5A">
        <w:t>proposait</w:t>
      </w:r>
      <w:r>
        <w:t xml:space="preserve"> que soit ajouté un paragraphe à part ainsi rédigé : « remercie la délégation du Bangladesh pour les informations complémentaires fournies qui ont permis une évaluation plus approfondie du critère R.5 par le Comité », qui reflét</w:t>
      </w:r>
      <w:r w:rsidR="003F5A08">
        <w:t>erait réellement la discussion.</w:t>
      </w:r>
    </w:p>
    <w:p w14:paraId="0EBFE4B7" w14:textId="057F6C68" w:rsidR="00264B8E" w:rsidRDefault="00DE2918" w:rsidP="003F5A08">
      <w:pPr>
        <w:pStyle w:val="Orateurengris"/>
        <w:spacing w:before="120"/>
        <w:ind w:left="709" w:hanging="709"/>
      </w:pPr>
      <w:r>
        <w:t>Le</w:t>
      </w:r>
      <w:r w:rsidR="00264B8E">
        <w:t xml:space="preserve"> </w:t>
      </w:r>
      <w:r w:rsidR="00264B8E" w:rsidRPr="00DE2918">
        <w:rPr>
          <w:b/>
        </w:rPr>
        <w:t>Président</w:t>
      </w:r>
      <w:r>
        <w:t xml:space="preserve"> a pris note de la proposition </w:t>
      </w:r>
      <w:r w:rsidR="00264B8E">
        <w:t>de Cuba et a suggéré de passer à l</w:t>
      </w:r>
      <w:r w:rsidR="00346F1B">
        <w:t>’</w:t>
      </w:r>
      <w:r w:rsidR="00264B8E">
        <w:t>adoption du paragraphe proposé par l</w:t>
      </w:r>
      <w:r w:rsidR="00346F1B">
        <w:t>’</w:t>
      </w:r>
      <w:r w:rsidR="00264B8E">
        <w:t xml:space="preserve">Inde puis de revenir </w:t>
      </w:r>
      <w:r w:rsidR="003F5A08">
        <w:t>au nouvel amendement.</w:t>
      </w:r>
    </w:p>
    <w:p w14:paraId="63CB10AE" w14:textId="519F3721" w:rsidR="00DE2918" w:rsidRDefault="00DE2918" w:rsidP="003F5A08">
      <w:pPr>
        <w:pStyle w:val="Orateurengris"/>
        <w:spacing w:before="120"/>
        <w:ind w:left="709" w:hanging="709"/>
      </w:pPr>
      <w:r>
        <w:t>La délégation de l</w:t>
      </w:r>
      <w:r w:rsidR="00346F1B">
        <w:t>’</w:t>
      </w:r>
      <w:r w:rsidRPr="00DE2918">
        <w:rPr>
          <w:b/>
        </w:rPr>
        <w:t>Éthiopie</w:t>
      </w:r>
      <w:r>
        <w:t xml:space="preserve"> a fait remarquer l</w:t>
      </w:r>
      <w:r w:rsidR="00346F1B">
        <w:t>’</w:t>
      </w:r>
      <w:r>
        <w:t xml:space="preserve">article 12 de la Convention </w:t>
      </w:r>
      <w:r w:rsidR="00276E5A">
        <w:t xml:space="preserve">qui </w:t>
      </w:r>
      <w:r>
        <w:t>stipulait précisément qu</w:t>
      </w:r>
      <w:r w:rsidR="00346F1B">
        <w:t>’</w:t>
      </w:r>
      <w:r>
        <w:t>une approche unique et commune à tous les pays ne saurait guider les États parties dans la préparation de leur inventaire. Compte tenu des contextes nationaux et sur la base des informations communiquées dans le dossier de candidature et de l</w:t>
      </w:r>
      <w:r w:rsidR="00346F1B">
        <w:t>’</w:t>
      </w:r>
      <w:r>
        <w:t>explication du Bangladesh, elle soutenait l</w:t>
      </w:r>
      <w:r w:rsidR="00346F1B">
        <w:t>’</w:t>
      </w:r>
      <w:r>
        <w:t>amendement de l</w:t>
      </w:r>
      <w:r w:rsidR="00346F1B">
        <w:t>’</w:t>
      </w:r>
      <w:r w:rsidR="003F5A08">
        <w:t>Inde.</w:t>
      </w:r>
    </w:p>
    <w:p w14:paraId="01EFCD38" w14:textId="602DBC56" w:rsidR="00DE2918" w:rsidRPr="00DE2918" w:rsidRDefault="00DE2918" w:rsidP="003F5A08">
      <w:pPr>
        <w:pStyle w:val="Orateurengris"/>
        <w:spacing w:before="120"/>
        <w:ind w:left="709" w:hanging="709"/>
      </w:pPr>
      <w:r>
        <w:t xml:space="preserve">Compte tenu des éclaircissements apportés par le Bangladesh, la délégation de </w:t>
      </w:r>
      <w:r w:rsidRPr="00DE2918">
        <w:rPr>
          <w:b/>
        </w:rPr>
        <w:t>Maurice</w:t>
      </w:r>
      <w:r>
        <w:t xml:space="preserve"> apportait également son soutien total à l</w:t>
      </w:r>
      <w:r w:rsidR="00346F1B">
        <w:t>’</w:t>
      </w:r>
      <w:r>
        <w:t>amendement de l</w:t>
      </w:r>
      <w:r w:rsidR="00346F1B">
        <w:t>’</w:t>
      </w:r>
      <w:r w:rsidR="003F5A08">
        <w:t>Inde.</w:t>
      </w:r>
    </w:p>
    <w:p w14:paraId="6C6D705F" w14:textId="53C095E8" w:rsidR="00DE2918" w:rsidRDefault="00DE2918" w:rsidP="003F5A08">
      <w:pPr>
        <w:pStyle w:val="Orateurengris"/>
        <w:spacing w:before="120"/>
        <w:ind w:left="709" w:hanging="709"/>
      </w:pPr>
      <w:r>
        <w:t xml:space="preserve">La délégation de la </w:t>
      </w:r>
      <w:r w:rsidRPr="00DE2918">
        <w:rPr>
          <w:b/>
        </w:rPr>
        <w:t>Turquie</w:t>
      </w:r>
      <w:r w:rsidR="00CD00EB">
        <w:t xml:space="preserve"> </w:t>
      </w:r>
      <w:r>
        <w:t>souha</w:t>
      </w:r>
      <w:r w:rsidR="00CD00EB">
        <w:t>itait</w:t>
      </w:r>
      <w:r>
        <w:t xml:space="preserve"> ajouter son nom à la liste des coauteurs de l</w:t>
      </w:r>
      <w:r w:rsidR="00346F1B">
        <w:t>’</w:t>
      </w:r>
      <w:r>
        <w:t>amendement sur le critère R.5 et l</w:t>
      </w:r>
      <w:r w:rsidR="00346F1B">
        <w:t>’</w:t>
      </w:r>
      <w:r>
        <w:t>inscription.</w:t>
      </w:r>
    </w:p>
    <w:p w14:paraId="03E30DA3" w14:textId="3BB8F7D6" w:rsidR="00DE2918" w:rsidRPr="00DE2918" w:rsidRDefault="00DE2918" w:rsidP="003F5A08">
      <w:pPr>
        <w:pStyle w:val="Orateurengris"/>
        <w:spacing w:before="120"/>
        <w:ind w:left="709" w:hanging="709"/>
      </w:pPr>
      <w:r>
        <w:t xml:space="preserve">La délégation du </w:t>
      </w:r>
      <w:r w:rsidRPr="00DE2918">
        <w:rPr>
          <w:b/>
        </w:rPr>
        <w:t>Sénégal</w:t>
      </w:r>
      <w:r>
        <w:t xml:space="preserve"> a remercié le Bangladesh pour la clarté des informations fournies</w:t>
      </w:r>
      <w:r w:rsidR="00CD00EB">
        <w:t xml:space="preserve">. Elle soutenait </w:t>
      </w:r>
      <w:r>
        <w:t>également l</w:t>
      </w:r>
      <w:r w:rsidR="00346F1B">
        <w:t>’</w:t>
      </w:r>
      <w:r>
        <w:t>amendement de l</w:t>
      </w:r>
      <w:r w:rsidR="00346F1B">
        <w:t>’</w:t>
      </w:r>
      <w:r w:rsidR="003F5A08">
        <w:t>Inde.</w:t>
      </w:r>
    </w:p>
    <w:p w14:paraId="394CC90D" w14:textId="4D298461" w:rsidR="00DE2918" w:rsidRPr="00DE2918" w:rsidRDefault="00DE2918" w:rsidP="003F5A08">
      <w:pPr>
        <w:pStyle w:val="Orateurengris"/>
        <w:spacing w:before="120"/>
        <w:ind w:left="709" w:hanging="709"/>
      </w:pPr>
      <w:r>
        <w:t xml:space="preserve">La délégation de la </w:t>
      </w:r>
      <w:r w:rsidRPr="00DC66E7">
        <w:rPr>
          <w:b/>
        </w:rPr>
        <w:t>Zambie</w:t>
      </w:r>
      <w:r w:rsidR="00CD00EB">
        <w:t xml:space="preserve"> </w:t>
      </w:r>
      <w:r w:rsidR="003E6A02">
        <w:t>souscri</w:t>
      </w:r>
      <w:r w:rsidR="00CD00EB">
        <w:t>vai</w:t>
      </w:r>
      <w:r w:rsidR="003E6A02">
        <w:t>t aux</w:t>
      </w:r>
      <w:r w:rsidR="003F5A08">
        <w:t xml:space="preserve"> remarques de Cuba.</w:t>
      </w:r>
    </w:p>
    <w:p w14:paraId="73D1174F" w14:textId="73613F75" w:rsidR="00DC66E7" w:rsidRDefault="00DC66E7" w:rsidP="003F5A08">
      <w:pPr>
        <w:pStyle w:val="Orateurengris"/>
        <w:spacing w:before="120"/>
        <w:ind w:left="709" w:hanging="709"/>
      </w:pPr>
      <w:r>
        <w:t>Grâce aux arguments avancés par l</w:t>
      </w:r>
      <w:r w:rsidR="00346F1B">
        <w:t>’</w:t>
      </w:r>
      <w:r>
        <w:t xml:space="preserve">Inde et aux explications données par le Bangladesh, la délégation du </w:t>
      </w:r>
      <w:r w:rsidRPr="00DC66E7">
        <w:rPr>
          <w:b/>
        </w:rPr>
        <w:t>Congo</w:t>
      </w:r>
      <w:r w:rsidR="00CD00EB">
        <w:t xml:space="preserve"> soutenait </w:t>
      </w:r>
      <w:r>
        <w:t>l</w:t>
      </w:r>
      <w:r w:rsidR="00346F1B">
        <w:t>’</w:t>
      </w:r>
      <w:r>
        <w:t xml:space="preserve">inscription </w:t>
      </w:r>
      <w:r w:rsidR="00CD00EB">
        <w:t>de l</w:t>
      </w:r>
      <w:r w:rsidR="00346F1B">
        <w:t>’</w:t>
      </w:r>
      <w:r w:rsidR="00CD00EB">
        <w:t>élément qui satisfaisait le</w:t>
      </w:r>
      <w:r>
        <w:t xml:space="preserve"> critère R.5.</w:t>
      </w:r>
    </w:p>
    <w:p w14:paraId="0F949570" w14:textId="3D9C591F" w:rsidR="00DC66E7" w:rsidRPr="00DC66E7" w:rsidRDefault="00DC66E7" w:rsidP="003F5A08">
      <w:pPr>
        <w:pStyle w:val="Orateurengris"/>
        <w:spacing w:before="120"/>
        <w:ind w:left="709" w:hanging="709"/>
      </w:pPr>
      <w:r>
        <w:t>La délégation de l</w:t>
      </w:r>
      <w:r w:rsidR="00346F1B">
        <w:t>’</w:t>
      </w:r>
      <w:r w:rsidRPr="00DC66E7">
        <w:rPr>
          <w:b/>
        </w:rPr>
        <w:t>Algérie</w:t>
      </w:r>
      <w:r>
        <w:t xml:space="preserve"> soutenait l</w:t>
      </w:r>
      <w:r w:rsidR="00346F1B">
        <w:t>’</w:t>
      </w:r>
      <w:r>
        <w:t>amendement de l</w:t>
      </w:r>
      <w:r w:rsidR="00346F1B">
        <w:t>’</w:t>
      </w:r>
      <w:r>
        <w:t xml:space="preserve">Inde ainsi que les </w:t>
      </w:r>
      <w:r w:rsidR="003E6A02">
        <w:t xml:space="preserve">nuances apportées </w:t>
      </w:r>
      <w:r>
        <w:t>par Cuba qui permettaient d</w:t>
      </w:r>
      <w:r w:rsidR="00346F1B">
        <w:t>’</w:t>
      </w:r>
      <w:r>
        <w:t>exprimer que le Comité ne désapprouvait pas le travail de l</w:t>
      </w:r>
      <w:r w:rsidR="00346F1B">
        <w:t>’</w:t>
      </w:r>
      <w:r>
        <w:t>Organe d</w:t>
      </w:r>
      <w:r w:rsidR="00346F1B">
        <w:t>’</w:t>
      </w:r>
      <w:r>
        <w:t>évaluation mais qu</w:t>
      </w:r>
      <w:r w:rsidR="00346F1B">
        <w:t>’</w:t>
      </w:r>
      <w:r>
        <w:t>i</w:t>
      </w:r>
      <w:r w:rsidR="003E6A02">
        <w:t>l</w:t>
      </w:r>
      <w:r>
        <w:t xml:space="preserve"> adoptait le critère R.5 sur la base des informations </w:t>
      </w:r>
      <w:r w:rsidR="003F5A08">
        <w:t>communiquées par le Bangladesh.</w:t>
      </w:r>
    </w:p>
    <w:p w14:paraId="398A1C1B" w14:textId="3D833DB4" w:rsidR="003E6A02" w:rsidRPr="003E6A02" w:rsidRDefault="003E6A02" w:rsidP="003F5A08">
      <w:pPr>
        <w:pStyle w:val="Orateurengris"/>
        <w:spacing w:before="120"/>
        <w:ind w:left="709" w:hanging="709"/>
      </w:pPr>
      <w:r>
        <w:t>La délégation de l</w:t>
      </w:r>
      <w:r w:rsidR="00346F1B">
        <w:t>’</w:t>
      </w:r>
      <w:r w:rsidRPr="003E6A02">
        <w:rPr>
          <w:b/>
        </w:rPr>
        <w:t>Arménie</w:t>
      </w:r>
      <w:r>
        <w:t xml:space="preserve"> a félicité le Bangladesh pour sa candidature et pour ses éclaircissements complémentaires. Elle a reme</w:t>
      </w:r>
      <w:r w:rsidR="00CD00EB">
        <w:t>rcié l</w:t>
      </w:r>
      <w:r w:rsidR="00346F1B">
        <w:t>’</w:t>
      </w:r>
      <w:r w:rsidR="00CD00EB">
        <w:t>Inde pour sa proposition, demandant</w:t>
      </w:r>
      <w:r>
        <w:t xml:space="preserve"> à </w:t>
      </w:r>
      <w:r w:rsidR="00CD00EB">
        <w:t xml:space="preserve">en </w:t>
      </w:r>
      <w:r>
        <w:t xml:space="preserve">être </w:t>
      </w:r>
      <w:r w:rsidR="00CD00EB">
        <w:t xml:space="preserve">également </w:t>
      </w:r>
      <w:r w:rsidR="003F5A08">
        <w:t>coauteur.</w:t>
      </w:r>
    </w:p>
    <w:p w14:paraId="4D684D46" w14:textId="0E2E0ED0" w:rsidR="00F24EBB" w:rsidRPr="003E6A02" w:rsidRDefault="003E6A02" w:rsidP="003F5A08">
      <w:pPr>
        <w:pStyle w:val="Orateurengris"/>
        <w:spacing w:before="120"/>
        <w:ind w:left="709" w:hanging="709"/>
      </w:pPr>
      <w:r>
        <w:t>La délégation de l</w:t>
      </w:r>
      <w:r w:rsidR="00346F1B">
        <w:t>’</w:t>
      </w:r>
      <w:r w:rsidRPr="003E6A02">
        <w:rPr>
          <w:b/>
        </w:rPr>
        <w:t>Autriche</w:t>
      </w:r>
      <w:r>
        <w:t xml:space="preserve"> a remercié le Bangladesh des explications fournies et de son interprétation des informations. Elle soutenait la proposition de l</w:t>
      </w:r>
      <w:r w:rsidR="00346F1B">
        <w:t>’</w:t>
      </w:r>
      <w:r>
        <w:t>Inde. Elle était également favorable à l</w:t>
      </w:r>
      <w:r w:rsidR="00346F1B">
        <w:t>’</w:t>
      </w:r>
      <w:r>
        <w:t>insertion d</w:t>
      </w:r>
      <w:r w:rsidR="00346F1B">
        <w:t>’</w:t>
      </w:r>
      <w:r>
        <w:t>un paragraphe supplémentaire qui encouragera</w:t>
      </w:r>
      <w:r w:rsidR="00F24EBB">
        <w:t>it l</w:t>
      </w:r>
      <w:r w:rsidR="00346F1B">
        <w:t>’</w:t>
      </w:r>
      <w:r w:rsidR="00F24EBB">
        <w:t>État partie à communiquer d</w:t>
      </w:r>
      <w:r>
        <w:t xml:space="preserve">es informations concises nécessaires </w:t>
      </w:r>
      <w:r w:rsidR="00F24EBB">
        <w:t xml:space="preserve">à </w:t>
      </w:r>
      <w:r>
        <w:t>l</w:t>
      </w:r>
      <w:r w:rsidR="00346F1B">
        <w:t>’</w:t>
      </w:r>
      <w:r>
        <w:t>évaluation du cri</w:t>
      </w:r>
      <w:r w:rsidR="00F24EBB">
        <w:t>tère R.5. C</w:t>
      </w:r>
      <w:r>
        <w:t xml:space="preserve">ependant, </w:t>
      </w:r>
      <w:r w:rsidR="00F24EBB">
        <w:t>la délégation maintenait que les informations fournies par le Bangladesh n</w:t>
      </w:r>
      <w:r w:rsidR="00346F1B">
        <w:t>’</w:t>
      </w:r>
      <w:r w:rsidR="00F24EBB">
        <w:t>étaient pas nouvelles car l</w:t>
      </w:r>
      <w:r w:rsidR="00346F1B">
        <w:t>’</w:t>
      </w:r>
      <w:r w:rsidR="00F24EBB">
        <w:t>Organe d</w:t>
      </w:r>
      <w:r w:rsidR="00346F1B">
        <w:t>’</w:t>
      </w:r>
      <w:r w:rsidR="00F24EBB">
        <w:t>évaluation avait été très clair, la réunion du Comité n</w:t>
      </w:r>
      <w:r w:rsidR="00346F1B">
        <w:t>’</w:t>
      </w:r>
      <w:r w:rsidR="00F24EBB">
        <w:t>était pas le lieu pour soumettre de nouvelles informations mais pour donner des éclaircissements ou des interprétations à propos d</w:t>
      </w:r>
      <w:r w:rsidR="00346F1B">
        <w:t>’</w:t>
      </w:r>
      <w:r w:rsidR="00F24EBB">
        <w:t>informations déjà contenues dans le dossier. La délégation a donc mis en garde le Comité lui rappelant qu</w:t>
      </w:r>
      <w:r w:rsidR="00346F1B">
        <w:t>’</w:t>
      </w:r>
      <w:r w:rsidR="00F24EBB">
        <w:t>il formulait le paragraphe et son jugement sur la base du dossier soumis et évalué par l</w:t>
      </w:r>
      <w:r w:rsidR="00346F1B">
        <w:t>’</w:t>
      </w:r>
      <w:r w:rsidR="00F24EBB">
        <w:t>Organe d</w:t>
      </w:r>
      <w:r w:rsidR="00346F1B">
        <w:t>’</w:t>
      </w:r>
      <w:r w:rsidR="00365A02">
        <w:t>évaluation.</w:t>
      </w:r>
    </w:p>
    <w:p w14:paraId="6B8BCA1C" w14:textId="15BC6C0E" w:rsidR="00F24EBB" w:rsidRPr="00F24EBB" w:rsidRDefault="00F24EBB" w:rsidP="003F5A08">
      <w:pPr>
        <w:pStyle w:val="Orateurengris"/>
        <w:spacing w:before="120"/>
        <w:ind w:left="709" w:hanging="709"/>
      </w:pPr>
      <w:r>
        <w:t xml:space="preserve">La délégation de la </w:t>
      </w:r>
      <w:r w:rsidRPr="00280768">
        <w:rPr>
          <w:b/>
        </w:rPr>
        <w:t>Mongolie</w:t>
      </w:r>
      <w:r>
        <w:t xml:space="preserve"> soutenait l</w:t>
      </w:r>
      <w:r w:rsidR="00346F1B">
        <w:t>’</w:t>
      </w:r>
      <w:r>
        <w:t>amendement de l</w:t>
      </w:r>
      <w:r w:rsidR="00346F1B">
        <w:t>’</w:t>
      </w:r>
      <w:r>
        <w:t xml:space="preserve">Inde sur le critère R.5 et acceptait les explications du Bangladesh, </w:t>
      </w:r>
      <w:r w:rsidR="00280768">
        <w:t>ainsi que la proposition de Cuba en faveur d</w:t>
      </w:r>
      <w:r w:rsidR="00346F1B">
        <w:t>’</w:t>
      </w:r>
      <w:r w:rsidR="003F5A08">
        <w:t>un paragraphe additionnel.</w:t>
      </w:r>
    </w:p>
    <w:p w14:paraId="370208A4" w14:textId="65292EF2" w:rsidR="00280768" w:rsidRPr="00280768" w:rsidRDefault="00280768" w:rsidP="003F5A08">
      <w:pPr>
        <w:pStyle w:val="Orateurengris"/>
        <w:spacing w:before="120"/>
        <w:ind w:left="709" w:hanging="709"/>
      </w:pPr>
      <w:r>
        <w:t xml:space="preserve">La délégation de la </w:t>
      </w:r>
      <w:r w:rsidRPr="00280768">
        <w:rPr>
          <w:b/>
        </w:rPr>
        <w:t>Côte d</w:t>
      </w:r>
      <w:r w:rsidR="00346F1B">
        <w:rPr>
          <w:b/>
        </w:rPr>
        <w:t>’</w:t>
      </w:r>
      <w:r w:rsidRPr="00280768">
        <w:rPr>
          <w:b/>
        </w:rPr>
        <w:t>Ivoire</w:t>
      </w:r>
      <w:r>
        <w:t xml:space="preserve"> </w:t>
      </w:r>
      <w:r w:rsidR="00DD0667">
        <w:t xml:space="preserve">a dit souscrire </w:t>
      </w:r>
      <w:r>
        <w:t>à la proposition de l</w:t>
      </w:r>
      <w:r w:rsidR="00346F1B">
        <w:t>’</w:t>
      </w:r>
      <w:r>
        <w:t>Inde et de Cuba, ainsi qu</w:t>
      </w:r>
      <w:r w:rsidR="00346F1B">
        <w:t>’</w:t>
      </w:r>
      <w:r w:rsidR="00DD0667">
        <w:t>aux remarques formulées par l</w:t>
      </w:r>
      <w:r w:rsidR="00346F1B">
        <w:t>’</w:t>
      </w:r>
      <w:r w:rsidR="00DD0667">
        <w:t xml:space="preserve">Autriche. Le Bangladesh avait fort bien </w:t>
      </w:r>
      <w:r w:rsidR="00CD00EB">
        <w:t xml:space="preserve">précisé les </w:t>
      </w:r>
      <w:r w:rsidR="00DD0667">
        <w:t>informations qui étaient déjà contenues dans le dossier et n</w:t>
      </w:r>
      <w:r w:rsidR="00346F1B">
        <w:t>’</w:t>
      </w:r>
      <w:r w:rsidR="003F5A08">
        <w:t>étaient pas nouvelles.</w:t>
      </w:r>
    </w:p>
    <w:p w14:paraId="5AF25469" w14:textId="6DD0D6D1" w:rsidR="00DD0667" w:rsidRPr="00DD0667" w:rsidRDefault="00DD0667" w:rsidP="003F5A08">
      <w:pPr>
        <w:pStyle w:val="Orateurengris"/>
        <w:spacing w:before="120"/>
        <w:ind w:left="709" w:hanging="709"/>
      </w:pPr>
      <w:r>
        <w:t xml:space="preserve">La délégation du </w:t>
      </w:r>
      <w:r w:rsidRPr="00DD0667">
        <w:rPr>
          <w:b/>
        </w:rPr>
        <w:t>Liban</w:t>
      </w:r>
      <w:r>
        <w:t xml:space="preserve"> a remercié le Bangladesh de ses expl</w:t>
      </w:r>
      <w:r w:rsidR="00CD00EB">
        <w:t>ications sur le critère R.5. Elle apportait</w:t>
      </w:r>
      <w:r>
        <w:t xml:space="preserve"> son soutien </w:t>
      </w:r>
      <w:r w:rsidR="006D483A">
        <w:t xml:space="preserve">résolu </w:t>
      </w:r>
      <w:r>
        <w:t>à l</w:t>
      </w:r>
      <w:r w:rsidR="00346F1B">
        <w:t>’</w:t>
      </w:r>
      <w:r>
        <w:t>amendement de l</w:t>
      </w:r>
      <w:r w:rsidR="00346F1B">
        <w:t>’</w:t>
      </w:r>
      <w:r w:rsidR="003F5A08">
        <w:t>Inde à ce sujet.</w:t>
      </w:r>
    </w:p>
    <w:p w14:paraId="04AA0424" w14:textId="5A6EFC18" w:rsidR="00DD0667" w:rsidRPr="00DD0667" w:rsidRDefault="006D483A" w:rsidP="003F5A08">
      <w:pPr>
        <w:pStyle w:val="Orateurengris"/>
        <w:spacing w:before="120"/>
        <w:ind w:left="709" w:hanging="709"/>
      </w:pPr>
      <w:r>
        <w:t xml:space="preserve">La délégation de la </w:t>
      </w:r>
      <w:r w:rsidRPr="006D483A">
        <w:rPr>
          <w:b/>
        </w:rPr>
        <w:t>Bulgarie</w:t>
      </w:r>
      <w:r>
        <w:t xml:space="preserve"> a félicité le Bangladesh pour les informations claires et détaillées qu</w:t>
      </w:r>
      <w:r w:rsidR="00346F1B">
        <w:t>’</w:t>
      </w:r>
      <w:r>
        <w:t>il avait communiquées. Elle soutenait également l</w:t>
      </w:r>
      <w:r w:rsidR="00346F1B">
        <w:t>’</w:t>
      </w:r>
      <w:r>
        <w:t>amendement proposé par l</w:t>
      </w:r>
      <w:r w:rsidR="00346F1B">
        <w:t>’</w:t>
      </w:r>
      <w:r>
        <w:t>Inde sur le critère R.5.</w:t>
      </w:r>
    </w:p>
    <w:p w14:paraId="4FD09655" w14:textId="1CB0CCC1" w:rsidR="006D483A" w:rsidRPr="006D483A" w:rsidRDefault="006D483A" w:rsidP="003F5A08">
      <w:pPr>
        <w:pStyle w:val="Orateurengris"/>
        <w:spacing w:before="120"/>
        <w:ind w:left="709" w:hanging="709"/>
      </w:pPr>
      <w:r>
        <w:t xml:space="preserve">La délégation de </w:t>
      </w:r>
      <w:r w:rsidRPr="006D483A">
        <w:rPr>
          <w:b/>
        </w:rPr>
        <w:t>Sainte-Lucie</w:t>
      </w:r>
      <w:r>
        <w:t xml:space="preserve"> a félicité le Bangladesh pour sa candidature et les éclaircissements apportés. Elle </w:t>
      </w:r>
      <w:r w:rsidR="00CD00EB">
        <w:t xml:space="preserve">soutenait </w:t>
      </w:r>
      <w:r>
        <w:t>l</w:t>
      </w:r>
      <w:r w:rsidR="00346F1B">
        <w:t>’</w:t>
      </w:r>
      <w:r>
        <w:t xml:space="preserve">Inde pour son amendement. Elle </w:t>
      </w:r>
      <w:r w:rsidR="00CD00EB">
        <w:t xml:space="preserve">appuyait </w:t>
      </w:r>
      <w:r>
        <w:t>également la proposition de Cuba visant à insérer un paragraphe supplémentaire qui décrirait le processus suivi ayant permis de parvenir à une position favorable à l</w:t>
      </w:r>
      <w:r w:rsidR="00346F1B">
        <w:t>’</w:t>
      </w:r>
      <w:r w:rsidR="003F5A08">
        <w:t>inscription.</w:t>
      </w:r>
    </w:p>
    <w:p w14:paraId="6DE132C2" w14:textId="38B8A952" w:rsidR="006D483A" w:rsidRPr="006D483A" w:rsidRDefault="006D483A" w:rsidP="003F5A08">
      <w:pPr>
        <w:pStyle w:val="Orateurengris"/>
        <w:spacing w:before="120"/>
        <w:ind w:left="709" w:hanging="709"/>
      </w:pPr>
      <w:r>
        <w:t xml:space="preserve">La délégation de la </w:t>
      </w:r>
      <w:r w:rsidRPr="006D483A">
        <w:rPr>
          <w:b/>
        </w:rPr>
        <w:t>République de Corée</w:t>
      </w:r>
      <w:r w:rsidR="00CD00EB">
        <w:t xml:space="preserve"> souhaitait</w:t>
      </w:r>
      <w:r>
        <w:t xml:space="preserve"> ajouter son nom à la liste des coauteurs de l</w:t>
      </w:r>
      <w:r w:rsidR="00346F1B">
        <w:t>’</w:t>
      </w:r>
      <w:r>
        <w:t>amendement.</w:t>
      </w:r>
    </w:p>
    <w:p w14:paraId="344BF904" w14:textId="1247DEBF" w:rsidR="006D483A" w:rsidRPr="006D483A" w:rsidRDefault="006D483A" w:rsidP="003F5A08">
      <w:pPr>
        <w:pStyle w:val="Orateurengris"/>
        <w:spacing w:before="120"/>
        <w:ind w:left="709" w:hanging="709"/>
      </w:pPr>
      <w:r>
        <w:t xml:space="preserve">La délégation de </w:t>
      </w:r>
      <w:r w:rsidRPr="006D483A">
        <w:rPr>
          <w:b/>
        </w:rPr>
        <w:t>Chypre</w:t>
      </w:r>
      <w:r>
        <w:t xml:space="preserve"> a félicité le Bangladesh pour ses explica</w:t>
      </w:r>
      <w:r w:rsidR="00686922">
        <w:t>tions, ajoutant qu</w:t>
      </w:r>
      <w:r w:rsidR="00346F1B">
        <w:t>’</w:t>
      </w:r>
      <w:r w:rsidR="00686922">
        <w:t>elle souscrivait à la proposition d</w:t>
      </w:r>
      <w:r w:rsidR="00346F1B">
        <w:t>’</w:t>
      </w:r>
      <w:r>
        <w:t>inscription de l</w:t>
      </w:r>
      <w:r w:rsidR="00346F1B">
        <w:t>’</w:t>
      </w:r>
      <w:r>
        <w:t>élément. Toutefois, le Comité n</w:t>
      </w:r>
      <w:r w:rsidR="00346F1B">
        <w:t>’</w:t>
      </w:r>
      <w:r>
        <w:t xml:space="preserve">aurait pas été confronté à une telle situation </w:t>
      </w:r>
      <w:r w:rsidR="00686922">
        <w:t>s</w:t>
      </w:r>
      <w:r w:rsidR="00346F1B">
        <w:t>’</w:t>
      </w:r>
      <w:r w:rsidR="00686922">
        <w:t xml:space="preserve">il y avait eu </w:t>
      </w:r>
      <w:r>
        <w:t>un dialogue entre l</w:t>
      </w:r>
      <w:r w:rsidR="00346F1B">
        <w:t>’</w:t>
      </w:r>
      <w:r>
        <w:t>Organe d</w:t>
      </w:r>
      <w:r w:rsidR="00346F1B">
        <w:t>’</w:t>
      </w:r>
      <w:r>
        <w:t>évaluation et l</w:t>
      </w:r>
      <w:r w:rsidR="00346F1B">
        <w:t>’</w:t>
      </w:r>
      <w:r w:rsidR="003F5A08">
        <w:t>État partie.</w:t>
      </w:r>
    </w:p>
    <w:p w14:paraId="1DB1BCD0" w14:textId="434D38CC" w:rsidR="00686922" w:rsidRPr="00686922" w:rsidRDefault="00686922" w:rsidP="003F5A08">
      <w:pPr>
        <w:pStyle w:val="Orateurengris"/>
        <w:spacing w:before="120"/>
        <w:ind w:left="709" w:hanging="709"/>
      </w:pPr>
      <w:r w:rsidRPr="00686922">
        <w:t>En l</w:t>
      </w:r>
      <w:r w:rsidR="00346F1B">
        <w:t>’</w:t>
      </w:r>
      <w:r w:rsidRPr="00686922">
        <w:t>absence d</w:t>
      </w:r>
      <w:r w:rsidR="00346F1B">
        <w:t>’</w:t>
      </w:r>
      <w:r w:rsidRPr="00686922">
        <w:t xml:space="preserve">autres commentaires, le </w:t>
      </w:r>
      <w:r w:rsidRPr="00686922">
        <w:rPr>
          <w:b/>
        </w:rPr>
        <w:t>Président</w:t>
      </w:r>
      <w:r w:rsidRPr="00686922">
        <w:t xml:space="preserve"> a procédé à l</w:t>
      </w:r>
      <w:r w:rsidR="00346F1B">
        <w:t>’</w:t>
      </w:r>
      <w:r>
        <w:t>adoption de la partie du</w:t>
      </w:r>
      <w:r w:rsidRPr="00686922">
        <w:t xml:space="preserve"> paragraphe</w:t>
      </w:r>
      <w:r>
        <w:t xml:space="preserve"> 2 </w:t>
      </w:r>
      <w:r w:rsidRPr="00686922">
        <w:t>sur le critère R.5 ainsi rédigé : « L</w:t>
      </w:r>
      <w:r w:rsidR="00346F1B">
        <w:t>’</w:t>
      </w:r>
      <w:r w:rsidRPr="00686922">
        <w:t>élément a été inclus dans une étude sur le patrimoine culturel matériel et immatériel du Bangladesh préparée par la Société asiatique du Bangladesh pour le ministère des Affaires culturelles, comme faisant partie de la célébration du Pahela Baishakh. Cette étude est considérée comme l</w:t>
      </w:r>
      <w:r w:rsidR="00346F1B">
        <w:t>’</w:t>
      </w:r>
      <w:r w:rsidRPr="00686922">
        <w:t>inventaire du patrimoine culturel immatériel du Bangladesh. Il est tenu et mis à jour par le ministère des Affaires culturelles du Banglades</w:t>
      </w:r>
      <w:r w:rsidR="008B61D4">
        <w:t xml:space="preserve">h. » qui a été </w:t>
      </w:r>
      <w:r w:rsidR="008052AC">
        <w:t>dûment</w:t>
      </w:r>
      <w:r w:rsidR="008B61D4">
        <w:t xml:space="preserve"> adopté. Il</w:t>
      </w:r>
      <w:r w:rsidRPr="00686922">
        <w:t xml:space="preserve"> est alors passé au nouveau paragraphe 3, tel que proposé par l</w:t>
      </w:r>
      <w:r w:rsidR="00346F1B">
        <w:t>’</w:t>
      </w:r>
      <w:r w:rsidRPr="00686922">
        <w:t>Inde et la Turquie et ainsi rédigé : « d</w:t>
      </w:r>
      <w:r w:rsidR="00346F1B">
        <w:t>’</w:t>
      </w:r>
      <w:r w:rsidRPr="00686922">
        <w:t>inscrire la Mangal Shobhajatra du Pahela Baishakh sur la</w:t>
      </w:r>
      <w:r>
        <w:t xml:space="preserve"> Liste représentative du patrimoine culturel</w:t>
      </w:r>
      <w:r w:rsidR="001E571E">
        <w:t xml:space="preserve"> immatériel de l</w:t>
      </w:r>
      <w:r w:rsidR="00346F1B">
        <w:t>’</w:t>
      </w:r>
      <w:r w:rsidR="003F5A08">
        <w:t>humanité. »</w:t>
      </w:r>
      <w:r w:rsidR="00365A02">
        <w:t>.</w:t>
      </w:r>
    </w:p>
    <w:p w14:paraId="5190905A" w14:textId="23DC756E" w:rsidR="001E571E" w:rsidRPr="001E571E" w:rsidRDefault="001E571E" w:rsidP="003F5A08">
      <w:pPr>
        <w:pStyle w:val="Orateurengris"/>
        <w:spacing w:before="120"/>
        <w:ind w:left="709" w:hanging="709"/>
      </w:pPr>
      <w:r>
        <w:t xml:space="preserve">La délégation de la </w:t>
      </w:r>
      <w:r w:rsidRPr="001E571E">
        <w:rPr>
          <w:b/>
        </w:rPr>
        <w:t>Palestine</w:t>
      </w:r>
      <w:r w:rsidR="00CD00EB">
        <w:t xml:space="preserve"> souhaitait </w:t>
      </w:r>
      <w:r>
        <w:t xml:space="preserve">également </w:t>
      </w:r>
      <w:r w:rsidR="00E96F2F">
        <w:t xml:space="preserve">ajouter son nom à la liste des </w:t>
      </w:r>
      <w:r>
        <w:t>coauteur</w:t>
      </w:r>
      <w:r w:rsidR="00E96F2F">
        <w:t>s</w:t>
      </w:r>
      <w:r>
        <w:t xml:space="preserve"> de l</w:t>
      </w:r>
      <w:r w:rsidR="00346F1B">
        <w:t>’</w:t>
      </w:r>
      <w:r>
        <w:t xml:space="preserve">amendement </w:t>
      </w:r>
      <w:r w:rsidR="00E96F2F">
        <w:t xml:space="preserve">au </w:t>
      </w:r>
      <w:r w:rsidR="003F5A08">
        <w:t>côté</w:t>
      </w:r>
      <w:r w:rsidR="00E96F2F">
        <w:t xml:space="preserve"> de </w:t>
      </w:r>
      <w:r>
        <w:t>l</w:t>
      </w:r>
      <w:r w:rsidR="00346F1B">
        <w:t>’</w:t>
      </w:r>
      <w:r w:rsidR="003F5A08">
        <w:t>Inde et la Turquie.</w:t>
      </w:r>
    </w:p>
    <w:p w14:paraId="2339B142" w14:textId="04660E19" w:rsidR="00BE218C" w:rsidRPr="00BE218C" w:rsidRDefault="00BE218C" w:rsidP="003F5A08">
      <w:pPr>
        <w:pStyle w:val="Orateurengris"/>
        <w:spacing w:before="120"/>
        <w:ind w:left="709" w:hanging="709"/>
      </w:pPr>
      <w:r>
        <w:t xml:space="preserve">La </w:t>
      </w:r>
      <w:r w:rsidRPr="00BE218C">
        <w:rPr>
          <w:b/>
        </w:rPr>
        <w:t>Hongrie</w:t>
      </w:r>
      <w:r w:rsidR="00CD00EB">
        <w:t xml:space="preserve"> appuyait </w:t>
      </w:r>
      <w:r>
        <w:t>le paragraphe 3 et l</w:t>
      </w:r>
      <w:r w:rsidR="00346F1B">
        <w:t>’</w:t>
      </w:r>
      <w:r>
        <w:t>inscription de l</w:t>
      </w:r>
      <w:r w:rsidR="00346F1B">
        <w:t>’</w:t>
      </w:r>
      <w:r>
        <w:t>élément à la lumière de la dernière partie du paragra</w:t>
      </w:r>
      <w:r w:rsidR="003F5A08">
        <w:t>phe 2 consacrée au critère R.5.</w:t>
      </w:r>
    </w:p>
    <w:p w14:paraId="138C2BC5" w14:textId="4D6CB6FC" w:rsidR="004B3991" w:rsidRPr="00BE218C" w:rsidRDefault="00BE218C" w:rsidP="003F5A08">
      <w:pPr>
        <w:pStyle w:val="Orateurengris"/>
        <w:spacing w:before="120"/>
        <w:ind w:left="709" w:hanging="709"/>
      </w:pPr>
      <w:r w:rsidRPr="00BE218C">
        <w:t>Avant de passer à l</w:t>
      </w:r>
      <w:r w:rsidR="00346F1B">
        <w:t>’</w:t>
      </w:r>
      <w:r w:rsidRPr="00BE218C">
        <w:t xml:space="preserve">adoption de la décision </w:t>
      </w:r>
      <w:r>
        <w:t xml:space="preserve">dans son ensemble, et par souci de cohérence, la délégation de </w:t>
      </w:r>
      <w:r w:rsidRPr="00BE218C">
        <w:rPr>
          <w:b/>
        </w:rPr>
        <w:t>Cuba</w:t>
      </w:r>
      <w:r w:rsidR="00CD00EB">
        <w:t xml:space="preserve"> souhaitait</w:t>
      </w:r>
      <w:r>
        <w:t xml:space="preserve"> ajouter un nouveau paragraphe ainsi rédigé « Remercie la délégation du Bangladesh des éclaircissements apportés au Comité sur les informations contenues dans le dossier à propos du critère R.5 ». Elle appuyait l</w:t>
      </w:r>
      <w:r w:rsidR="00346F1B">
        <w:t>’</w:t>
      </w:r>
      <w:r>
        <w:t>amendement en faveur de l</w:t>
      </w:r>
      <w:r w:rsidR="00346F1B">
        <w:t>’</w:t>
      </w:r>
      <w:r>
        <w:t xml:space="preserve">inscription mais estimait que ce paragraphe </w:t>
      </w:r>
      <w:r w:rsidR="004B3991">
        <w:t xml:space="preserve">additionnel </w:t>
      </w:r>
      <w:r>
        <w:t xml:space="preserve">refléterait de façon plus précise </w:t>
      </w:r>
      <w:r w:rsidR="004B3991">
        <w:t>ce qui s</w:t>
      </w:r>
      <w:r w:rsidR="00346F1B">
        <w:t>’</w:t>
      </w:r>
      <w:r w:rsidR="004B3991">
        <w:t>était passé pendant le débat. En outre, elle avait le sentiment, comme l</w:t>
      </w:r>
      <w:r w:rsidR="00346F1B">
        <w:t>’</w:t>
      </w:r>
      <w:r w:rsidR="004B3991">
        <w:t>avait déjà exprimé Chypre, qu</w:t>
      </w:r>
      <w:r w:rsidR="00346F1B">
        <w:t>’</w:t>
      </w:r>
      <w:r w:rsidR="004B3991">
        <w:t>à un certain moment, il conviendrait que le Comité ait une réflexion approfondie sur la relation entre le Secrétariat, l</w:t>
      </w:r>
      <w:r w:rsidR="00346F1B">
        <w:t>’</w:t>
      </w:r>
      <w:r w:rsidR="004B3991">
        <w:t>Organe d</w:t>
      </w:r>
      <w:r w:rsidR="00346F1B">
        <w:t>’</w:t>
      </w:r>
      <w:r w:rsidR="004B3991">
        <w:t>évaluation et le Comité lui-même. Ce qui signifierait que les informations pourraient être obtenues plus tôt de la part des États parties, permettant ainsi une évaluation plus objective des candidatures pendant les sessions du Comité.</w:t>
      </w:r>
    </w:p>
    <w:p w14:paraId="08A4A9C0" w14:textId="1F172C47" w:rsidR="004B3991" w:rsidRPr="004B3991" w:rsidRDefault="004B3991" w:rsidP="003F5A08">
      <w:pPr>
        <w:pStyle w:val="Orateurengris"/>
        <w:spacing w:before="120"/>
        <w:ind w:left="709" w:hanging="709"/>
      </w:pPr>
      <w:r w:rsidRPr="004B3991">
        <w:t xml:space="preserve">Le </w:t>
      </w:r>
      <w:r w:rsidRPr="004B3991">
        <w:rPr>
          <w:b/>
        </w:rPr>
        <w:t>Président</w:t>
      </w:r>
      <w:r w:rsidRPr="004B3991">
        <w:t xml:space="preserve"> a fait remarquer </w:t>
      </w:r>
      <w:r>
        <w:t>que la pratique courante était de procéder à l</w:t>
      </w:r>
      <w:r w:rsidR="00346F1B">
        <w:t>’</w:t>
      </w:r>
      <w:r>
        <w:t xml:space="preserve">adoption de la décision </w:t>
      </w:r>
      <w:r w:rsidR="001F77FB">
        <w:t xml:space="preserve">une fois </w:t>
      </w:r>
      <w:r>
        <w:t>les critères</w:t>
      </w:r>
      <w:r w:rsidR="001F77FB">
        <w:t xml:space="preserve"> adoptés. Ensuite, on remercierait l</w:t>
      </w:r>
      <w:r w:rsidR="00346F1B">
        <w:t>’</w:t>
      </w:r>
      <w:r w:rsidR="001F77FB">
        <w:t>État partie. La proposition de Cuba serait donc soumise après l</w:t>
      </w:r>
      <w:r w:rsidR="00346F1B">
        <w:t>’</w:t>
      </w:r>
      <w:r w:rsidR="001F77FB">
        <w:t>adoption de la décision</w:t>
      </w:r>
      <w:r w:rsidR="00833C35">
        <w:t xml:space="preserve"> d</w:t>
      </w:r>
      <w:r w:rsidR="00346F1B">
        <w:t>’</w:t>
      </w:r>
      <w:r w:rsidR="00833C35">
        <w:t>inscrire. L</w:t>
      </w:r>
      <w:r w:rsidR="00346F1B">
        <w:t>’</w:t>
      </w:r>
      <w:r w:rsidR="00833C35">
        <w:t>Algérie a propos</w:t>
      </w:r>
      <w:r w:rsidR="001F77FB">
        <w:t>é une motion d</w:t>
      </w:r>
      <w:r w:rsidR="00346F1B">
        <w:t>’</w:t>
      </w:r>
      <w:r w:rsidR="003F5A08">
        <w:t>ordre.</w:t>
      </w:r>
    </w:p>
    <w:p w14:paraId="19C9F3A7" w14:textId="1E631277" w:rsidR="00BF3AFD" w:rsidRPr="001F77FB" w:rsidRDefault="001F77FB" w:rsidP="003F5A08">
      <w:pPr>
        <w:pStyle w:val="Orateurengris"/>
        <w:spacing w:before="120"/>
        <w:ind w:left="709" w:hanging="709"/>
      </w:pPr>
      <w:r>
        <w:t>La délégation de l</w:t>
      </w:r>
      <w:r w:rsidR="00346F1B">
        <w:t>’</w:t>
      </w:r>
      <w:r w:rsidRPr="001F77FB">
        <w:rPr>
          <w:b/>
        </w:rPr>
        <w:t>Algérie</w:t>
      </w:r>
      <w:r>
        <w:t xml:space="preserve"> a dit partager l</w:t>
      </w:r>
      <w:r w:rsidR="00346F1B">
        <w:t>’</w:t>
      </w:r>
      <w:r>
        <w:t>approche du Président, à savoir remercier le pays après l</w:t>
      </w:r>
      <w:r w:rsidR="00346F1B">
        <w:t>’</w:t>
      </w:r>
      <w:r>
        <w:t>adoption de la décision. Toutefois, elle comprenait également les préoccupations de Cuba quant à une interprétation erronée des événements. La délégation avait donc le sentiment qu</w:t>
      </w:r>
      <w:r w:rsidR="00346F1B">
        <w:t>’</w:t>
      </w:r>
      <w:r>
        <w:t>il serait plus judicieux de placer le paragraphe 3 avant l</w:t>
      </w:r>
      <w:r w:rsidR="00346F1B">
        <w:t>’</w:t>
      </w:r>
      <w:r>
        <w:t>explication sur le critère R.5, comme dans la décision d</w:t>
      </w:r>
      <w:r w:rsidR="00346F1B">
        <w:t>’</w:t>
      </w:r>
      <w:r>
        <w:t xml:space="preserve">origine. </w:t>
      </w:r>
      <w:r w:rsidR="00BF3AFD">
        <w:t>Cela permettrait ainsi de faire une distinction entre la recommandation de l</w:t>
      </w:r>
      <w:r w:rsidR="00346F1B">
        <w:t>’</w:t>
      </w:r>
      <w:r w:rsidR="00BF3AFD">
        <w:t>Organe d</w:t>
      </w:r>
      <w:r w:rsidR="00346F1B">
        <w:t>’</w:t>
      </w:r>
      <w:r w:rsidR="002567C8">
        <w:t xml:space="preserve">évaluation et la décision des </w:t>
      </w:r>
      <w:r w:rsidR="00A46CAD">
        <w:t>membres du Comité</w:t>
      </w:r>
      <w:r w:rsidR="00BF3AFD">
        <w:t xml:space="preserve"> suite au débat. La délégation a demandé au Comité d</w:t>
      </w:r>
      <w:r w:rsidR="00346F1B">
        <w:t>’</w:t>
      </w:r>
      <w:r w:rsidR="00BF3AFD">
        <w:t>y réfléchir soigneusement lors de l</w:t>
      </w:r>
      <w:r w:rsidR="00346F1B">
        <w:t>’</w:t>
      </w:r>
      <w:r w:rsidR="00BF3AFD">
        <w:t xml:space="preserve">adoption de la décision car cela constituerait par la suite une forme de jurisprudence. À cette fin, la délégation </w:t>
      </w:r>
      <w:r w:rsidR="004523FA">
        <w:t>proposait</w:t>
      </w:r>
      <w:r w:rsidR="00BF3AFD">
        <w:t xml:space="preserve"> un amendement ainsi rédigé : « Décide en outre qu</w:t>
      </w:r>
      <w:r w:rsidR="00346F1B">
        <w:t>’</w:t>
      </w:r>
      <w:r w:rsidR="00BF3AFD">
        <w:t>après avoir pris en compte les clarifications apportées par l</w:t>
      </w:r>
      <w:r w:rsidR="00346F1B">
        <w:t>’</w:t>
      </w:r>
      <w:r w:rsidR="00BF3AFD">
        <w:t>État soumissionnaire, le critère suivant est satisfait : » Ainsi, on établirait clairement la distinction entre la recommandation de l</w:t>
      </w:r>
      <w:r w:rsidR="00346F1B">
        <w:t>’</w:t>
      </w:r>
      <w:r w:rsidR="00BF3AFD">
        <w:t>Organe d</w:t>
      </w:r>
      <w:r w:rsidR="00346F1B">
        <w:t>’</w:t>
      </w:r>
      <w:r w:rsidR="00BF3AFD">
        <w:t>évaluation et l</w:t>
      </w:r>
      <w:r w:rsidR="00346F1B">
        <w:t>’</w:t>
      </w:r>
      <w:r w:rsidR="00BF3AFD">
        <w:t xml:space="preserve">adoption par le Comité, sans </w:t>
      </w:r>
      <w:r w:rsidR="00FE7880">
        <w:t xml:space="preserve">pour autant </w:t>
      </w:r>
      <w:r w:rsidR="00BF3AFD">
        <w:t>désavouer l</w:t>
      </w:r>
      <w:r w:rsidR="00346F1B">
        <w:t>’</w:t>
      </w:r>
      <w:r w:rsidR="00BF3AFD">
        <w:t>Organe d</w:t>
      </w:r>
      <w:r w:rsidR="00346F1B">
        <w:t>’</w:t>
      </w:r>
      <w:r w:rsidR="00BF3AFD">
        <w:t>évaluation et en mettant en évidence les discussions du Comité à propos du critère R.5.</w:t>
      </w:r>
    </w:p>
    <w:p w14:paraId="730C0FBA" w14:textId="680705D2" w:rsidR="00FE7880" w:rsidRPr="00FE7880" w:rsidRDefault="00FE7880" w:rsidP="003F5A08">
      <w:pPr>
        <w:pStyle w:val="Orateurengris"/>
        <w:spacing w:before="120"/>
        <w:ind w:left="709" w:hanging="709"/>
      </w:pPr>
      <w:r>
        <w:t xml:space="preserve">La délégation de </w:t>
      </w:r>
      <w:r w:rsidRPr="00FE7880">
        <w:rPr>
          <w:b/>
        </w:rPr>
        <w:t>Cuba</w:t>
      </w:r>
      <w:r w:rsidR="004523FA">
        <w:t xml:space="preserve"> reconnaissait </w:t>
      </w:r>
      <w:r>
        <w:t>que la proposition de l</w:t>
      </w:r>
      <w:r w:rsidR="00346F1B">
        <w:t>’</w:t>
      </w:r>
      <w:r>
        <w:t>Algérie améliorait son propre amendement. Toutefois, il convenait également de préciser que les éclaircissements avaient été apportés par l</w:t>
      </w:r>
      <w:r w:rsidR="00346F1B">
        <w:t>’</w:t>
      </w:r>
      <w:r>
        <w:t>État soumissionnaire au Comité pendant la session, c.-à-d. les informations n</w:t>
      </w:r>
      <w:r w:rsidR="00346F1B">
        <w:t>’</w:t>
      </w:r>
      <w:r>
        <w:t>avaient été transmises ni par courrier électronique, ni à l</w:t>
      </w:r>
      <w:r w:rsidR="00346F1B">
        <w:t>’</w:t>
      </w:r>
      <w:r>
        <w:t>Organe d</w:t>
      </w:r>
      <w:r w:rsidR="00346F1B">
        <w:t>’</w:t>
      </w:r>
      <w:r>
        <w:t>évaluation, ni à un autre moment de l</w:t>
      </w:r>
      <w:r w:rsidR="00346F1B">
        <w:t>’</w:t>
      </w:r>
      <w:r>
        <w:t>évaluation. Le paragraphe additionnel devait ainsi confirmer que les éclaircissements avaient été p</w:t>
      </w:r>
      <w:r w:rsidR="003F5A08">
        <w:t>résentés directement au Comité.</w:t>
      </w:r>
    </w:p>
    <w:p w14:paraId="7C9F1A1A" w14:textId="1D17D90A" w:rsidR="00FE7880" w:rsidRPr="00FE7880" w:rsidRDefault="00FE7880" w:rsidP="003F5A08">
      <w:pPr>
        <w:pStyle w:val="Orateurengris"/>
        <w:spacing w:before="120"/>
        <w:ind w:left="709" w:hanging="709"/>
      </w:pPr>
      <w:r>
        <w:t xml:space="preserve">La délégation de </w:t>
      </w:r>
      <w:r w:rsidRPr="00FE7880">
        <w:rPr>
          <w:b/>
        </w:rPr>
        <w:t>l</w:t>
      </w:r>
      <w:r w:rsidR="00346F1B">
        <w:rPr>
          <w:b/>
        </w:rPr>
        <w:t>’</w:t>
      </w:r>
      <w:r w:rsidRPr="00FE7880">
        <w:rPr>
          <w:b/>
        </w:rPr>
        <w:t>Arménie</w:t>
      </w:r>
      <w:r w:rsidR="004523FA">
        <w:t xml:space="preserve"> souhaitait</w:t>
      </w:r>
      <w:r>
        <w:t xml:space="preserve"> ajouter son nom au paragraphe sur l</w:t>
      </w:r>
      <w:r w:rsidR="00346F1B">
        <w:t>’</w:t>
      </w:r>
      <w:r w:rsidR="003F5A08">
        <w:t>inscription.</w:t>
      </w:r>
    </w:p>
    <w:p w14:paraId="63724958" w14:textId="1AC9E7C2" w:rsidR="00FE7880" w:rsidRDefault="00FE7880" w:rsidP="003F5A08">
      <w:pPr>
        <w:pStyle w:val="Orateurengris"/>
        <w:spacing w:before="120"/>
        <w:ind w:left="709" w:hanging="709"/>
      </w:pPr>
      <w:r>
        <w:t xml:space="preserve">Le </w:t>
      </w:r>
      <w:r w:rsidRPr="00ED05EA">
        <w:rPr>
          <w:b/>
        </w:rPr>
        <w:t>Président</w:t>
      </w:r>
      <w:r w:rsidR="00373D09">
        <w:t xml:space="preserve"> a demandé si le</w:t>
      </w:r>
      <w:r w:rsidR="00ED05EA">
        <w:t xml:space="preserve"> Comité</w:t>
      </w:r>
      <w:r w:rsidR="00373D09">
        <w:t xml:space="preserve"> </w:t>
      </w:r>
      <w:r w:rsidR="00ED05EA">
        <w:t>était prêt à adopter le paragraphe sur l</w:t>
      </w:r>
      <w:r w:rsidR="00346F1B">
        <w:t>’</w:t>
      </w:r>
      <w:r w:rsidR="003F5A08">
        <w:t>inscription.</w:t>
      </w:r>
    </w:p>
    <w:p w14:paraId="5A916F55" w14:textId="39A74AEB" w:rsidR="00373D09" w:rsidRPr="00FE7880" w:rsidRDefault="00373D09" w:rsidP="003F5A08">
      <w:pPr>
        <w:pStyle w:val="Orateurengris"/>
        <w:spacing w:before="120"/>
        <w:ind w:left="709" w:hanging="709"/>
      </w:pPr>
      <w:r>
        <w:t>La délégation de l</w:t>
      </w:r>
      <w:r w:rsidR="00346F1B">
        <w:t>’</w:t>
      </w:r>
      <w:r w:rsidRPr="00373D09">
        <w:rPr>
          <w:b/>
        </w:rPr>
        <w:t>Inde</w:t>
      </w:r>
      <w:r>
        <w:t xml:space="preserve"> a félicité Cuba et l</w:t>
      </w:r>
      <w:r w:rsidR="00346F1B">
        <w:t>’</w:t>
      </w:r>
      <w:r>
        <w:t>Algérie d</w:t>
      </w:r>
      <w:r w:rsidR="00346F1B">
        <w:t>’</w:t>
      </w:r>
      <w:r>
        <w:t>avoir présenté cet amendement fort ut</w:t>
      </w:r>
      <w:r w:rsidR="004523FA">
        <w:t>ile. Toutefois, la délégation souhaitait</w:t>
      </w:r>
      <w:r>
        <w:t xml:space="preserve"> demander au Président et au Secrétariat si la pratique serait adoptée à l</w:t>
      </w:r>
      <w:r w:rsidR="00346F1B">
        <w:t>’</w:t>
      </w:r>
      <w:r>
        <w:t>avenir à chaque fois que des informations seraient communiquées par un État soumissionnaire au Comité et si cela pourrait s</w:t>
      </w:r>
      <w:r w:rsidR="00346F1B">
        <w:t>’</w:t>
      </w:r>
      <w:r w:rsidR="003F5A08">
        <w:t>appliquer à tous les critères.</w:t>
      </w:r>
    </w:p>
    <w:p w14:paraId="6F0AEF57" w14:textId="5DDD1645" w:rsidR="00373D09" w:rsidRPr="00373D09" w:rsidRDefault="00373D09" w:rsidP="003F5A08">
      <w:pPr>
        <w:pStyle w:val="Orateurengris"/>
        <w:spacing w:before="120"/>
        <w:ind w:left="709" w:hanging="709"/>
      </w:pPr>
      <w:r>
        <w:t xml:space="preserve">Le </w:t>
      </w:r>
      <w:r w:rsidRPr="00373D09">
        <w:rPr>
          <w:b/>
        </w:rPr>
        <w:t>Président</w:t>
      </w:r>
      <w:r>
        <w:t xml:space="preserve"> a expliqué que la proposition émanait du Comité et, qu</w:t>
      </w:r>
      <w:r w:rsidR="00346F1B">
        <w:t>’</w:t>
      </w:r>
      <w:r>
        <w:t>en conséquence, si celui-ci souhaitait l</w:t>
      </w:r>
      <w:r w:rsidR="00346F1B">
        <w:t>’</w:t>
      </w:r>
      <w:r>
        <w:t>inclure alors cela ferait partie des paragraphes que le C</w:t>
      </w:r>
      <w:r w:rsidR="003F5A08">
        <w:t>omité amenderait et adopterait.</w:t>
      </w:r>
    </w:p>
    <w:p w14:paraId="511EA2A3" w14:textId="512DD8E3" w:rsidR="00373D09" w:rsidRPr="00373D09" w:rsidRDefault="00373D09" w:rsidP="003F5A08">
      <w:pPr>
        <w:pStyle w:val="Orateurengris"/>
        <w:spacing w:before="120"/>
        <w:ind w:left="709" w:hanging="709"/>
      </w:pPr>
      <w:r>
        <w:t xml:space="preserve">La délégation de la </w:t>
      </w:r>
      <w:r w:rsidRPr="00C01BEA">
        <w:rPr>
          <w:b/>
        </w:rPr>
        <w:t>Côte d</w:t>
      </w:r>
      <w:r w:rsidR="00346F1B">
        <w:rPr>
          <w:b/>
        </w:rPr>
        <w:t>’</w:t>
      </w:r>
      <w:r w:rsidRPr="00C01BEA">
        <w:rPr>
          <w:b/>
        </w:rPr>
        <w:t>Ivoire</w:t>
      </w:r>
      <w:r>
        <w:t xml:space="preserve"> a proposé de garder</w:t>
      </w:r>
      <w:r w:rsidR="00C01BEA">
        <w:t xml:space="preserve"> les termes :</w:t>
      </w:r>
      <w:r>
        <w:t xml:space="preserve"> </w:t>
      </w:r>
      <w:r w:rsidR="00C01BEA">
        <w:t>« les informations contenues dans le dossier » dans l</w:t>
      </w:r>
      <w:r w:rsidR="00346F1B">
        <w:t>’</w:t>
      </w:r>
      <w:r w:rsidR="00C01BEA">
        <w:t>amendement proposé.</w:t>
      </w:r>
    </w:p>
    <w:p w14:paraId="5E934F02" w14:textId="3152746D" w:rsidR="00C01BEA" w:rsidRPr="00C01BEA" w:rsidRDefault="00C01BEA" w:rsidP="003F5A08">
      <w:pPr>
        <w:pStyle w:val="Orateurengris"/>
        <w:spacing w:before="120"/>
        <w:ind w:left="709" w:hanging="709"/>
      </w:pPr>
      <w:r>
        <w:t xml:space="preserve">Le </w:t>
      </w:r>
      <w:r w:rsidRPr="00C01BEA">
        <w:rPr>
          <w:b/>
        </w:rPr>
        <w:t>Président</w:t>
      </w:r>
      <w:r w:rsidR="004523FA">
        <w:t xml:space="preserve"> souhaitait</w:t>
      </w:r>
      <w:r>
        <w:t xml:space="preserve"> établir une nouvelle liste des intervenants pour la proposition de l</w:t>
      </w:r>
      <w:r w:rsidR="00346F1B">
        <w:t>’</w:t>
      </w:r>
      <w:r>
        <w:t>Algérie car la liste précédente concernait le critère R.5.</w:t>
      </w:r>
    </w:p>
    <w:p w14:paraId="0646E6FE" w14:textId="27E15FC3" w:rsidR="00C01BEA" w:rsidRDefault="00C01BEA" w:rsidP="003F5A08">
      <w:pPr>
        <w:pStyle w:val="Orateurengris"/>
        <w:spacing w:before="120"/>
        <w:ind w:left="709" w:hanging="709"/>
      </w:pPr>
      <w:r>
        <w:t xml:space="preserve">La délégation de </w:t>
      </w:r>
      <w:r w:rsidRPr="00C01BEA">
        <w:rPr>
          <w:b/>
        </w:rPr>
        <w:t>Chypre</w:t>
      </w:r>
      <w:r>
        <w:t xml:space="preserve"> a demandé au Président d</w:t>
      </w:r>
      <w:r w:rsidR="00346F1B">
        <w:t>’</w:t>
      </w:r>
      <w:r>
        <w:t>être attentif à l</w:t>
      </w:r>
      <w:r w:rsidR="00346F1B">
        <w:t>’</w:t>
      </w:r>
      <w:r>
        <w:t>ordre de prise de parole. Elle soutenait résolument l</w:t>
      </w:r>
      <w:r w:rsidR="00346F1B">
        <w:t>’</w:t>
      </w:r>
      <w:r>
        <w:t>amendement de l</w:t>
      </w:r>
      <w:r w:rsidR="00346F1B">
        <w:t>’</w:t>
      </w:r>
      <w:r>
        <w:t>Algérie car il clarifiait le lien entre la recommandation de l</w:t>
      </w:r>
      <w:r w:rsidR="00346F1B">
        <w:t>’</w:t>
      </w:r>
      <w:r>
        <w:t>Organe d</w:t>
      </w:r>
      <w:r w:rsidR="00346F1B">
        <w:t>’</w:t>
      </w:r>
      <w:r>
        <w:t>évalu</w:t>
      </w:r>
      <w:r w:rsidR="003F5A08">
        <w:t>ation et la décision du Comité.</w:t>
      </w:r>
    </w:p>
    <w:p w14:paraId="2ECCBF7B" w14:textId="4A2C9D29" w:rsidR="00C01BEA" w:rsidRPr="00C01BEA" w:rsidRDefault="00C01BEA" w:rsidP="003F5A08">
      <w:pPr>
        <w:pStyle w:val="Orateurengris"/>
        <w:spacing w:before="120"/>
        <w:ind w:left="709" w:hanging="709"/>
      </w:pPr>
      <w:r>
        <w:t xml:space="preserve">La délégation de </w:t>
      </w:r>
      <w:r w:rsidRPr="00C01BEA">
        <w:rPr>
          <w:b/>
        </w:rPr>
        <w:t>Maurice</w:t>
      </w:r>
      <w:r>
        <w:t xml:space="preserve"> s</w:t>
      </w:r>
      <w:r w:rsidR="00346F1B">
        <w:t>’</w:t>
      </w:r>
      <w:r>
        <w:t xml:space="preserve">est dite favorable aux amendements portés au paragraphe 3 et </w:t>
      </w:r>
      <w:r w:rsidR="003F5A08">
        <w:t>au critère R.5.</w:t>
      </w:r>
    </w:p>
    <w:p w14:paraId="34977C78" w14:textId="45ABD2BE" w:rsidR="00C01BEA" w:rsidRPr="00C01BEA" w:rsidRDefault="00C01BEA" w:rsidP="003F5A08">
      <w:pPr>
        <w:pStyle w:val="Orateurengris"/>
        <w:spacing w:before="120"/>
        <w:ind w:left="709" w:hanging="709"/>
      </w:pPr>
      <w:r>
        <w:t>Faisant référence à la proposition de la Côte d</w:t>
      </w:r>
      <w:r w:rsidR="00346F1B">
        <w:t>’</w:t>
      </w:r>
      <w:r>
        <w:t xml:space="preserve">Ivoire, la délégation de </w:t>
      </w:r>
      <w:r w:rsidRPr="00C01BEA">
        <w:rPr>
          <w:b/>
        </w:rPr>
        <w:t>Cuba</w:t>
      </w:r>
      <w:r>
        <w:t xml:space="preserve"> a dit comprendre la préoccupation exprimée. Toutefois, elle notait que si l</w:t>
      </w:r>
      <w:r w:rsidR="00346F1B">
        <w:t>’</w:t>
      </w:r>
      <w:r>
        <w:t>amendement incluait « les informations contenues dans le dossier », cela irait à l</w:t>
      </w:r>
      <w:r w:rsidR="00346F1B">
        <w:t>’</w:t>
      </w:r>
      <w:r>
        <w:t xml:space="preserve">encontre du travail </w:t>
      </w:r>
      <w:r w:rsidR="00E972DB">
        <w:t>de l</w:t>
      </w:r>
      <w:r w:rsidR="00346F1B">
        <w:t>’</w:t>
      </w:r>
      <w:r w:rsidR="00E972DB">
        <w:t>Organe d</w:t>
      </w:r>
      <w:r w:rsidR="00346F1B">
        <w:t>’</w:t>
      </w:r>
      <w:r w:rsidR="00E972DB">
        <w:t>évaluation car celui-ci fondait ses recommandations sur les informations contenues dans le dossier alors que la décision se fondait sur de nouvelles informations. La délégation souhaitait que la meilleure solution soit trouvée car elle ne voulait pas qu</w:t>
      </w:r>
      <w:r w:rsidR="00346F1B">
        <w:t>’</w:t>
      </w:r>
      <w:r w:rsidR="00E972DB">
        <w:t>on ait l</w:t>
      </w:r>
      <w:r w:rsidR="00346F1B">
        <w:t>’</w:t>
      </w:r>
      <w:r w:rsidR="00E972DB">
        <w:t>impression que le Comité refaisait le travail de l</w:t>
      </w:r>
      <w:r w:rsidR="00346F1B">
        <w:t>’</w:t>
      </w:r>
      <w:r w:rsidR="00E972DB">
        <w:t>Organe d</w:t>
      </w:r>
      <w:r w:rsidR="00346F1B">
        <w:t>’</w:t>
      </w:r>
      <w:r w:rsidR="00E972DB">
        <w:t>évaluation, ne fût-ce que parce que la décision était basée sur de nouvelles informations reçues par le Comité et que celui-ci ne contredisait donc pas l</w:t>
      </w:r>
      <w:r w:rsidR="00346F1B">
        <w:t>’</w:t>
      </w:r>
      <w:r w:rsidR="00E972DB">
        <w:t>Organe d</w:t>
      </w:r>
      <w:r w:rsidR="00346F1B">
        <w:t>’</w:t>
      </w:r>
      <w:r w:rsidR="003F5A08">
        <w:t>évaluation.</w:t>
      </w:r>
    </w:p>
    <w:p w14:paraId="6478D74E" w14:textId="2162F83A" w:rsidR="00E972DB" w:rsidRPr="00E972DB" w:rsidRDefault="00E972DB" w:rsidP="003F5A08">
      <w:pPr>
        <w:pStyle w:val="Orateurengris"/>
        <w:spacing w:before="120"/>
        <w:ind w:left="709" w:hanging="709"/>
      </w:pPr>
      <w:r>
        <w:t>S</w:t>
      </w:r>
      <w:r w:rsidR="00346F1B">
        <w:t>’</w:t>
      </w:r>
      <w:r>
        <w:t>agissant du paragraphe « chapeau » (l</w:t>
      </w:r>
      <w:r w:rsidR="00346F1B">
        <w:t>’</w:t>
      </w:r>
      <w:r>
        <w:t xml:space="preserve">actuel paragraphe 3), la délégation de la </w:t>
      </w:r>
      <w:r w:rsidRPr="00E972DB">
        <w:rPr>
          <w:b/>
        </w:rPr>
        <w:t>Hongrie</w:t>
      </w:r>
      <w:r>
        <w:t xml:space="preserve"> avait cru comprendre que ce paragraphe avait déjà été adopté et que le Comité était déjà passé au paragraphe 4 relatif à l</w:t>
      </w:r>
      <w:r w:rsidR="00346F1B">
        <w:t>’</w:t>
      </w:r>
      <w:r>
        <w:t>inscription. Elle était néanmoins disposée à insérer un texte dans ce paragraphe. Elle partageait toutefois la préoccupation exprimée par l</w:t>
      </w:r>
      <w:r w:rsidR="00346F1B">
        <w:t>’</w:t>
      </w:r>
      <w:r>
        <w:t xml:space="preserve">Inde, à savoir un paragraphe identique devrait-il être inséré à chaque fois </w:t>
      </w:r>
      <w:r w:rsidR="00C14521">
        <w:t>qu</w:t>
      </w:r>
      <w:r w:rsidR="00346F1B">
        <w:t>’</w:t>
      </w:r>
      <w:r w:rsidR="00C14521">
        <w:t>un État soumissionnaire apportait des éclaircissements sur un des critères. La délégation avait le sentiment que cela allait trop loin car la décision n</w:t>
      </w:r>
      <w:r w:rsidR="00346F1B">
        <w:t>’</w:t>
      </w:r>
      <w:r w:rsidR="00C14521">
        <w:t>avait pas besoin d</w:t>
      </w:r>
      <w:r w:rsidR="00346F1B">
        <w:t>’</w:t>
      </w:r>
      <w:r w:rsidR="00C14521">
        <w:t>être aussi détaillée, en particulier compte tenu du caractère permanent des décisions. La délégation a demandé au Comité de faire preuve d</w:t>
      </w:r>
      <w:r w:rsidR="00346F1B">
        <w:t>’</w:t>
      </w:r>
      <w:r w:rsidR="00C14521">
        <w:t>indulgence pour l</w:t>
      </w:r>
      <w:r w:rsidR="00346F1B">
        <w:t>’</w:t>
      </w:r>
      <w:r w:rsidR="00C14521">
        <w:t>inclusion du paragraphe au vu du contexte général de la décision car ce n</w:t>
      </w:r>
      <w:r w:rsidR="00346F1B">
        <w:t>’</w:t>
      </w:r>
      <w:r w:rsidR="00C14521">
        <w:t>était pas la meilleure voie à suivre. La délégation a proposé de passer aux aut</w:t>
      </w:r>
      <w:r w:rsidR="003F5A08">
        <w:t>res paragraphes de la décision.</w:t>
      </w:r>
    </w:p>
    <w:p w14:paraId="189550E0" w14:textId="7E960C4D" w:rsidR="00C14521" w:rsidRDefault="00CE514D" w:rsidP="003F5A08">
      <w:pPr>
        <w:pStyle w:val="Orateurengris"/>
        <w:spacing w:before="120"/>
        <w:ind w:left="709" w:hanging="709"/>
      </w:pPr>
      <w:r>
        <w:t>Suite aux craintes exprimées par l</w:t>
      </w:r>
      <w:r w:rsidR="00346F1B">
        <w:t>’</w:t>
      </w:r>
      <w:r>
        <w:t>Inde, l</w:t>
      </w:r>
      <w:r w:rsidR="00C14521">
        <w:t xml:space="preserve">a délégation de la </w:t>
      </w:r>
      <w:r w:rsidR="00C14521" w:rsidRPr="00084E49">
        <w:rPr>
          <w:b/>
        </w:rPr>
        <w:t>Zambie</w:t>
      </w:r>
      <w:r w:rsidR="004523FA">
        <w:t xml:space="preserve"> apportait</w:t>
      </w:r>
      <w:r w:rsidR="00C14521">
        <w:t xml:space="preserve"> son soutien prudent à l</w:t>
      </w:r>
      <w:r w:rsidR="00346F1B">
        <w:t>’</w:t>
      </w:r>
      <w:r w:rsidR="00C14521">
        <w:t>inclusion du nouveau paragraphe, ajoutant que cela devrait toutefois relever de l</w:t>
      </w:r>
      <w:r w:rsidR="00346F1B">
        <w:t>’</w:t>
      </w:r>
      <w:r w:rsidR="00C14521">
        <w:t xml:space="preserve">exception et ne pas devenir une pratique habituelle. Elle </w:t>
      </w:r>
      <w:r w:rsidR="00084E49">
        <w:t>estimait</w:t>
      </w:r>
      <w:r w:rsidR="00C14521">
        <w:t xml:space="preserve"> que le Comité</w:t>
      </w:r>
      <w:r w:rsidR="00084E49">
        <w:t xml:space="preserve"> ne dev</w:t>
      </w:r>
      <w:r w:rsidR="00F25117">
        <w:t>r</w:t>
      </w:r>
      <w:r w:rsidR="00C14521">
        <w:t xml:space="preserve">ait pas se substituer </w:t>
      </w:r>
      <w:r w:rsidR="00084E49">
        <w:t>à l</w:t>
      </w:r>
      <w:r w:rsidR="00346F1B">
        <w:t>’</w:t>
      </w:r>
      <w:r w:rsidR="00084E49">
        <w:t>Organe d</w:t>
      </w:r>
      <w:r w:rsidR="00346F1B">
        <w:t>’</w:t>
      </w:r>
      <w:r w:rsidR="00084E49">
        <w:t>évaluation, d</w:t>
      </w:r>
      <w:r w:rsidR="00346F1B">
        <w:t>’</w:t>
      </w:r>
      <w:r w:rsidR="00084E49">
        <w:t>où son précédent commentaire sur la nécessité de revoir le fonctionnement de l</w:t>
      </w:r>
      <w:r w:rsidR="00346F1B">
        <w:t>’</w:t>
      </w:r>
      <w:r w:rsidR="00084E49">
        <w:t>Organe d</w:t>
      </w:r>
      <w:r w:rsidR="00346F1B">
        <w:t>’</w:t>
      </w:r>
      <w:r w:rsidR="00084E49">
        <w:t>évaluation. Celui-ci ne devrait pas agir comme un centre d</w:t>
      </w:r>
      <w:r w:rsidR="00346F1B">
        <w:t>’</w:t>
      </w:r>
      <w:r w:rsidR="00084E49">
        <w:t>examen acceptant ou rejetant un dossier mais donner des orientations permettant à l</w:t>
      </w:r>
      <w:r w:rsidR="00346F1B">
        <w:t>’</w:t>
      </w:r>
      <w:r w:rsidR="00084E49">
        <w:t>État soumissionnaire de communiquer avec l</w:t>
      </w:r>
      <w:r w:rsidR="00346F1B">
        <w:t>’</w:t>
      </w:r>
      <w:r w:rsidR="00084E49">
        <w:t>Organe d</w:t>
      </w:r>
      <w:r w:rsidR="00346F1B">
        <w:t>’</w:t>
      </w:r>
      <w:r w:rsidR="00084E49">
        <w:t>évaluation pour préciser et détailler les informations, et ce, afin que les candidatures soumises au Comité soient prêtes</w:t>
      </w:r>
      <w:r>
        <w:t xml:space="preserve"> pour faire l</w:t>
      </w:r>
      <w:r w:rsidR="00346F1B">
        <w:t>’</w:t>
      </w:r>
      <w:r>
        <w:t>objet d</w:t>
      </w:r>
      <w:r w:rsidR="00346F1B">
        <w:t>’</w:t>
      </w:r>
      <w:r>
        <w:t>une décision</w:t>
      </w:r>
      <w:r w:rsidR="00084E49">
        <w:t>. La délégation s</w:t>
      </w:r>
      <w:r w:rsidR="00346F1B">
        <w:t>’</w:t>
      </w:r>
      <w:r w:rsidR="00084E49">
        <w:t>est dite favorable à l</w:t>
      </w:r>
      <w:r w:rsidR="00346F1B">
        <w:t>’</w:t>
      </w:r>
      <w:r w:rsidR="00084E49">
        <w:t>inclusion du paragraphe 4</w:t>
      </w:r>
      <w:r w:rsidR="003F5A08">
        <w:t>.</w:t>
      </w:r>
    </w:p>
    <w:p w14:paraId="692D8D15" w14:textId="37728F18" w:rsidR="00CE514D" w:rsidRPr="00CE514D" w:rsidRDefault="00E140AC" w:rsidP="003F5A08">
      <w:pPr>
        <w:pStyle w:val="Orateurengris"/>
        <w:spacing w:before="120"/>
        <w:ind w:left="709" w:hanging="709"/>
      </w:pPr>
      <w:r>
        <w:t>Le</w:t>
      </w:r>
      <w:r w:rsidR="00CE514D">
        <w:t xml:space="preserve"> </w:t>
      </w:r>
      <w:r w:rsidR="00CE514D" w:rsidRPr="00CE514D">
        <w:rPr>
          <w:b/>
        </w:rPr>
        <w:t>Président</w:t>
      </w:r>
      <w:r w:rsidR="00CE514D">
        <w:t xml:space="preserve"> a prié </w:t>
      </w:r>
      <w:r>
        <w:t xml:space="preserve">urgemment </w:t>
      </w:r>
      <w:r w:rsidR="00CE514D">
        <w:t>le Comité de s</w:t>
      </w:r>
      <w:r w:rsidR="00346F1B">
        <w:t>’</w:t>
      </w:r>
      <w:r w:rsidR="00CE514D">
        <w:t>en tenir aux paragraphes</w:t>
      </w:r>
      <w:r w:rsidR="003F5A08">
        <w:t xml:space="preserve"> les plus importants à adopter.</w:t>
      </w:r>
    </w:p>
    <w:p w14:paraId="5E0D6E9F" w14:textId="2CE0A3E4" w:rsidR="00DE78D4" w:rsidRPr="00695858" w:rsidRDefault="00695858" w:rsidP="003F5A08">
      <w:pPr>
        <w:pStyle w:val="Orateurengris"/>
        <w:spacing w:before="120"/>
        <w:ind w:left="709" w:hanging="709"/>
      </w:pPr>
      <w:r>
        <w:t xml:space="preserve">La délégation de la </w:t>
      </w:r>
      <w:r w:rsidRPr="00695858">
        <w:rPr>
          <w:b/>
        </w:rPr>
        <w:t>République de Corée</w:t>
      </w:r>
      <w:r>
        <w:t xml:space="preserve"> estimait que les craintes exprimées par l</w:t>
      </w:r>
      <w:r w:rsidR="00346F1B">
        <w:t>’</w:t>
      </w:r>
      <w:r>
        <w:t xml:space="preserve">Inde, et reprises par la Hongrie, étaient pertinentes. Elle a donc demandé au </w:t>
      </w:r>
      <w:r w:rsidR="00DE78D4">
        <w:t>Secrétaire s</w:t>
      </w:r>
      <w:r w:rsidR="00346F1B">
        <w:t>’</w:t>
      </w:r>
      <w:r w:rsidR="00DE78D4">
        <w:t xml:space="preserve">il était courant, voire </w:t>
      </w:r>
      <w:r>
        <w:t>si c</w:t>
      </w:r>
      <w:r w:rsidR="00346F1B">
        <w:t>’</w:t>
      </w:r>
      <w:r>
        <w:t>était</w:t>
      </w:r>
      <w:r w:rsidR="00DE78D4">
        <w:t xml:space="preserve"> une pratique établie, d</w:t>
      </w:r>
      <w:r w:rsidR="00346F1B">
        <w:t>’</w:t>
      </w:r>
      <w:r w:rsidR="00DE78D4">
        <w:t>inclure</w:t>
      </w:r>
      <w:r>
        <w:t xml:space="preserve"> systématiquement</w:t>
      </w:r>
      <w:r w:rsidR="00DE78D4">
        <w:t xml:space="preserve"> un paragraphe faisant état des explications ou des informations complémentaires apportées par l</w:t>
      </w:r>
      <w:r w:rsidR="00346F1B">
        <w:t>’</w:t>
      </w:r>
      <w:r w:rsidR="00DE78D4">
        <w:t>État soumissionnaire, ou si cette mention dev</w:t>
      </w:r>
      <w:r w:rsidR="00F25117">
        <w:t>r</w:t>
      </w:r>
      <w:r w:rsidR="00DE78D4">
        <w:t>ait être incluse dans le projet de décision comme une nouvelle pratique relevant de l</w:t>
      </w:r>
      <w:r w:rsidR="00346F1B">
        <w:t>’</w:t>
      </w:r>
      <w:r w:rsidR="00DE78D4">
        <w:t>exception. S</w:t>
      </w:r>
      <w:r w:rsidR="00346F1B">
        <w:t>’</w:t>
      </w:r>
      <w:r w:rsidR="00DE78D4">
        <w:t>agissant du paragraphe 3 (la substance de la décision) et de tout le paragraphe 4, la délégation a souligné qu</w:t>
      </w:r>
      <w:r w:rsidR="00346F1B">
        <w:t>’</w:t>
      </w:r>
      <w:r w:rsidR="00DE78D4">
        <w:t xml:space="preserve">ils étaient </w:t>
      </w:r>
      <w:r w:rsidR="002129E1">
        <w:t xml:space="preserve">étroitement </w:t>
      </w:r>
      <w:r w:rsidR="00DE78D4">
        <w:t>liés et qu</w:t>
      </w:r>
      <w:r w:rsidR="00346F1B">
        <w:t>’</w:t>
      </w:r>
      <w:r w:rsidR="00DE78D4">
        <w:t xml:space="preserve">on était parvenu à un consensus sur le paragraphe 3. La délégation a demandé au Président pourquoi il était à nouveau demandé au Comité de </w:t>
      </w:r>
      <w:r w:rsidR="002129E1">
        <w:t>se prononcer sur le paragraphe 4 alors que l</w:t>
      </w:r>
      <w:r w:rsidR="00346F1B">
        <w:t>’</w:t>
      </w:r>
      <w:r w:rsidR="002129E1">
        <w:t>on était déjà parvenu au consensus sur le paragraphe principal. Le paragraphe suivant ne devrait-il pas être automatiquement considéré co</w:t>
      </w:r>
      <w:r w:rsidR="003F5A08">
        <w:t>mme ayant obtenu le consensus ?</w:t>
      </w:r>
    </w:p>
    <w:p w14:paraId="61BB1FA0" w14:textId="68A9F6A5" w:rsidR="002129E1" w:rsidRPr="002129E1" w:rsidRDefault="00095DB2" w:rsidP="003F5A08">
      <w:pPr>
        <w:pStyle w:val="Orateurengris"/>
        <w:spacing w:before="120"/>
        <w:ind w:left="709" w:hanging="709"/>
      </w:pPr>
      <w:r>
        <w:t xml:space="preserve">Afin </w:t>
      </w:r>
      <w:r w:rsidR="002129E1">
        <w:t xml:space="preserve">de clarifier la situation, le </w:t>
      </w:r>
      <w:r w:rsidR="002129E1" w:rsidRPr="002129E1">
        <w:rPr>
          <w:b/>
        </w:rPr>
        <w:t>Secrétaire</w:t>
      </w:r>
      <w:r w:rsidR="002129E1">
        <w:t xml:space="preserve"> a expliqué que cela n</w:t>
      </w:r>
      <w:r w:rsidR="00346F1B">
        <w:t>’</w:t>
      </w:r>
      <w:r w:rsidR="002129E1">
        <w:t>avait pas été la pratique dans le passé et qu</w:t>
      </w:r>
      <w:r w:rsidR="00346F1B">
        <w:t>’</w:t>
      </w:r>
      <w:r w:rsidR="002129E1">
        <w:t>il s</w:t>
      </w:r>
      <w:r w:rsidR="00346F1B">
        <w:t>’</w:t>
      </w:r>
      <w:r w:rsidR="002129E1">
        <w:t>agissait donc d</w:t>
      </w:r>
      <w:r w:rsidR="00346F1B">
        <w:t>’</w:t>
      </w:r>
      <w:r w:rsidR="002129E1">
        <w:t>une nouvelle proposition. Au cours des précédentes sessions, la pratique avait été de passer en revue et d</w:t>
      </w:r>
      <w:r w:rsidR="00346F1B">
        <w:t>’</w:t>
      </w:r>
      <w:r w:rsidR="002129E1">
        <w:t>adopter tous les paragraphes liés au processus d</w:t>
      </w:r>
      <w:r w:rsidR="00346F1B">
        <w:t>’</w:t>
      </w:r>
      <w:r w:rsidR="002129E1">
        <w:t xml:space="preserve">inscription, c.-à-d. les critères R.1 à R.5, puis </w:t>
      </w:r>
      <w:r>
        <w:t>de décider d</w:t>
      </w:r>
      <w:r w:rsidR="00346F1B">
        <w:t>’</w:t>
      </w:r>
      <w:r>
        <w:t xml:space="preserve">inscrire ou </w:t>
      </w:r>
      <w:r w:rsidR="002129E1">
        <w:t>de renvoyer ou de ne pas inscrire</w:t>
      </w:r>
      <w:r>
        <w:t xml:space="preserve"> la candidature</w:t>
      </w:r>
      <w:r w:rsidR="002129E1">
        <w:t>, avant d</w:t>
      </w:r>
      <w:r w:rsidR="00346F1B">
        <w:t>’</w:t>
      </w:r>
      <w:r w:rsidR="002129E1">
        <w:t>inclure tout paragraphe additionnel que le Comité</w:t>
      </w:r>
      <w:r>
        <w:t xml:space="preserve"> pouv</w:t>
      </w:r>
      <w:r w:rsidR="002129E1">
        <w:t>ait souhaiter</w:t>
      </w:r>
      <w:r>
        <w:t xml:space="preserve"> ajouter</w:t>
      </w:r>
      <w:r w:rsidR="002129E1">
        <w:t xml:space="preserve">. Si le Comité </w:t>
      </w:r>
      <w:r>
        <w:t xml:space="preserve">souhaitait désormais inclure un paragraphe avant chaque critère, cela deviendrait </w:t>
      </w:r>
      <w:r w:rsidR="003F5A08">
        <w:t>en effet une nouvelle pratique.</w:t>
      </w:r>
    </w:p>
    <w:p w14:paraId="1AA4F9A7" w14:textId="4BCB1DDE" w:rsidR="00206F38" w:rsidRPr="00206F38" w:rsidRDefault="00206F38" w:rsidP="00ED0E22">
      <w:pPr>
        <w:pStyle w:val="Orateurengris"/>
        <w:spacing w:before="120"/>
        <w:ind w:left="709" w:hanging="709"/>
      </w:pPr>
      <w:r>
        <w:t>La délégation de l</w:t>
      </w:r>
      <w:r w:rsidR="00346F1B">
        <w:t>’</w:t>
      </w:r>
      <w:r w:rsidRPr="00206F38">
        <w:rPr>
          <w:b/>
        </w:rPr>
        <w:t>Inde</w:t>
      </w:r>
      <w:r>
        <w:t xml:space="preserve"> a remercié le Secrétaire pour cet éclaircissement. Notant qu</w:t>
      </w:r>
      <w:r w:rsidR="00346F1B">
        <w:t>’</w:t>
      </w:r>
      <w:r>
        <w:t>il s</w:t>
      </w:r>
      <w:r w:rsidR="00346F1B">
        <w:t>’</w:t>
      </w:r>
      <w:r>
        <w:t>agissait d</w:t>
      </w:r>
      <w:r w:rsidR="00346F1B">
        <w:t>’</w:t>
      </w:r>
      <w:r>
        <w:t>une nouvelle pratique, elle a rappelé au Comité qu</w:t>
      </w:r>
      <w:r w:rsidR="00346F1B">
        <w:t>’</w:t>
      </w:r>
      <w:r>
        <w:t>il devrait alors appliquer ce nouveau principe à toutes les autres décisions amendées. La délégation</w:t>
      </w:r>
      <w:r w:rsidR="00544E88">
        <w:t xml:space="preserve"> comprenait les avantages de l</w:t>
      </w:r>
      <w:r w:rsidR="00346F1B">
        <w:t>’</w:t>
      </w:r>
      <w:r w:rsidR="00544E88">
        <w:t>application d</w:t>
      </w:r>
      <w:r w:rsidR="00346F1B">
        <w:t>’</w:t>
      </w:r>
      <w:r w:rsidR="00544E88">
        <w:t>un</w:t>
      </w:r>
      <w:r w:rsidR="0077673A">
        <w:t>e telle pratique à laquelle</w:t>
      </w:r>
      <w:r w:rsidR="00544E88">
        <w:t xml:space="preserve"> elle n</w:t>
      </w:r>
      <w:r w:rsidR="00346F1B">
        <w:t>’</w:t>
      </w:r>
      <w:r w:rsidR="00544E88">
        <w:t>était pas opposée. Il était toutefois logique qu</w:t>
      </w:r>
      <w:r w:rsidR="00346F1B">
        <w:t>’</w:t>
      </w:r>
      <w:r w:rsidR="00544E88">
        <w:t>elle soit appliquée de façon uniforme. La question était de savoir si le Comité désirait établir une nouvelle pratique, et si c</w:t>
      </w:r>
      <w:r w:rsidR="00346F1B">
        <w:t>’</w:t>
      </w:r>
      <w:r w:rsidR="00544E88">
        <w:t>était le cas</w:t>
      </w:r>
      <w:r w:rsidR="0077673A">
        <w:t>,</w:t>
      </w:r>
      <w:r w:rsidR="00544E88">
        <w:t xml:space="preserve"> celle-ci ne saurait s</w:t>
      </w:r>
      <w:r w:rsidR="00346F1B">
        <w:t>’</w:t>
      </w:r>
      <w:r w:rsidR="00544E88">
        <w:t xml:space="preserve">appliquer de façon exceptionnelle, uniquement pour certaines décisions. </w:t>
      </w:r>
      <w:r w:rsidR="0077673A">
        <w:t>S</w:t>
      </w:r>
      <w:r w:rsidR="00346F1B">
        <w:t>’</w:t>
      </w:r>
      <w:r w:rsidR="0077673A">
        <w:t>agissant du libellé de l</w:t>
      </w:r>
      <w:r w:rsidR="00346F1B">
        <w:t>’</w:t>
      </w:r>
      <w:r w:rsidR="0077673A">
        <w:t>amendement proposé par Cuba et l</w:t>
      </w:r>
      <w:r w:rsidR="00346F1B">
        <w:t>’</w:t>
      </w:r>
      <w:r w:rsidR="0077673A">
        <w:t>Algérie, l</w:t>
      </w:r>
      <w:r w:rsidR="00544E88">
        <w:t>a délégation souhaitait également souligner que le Comité n</w:t>
      </w:r>
      <w:r w:rsidR="00346F1B">
        <w:t>’</w:t>
      </w:r>
      <w:r w:rsidR="00544E88">
        <w:t>était pas parvenu à un consensus. Il semblait y avoir une légère contradiction car la communication de nouvelles informations au Comité était, par extrapolation, une remise en cause de la décision de l</w:t>
      </w:r>
      <w:r w:rsidR="00346F1B">
        <w:t>’</w:t>
      </w:r>
      <w:r w:rsidR="00544E88">
        <w:t>Organe d</w:t>
      </w:r>
      <w:r w:rsidR="00346F1B">
        <w:t>’</w:t>
      </w:r>
      <w:r w:rsidR="00544E88">
        <w:t xml:space="preserve">évaluation. La délégation a rappelé </w:t>
      </w:r>
      <w:r w:rsidR="0077673A">
        <w:t>qu</w:t>
      </w:r>
      <w:r w:rsidR="00346F1B">
        <w:t>’</w:t>
      </w:r>
      <w:r w:rsidR="0077673A">
        <w:t>il y</w:t>
      </w:r>
      <w:r w:rsidR="00544E88">
        <w:t xml:space="preserve"> avait donc deux points cruciaux : </w:t>
      </w:r>
      <w:r w:rsidR="0077673A">
        <w:t>i) il s</w:t>
      </w:r>
      <w:r w:rsidR="00346F1B">
        <w:t>’</w:t>
      </w:r>
      <w:r w:rsidR="0077673A">
        <w:t>agissait d</w:t>
      </w:r>
      <w:r w:rsidR="00346F1B">
        <w:t>’</w:t>
      </w:r>
      <w:r w:rsidR="0077673A">
        <w:t>une nouvelle pratique ; et ii) la pratique adoptée devait dorénavant être appliquée de façon uniforme.</w:t>
      </w:r>
    </w:p>
    <w:p w14:paraId="79D23027" w14:textId="671B3881" w:rsidR="0077673A" w:rsidRPr="0077673A" w:rsidRDefault="003A6355" w:rsidP="00ED0E22">
      <w:pPr>
        <w:pStyle w:val="Orateurengris"/>
        <w:spacing w:before="120"/>
        <w:ind w:left="709" w:hanging="709"/>
      </w:pPr>
      <w:r>
        <w:t>Le</w:t>
      </w:r>
      <w:r w:rsidR="0077673A">
        <w:t xml:space="preserve"> </w:t>
      </w:r>
      <w:r w:rsidR="0077673A" w:rsidRPr="0077673A">
        <w:rPr>
          <w:b/>
        </w:rPr>
        <w:t>Secrétaire</w:t>
      </w:r>
      <w:r w:rsidR="00F25117">
        <w:t xml:space="preserve"> souhaitait</w:t>
      </w:r>
      <w:r w:rsidR="0077673A">
        <w:t xml:space="preserve"> aborder une autre question d</w:t>
      </w:r>
      <w:r w:rsidR="00346F1B">
        <w:t>’</w:t>
      </w:r>
      <w:r w:rsidR="0077673A">
        <w:t>importance. À savoir, lors de sa sixième session, à Bali en 2011, le Comité avait</w:t>
      </w:r>
      <w:r w:rsidR="0033058A">
        <w:t xml:space="preserve"> longuement débattu et établi une</w:t>
      </w:r>
      <w:r w:rsidR="0077673A">
        <w:t xml:space="preserve"> méthode de travail </w:t>
      </w:r>
      <w:r w:rsidR="0033058A">
        <w:t xml:space="preserve">aux termes de </w:t>
      </w:r>
      <w:r w:rsidR="0077673A">
        <w:t>laquelle il « n</w:t>
      </w:r>
      <w:r w:rsidR="00346F1B">
        <w:t>’</w:t>
      </w:r>
      <w:r w:rsidR="0077673A">
        <w:t>accepterait pas de nouvelles informations ou de preuves complémentaires que l</w:t>
      </w:r>
      <w:r w:rsidR="00346F1B">
        <w:t>’</w:t>
      </w:r>
      <w:r w:rsidR="0077673A">
        <w:t>État soumissionnaire voudrait présenter après l</w:t>
      </w:r>
      <w:r w:rsidR="00346F1B">
        <w:t>’</w:t>
      </w:r>
      <w:r w:rsidR="0077673A">
        <w:t>évaluation de l</w:t>
      </w:r>
      <w:r w:rsidR="00346F1B">
        <w:t>’</w:t>
      </w:r>
      <w:r w:rsidR="0077673A">
        <w:t>Organe d</w:t>
      </w:r>
      <w:r w:rsidR="00346F1B">
        <w:t>’</w:t>
      </w:r>
      <w:r w:rsidR="0077673A">
        <w:t>évaluation et, en particulier, pendant la réunion du Comité. Seuls des éclaircissements à propos des informations déjà présentes dans le dossier évalué par l</w:t>
      </w:r>
      <w:r w:rsidR="00346F1B">
        <w:t>’</w:t>
      </w:r>
      <w:r w:rsidR="0077673A">
        <w:t>Organe d</w:t>
      </w:r>
      <w:r w:rsidR="00346F1B">
        <w:t>’</w:t>
      </w:r>
      <w:r w:rsidR="0077673A">
        <w:t>évaluation seraient possibles. » La deuxième question concernait la décision qu</w:t>
      </w:r>
      <w:r w:rsidR="00346F1B">
        <w:t>’</w:t>
      </w:r>
      <w:r w:rsidR="0077673A">
        <w:t>il convenait de prendre sur le texte</w:t>
      </w:r>
      <w:r w:rsidR="00ED0E22">
        <w:t>.</w:t>
      </w:r>
    </w:p>
    <w:p w14:paraId="0B3A23D4" w14:textId="56FA69B1" w:rsidR="0033058A" w:rsidRPr="0033058A" w:rsidRDefault="0033058A" w:rsidP="00ED0E22">
      <w:pPr>
        <w:pStyle w:val="Orateurengris"/>
        <w:spacing w:before="120"/>
        <w:ind w:left="709" w:hanging="709"/>
      </w:pPr>
      <w:r>
        <w:t>La délégation de l</w:t>
      </w:r>
      <w:r w:rsidR="00346F1B">
        <w:t>’</w:t>
      </w:r>
      <w:r w:rsidRPr="0033058A">
        <w:rPr>
          <w:b/>
        </w:rPr>
        <w:t>Algérie</w:t>
      </w:r>
      <w:r>
        <w:t xml:space="preserve"> a reconnu que le Comité était en train d</w:t>
      </w:r>
      <w:r w:rsidR="00346F1B">
        <w:t>’</w:t>
      </w:r>
      <w:r>
        <w:t>établir une nouvelle pratique, ajoutant que le Comité était souverain et qu</w:t>
      </w:r>
      <w:r w:rsidR="00346F1B">
        <w:t>’</w:t>
      </w:r>
      <w:r>
        <w:t>il pouvait décider de ce qui devait ou ne devait pas être fait. Ceci étant dit, la délégati</w:t>
      </w:r>
      <w:r w:rsidR="002567C8">
        <w:t xml:space="preserve">on comprenait les craintes des </w:t>
      </w:r>
      <w:r w:rsidR="00A46CAD">
        <w:t>membres du Comité</w:t>
      </w:r>
      <w:r>
        <w:t>. Toutefois, si le Comité supprimait le paragraphe 3 sans faire état de la discussion, il donnerait l</w:t>
      </w:r>
      <w:r w:rsidR="00346F1B">
        <w:t>’</w:t>
      </w:r>
      <w:r>
        <w:t>impression que le critère R.5 avait été jugé satisfaisant par l</w:t>
      </w:r>
      <w:r w:rsidR="00346F1B">
        <w:t>’</w:t>
      </w:r>
      <w:r>
        <w:t>Organe d</w:t>
      </w:r>
      <w:r w:rsidR="00346F1B">
        <w:t>’</w:t>
      </w:r>
      <w:r>
        <w:t>évaluation, ce qui n</w:t>
      </w:r>
      <w:r w:rsidR="00346F1B">
        <w:t>’</w:t>
      </w:r>
      <w:r>
        <w:t>était pas le cas. C</w:t>
      </w:r>
      <w:r w:rsidR="00346F1B">
        <w:t>’</w:t>
      </w:r>
      <w:r>
        <w:t>était uniquement après avoir entendu les éclaircissements apportés par l</w:t>
      </w:r>
      <w:r w:rsidR="00346F1B">
        <w:t>’</w:t>
      </w:r>
      <w:r>
        <w:t>État soumi</w:t>
      </w:r>
      <w:r w:rsidR="002567C8">
        <w:t xml:space="preserve">ssionnaire que la majorité des </w:t>
      </w:r>
      <w:r w:rsidR="00A46CAD">
        <w:t>membres du Comité</w:t>
      </w:r>
      <w:r>
        <w:t xml:space="preserve"> avait estimé que le critère R.5 était satisfait, une décision contraire à la recommandation de l</w:t>
      </w:r>
      <w:r w:rsidR="00346F1B">
        <w:t>’</w:t>
      </w:r>
      <w:r>
        <w:t>Organe d</w:t>
      </w:r>
      <w:r w:rsidR="00346F1B">
        <w:t>’</w:t>
      </w:r>
      <w:r>
        <w:t>évaluation qui devait donc être reflétée dans le texte de la décision. Ainsi, le Comité avait écouté l</w:t>
      </w:r>
      <w:r w:rsidR="00346F1B">
        <w:t>’</w:t>
      </w:r>
      <w:r>
        <w:t>Organe d</w:t>
      </w:r>
      <w:r w:rsidR="00346F1B">
        <w:t>’</w:t>
      </w:r>
      <w:r>
        <w:t>évaluation et l</w:t>
      </w:r>
      <w:r w:rsidR="00346F1B">
        <w:t>’</w:t>
      </w:r>
      <w:r>
        <w:t>avait remercié pour son travail, mais après avoir écouté les éclaircissements apportés par l</w:t>
      </w:r>
      <w:r w:rsidR="00346F1B">
        <w:t>’</w:t>
      </w:r>
      <w:r>
        <w:t xml:space="preserve">État soumissionnaire, il avait estimé </w:t>
      </w:r>
      <w:r w:rsidR="00ED0E22">
        <w:t>que le critère était satisfait.</w:t>
      </w:r>
    </w:p>
    <w:p w14:paraId="470BB24A" w14:textId="5495E729" w:rsidR="00985B38" w:rsidRPr="00985B38" w:rsidRDefault="00985B38" w:rsidP="00ED0E22">
      <w:pPr>
        <w:pStyle w:val="Orateurengris"/>
        <w:spacing w:before="120"/>
        <w:ind w:left="709" w:hanging="709"/>
      </w:pPr>
      <w:r>
        <w:t xml:space="preserve">Afin de résumer, le </w:t>
      </w:r>
      <w:r w:rsidRPr="00985B38">
        <w:rPr>
          <w:b/>
        </w:rPr>
        <w:t>Secrétaire</w:t>
      </w:r>
      <w:r>
        <w:t xml:space="preserve"> a expliqué que les arguments avancés par l</w:t>
      </w:r>
      <w:r w:rsidR="00346F1B">
        <w:t>’</w:t>
      </w:r>
      <w:r>
        <w:t>Algé</w:t>
      </w:r>
      <w:r w:rsidR="002567C8">
        <w:t>rie et Cuba, auxquels d</w:t>
      </w:r>
      <w:r w:rsidR="00346F1B">
        <w:t>’</w:t>
      </w:r>
      <w:r w:rsidR="002567C8">
        <w:t xml:space="preserve">autres </w:t>
      </w:r>
      <w:r w:rsidR="00A46CAD">
        <w:t>membres</w:t>
      </w:r>
      <w:r>
        <w:t xml:space="preserve"> avaient souscrit, étaient que le Comité devait expliquer la raison pour laquelle il avait modifié la recommandation de l</w:t>
      </w:r>
      <w:r w:rsidR="00346F1B">
        <w:t>’</w:t>
      </w:r>
      <w:r>
        <w:t>Organe d</w:t>
      </w:r>
      <w:r w:rsidR="00346F1B">
        <w:t>’</w:t>
      </w:r>
      <w:r>
        <w:t>évaluation, cette modification devant être reflétée dans le texte de la décision. La crainte exprimée par l</w:t>
      </w:r>
      <w:r w:rsidR="00346F1B">
        <w:t>’</w:t>
      </w:r>
      <w:r>
        <w:t>Inde et la République de Corée était que le Comité ralentirait considérablement sa méthode de travail s</w:t>
      </w:r>
      <w:r w:rsidR="00346F1B">
        <w:t>’</w:t>
      </w:r>
      <w:r>
        <w:t>il devait appliquer cette procédure à chaque amendement et pour chaque critère. Le Secrétaire a donc proposé de retirer le paragraphe amendé (du paragraphe détaillant les cinq critères d</w:t>
      </w:r>
      <w:r w:rsidR="00346F1B">
        <w:t>’</w:t>
      </w:r>
      <w:r>
        <w:t xml:space="preserve">inscription) et de le placer </w:t>
      </w:r>
      <w:r w:rsidRPr="00985B38">
        <w:rPr>
          <w:i/>
        </w:rPr>
        <w:t>après</w:t>
      </w:r>
      <w:r>
        <w:t xml:space="preserve"> la décision d</w:t>
      </w:r>
      <w:r w:rsidR="00346F1B">
        <w:t>’</w:t>
      </w:r>
      <w:r>
        <w:t>inscription. Par souci de cohérence (une préoccupation exprimée par l</w:t>
      </w:r>
      <w:r w:rsidR="00346F1B">
        <w:t>’</w:t>
      </w:r>
      <w:r>
        <w:t>Inde), et comme il s</w:t>
      </w:r>
      <w:r w:rsidR="00346F1B">
        <w:t>’</w:t>
      </w:r>
      <w:r>
        <w:t>agissait d</w:t>
      </w:r>
      <w:r w:rsidR="00346F1B">
        <w:t>’</w:t>
      </w:r>
      <w:r>
        <w:t xml:space="preserve">un paragraphe standard, il pourrait être placé </w:t>
      </w:r>
      <w:r w:rsidR="001A3FC9">
        <w:t>après le paragraphe « décide d</w:t>
      </w:r>
      <w:r w:rsidR="00346F1B">
        <w:t>’</w:t>
      </w:r>
      <w:r w:rsidR="001A3FC9">
        <w:t>inscrire ». Ainsi, il serait fait référence aux éclaircissements apportés par l</w:t>
      </w:r>
      <w:r w:rsidR="00346F1B">
        <w:t>’</w:t>
      </w:r>
      <w:r w:rsidR="001A3FC9">
        <w:t>État soumissionnaire à propos de quelque critère que ce soit. Ce paragraphe standard permettrait au Comité d</w:t>
      </w:r>
      <w:r w:rsidR="00346F1B">
        <w:t>’</w:t>
      </w:r>
      <w:r w:rsidR="001A3FC9">
        <w:t>avancer efficacement sans avoir à rouvrir le paragraphe sur chaque critère car le paragraphe final pouvait évoquer tout éclaircissement apporté à un ou plusieurs critères. Dans tous les cas, le paragraphe final serait adapté au dossier de candidature, ce qui apaiserait les craintes de l</w:t>
      </w:r>
      <w:r w:rsidR="00346F1B">
        <w:t>’</w:t>
      </w:r>
      <w:r w:rsidR="001A3FC9">
        <w:t>Inde quant à une appli</w:t>
      </w:r>
      <w:r w:rsidR="00ED0E22">
        <w:t>cation uniforme de la pratique.</w:t>
      </w:r>
    </w:p>
    <w:p w14:paraId="4CE3529C" w14:textId="3087E867" w:rsidR="001A3FC9" w:rsidRPr="001A3FC9" w:rsidRDefault="001A3FC9" w:rsidP="00ED0E22">
      <w:pPr>
        <w:pStyle w:val="Orateurengris"/>
        <w:spacing w:before="120"/>
        <w:ind w:left="709" w:hanging="709"/>
      </w:pPr>
      <w:r w:rsidRPr="001A3FC9">
        <w:t xml:space="preserve">Le </w:t>
      </w:r>
      <w:r w:rsidRPr="001A3FC9">
        <w:rPr>
          <w:b/>
        </w:rPr>
        <w:t>Président</w:t>
      </w:r>
      <w:r>
        <w:t xml:space="preserve"> a demandé au Comité si</w:t>
      </w:r>
      <w:r w:rsidR="00F25117">
        <w:t xml:space="preserve"> celui-ci pouvait souscrire à cette</w:t>
      </w:r>
      <w:r w:rsidR="00ED0E22">
        <w:t xml:space="preserve"> proposition.</w:t>
      </w:r>
    </w:p>
    <w:p w14:paraId="63C2A074" w14:textId="43EC9F60" w:rsidR="001A3FC9" w:rsidRPr="001A3FC9" w:rsidRDefault="001A3FC9" w:rsidP="00ED0E22">
      <w:pPr>
        <w:pStyle w:val="Orateurengris"/>
        <w:spacing w:before="120"/>
        <w:ind w:left="709" w:hanging="709"/>
      </w:pPr>
      <w:r>
        <w:t xml:space="preserve">La délégation de </w:t>
      </w:r>
      <w:r w:rsidRPr="001C59C3">
        <w:rPr>
          <w:b/>
        </w:rPr>
        <w:t>Cuba</w:t>
      </w:r>
      <w:r>
        <w:t xml:space="preserve"> a remercié le Secrétaire et l</w:t>
      </w:r>
      <w:r w:rsidR="00346F1B">
        <w:t>’</w:t>
      </w:r>
      <w:r>
        <w:t xml:space="preserve">Inde pour </w:t>
      </w:r>
      <w:r w:rsidR="001C59C3">
        <w:t xml:space="preserve">leurs </w:t>
      </w:r>
      <w:r>
        <w:t xml:space="preserve">éclaircissements, et a convenu que les </w:t>
      </w:r>
      <w:r w:rsidR="001C59C3">
        <w:t>pratiques pouvaient être modifiées autant de fois que nécessaire, y compris en ajoutant de nouveaux paragraphes car il s</w:t>
      </w:r>
      <w:r w:rsidR="00346F1B">
        <w:t>’</w:t>
      </w:r>
      <w:r w:rsidR="001C59C3">
        <w:t>agissait de méthodes bien vivantes. Néanmoins, un paragraphe standard était nécessaire quand l</w:t>
      </w:r>
      <w:r w:rsidR="00346F1B">
        <w:t>’</w:t>
      </w:r>
      <w:r w:rsidR="001C59C3">
        <w:t>État soumissionnaire communiquait des informations, en particulier lorsque la situation se répétait à maintes reprises. La délégation a expliqué que sa proposition initiale visait à essayer de mettre l</w:t>
      </w:r>
      <w:r w:rsidR="00346F1B">
        <w:t>’</w:t>
      </w:r>
      <w:r w:rsidR="001C59C3">
        <w:t>accent sur les critères particuliers pour lesquels des informations complémentaires étaient nécessaires, il s</w:t>
      </w:r>
      <w:r w:rsidR="00346F1B">
        <w:t>’</w:t>
      </w:r>
      <w:r w:rsidR="001C59C3">
        <w:t>agissait bien d</w:t>
      </w:r>
      <w:r w:rsidR="00346F1B">
        <w:t>’</w:t>
      </w:r>
      <w:r w:rsidR="001C59C3">
        <w:t>éclaircissements. La délégation n</w:t>
      </w:r>
      <w:r w:rsidR="00346F1B">
        <w:t>’</w:t>
      </w:r>
      <w:r w:rsidR="001C59C3">
        <w:t>avait pas de préférence quant à la position du paragraphe</w:t>
      </w:r>
      <w:r w:rsidR="008B0238">
        <w:t>. La délégation a réitéré que lorsqu</w:t>
      </w:r>
      <w:r w:rsidR="00346F1B">
        <w:t>’</w:t>
      </w:r>
      <w:r w:rsidR="008B0238">
        <w:t>un État soumissionnaire apportait des éclaircissements, cela devait être systématiquement transcrit dans le texte de la décision car il importait que la décision, lorsqu</w:t>
      </w:r>
      <w:r w:rsidR="00346F1B">
        <w:t>’</w:t>
      </w:r>
      <w:r w:rsidR="008B0238">
        <w:t>on l</w:t>
      </w:r>
      <w:r w:rsidR="00346F1B">
        <w:t>’</w:t>
      </w:r>
      <w:r w:rsidR="008B0238">
        <w:t>examinerait dix ans plus tard, reflète correctemen</w:t>
      </w:r>
      <w:r w:rsidR="00ED0E22">
        <w:t>t le débat engagé à son propos.</w:t>
      </w:r>
    </w:p>
    <w:p w14:paraId="2FE30858" w14:textId="26E1787D" w:rsidR="009E504B" w:rsidRPr="00993EB2" w:rsidRDefault="00993EB2" w:rsidP="00ED0E22">
      <w:pPr>
        <w:pStyle w:val="Orateurengris"/>
        <w:spacing w:before="120"/>
        <w:ind w:left="709" w:hanging="709"/>
      </w:pPr>
      <w:r>
        <w:t xml:space="preserve">La délégation du </w:t>
      </w:r>
      <w:r w:rsidRPr="00993EB2">
        <w:rPr>
          <w:b/>
        </w:rPr>
        <w:t>Sénégal</w:t>
      </w:r>
      <w:r w:rsidR="009E504B">
        <w:t xml:space="preserve"> a souligné </w:t>
      </w:r>
      <w:r>
        <w:t>l</w:t>
      </w:r>
      <w:r w:rsidR="00346F1B">
        <w:t>’</w:t>
      </w:r>
      <w:r>
        <w:t xml:space="preserve">importance des </w:t>
      </w:r>
      <w:r w:rsidR="009E504B">
        <w:t xml:space="preserve">précisions </w:t>
      </w:r>
      <w:r>
        <w:t>apporté</w:t>
      </w:r>
      <w:r w:rsidR="009E504B">
        <w:t>e</w:t>
      </w:r>
      <w:r>
        <w:t>s par le Secrétaire, à savoir, aucune nouvelle information ne pouvait être acceptée pendant le débat, seuls des éclaircissements étaient recevables. À cet égard, le Bangladesh avait apporté les éclaircissements nécessaires afin d</w:t>
      </w:r>
      <w:r w:rsidR="00346F1B">
        <w:t>’</w:t>
      </w:r>
      <w:r>
        <w:t>informer la décision du Comité, ce qui correspondait à l</w:t>
      </w:r>
      <w:r w:rsidR="00346F1B">
        <w:t>’</w:t>
      </w:r>
      <w:r>
        <w:t>esprit de la proposition de Cuba. En affirmant clairement que le critère R.5 avait été satisfait grâce aux éclaircissements apportés, la décision du Comité ne désavouait pas l</w:t>
      </w:r>
      <w:r w:rsidR="00346F1B">
        <w:t>’</w:t>
      </w:r>
      <w:r>
        <w:t>Organe d</w:t>
      </w:r>
      <w:r w:rsidR="00346F1B">
        <w:t>’</w:t>
      </w:r>
      <w:r>
        <w:t>évaluation, comme l</w:t>
      </w:r>
      <w:r w:rsidR="00346F1B">
        <w:t>’</w:t>
      </w:r>
      <w:r>
        <w:t>avait d</w:t>
      </w:r>
      <w:r w:rsidR="00346F1B">
        <w:t>’</w:t>
      </w:r>
      <w:r>
        <w:t>ailleurs précisé l</w:t>
      </w:r>
      <w:r w:rsidR="00346F1B">
        <w:t>’</w:t>
      </w:r>
      <w:r>
        <w:t>Algérie. Peu importait la position du paragraphe, il pouvait être placé à la fin de la décision afin de respecter l</w:t>
      </w:r>
      <w:r w:rsidR="00346F1B">
        <w:t>’</w:t>
      </w:r>
      <w:r>
        <w:t xml:space="preserve">ordre des paragraphes. La délégation a fait remarquer que le Comité avait déjà adopté le paragraphe 3, et </w:t>
      </w:r>
      <w:r w:rsidR="009E504B">
        <w:t xml:space="preserve">a précisé </w:t>
      </w:r>
      <w:r>
        <w:t>qu</w:t>
      </w:r>
      <w:r w:rsidR="00346F1B">
        <w:t>’</w:t>
      </w:r>
      <w:r>
        <w:t>elle souscrivait pleinement aux propos du Secrétaire, il était important de r</w:t>
      </w:r>
      <w:r w:rsidR="009E504B">
        <w:t>appeler l</w:t>
      </w:r>
      <w:r w:rsidR="00346F1B">
        <w:t>’</w:t>
      </w:r>
      <w:r w:rsidR="009E504B">
        <w:t xml:space="preserve">esprit de la décision, c.-à-d. des éclaircissements avaient été apportés et grâce à ceux-ci, </w:t>
      </w:r>
      <w:r w:rsidR="00ED0E22">
        <w:t>la décision avait été possible.</w:t>
      </w:r>
    </w:p>
    <w:p w14:paraId="26B5D168" w14:textId="584896CB" w:rsidR="009E504B" w:rsidRPr="009E504B" w:rsidRDefault="009E504B" w:rsidP="00ED0E22">
      <w:pPr>
        <w:pStyle w:val="Orateurengris"/>
        <w:spacing w:before="120"/>
        <w:ind w:left="709" w:hanging="709"/>
      </w:pPr>
      <w:r>
        <w:t xml:space="preserve">Le </w:t>
      </w:r>
      <w:r w:rsidRPr="009E504B">
        <w:rPr>
          <w:b/>
        </w:rPr>
        <w:t>Président</w:t>
      </w:r>
      <w:r>
        <w:t xml:space="preserve"> a demandé au Comité d</w:t>
      </w:r>
      <w:r w:rsidR="00346F1B">
        <w:t>’</w:t>
      </w:r>
      <w:r>
        <w:t>examiner la proposition du Secrétaire.</w:t>
      </w:r>
    </w:p>
    <w:p w14:paraId="06D74FB6" w14:textId="29192FC3" w:rsidR="009E504B" w:rsidRPr="009E504B" w:rsidRDefault="009E504B" w:rsidP="00ED0E22">
      <w:pPr>
        <w:pStyle w:val="Orateurengris"/>
        <w:spacing w:before="120"/>
        <w:ind w:left="709" w:hanging="709"/>
      </w:pPr>
      <w:r>
        <w:t>La délégation de l</w:t>
      </w:r>
      <w:r w:rsidR="00346F1B">
        <w:t>’</w:t>
      </w:r>
      <w:r w:rsidRPr="009E504B">
        <w:rPr>
          <w:b/>
        </w:rPr>
        <w:t>Inde</w:t>
      </w:r>
      <w:r>
        <w:t xml:space="preserve"> adhérait pleinement aux propos du Sénégal et du Secrétaire et, s</w:t>
      </w:r>
      <w:r w:rsidR="00346F1B">
        <w:t>’</w:t>
      </w:r>
      <w:r>
        <w:t>agissant de l</w:t>
      </w:r>
      <w:r w:rsidR="00346F1B">
        <w:t>’</w:t>
      </w:r>
      <w:r>
        <w:t xml:space="preserve">amendement de Cuba, elle a proposé </w:t>
      </w:r>
      <w:r w:rsidR="00717F19">
        <w:t>un paragraphe standard ains</w:t>
      </w:r>
      <w:r>
        <w:t>i rédigé : « remercie la délégation de/du [dans le cas présent, du Ba</w:t>
      </w:r>
      <w:r w:rsidR="00717F19">
        <w:t xml:space="preserve">ngladesh] des éclaircissements </w:t>
      </w:r>
      <w:r>
        <w:t>apportés au Comité sur le critère</w:t>
      </w:r>
      <w:r w:rsidR="00717F19">
        <w:t xml:space="preserve"> [dans le cas présent, R.5]. Cela pourrait constituer le paragraph</w:t>
      </w:r>
      <w:r w:rsidR="00ED0E22">
        <w:t>e 4, le dernier de la décision.</w:t>
      </w:r>
    </w:p>
    <w:p w14:paraId="23B23DAD" w14:textId="121082CB" w:rsidR="00717F19" w:rsidRPr="00717F19" w:rsidRDefault="00717F19" w:rsidP="00ED0E22">
      <w:pPr>
        <w:pStyle w:val="Orateurengris"/>
        <w:spacing w:before="120"/>
        <w:ind w:left="709" w:hanging="709"/>
      </w:pPr>
      <w:r>
        <w:t xml:space="preserve">Le </w:t>
      </w:r>
      <w:r w:rsidRPr="00717F19">
        <w:rPr>
          <w:b/>
        </w:rPr>
        <w:t>Président</w:t>
      </w:r>
      <w:r>
        <w:t xml:space="preserve"> a demandé si le Comité souscrivait à la proposition de l</w:t>
      </w:r>
      <w:r w:rsidR="00346F1B">
        <w:t>’</w:t>
      </w:r>
      <w:r w:rsidR="00ED0E22">
        <w:t>Inde.</w:t>
      </w:r>
    </w:p>
    <w:p w14:paraId="2FB5AD09" w14:textId="60F36BFD" w:rsidR="00717F19" w:rsidRPr="00717F19" w:rsidRDefault="00717F19" w:rsidP="00ED0E22">
      <w:pPr>
        <w:pStyle w:val="Orateurengris"/>
        <w:spacing w:before="120"/>
        <w:ind w:left="709" w:hanging="709"/>
      </w:pPr>
      <w:r>
        <w:t>La délégation de l</w:t>
      </w:r>
      <w:r w:rsidR="00346F1B">
        <w:t>’</w:t>
      </w:r>
      <w:r w:rsidRPr="00717F19">
        <w:rPr>
          <w:b/>
        </w:rPr>
        <w:t>Autriche</w:t>
      </w:r>
      <w:r>
        <w:t xml:space="preserve"> avait le sentiment que le plus important pour le Comité et les État</w:t>
      </w:r>
      <w:r w:rsidR="008F4F32">
        <w:t>s soumissionnaires, lors de cette</w:t>
      </w:r>
      <w:r>
        <w:t xml:space="preserve"> session et à l</w:t>
      </w:r>
      <w:r w:rsidR="00346F1B">
        <w:t>’</w:t>
      </w:r>
      <w:r>
        <w:t>avenir, était de veiller à la cohérence et la clarté, et ce, par souci de crédibilité. Elle n</w:t>
      </w:r>
      <w:r w:rsidR="00346F1B">
        <w:t>’</w:t>
      </w:r>
      <w:r>
        <w:t xml:space="preserve">était pas favorable à un changement des règles et préférait se conformer à la pratique </w:t>
      </w:r>
      <w:r w:rsidR="00966BBC">
        <w:t>observée par le passé</w:t>
      </w:r>
      <w:r>
        <w:t>, comme suggéré par le Secrétaire, à savoir adopter les critères puis insérer le texte de « félic</w:t>
      </w:r>
      <w:r w:rsidR="00966BBC">
        <w:t>itations » voire</w:t>
      </w:r>
      <w:r>
        <w:t xml:space="preserve"> </w:t>
      </w:r>
      <w:r w:rsidR="00966BBC">
        <w:t>le texte complémentaire sur l</w:t>
      </w:r>
      <w:r w:rsidR="00346F1B">
        <w:t>’</w:t>
      </w:r>
      <w:r w:rsidR="00966BBC">
        <w:t xml:space="preserve">inventaire, ou sur quelque sujet que ce soit, à la fin de la décision. La délégation </w:t>
      </w:r>
      <w:r w:rsidR="008F4F32">
        <w:t xml:space="preserve">ne </w:t>
      </w:r>
      <w:r w:rsidR="00966BBC">
        <w:t xml:space="preserve">souhaitait </w:t>
      </w:r>
      <w:r w:rsidR="008F4F32">
        <w:t xml:space="preserve">pas </w:t>
      </w:r>
      <w:r w:rsidR="00966BBC">
        <w:t>qu</w:t>
      </w:r>
      <w:r w:rsidR="00346F1B">
        <w:t>’</w:t>
      </w:r>
      <w:r w:rsidR="00966BBC">
        <w:t>on donne l</w:t>
      </w:r>
      <w:r w:rsidR="00346F1B">
        <w:t>’</w:t>
      </w:r>
      <w:r w:rsidR="00966BBC">
        <w:t xml:space="preserve">impression </w:t>
      </w:r>
      <w:r w:rsidR="008F4F32">
        <w:t>que l</w:t>
      </w:r>
      <w:r w:rsidR="00346F1B">
        <w:t>’</w:t>
      </w:r>
      <w:r w:rsidR="008F4F32">
        <w:t xml:space="preserve">ajout </w:t>
      </w:r>
      <w:r w:rsidR="00966BBC">
        <w:t>de nouvelles informations pendant la session du Comité</w:t>
      </w:r>
      <w:r w:rsidR="008F4F32">
        <w:t xml:space="preserve"> était possible</w:t>
      </w:r>
      <w:r w:rsidR="00966BBC">
        <w:t xml:space="preserve">, </w:t>
      </w:r>
      <w:r w:rsidR="008F4F32">
        <w:t>ajoutant, qu</w:t>
      </w:r>
      <w:r w:rsidR="00346F1B">
        <w:t>’</w:t>
      </w:r>
      <w:r w:rsidR="008F4F32">
        <w:t>à sa sixième session, le Comité avait déjà adopté une décision stipulant que de nouvelles informations ne seraient pas acceptées. Le libellé du paragraphe dev</w:t>
      </w:r>
      <w:r w:rsidR="00636BFD">
        <w:t>r</w:t>
      </w:r>
      <w:r w:rsidR="008F4F32">
        <w:t>ait donc faire comprendre de façon très évidente aux États soumissionnaires que le Comité fondait son jugement sur le contenu du dossier soumis et qu</w:t>
      </w:r>
      <w:r w:rsidR="00346F1B">
        <w:t>’</w:t>
      </w:r>
      <w:r w:rsidR="008F4F32">
        <w:t>il ne portait aucun jugement sur l</w:t>
      </w:r>
      <w:r w:rsidR="00346F1B">
        <w:t>’</w:t>
      </w:r>
      <w:r w:rsidR="008F4F32">
        <w:t>élément et n</w:t>
      </w:r>
      <w:r w:rsidR="00346F1B">
        <w:t>’</w:t>
      </w:r>
      <w:r w:rsidR="008F4F32">
        <w:t>acceptait aucune sorte d</w:t>
      </w:r>
      <w:r w:rsidR="00346F1B">
        <w:t>’</w:t>
      </w:r>
      <w:r w:rsidR="00ED0E22">
        <w:t>informations nouvelles.</w:t>
      </w:r>
    </w:p>
    <w:p w14:paraId="1E15CB80" w14:textId="6B28F57F" w:rsidR="008F4F32" w:rsidRPr="008F4F32" w:rsidRDefault="008F4F32" w:rsidP="00ED0E22">
      <w:pPr>
        <w:pStyle w:val="Orateurengris"/>
        <w:spacing w:before="120"/>
        <w:ind w:left="709" w:hanging="709"/>
      </w:pPr>
      <w:r>
        <w:t xml:space="preserve">La délégation de la </w:t>
      </w:r>
      <w:r w:rsidRPr="008F4F32">
        <w:rPr>
          <w:b/>
        </w:rPr>
        <w:t>Palestine</w:t>
      </w:r>
      <w:r>
        <w:t xml:space="preserve"> souscrivait aux propos du Sénégal et de l</w:t>
      </w:r>
      <w:r w:rsidR="00346F1B">
        <w:t>’</w:t>
      </w:r>
      <w:r>
        <w:t>Inde, ainsi qu</w:t>
      </w:r>
      <w:r w:rsidR="00346F1B">
        <w:t>’</w:t>
      </w:r>
      <w:r>
        <w:t>à la proposition d</w:t>
      </w:r>
      <w:r w:rsidR="000706F7">
        <w:t>u Secrétaire. Elle a demandé que, pour gagner du temps,</w:t>
      </w:r>
      <w:r>
        <w:t xml:space="preserve"> le Secrétariat prépare les autres décisions avec les différents critères </w:t>
      </w:r>
      <w:r w:rsidR="000706F7">
        <w:t>car il y avait un très grand nombre d</w:t>
      </w:r>
      <w:r w:rsidR="00346F1B">
        <w:t>’</w:t>
      </w:r>
      <w:r w:rsidR="00ED0E22">
        <w:t>amendements.</w:t>
      </w:r>
    </w:p>
    <w:p w14:paraId="75991405" w14:textId="16DFDEA6" w:rsidR="000706F7" w:rsidRPr="000706F7" w:rsidRDefault="000706F7" w:rsidP="00ED0E22">
      <w:pPr>
        <w:pStyle w:val="Orateurengris"/>
        <w:spacing w:before="120"/>
        <w:ind w:left="709" w:hanging="709"/>
      </w:pPr>
      <w:r>
        <w:t>Dans un esprit constructif et afin de permettre au Comité d</w:t>
      </w:r>
      <w:r w:rsidR="00346F1B">
        <w:t>’</w:t>
      </w:r>
      <w:r>
        <w:t>avancer, la délégation de l</w:t>
      </w:r>
      <w:r w:rsidR="00346F1B">
        <w:t>’</w:t>
      </w:r>
      <w:r w:rsidRPr="00636BFD">
        <w:rPr>
          <w:b/>
        </w:rPr>
        <w:t>Algérie</w:t>
      </w:r>
      <w:r>
        <w:t xml:space="preserve"> a dit souscrire à la proposition de l</w:t>
      </w:r>
      <w:r w:rsidR="00346F1B">
        <w:t>’</w:t>
      </w:r>
      <w:r>
        <w:t>Inde et du Secrétariat d</w:t>
      </w:r>
      <w:r w:rsidR="00346F1B">
        <w:t>’</w:t>
      </w:r>
      <w:r>
        <w:t>inclure un paragraphe standard pour « remercier l</w:t>
      </w:r>
      <w:r w:rsidR="00346F1B">
        <w:t>’</w:t>
      </w:r>
      <w:r>
        <w:t>État soumissionnaire des éclaircissements [et non des informations] apportés au Comité pendant les débats » tout en faisant référence au(x) critère(s) sur le(s)quel(s) les éclaircissements avaient été apportés. Cet ajout établirait clairement que les éclaircissements avaient été apporté</w:t>
      </w:r>
      <w:r w:rsidR="00ED0E22">
        <w:t>s pendant la session du Comité.</w:t>
      </w:r>
    </w:p>
    <w:p w14:paraId="79A4A40B" w14:textId="72406BC2" w:rsidR="000706F7" w:rsidRDefault="000706F7" w:rsidP="00ED0E22">
      <w:pPr>
        <w:pStyle w:val="Orateurengris"/>
        <w:spacing w:before="120"/>
        <w:ind w:left="709" w:hanging="709"/>
      </w:pPr>
      <w:r>
        <w:t xml:space="preserve">La délégation de la </w:t>
      </w:r>
      <w:r w:rsidRPr="009F690B">
        <w:rPr>
          <w:b/>
        </w:rPr>
        <w:t>Turquie</w:t>
      </w:r>
      <w:r w:rsidR="00636BFD">
        <w:t xml:space="preserve"> appuyait</w:t>
      </w:r>
      <w:r>
        <w:t xml:space="preserve"> les remarques de l</w:t>
      </w:r>
      <w:r w:rsidR="00346F1B">
        <w:t>’</w:t>
      </w:r>
      <w:r>
        <w:t>Autriche visant à éviter toute référence à de nouvelles informations car le Comité basait ses décisions d</w:t>
      </w:r>
      <w:r w:rsidR="00346F1B">
        <w:t>’</w:t>
      </w:r>
      <w:r>
        <w:t>inscription sur les éclaircissements apportés</w:t>
      </w:r>
      <w:r w:rsidR="009F690B">
        <w:t xml:space="preserve"> aux informations déjà contenues dans le dossier</w:t>
      </w:r>
      <w:r w:rsidR="00ED0E22">
        <w:t>.</w:t>
      </w:r>
    </w:p>
    <w:p w14:paraId="12815462" w14:textId="4E52CD1E" w:rsidR="009F690B" w:rsidRPr="009F690B" w:rsidRDefault="009F690B" w:rsidP="00ED0E22">
      <w:pPr>
        <w:pStyle w:val="Orateurengris"/>
        <w:spacing w:before="120"/>
        <w:ind w:left="709" w:hanging="709"/>
      </w:pPr>
      <w:r>
        <w:t xml:space="preserve">Le </w:t>
      </w:r>
      <w:r w:rsidRPr="009F690B">
        <w:rPr>
          <w:b/>
        </w:rPr>
        <w:t>Président</w:t>
      </w:r>
      <w:r>
        <w:t xml:space="preserve"> est revenu sur le paragraphe 3, « Inscrit », comme </w:t>
      </w:r>
      <w:r w:rsidR="002567C8">
        <w:t>proposé par l</w:t>
      </w:r>
      <w:r w:rsidR="00346F1B">
        <w:t>’</w:t>
      </w:r>
      <w:r w:rsidR="002567C8">
        <w:t>Inde et d</w:t>
      </w:r>
      <w:r w:rsidR="00346F1B">
        <w:t>’</w:t>
      </w:r>
      <w:r w:rsidR="002567C8">
        <w:t xml:space="preserve">autres </w:t>
      </w:r>
      <w:r w:rsidR="00A46CAD">
        <w:t>membres</w:t>
      </w:r>
      <w:r>
        <w:t xml:space="preserve"> également coauteurs de l</w:t>
      </w:r>
      <w:r w:rsidR="00346F1B">
        <w:t>’</w:t>
      </w:r>
      <w:r>
        <w:t>amendement. En l</w:t>
      </w:r>
      <w:r w:rsidR="00346F1B">
        <w:t>’</w:t>
      </w:r>
      <w:r>
        <w:t>absence d</w:t>
      </w:r>
      <w:r w:rsidR="00346F1B">
        <w:t>’</w:t>
      </w:r>
      <w:r>
        <w:t xml:space="preserve">autres commentaires ou objections, le paragraphe 3 a été adopté. Le Président est passé au nouveau </w:t>
      </w:r>
      <w:r w:rsidR="00ED0E22">
        <w:t>paragraphe 4, qui a été adopté.</w:t>
      </w:r>
    </w:p>
    <w:p w14:paraId="59149F7E" w14:textId="15528350" w:rsidR="009F690B" w:rsidRPr="009F690B" w:rsidRDefault="009F690B" w:rsidP="00ED0E22">
      <w:pPr>
        <w:pStyle w:val="Orateurengris"/>
        <w:spacing w:before="120"/>
        <w:ind w:left="709" w:hanging="709"/>
      </w:pPr>
      <w:r>
        <w:t xml:space="preserve">La délégation de la </w:t>
      </w:r>
      <w:r w:rsidRPr="009F690B">
        <w:rPr>
          <w:b/>
        </w:rPr>
        <w:t>Hongrie</w:t>
      </w:r>
      <w:r>
        <w:t xml:space="preserve"> a réitéré son soutien à l</w:t>
      </w:r>
      <w:r w:rsidR="00346F1B">
        <w:t>’</w:t>
      </w:r>
      <w:r>
        <w:t>inscription de l</w:t>
      </w:r>
      <w:r w:rsidR="00346F1B">
        <w:t>’</w:t>
      </w:r>
      <w:r>
        <w:t>élément avec les éclaircissements app</w:t>
      </w:r>
      <w:r w:rsidR="00636BFD">
        <w:t>ortés sur le critère R.5. Elle souhaitait</w:t>
      </w:r>
      <w:r>
        <w:t xml:space="preserve"> néanmoins insister sur le fait que l</w:t>
      </w:r>
      <w:r w:rsidR="00346F1B">
        <w:t>’</w:t>
      </w:r>
      <w:r>
        <w:t>inventaire était la pierre angulaire de la sauvegarde du PCI avec la partici</w:t>
      </w:r>
      <w:r w:rsidR="006B140A">
        <w:t xml:space="preserve">pation des communautés, comme le stipulait </w:t>
      </w:r>
      <w:r>
        <w:t xml:space="preserve">la Convention. </w:t>
      </w:r>
      <w:r w:rsidR="006B140A">
        <w:t>L</w:t>
      </w:r>
      <w:r w:rsidR="00346F1B">
        <w:t>’</w:t>
      </w:r>
      <w:r w:rsidR="006B140A">
        <w:t>intervenant de la délégation a ajouté qu</w:t>
      </w:r>
      <w:r w:rsidR="00346F1B">
        <w:t>’</w:t>
      </w:r>
      <w:r w:rsidR="006B140A">
        <w:t xml:space="preserve">il avait personnellement et très activement participé à </w:t>
      </w:r>
      <w:r w:rsidR="00636BFD">
        <w:t>la rédaction de la Convention entre 2002 et</w:t>
      </w:r>
      <w:r w:rsidR="006B140A">
        <w:t xml:space="preserve"> 2003, au cours de laquelle ce sujet avait fait l</w:t>
      </w:r>
      <w:r w:rsidR="00346F1B">
        <w:t>’</w:t>
      </w:r>
      <w:r w:rsidR="006B140A">
        <w:t>objet de trè</w:t>
      </w:r>
      <w:r w:rsidR="00636BFD">
        <w:t>s longs débats. La délégation souhaitait</w:t>
      </w:r>
      <w:r w:rsidR="006B140A">
        <w:t xml:space="preserve"> clairement rappeler qu</w:t>
      </w:r>
      <w:r w:rsidR="00346F1B">
        <w:t>’</w:t>
      </w:r>
      <w:r w:rsidR="006B140A">
        <w:t>il était essentiel pour un élément de figurer à l</w:t>
      </w:r>
      <w:r w:rsidR="00346F1B">
        <w:t>’</w:t>
      </w:r>
      <w:r w:rsidR="006B140A">
        <w:t>inventaire de l</w:t>
      </w:r>
      <w:r w:rsidR="00346F1B">
        <w:t>’</w:t>
      </w:r>
      <w:r w:rsidR="006B140A">
        <w:t>État partie avant d</w:t>
      </w:r>
      <w:r w:rsidR="00346F1B">
        <w:t>’</w:t>
      </w:r>
      <w:r w:rsidR="006B140A">
        <w:t>être candidat à l</w:t>
      </w:r>
      <w:r w:rsidR="00346F1B">
        <w:t>’</w:t>
      </w:r>
      <w:r w:rsidR="006B140A">
        <w:t>inscription sur les Listes de</w:t>
      </w:r>
      <w:r w:rsidR="00636BFD">
        <w:t xml:space="preserve"> la Convention. La délégation proposait </w:t>
      </w:r>
      <w:r w:rsidR="006B140A">
        <w:t>donc un paragraphe supplémentaire, le paragraphe 5, ainsi rédigé : « Attire l</w:t>
      </w:r>
      <w:r w:rsidR="00346F1B">
        <w:t>’</w:t>
      </w:r>
      <w:r w:rsidR="006B140A">
        <w:t>attention sur l</w:t>
      </w:r>
      <w:r w:rsidR="00346F1B">
        <w:t>’</w:t>
      </w:r>
      <w:r w:rsidR="006B140A">
        <w:t>importance de l</w:t>
      </w:r>
      <w:r w:rsidR="00346F1B">
        <w:t>’</w:t>
      </w:r>
      <w:r w:rsidR="006B140A">
        <w:t>article 11.b, de l</w:t>
      </w:r>
      <w:r w:rsidR="00346F1B">
        <w:t>’</w:t>
      </w:r>
      <w:r w:rsidR="006B140A">
        <w:t>article 12 ainsi que de l</w:t>
      </w:r>
      <w:r w:rsidR="00346F1B">
        <w:t>’</w:t>
      </w:r>
      <w:r w:rsidR="006B140A">
        <w:t>article 15 de la Convention relatifs à l</w:t>
      </w:r>
      <w:r w:rsidR="00346F1B">
        <w:t>’</w:t>
      </w:r>
      <w:r w:rsidR="006B140A">
        <w:t>établissement et la mise à jour d</w:t>
      </w:r>
      <w:r w:rsidR="00346F1B">
        <w:t>’</w:t>
      </w:r>
      <w:r w:rsidR="006B140A">
        <w:t>inventaires du patrimoine culturel immatériel avant de soumettre des candidatures aux Listes de la Convention. » Elle a ajouté que ce rappel de la Convention était destiné à éviter toute ambigüité à venir quant à l</w:t>
      </w:r>
      <w:r w:rsidR="00346F1B">
        <w:t>’</w:t>
      </w:r>
      <w:r w:rsidR="00ED0E22">
        <w:t>importance du critère R.5.</w:t>
      </w:r>
    </w:p>
    <w:p w14:paraId="2225AD36" w14:textId="41C528FC" w:rsidR="001D733C" w:rsidRPr="001D733C" w:rsidRDefault="001D733C" w:rsidP="00ED0E22">
      <w:pPr>
        <w:pStyle w:val="Orateurengris"/>
        <w:spacing w:before="120"/>
        <w:ind w:left="709" w:hanging="709"/>
      </w:pPr>
      <w:r>
        <w:t xml:space="preserve">La délégation de </w:t>
      </w:r>
      <w:r w:rsidRPr="001D733C">
        <w:rPr>
          <w:b/>
        </w:rPr>
        <w:t>Chypre</w:t>
      </w:r>
      <w:r>
        <w:t xml:space="preserve"> a déclaré qu</w:t>
      </w:r>
      <w:r w:rsidR="00346F1B">
        <w:t>’</w:t>
      </w:r>
      <w:r>
        <w:t>il serait difficile de mentionner les éclaircissements apportés par u</w:t>
      </w:r>
      <w:r w:rsidR="00450503">
        <w:t xml:space="preserve">n État à chaque occasion. Elle estimait </w:t>
      </w:r>
      <w:r>
        <w:t>également que la proposition visant à rappeler les termes de la Convention posait un problème car elle impliquerait l</w:t>
      </w:r>
      <w:r w:rsidR="00346F1B">
        <w:t>’</w:t>
      </w:r>
      <w:r>
        <w:t>ajout de paragraphes pour chaque critère à examiner. La délégation jugeait néanmoins important de souligner dans la décision que l</w:t>
      </w:r>
      <w:r w:rsidR="00346F1B">
        <w:t>’</w:t>
      </w:r>
      <w:r>
        <w:t>élément n</w:t>
      </w:r>
      <w:r w:rsidR="00346F1B">
        <w:t>’</w:t>
      </w:r>
      <w:r>
        <w:t>avait pas été inscrit directement par l</w:t>
      </w:r>
      <w:r w:rsidR="00346F1B">
        <w:t>’</w:t>
      </w:r>
      <w:r>
        <w:t>Organe d</w:t>
      </w:r>
      <w:r w:rsidR="00346F1B">
        <w:t>’</w:t>
      </w:r>
      <w:r>
        <w:t>évaluation mais avec l</w:t>
      </w:r>
      <w:r w:rsidR="00346F1B">
        <w:t>’</w:t>
      </w:r>
      <w:r>
        <w:t>accord du Comité.</w:t>
      </w:r>
    </w:p>
    <w:p w14:paraId="16CA8341" w14:textId="0243701C" w:rsidR="001D733C" w:rsidRPr="00130AFC" w:rsidRDefault="00130AFC" w:rsidP="00ED0E22">
      <w:pPr>
        <w:pStyle w:val="Orateurengris"/>
        <w:spacing w:before="120"/>
        <w:ind w:left="709" w:hanging="709"/>
      </w:pPr>
      <w:r w:rsidRPr="00130AFC">
        <w:t xml:space="preserve">La délégation de </w:t>
      </w:r>
      <w:r w:rsidRPr="00130AFC">
        <w:rPr>
          <w:rStyle w:val="ParaChar"/>
          <w:b/>
        </w:rPr>
        <w:t>Cuba</w:t>
      </w:r>
      <w:r w:rsidRPr="00130AFC">
        <w:t xml:space="preserve"> </w:t>
      </w:r>
      <w:r>
        <w:t>a dit partager les préoccupations de la Hongrie mais n</w:t>
      </w:r>
      <w:r w:rsidR="00346F1B">
        <w:t>’</w:t>
      </w:r>
      <w:r>
        <w:t>être toutefois pas convaincue de la nécessité d</w:t>
      </w:r>
      <w:r w:rsidR="00346F1B">
        <w:t>’</w:t>
      </w:r>
      <w:r>
        <w:t>inclure le paragraphe dans chaque décision. Elle a suggéré d</w:t>
      </w:r>
      <w:r w:rsidR="00346F1B">
        <w:t>’</w:t>
      </w:r>
      <w:r>
        <w:t xml:space="preserve">envisager ce paragraphe pour la décision du point 10 qui abordait les questions de procédure ayant posé problème. Comme Chypre, elle </w:t>
      </w:r>
      <w:r w:rsidR="00636BFD">
        <w:t>convenait</w:t>
      </w:r>
      <w:r>
        <w:t xml:space="preserve"> qu</w:t>
      </w:r>
      <w:r w:rsidR="00346F1B">
        <w:t>’</w:t>
      </w:r>
      <w:r>
        <w:t>il n</w:t>
      </w:r>
      <w:r w:rsidR="00346F1B">
        <w:t>’</w:t>
      </w:r>
      <w:r>
        <w:t>était pas utile de faire référence aux articles de la Convention dans les décisions re</w:t>
      </w:r>
      <w:r w:rsidR="00636BFD">
        <w:t>latives aux éléments, et elle proposait d</w:t>
      </w:r>
      <w:r w:rsidR="00346F1B">
        <w:t>’</w:t>
      </w:r>
      <w:r w:rsidR="00636BFD">
        <w:t>en</w:t>
      </w:r>
      <w:r>
        <w:t xml:space="preserve"> débattre </w:t>
      </w:r>
      <w:r w:rsidR="00636BFD">
        <w:t xml:space="preserve">lors </w:t>
      </w:r>
      <w:r>
        <w:t>de la décision générale du point 10</w:t>
      </w:r>
      <w:r w:rsidR="00636BFD">
        <w:t>,</w:t>
      </w:r>
      <w:r>
        <w:t xml:space="preserve"> une fois tou</w:t>
      </w:r>
      <w:r w:rsidR="00ED0E22">
        <w:t>tes les candidatures examinées.</w:t>
      </w:r>
    </w:p>
    <w:p w14:paraId="7A91514C" w14:textId="3B41176F" w:rsidR="00130AFC" w:rsidRPr="00130AFC" w:rsidRDefault="00130AFC" w:rsidP="00ED0E22">
      <w:pPr>
        <w:pStyle w:val="Orateurengris"/>
        <w:spacing w:before="120"/>
        <w:ind w:left="709" w:hanging="709"/>
      </w:pPr>
      <w:r>
        <w:t>La délégation de l</w:t>
      </w:r>
      <w:r w:rsidR="00346F1B">
        <w:t>’</w:t>
      </w:r>
      <w:r w:rsidRPr="00130AFC">
        <w:rPr>
          <w:b/>
        </w:rPr>
        <w:t>Autriche</w:t>
      </w:r>
      <w:r w:rsidR="00636BFD">
        <w:t xml:space="preserve"> appuyait</w:t>
      </w:r>
      <w:r>
        <w:t xml:space="preserve"> l</w:t>
      </w:r>
      <w:r w:rsidR="00346F1B">
        <w:t>’</w:t>
      </w:r>
      <w:r>
        <w:t xml:space="preserve">amendement de la Hongrie car elle </w:t>
      </w:r>
      <w:r w:rsidR="00636BFD">
        <w:t xml:space="preserve">estimait important </w:t>
      </w:r>
      <w:r>
        <w:t>d</w:t>
      </w:r>
      <w:r w:rsidR="00346F1B">
        <w:t>’</w:t>
      </w:r>
      <w:r>
        <w:t>établir des inventaires mais également parce que cela faisait écho à une pratique passée consistant à rappeler à l</w:t>
      </w:r>
      <w:r w:rsidR="00346F1B">
        <w:t>’</w:t>
      </w:r>
      <w:r>
        <w:t>État partie de communiquer cette information ou à attirer son attention sur les informations nécessaires. Bien qu</w:t>
      </w:r>
      <w:r w:rsidR="00346F1B">
        <w:t>’</w:t>
      </w:r>
      <w:r>
        <w:t>on ne puisse peut-être pas utiliser ce paragraphe standard dans toutes les décisions à venir, il était important de conserver l</w:t>
      </w:r>
      <w:r w:rsidR="00346F1B">
        <w:t>’</w:t>
      </w:r>
      <w:r>
        <w:t>esprit de l</w:t>
      </w:r>
      <w:r w:rsidR="00346F1B">
        <w:t>’</w:t>
      </w:r>
      <w:r>
        <w:t>amendement et de recommander à l</w:t>
      </w:r>
      <w:r w:rsidR="00346F1B">
        <w:t>’</w:t>
      </w:r>
      <w:r>
        <w:t>État partie d</w:t>
      </w:r>
      <w:r w:rsidR="00346F1B">
        <w:t>’</w:t>
      </w:r>
      <w:r>
        <w:t>être plus précis en ce qui c</w:t>
      </w:r>
      <w:r w:rsidR="00ED0E22">
        <w:t>oncerne ce critère particulier.</w:t>
      </w:r>
    </w:p>
    <w:p w14:paraId="4223D04A" w14:textId="1002920F" w:rsidR="007C5979" w:rsidRDefault="007C5979" w:rsidP="00ED0E22">
      <w:pPr>
        <w:pStyle w:val="Orateurengris"/>
        <w:spacing w:before="120"/>
        <w:ind w:left="709" w:hanging="709"/>
      </w:pPr>
      <w:r>
        <w:t xml:space="preserve">Le </w:t>
      </w:r>
      <w:r w:rsidRPr="007C5979">
        <w:rPr>
          <w:b/>
        </w:rPr>
        <w:t>Président</w:t>
      </w:r>
      <w:r>
        <w:t xml:space="preserve"> a pris note d</w:t>
      </w:r>
      <w:r w:rsidR="00346F1B">
        <w:t>’</w:t>
      </w:r>
      <w:r>
        <w:t>une motion d</w:t>
      </w:r>
      <w:r w:rsidR="00346F1B">
        <w:t>’</w:t>
      </w:r>
      <w:r>
        <w:t>or</w:t>
      </w:r>
      <w:r w:rsidR="00ED0E22">
        <w:t>dre de la part de la Palestine.</w:t>
      </w:r>
    </w:p>
    <w:p w14:paraId="5C43D5F3" w14:textId="0B8CF677" w:rsidR="007C5979" w:rsidRPr="007C5979" w:rsidRDefault="007C5979" w:rsidP="00ED0E22">
      <w:pPr>
        <w:pStyle w:val="Orateurengris"/>
        <w:spacing w:before="120"/>
        <w:ind w:left="709" w:hanging="709"/>
      </w:pPr>
      <w:r>
        <w:t xml:space="preserve">La délégation de la </w:t>
      </w:r>
      <w:r w:rsidRPr="007C5979">
        <w:rPr>
          <w:b/>
        </w:rPr>
        <w:t>Palestine</w:t>
      </w:r>
      <w:r>
        <w:t xml:space="preserve"> estimait que la proposition de la Hongrie et de l</w:t>
      </w:r>
      <w:r w:rsidR="00346F1B">
        <w:t>’</w:t>
      </w:r>
      <w:r>
        <w:t>Autriche posait problème car c</w:t>
      </w:r>
      <w:r w:rsidR="00346F1B">
        <w:t>’</w:t>
      </w:r>
      <w:r>
        <w:t>était une recommandation générale qui n</w:t>
      </w:r>
      <w:r w:rsidR="00346F1B">
        <w:t>’</w:t>
      </w:r>
      <w:r>
        <w:t>avait pas lieu d</w:t>
      </w:r>
      <w:r w:rsidR="00346F1B">
        <w:t>’</w:t>
      </w:r>
      <w:r>
        <w:t>être dans une décision spécifique dont l</w:t>
      </w:r>
      <w:r w:rsidR="00346F1B">
        <w:t>’</w:t>
      </w:r>
      <w:r>
        <w:t>objet était d</w:t>
      </w:r>
      <w:r w:rsidR="00346F1B">
        <w:t>’</w:t>
      </w:r>
      <w:r>
        <w:t>inscrire l</w:t>
      </w:r>
      <w:r w:rsidR="00346F1B">
        <w:t>’</w:t>
      </w:r>
      <w:r>
        <w:t>élément et non de rappeler l</w:t>
      </w:r>
      <w:r w:rsidR="00346F1B">
        <w:t>’</w:t>
      </w:r>
      <w:r>
        <w:t>importance de cert</w:t>
      </w:r>
      <w:r w:rsidR="00ED0E22">
        <w:t>ains concepts de la Convention.</w:t>
      </w:r>
    </w:p>
    <w:p w14:paraId="6CAD5F85" w14:textId="2BBD33CA" w:rsidR="007C5979" w:rsidRPr="007C5979" w:rsidRDefault="007C5979" w:rsidP="00ED0E22">
      <w:pPr>
        <w:pStyle w:val="Orateurengris"/>
        <w:spacing w:before="120"/>
        <w:ind w:left="709" w:hanging="709"/>
      </w:pPr>
      <w:r>
        <w:t xml:space="preserve">Le </w:t>
      </w:r>
      <w:r w:rsidRPr="007C5979">
        <w:rPr>
          <w:b/>
        </w:rPr>
        <w:t>Président</w:t>
      </w:r>
      <w:r>
        <w:t xml:space="preserve"> a fait remarquer qu</w:t>
      </w:r>
      <w:r w:rsidR="00346F1B">
        <w:t>’</w:t>
      </w:r>
      <w:r>
        <w:t>il ne s</w:t>
      </w:r>
      <w:r w:rsidR="00346F1B">
        <w:t>’</w:t>
      </w:r>
      <w:r>
        <w:t>agissait pas d</w:t>
      </w:r>
      <w:r w:rsidR="00346F1B">
        <w:t>’</w:t>
      </w:r>
      <w:r>
        <w:t>une motion d</w:t>
      </w:r>
      <w:r w:rsidR="00346F1B">
        <w:t>’</w:t>
      </w:r>
      <w:r>
        <w:t>ordre, et a redonné la parole à la Côte d</w:t>
      </w:r>
      <w:r w:rsidR="00346F1B">
        <w:t>’</w:t>
      </w:r>
      <w:r w:rsidR="00ED0E22">
        <w:t>Ivoire.</w:t>
      </w:r>
    </w:p>
    <w:p w14:paraId="35005FFA" w14:textId="62954EE8" w:rsidR="007C5979" w:rsidRDefault="007C5979" w:rsidP="00ED0E22">
      <w:pPr>
        <w:pStyle w:val="Orateurengris"/>
        <w:spacing w:before="120"/>
        <w:ind w:left="709" w:hanging="709"/>
      </w:pPr>
      <w:r>
        <w:t xml:space="preserve">La délégation de la </w:t>
      </w:r>
      <w:r w:rsidRPr="007C5979">
        <w:rPr>
          <w:b/>
        </w:rPr>
        <w:t>Côte d</w:t>
      </w:r>
      <w:r w:rsidR="00346F1B">
        <w:rPr>
          <w:b/>
        </w:rPr>
        <w:t>’</w:t>
      </w:r>
      <w:r w:rsidRPr="007C5979">
        <w:rPr>
          <w:b/>
        </w:rPr>
        <w:t>Ivoire</w:t>
      </w:r>
      <w:r>
        <w:t xml:space="preserve"> a apporté son soutien à la proposition de Cuba </w:t>
      </w:r>
      <w:r w:rsidR="004F4F93">
        <w:t>et d</w:t>
      </w:r>
      <w:r w:rsidR="00346F1B">
        <w:t>’</w:t>
      </w:r>
      <w:r w:rsidR="004F4F93">
        <w:t>autres pays à propos du contenu du paragraphe, ajoutant qu</w:t>
      </w:r>
      <w:r w:rsidR="00346F1B">
        <w:t>’</w:t>
      </w:r>
      <w:r w:rsidR="004F4F93">
        <w:t>il pourrait être introduit lors du débat général sur la décision finale du point 10, une fois tous les dossiers de candidature examinés. On pourrait peut-être également envisager de supprimer les références aux articles de la Convention en ne conservant que l</w:t>
      </w:r>
      <w:r w:rsidR="00346F1B">
        <w:t>’</w:t>
      </w:r>
      <w:r w:rsidR="004F4F93">
        <w:t xml:space="preserve">information générale applicable à </w:t>
      </w:r>
      <w:r w:rsidR="00ED0E22">
        <w:t>toutes les autres candidatures.</w:t>
      </w:r>
    </w:p>
    <w:p w14:paraId="340E93BE" w14:textId="112A1394" w:rsidR="004F4F93" w:rsidRPr="004F4F93" w:rsidRDefault="004F4F93" w:rsidP="00ED0E22">
      <w:pPr>
        <w:pStyle w:val="Orateurengris"/>
        <w:spacing w:before="120"/>
        <w:ind w:left="709" w:hanging="709"/>
      </w:pPr>
      <w:r>
        <w:t xml:space="preserve">La délégation de la </w:t>
      </w:r>
      <w:r w:rsidRPr="004F4F93">
        <w:rPr>
          <w:b/>
        </w:rPr>
        <w:t>Hongrie</w:t>
      </w:r>
      <w:r w:rsidR="002567C8">
        <w:t xml:space="preserve"> a relevé que les </w:t>
      </w:r>
      <w:r w:rsidR="00A46CAD">
        <w:t>membres du Comité</w:t>
      </w:r>
      <w:r>
        <w:t xml:space="preserve"> avaient exprimé un soutien général au paragraphe mais pas à son introduction dans cette décision. Étant en faveur du consensus, elle</w:t>
      </w:r>
      <w:r w:rsidR="00636BFD">
        <w:t xml:space="preserve"> proposait</w:t>
      </w:r>
      <w:r>
        <w:t xml:space="preserve"> que l</w:t>
      </w:r>
      <w:r w:rsidR="00346F1B">
        <w:t>’</w:t>
      </w:r>
      <w:r>
        <w:t>on reporte ce paragraphe à la décision générale sur le point 10</w:t>
      </w:r>
      <w:r w:rsidR="00ED0E22">
        <w:t>. Elle a retiré son amendement.</w:t>
      </w:r>
    </w:p>
    <w:p w14:paraId="3295753C" w14:textId="2AD5CFED" w:rsidR="00C804C2" w:rsidRPr="00C804C2" w:rsidRDefault="00C804C2" w:rsidP="00ED0E22">
      <w:pPr>
        <w:pStyle w:val="Orateurengris"/>
        <w:spacing w:before="120"/>
        <w:ind w:left="709" w:hanging="709"/>
      </w:pPr>
      <w:r>
        <w:t xml:space="preserve">Le </w:t>
      </w:r>
      <w:r w:rsidRPr="00C804C2">
        <w:rPr>
          <w:b/>
        </w:rPr>
        <w:t>Président</w:t>
      </w:r>
      <w:r>
        <w:t xml:space="preserve"> a remercié la Hongrie de sa compréhension et du retrait de l</w:t>
      </w:r>
      <w:r w:rsidR="00346F1B">
        <w:t>’</w:t>
      </w:r>
      <w:r w:rsidR="00ED0E22">
        <w:t>amendement.</w:t>
      </w:r>
    </w:p>
    <w:p w14:paraId="66D62824" w14:textId="738101A8" w:rsidR="00C804C2" w:rsidRDefault="00C804C2" w:rsidP="00ED0E22">
      <w:pPr>
        <w:pStyle w:val="Orateurengris"/>
        <w:spacing w:before="120"/>
        <w:ind w:left="709" w:hanging="709"/>
      </w:pPr>
      <w:r>
        <w:t>Après avoir remercié la Hongrie, la délégation de l</w:t>
      </w:r>
      <w:r w:rsidR="00346F1B">
        <w:t>’</w:t>
      </w:r>
      <w:r w:rsidRPr="00C804C2">
        <w:rPr>
          <w:b/>
        </w:rPr>
        <w:t>Afghanistan</w:t>
      </w:r>
      <w:r>
        <w:t xml:space="preserve"> a ajouté que la décision devrait au minimum garder ces informations.</w:t>
      </w:r>
    </w:p>
    <w:p w14:paraId="4038C663" w14:textId="2D10E696" w:rsidR="00C804C2" w:rsidRPr="00C804C2" w:rsidRDefault="00C804C2" w:rsidP="00ED0E22">
      <w:pPr>
        <w:pStyle w:val="Orateurengris"/>
        <w:spacing w:before="120"/>
        <w:ind w:left="709" w:hanging="709"/>
      </w:pPr>
      <w:r>
        <w:t>La délégation de l</w:t>
      </w:r>
      <w:r w:rsidR="00346F1B">
        <w:t>’</w:t>
      </w:r>
      <w:r w:rsidRPr="00C804C2">
        <w:rPr>
          <w:b/>
        </w:rPr>
        <w:t>Inde</w:t>
      </w:r>
      <w:r>
        <w:t xml:space="preserve"> a noté que la discussion avait permis d</w:t>
      </w:r>
      <w:r w:rsidR="00346F1B">
        <w:t>’</w:t>
      </w:r>
      <w:r>
        <w:t>aborder des points très intéressants qui pourraient peut-être faire partie d</w:t>
      </w:r>
      <w:r w:rsidR="00346F1B">
        <w:t>’</w:t>
      </w:r>
      <w:r>
        <w:t>un débat plus général au titre du point 10 de l</w:t>
      </w:r>
      <w:r w:rsidR="00346F1B">
        <w:t>’</w:t>
      </w:r>
      <w:r>
        <w:t>ordre du jour. Toute</w:t>
      </w:r>
      <w:r w:rsidR="00ED0E22">
        <w:t>fois, le Comité devait avancer.</w:t>
      </w:r>
    </w:p>
    <w:p w14:paraId="279AF8AC" w14:textId="2C83DB06" w:rsidR="00C804C2" w:rsidRPr="00344913" w:rsidRDefault="003A6355" w:rsidP="00ED0E22">
      <w:pPr>
        <w:pStyle w:val="Orateurengris"/>
        <w:spacing w:before="120"/>
        <w:ind w:left="709" w:hanging="709"/>
        <w:rPr>
          <w:b/>
          <w:bCs/>
        </w:rPr>
      </w:pPr>
      <w:r>
        <w:rPr>
          <w:bCs/>
        </w:rPr>
        <w:t>Le</w:t>
      </w:r>
      <w:r w:rsidR="00C804C2">
        <w:rPr>
          <w:bCs/>
        </w:rPr>
        <w:t xml:space="preserve"> </w:t>
      </w:r>
      <w:r w:rsidR="00C804C2" w:rsidRPr="00C804C2">
        <w:rPr>
          <w:b/>
          <w:bCs/>
        </w:rPr>
        <w:t>Président</w:t>
      </w:r>
      <w:r w:rsidR="00C804C2">
        <w:rPr>
          <w:bCs/>
        </w:rPr>
        <w:t xml:space="preserve"> a procédé à l</w:t>
      </w:r>
      <w:r w:rsidR="00346F1B">
        <w:rPr>
          <w:bCs/>
        </w:rPr>
        <w:t>’</w:t>
      </w:r>
      <w:r w:rsidR="00C804C2">
        <w:rPr>
          <w:bCs/>
        </w:rPr>
        <w:t xml:space="preserve">adoption de la </w:t>
      </w:r>
      <w:r w:rsidR="00C804C2" w:rsidRPr="00C804C2">
        <w:rPr>
          <w:bCs/>
        </w:rPr>
        <w:t>décision</w:t>
      </w:r>
      <w:r w:rsidR="00C804C2">
        <w:rPr>
          <w:bCs/>
        </w:rPr>
        <w:t xml:space="preserve"> dans son ensemble. En</w:t>
      </w:r>
      <w:r w:rsidR="00344913">
        <w:rPr>
          <w:bCs/>
        </w:rPr>
        <w:t xml:space="preserve"> l</w:t>
      </w:r>
      <w:r w:rsidR="00346F1B">
        <w:rPr>
          <w:bCs/>
        </w:rPr>
        <w:t>’</w:t>
      </w:r>
      <w:r w:rsidR="00344913">
        <w:rPr>
          <w:bCs/>
        </w:rPr>
        <w:t>absence d</w:t>
      </w:r>
      <w:r w:rsidR="00346F1B">
        <w:rPr>
          <w:bCs/>
        </w:rPr>
        <w:t>’</w:t>
      </w:r>
      <w:r w:rsidR="00344913">
        <w:rPr>
          <w:bCs/>
        </w:rPr>
        <w:t xml:space="preserve">autres commentaires ou </w:t>
      </w:r>
      <w:r w:rsidR="00C804C2">
        <w:rPr>
          <w:bCs/>
        </w:rPr>
        <w:t xml:space="preserve">objections, </w:t>
      </w:r>
      <w:r w:rsidR="00C804C2" w:rsidRPr="00344913">
        <w:rPr>
          <w:b/>
          <w:bCs/>
        </w:rPr>
        <w:t xml:space="preserve">le Président a déclaré </w:t>
      </w:r>
      <w:r w:rsidR="00344913" w:rsidRPr="00344913">
        <w:rPr>
          <w:b/>
          <w:bCs/>
        </w:rPr>
        <w:t>adoptée la décision 11.COM 10.b.3 d</w:t>
      </w:r>
      <w:r w:rsidR="00346F1B">
        <w:rPr>
          <w:b/>
          <w:bCs/>
        </w:rPr>
        <w:t>’</w:t>
      </w:r>
      <w:r w:rsidR="00344913" w:rsidRPr="00344913">
        <w:rPr>
          <w:b/>
          <w:bCs/>
        </w:rPr>
        <w:t xml:space="preserve">inscrire la </w:t>
      </w:r>
      <w:r w:rsidR="00344913" w:rsidRPr="00344913">
        <w:rPr>
          <w:b/>
        </w:rPr>
        <w:t>Mangal Shobhajatra du Pahela Baishakh sur la Liste représentative du patrimoine culturel immatériel de l</w:t>
      </w:r>
      <w:r w:rsidR="00346F1B">
        <w:rPr>
          <w:b/>
        </w:rPr>
        <w:t>’</w:t>
      </w:r>
      <w:r w:rsidR="00344913" w:rsidRPr="00344913">
        <w:rPr>
          <w:b/>
        </w:rPr>
        <w:t>humanité.</w:t>
      </w:r>
    </w:p>
    <w:p w14:paraId="0BBF1FBD" w14:textId="6FE99E19" w:rsidR="00344913" w:rsidRPr="00344913" w:rsidRDefault="00344913" w:rsidP="00ED0E22">
      <w:pPr>
        <w:pStyle w:val="Orateurengris"/>
        <w:spacing w:before="120"/>
        <w:ind w:left="709" w:hanging="709"/>
      </w:pPr>
      <w:r w:rsidRPr="00344913">
        <w:t xml:space="preserve">La délégation du </w:t>
      </w:r>
      <w:r w:rsidRPr="00344913">
        <w:rPr>
          <w:b/>
        </w:rPr>
        <w:t>Bangladesh</w:t>
      </w:r>
      <w:r>
        <w:t xml:space="preserve"> a souligné le très heureux moment que vivaient tous les </w:t>
      </w:r>
      <w:r w:rsidR="00A46CAD">
        <w:t>membres</w:t>
      </w:r>
      <w:r>
        <w:t xml:space="preserve"> de la délégation. Au nom de son gouvernement et de la population du Bangladesh, elle a adressé ses remerciements et a</w:t>
      </w:r>
      <w:r w:rsidR="002567C8">
        <w:t xml:space="preserve"> exprimé sa reconnaissance aux </w:t>
      </w:r>
      <w:r w:rsidR="00A46CAD">
        <w:t>membres du Comité</w:t>
      </w:r>
      <w:r>
        <w:t xml:space="preserve"> pour l</w:t>
      </w:r>
      <w:r w:rsidR="00346F1B">
        <w:t>’</w:t>
      </w:r>
      <w:r>
        <w:t xml:space="preserve">inscription </w:t>
      </w:r>
      <w:r w:rsidRPr="00344913">
        <w:t>de la Mangal Shobhajatra du Pahela Baishakh</w:t>
      </w:r>
      <w:r>
        <w:t xml:space="preserve">. </w:t>
      </w:r>
      <w:r w:rsidR="00D627EB">
        <w:t>Dans le pays, c</w:t>
      </w:r>
      <w:r w:rsidR="00346F1B">
        <w:t>’</w:t>
      </w:r>
      <w:r>
        <w:t>était la fête laïque la plus ouverte à tous</w:t>
      </w:r>
      <w:r w:rsidR="004A52A7">
        <w:t xml:space="preserve"> et un événement </w:t>
      </w:r>
      <w:r w:rsidR="00D627EB">
        <w:t>qui favorisait la paix, l</w:t>
      </w:r>
      <w:r w:rsidR="00346F1B">
        <w:t>’</w:t>
      </w:r>
      <w:r w:rsidR="00D627EB">
        <w:t>harmonie et la cohésion de la société bengali. L</w:t>
      </w:r>
      <w:r w:rsidR="00346F1B">
        <w:t>’</w:t>
      </w:r>
      <w:r w:rsidR="00D627EB">
        <w:t>inscription de l</w:t>
      </w:r>
      <w:r w:rsidR="00346F1B">
        <w:t>’</w:t>
      </w:r>
      <w:r w:rsidR="00D627EB">
        <w:t>élément n</w:t>
      </w:r>
      <w:r w:rsidR="00346F1B">
        <w:t>’</w:t>
      </w:r>
      <w:r w:rsidR="00D627EB">
        <w:t>encouragerait pas seulement ses détenteurs et praticiens à renforcer la visibilité de l</w:t>
      </w:r>
      <w:r w:rsidR="00346F1B">
        <w:t>’</w:t>
      </w:r>
      <w:r w:rsidR="00D627EB">
        <w:t>élément, elle permettrait également de sensibiliser les populations au PCI en général. La délégation a de nouveau adressé ses remerciements au Comité pour son soutien, en particulier à l</w:t>
      </w:r>
      <w:r w:rsidR="00346F1B">
        <w:t>’</w:t>
      </w:r>
      <w:r w:rsidR="00D627EB">
        <w:t xml:space="preserve">Inde pour avoir pris en main </w:t>
      </w:r>
      <w:r w:rsidR="004A52A7">
        <w:t xml:space="preserve">les </w:t>
      </w:r>
      <w:r w:rsidR="00D627EB">
        <w:t>amendements nécessaires au projet de décision. En raison de contraintes de temps et de difficultés logistiques, la délégation n</w:t>
      </w:r>
      <w:r w:rsidR="00346F1B">
        <w:t>’</w:t>
      </w:r>
      <w:r w:rsidR="00D627EB">
        <w:t xml:space="preserve">était pas en mesure de présenter une démonstration de la procession </w:t>
      </w:r>
      <w:r w:rsidR="006C0464">
        <w:t>de la Mangal Shobhajatra. Elle souhaitait</w:t>
      </w:r>
      <w:r w:rsidR="00D627EB">
        <w:t xml:space="preserve"> toutefois chanter les </w:t>
      </w:r>
      <w:r w:rsidR="004A52A7">
        <w:t>premiè</w:t>
      </w:r>
      <w:r w:rsidR="00D627EB">
        <w:t>r</w:t>
      </w:r>
      <w:r w:rsidR="004A52A7">
        <w:t>e</w:t>
      </w:r>
      <w:r w:rsidR="00D627EB">
        <w:t xml:space="preserve">s </w:t>
      </w:r>
      <w:r w:rsidR="004A52A7">
        <w:t>paroles de la chanson emblématique de la Mangal Shobhajatra, une chanson écrite par le poète bengali Rabindranath Tagore, né en 1861 dans un Inde alors unie, et qui avait reçu le prix Nobel de littérature en 1913.</w:t>
      </w:r>
    </w:p>
    <w:p w14:paraId="7C54199D" w14:textId="6BC09990" w:rsidR="00CD37D1" w:rsidRPr="00344913" w:rsidRDefault="004A52A7" w:rsidP="007826AF">
      <w:pPr>
        <w:pStyle w:val="Orateurengris"/>
        <w:numPr>
          <w:ilvl w:val="0"/>
          <w:numId w:val="0"/>
        </w:numPr>
        <w:spacing w:before="120"/>
        <w:ind w:left="709"/>
        <w:jc w:val="center"/>
        <w:rPr>
          <w:i/>
        </w:rPr>
      </w:pPr>
      <w:r>
        <w:rPr>
          <w:i/>
        </w:rPr>
        <w:t>[I</w:t>
      </w:r>
      <w:r w:rsidRPr="004A52A7">
        <w:rPr>
          <w:i/>
        </w:rPr>
        <w:t>nterprétation</w:t>
      </w:r>
      <w:r>
        <w:rPr>
          <w:i/>
        </w:rPr>
        <w:t xml:space="preserve"> chantée des paroles de la chanson</w:t>
      </w:r>
      <w:r w:rsidR="00CD37D1" w:rsidRPr="00344913">
        <w:rPr>
          <w:i/>
        </w:rPr>
        <w:t>]</w:t>
      </w:r>
    </w:p>
    <w:p w14:paraId="5E9721A0" w14:textId="6DE89576" w:rsidR="004A52A7" w:rsidRPr="004A52A7" w:rsidRDefault="004A52A7" w:rsidP="00ED0E22">
      <w:pPr>
        <w:pStyle w:val="Orateurengris"/>
        <w:spacing w:before="120"/>
        <w:ind w:left="709" w:hanging="709"/>
      </w:pPr>
      <w:r>
        <w:t xml:space="preserve">Le </w:t>
      </w:r>
      <w:r w:rsidRPr="004A52A7">
        <w:rPr>
          <w:b/>
        </w:rPr>
        <w:t>Président</w:t>
      </w:r>
      <w:r>
        <w:t xml:space="preserve"> a remercié le Bangladesh, et est passé à la candidature s</w:t>
      </w:r>
      <w:r w:rsidR="00ED0E22">
        <w:t>uivante soumise par le Bélarus.</w:t>
      </w:r>
    </w:p>
    <w:p w14:paraId="75466AD0" w14:textId="56D021A5" w:rsidR="00C2723E" w:rsidRPr="00C2723E" w:rsidRDefault="004A52A7" w:rsidP="00ED0E22">
      <w:pPr>
        <w:pStyle w:val="Orateurengris"/>
        <w:spacing w:before="120"/>
        <w:ind w:left="709" w:hanging="709"/>
      </w:pPr>
      <w:r>
        <w:t xml:space="preserve">Le </w:t>
      </w:r>
      <w:r w:rsidR="00754EC3">
        <w:rPr>
          <w:b/>
        </w:rPr>
        <w:t>Vice-Président</w:t>
      </w:r>
      <w:r>
        <w:t xml:space="preserve"> est ensuite passé à la candidature suivante, </w:t>
      </w:r>
      <w:bookmarkStart w:id="21" w:name="Decision10b4"/>
      <w:r w:rsidRPr="00F527BE">
        <w:rPr>
          <w:b/>
        </w:rPr>
        <w:t>la célébration en l</w:t>
      </w:r>
      <w:r w:rsidR="00346F1B">
        <w:rPr>
          <w:b/>
        </w:rPr>
        <w:t>’</w:t>
      </w:r>
      <w:r w:rsidRPr="00F527BE">
        <w:rPr>
          <w:b/>
        </w:rPr>
        <w:t>honneur de l</w:t>
      </w:r>
      <w:r w:rsidR="00346F1B">
        <w:rPr>
          <w:b/>
        </w:rPr>
        <w:t>’</w:t>
      </w:r>
      <w:r w:rsidRPr="00F527BE">
        <w:rPr>
          <w:b/>
        </w:rPr>
        <w:t xml:space="preserve">icône </w:t>
      </w:r>
      <w:r w:rsidR="00F527BE" w:rsidRPr="00F527BE">
        <w:rPr>
          <w:b/>
        </w:rPr>
        <w:t xml:space="preserve">de Notre-Dame de Budslau (Fête de Budslau) </w:t>
      </w:r>
      <w:bookmarkEnd w:id="21"/>
      <w:r w:rsidR="00F527BE">
        <w:t>[projet de décision 11.COM 10.b.4] soumise par le Bélarus. Chaque premier week-end de juillet, 40</w:t>
      </w:r>
      <w:r w:rsidR="00346F1B">
        <w:t> 000</w:t>
      </w:r>
      <w:r w:rsidR="00ED0E22">
        <w:t> </w:t>
      </w:r>
      <w:r w:rsidR="00F527BE">
        <w:t>pèlerins de différentes confessions chrétiennes et différents pays, se rendaient à Budslau, au Bélarus, pour la célébration en l</w:t>
      </w:r>
      <w:r w:rsidR="00346F1B">
        <w:t>’</w:t>
      </w:r>
      <w:r w:rsidR="00F527BE">
        <w:t>honneur de l</w:t>
      </w:r>
      <w:r w:rsidR="00346F1B">
        <w:t>’</w:t>
      </w:r>
      <w:r w:rsidR="00F527BE">
        <w:t>icône de Notre-Dame de Budslau. Dans l</w:t>
      </w:r>
      <w:r w:rsidR="00346F1B">
        <w:t>’</w:t>
      </w:r>
      <w:r w:rsidR="00F527BE">
        <w:t>église de l</w:t>
      </w:r>
      <w:r w:rsidR="00346F1B">
        <w:t>’</w:t>
      </w:r>
      <w:r w:rsidR="00F527BE">
        <w:t>Assomption de la Bienheureuse Vierge Marie, les pèlerins célébraient l</w:t>
      </w:r>
      <w:r w:rsidR="00346F1B">
        <w:t>’</w:t>
      </w:r>
      <w:r w:rsidR="00F527BE">
        <w:t>icône associée à l</w:t>
      </w:r>
      <w:r w:rsidR="00346F1B">
        <w:t>’</w:t>
      </w:r>
      <w:r w:rsidR="00F527BE">
        <w:t>accomplissement de miracles, pendant qu</w:t>
      </w:r>
      <w:r w:rsidR="00346F1B">
        <w:t>’</w:t>
      </w:r>
      <w:r w:rsidR="00F527BE">
        <w:t>une foire se déroulait sur la place du village. La</w:t>
      </w:r>
      <w:r w:rsidR="00C2723E">
        <w:t xml:space="preserve"> pratique traditionnelle permettait </w:t>
      </w:r>
      <w:r w:rsidR="00F527BE">
        <w:t>de favoriser l</w:t>
      </w:r>
      <w:r w:rsidR="00346F1B">
        <w:t>’</w:t>
      </w:r>
      <w:r w:rsidR="00F527BE">
        <w:t xml:space="preserve">unité </w:t>
      </w:r>
      <w:r w:rsidR="00C2723E">
        <w:t xml:space="preserve">et de renforcer les valeurs </w:t>
      </w:r>
      <w:r w:rsidR="00F527BE">
        <w:t>encourage</w:t>
      </w:r>
      <w:r w:rsidR="00C2723E">
        <w:t>a</w:t>
      </w:r>
      <w:r w:rsidR="00F527BE">
        <w:t xml:space="preserve">nt la paix. Les connaissances </w:t>
      </w:r>
      <w:r w:rsidR="00C2723E">
        <w:t xml:space="preserve">étaient </w:t>
      </w:r>
      <w:r w:rsidR="00F527BE">
        <w:t xml:space="preserve">transmises au sein des communautés </w:t>
      </w:r>
      <w:r w:rsidR="005852E2">
        <w:t xml:space="preserve">de fidèles. Tandis que le dossier satisfaisait </w:t>
      </w:r>
      <w:r w:rsidR="006C0464">
        <w:t xml:space="preserve">les </w:t>
      </w:r>
      <w:r w:rsidR="005852E2">
        <w:t>critères R.1 et R.2, l</w:t>
      </w:r>
      <w:r w:rsidR="00346F1B">
        <w:t>’</w:t>
      </w:r>
      <w:r w:rsidR="005852E2">
        <w:t>Organe d</w:t>
      </w:r>
      <w:r w:rsidR="00346F1B">
        <w:t>’</w:t>
      </w:r>
      <w:r w:rsidR="005852E2">
        <w:t xml:space="preserve">évaluation avait </w:t>
      </w:r>
      <w:r w:rsidR="00C2723E">
        <w:t xml:space="preserve">estimé </w:t>
      </w:r>
      <w:r w:rsidR="005852E2">
        <w:t>que les informations présentées dans le dossier n</w:t>
      </w:r>
      <w:r w:rsidR="00346F1B">
        <w:t>’</w:t>
      </w:r>
      <w:r w:rsidR="005852E2">
        <w:t>étaient pas suffisantes pour déterminer si les critères R.3, R.4 et R.5 étaient satisfaits. S</w:t>
      </w:r>
      <w:r w:rsidR="00346F1B">
        <w:t>’</w:t>
      </w:r>
      <w:r w:rsidR="005852E2">
        <w:t>agissant du critère R.3, le dossier se concentrait sur les aspects de la sauvegarde ma</w:t>
      </w:r>
      <w:r w:rsidR="00C2723E">
        <w:t>térielle tels que l</w:t>
      </w:r>
      <w:r w:rsidR="00346F1B">
        <w:t>’</w:t>
      </w:r>
      <w:r w:rsidR="00C2723E">
        <w:t>aménagement</w:t>
      </w:r>
      <w:r w:rsidR="005852E2">
        <w:t xml:space="preserve"> paysager autour de l</w:t>
      </w:r>
      <w:r w:rsidR="00346F1B">
        <w:t>’</w:t>
      </w:r>
      <w:r w:rsidR="005852E2">
        <w:t>église de Budslau, la restauration de son intérieur, etc. mais n</w:t>
      </w:r>
      <w:r w:rsidR="00346F1B">
        <w:t>’</w:t>
      </w:r>
      <w:r w:rsidR="005852E2">
        <w:t>expliquait pas suffisamment la sauvegarde de l</w:t>
      </w:r>
      <w:r w:rsidR="00346F1B">
        <w:t>’</w:t>
      </w:r>
      <w:r w:rsidR="005852E2">
        <w:t>aspect immatériel de l</w:t>
      </w:r>
      <w:r w:rsidR="00346F1B">
        <w:t>’</w:t>
      </w:r>
      <w:r w:rsidR="005852E2">
        <w:t>élément. En outre, compte tenu de l</w:t>
      </w:r>
      <w:r w:rsidR="00346F1B">
        <w:t>’</w:t>
      </w:r>
      <w:r w:rsidR="005852E2">
        <w:t>éventuelle expans</w:t>
      </w:r>
      <w:r w:rsidR="00C2723E">
        <w:t>ion du tourisme, le dossier dev</w:t>
      </w:r>
      <w:r w:rsidR="005852E2">
        <w:t>ait aborder les potentiels effets secondaires fortuits de l</w:t>
      </w:r>
      <w:r w:rsidR="00346F1B">
        <w:t>’</w:t>
      </w:r>
      <w:r w:rsidR="005852E2">
        <w:t>inscription. En ce qui concerne le critère R.4, les représentants de l</w:t>
      </w:r>
      <w:r w:rsidR="00346F1B">
        <w:t>’</w:t>
      </w:r>
      <w:r w:rsidR="005852E2">
        <w:t>Église catholique avaient signé le consentement libre, préalable et éclairé mais le dossier ne présentait aucun</w:t>
      </w:r>
      <w:r w:rsidR="00C2723E">
        <w:t>e</w:t>
      </w:r>
      <w:r w:rsidR="005852E2">
        <w:t xml:space="preserve"> lettre de consentement de la part d</w:t>
      </w:r>
      <w:r w:rsidR="00C2723E">
        <w:t>e représentants d</w:t>
      </w:r>
      <w:r w:rsidR="00346F1B">
        <w:t>’</w:t>
      </w:r>
      <w:r w:rsidR="00C2723E">
        <w:t>autres confessions chrétiennes, et les communautés locales n</w:t>
      </w:r>
      <w:r w:rsidR="00346F1B">
        <w:t>’</w:t>
      </w:r>
      <w:r w:rsidR="00C2723E">
        <w:t>étaient pas visibles. En outre, le dossier ne fournissait pas suffisamment d</w:t>
      </w:r>
      <w:r w:rsidR="00346F1B">
        <w:t>’</w:t>
      </w:r>
      <w:r w:rsidR="00C2723E">
        <w:t>informations sur la façon dont ce consentement avait été obtenu. Enfin, le dossier devait présenter des informations sur la participation de la communauté concernée tant à la mise en œuvre des mesures de sauvegarde proposées qu</w:t>
      </w:r>
      <w:r w:rsidR="00346F1B">
        <w:t>’</w:t>
      </w:r>
      <w:r w:rsidR="00C2723E">
        <w:t>à la procédure d</w:t>
      </w:r>
      <w:r w:rsidR="00346F1B">
        <w:t>’</w:t>
      </w:r>
      <w:r w:rsidR="00C2723E">
        <w:t>inventaire. L</w:t>
      </w:r>
      <w:r w:rsidR="00346F1B">
        <w:t>’</w:t>
      </w:r>
      <w:r w:rsidR="00C2723E">
        <w:t>Organe d</w:t>
      </w:r>
      <w:r w:rsidR="00346F1B">
        <w:t>’</w:t>
      </w:r>
      <w:r w:rsidR="00C2723E">
        <w:t xml:space="preserve">évaluation avait décidé </w:t>
      </w:r>
      <w:r w:rsidR="00C2723E" w:rsidRPr="00C2723E">
        <w:t>de recommander le renvoi de la célébration en l</w:t>
      </w:r>
      <w:r w:rsidR="00346F1B">
        <w:t>’</w:t>
      </w:r>
      <w:r w:rsidR="00C2723E" w:rsidRPr="00C2723E">
        <w:t>honneur de l</w:t>
      </w:r>
      <w:r w:rsidR="00346F1B">
        <w:t>’</w:t>
      </w:r>
      <w:r w:rsidR="00C2723E" w:rsidRPr="00C2723E">
        <w:t>icône de Notre-Dame de Budslau (Fête de Budslau) à l</w:t>
      </w:r>
      <w:r w:rsidR="00346F1B">
        <w:t>’</w:t>
      </w:r>
      <w:r w:rsidR="00C2723E" w:rsidRPr="00C2723E">
        <w:t>État soumissionnair</w:t>
      </w:r>
      <w:r w:rsidR="007B503E">
        <w:t>e pour complément d</w:t>
      </w:r>
      <w:r w:rsidR="00346F1B">
        <w:t>’</w:t>
      </w:r>
      <w:r w:rsidR="007B503E">
        <w:t>information</w:t>
      </w:r>
      <w:r w:rsidR="00ED0E22">
        <w:t>.</w:t>
      </w:r>
    </w:p>
    <w:p w14:paraId="69E03334" w14:textId="459DBA1E" w:rsidR="00C2723E" w:rsidRPr="004A52A7" w:rsidRDefault="00C2723E" w:rsidP="00ED0E22">
      <w:pPr>
        <w:pStyle w:val="Orateurengris"/>
        <w:spacing w:before="120"/>
        <w:ind w:left="709" w:hanging="709"/>
      </w:pPr>
      <w:r>
        <w:t xml:space="preserve">Après avoir remercié le </w:t>
      </w:r>
      <w:r w:rsidR="00754EC3">
        <w:t>Vice-Président</w:t>
      </w:r>
      <w:r>
        <w:t>, et en l</w:t>
      </w:r>
      <w:r w:rsidR="00346F1B">
        <w:t>’</w:t>
      </w:r>
      <w:r>
        <w:t>abse</w:t>
      </w:r>
      <w:r w:rsidR="007074F2">
        <w:t>nce de demandes d</w:t>
      </w:r>
      <w:r w:rsidR="00346F1B">
        <w:t>’</w:t>
      </w:r>
      <w:r w:rsidR="007074F2">
        <w:t>amendement, le</w:t>
      </w:r>
      <w:r>
        <w:t xml:space="preserve"> </w:t>
      </w:r>
      <w:r w:rsidRPr="00C2723E">
        <w:rPr>
          <w:b/>
        </w:rPr>
        <w:t>Président</w:t>
      </w:r>
      <w:r>
        <w:t xml:space="preserve"> a proposé d</w:t>
      </w:r>
      <w:r w:rsidR="00346F1B">
        <w:t>’</w:t>
      </w:r>
      <w:r>
        <w:t>adopter la décision dans son ensemble. En l</w:t>
      </w:r>
      <w:r w:rsidR="00346F1B">
        <w:t>’</w:t>
      </w:r>
      <w:r>
        <w:t>absence de commentaires ou d</w:t>
      </w:r>
      <w:r w:rsidR="00346F1B">
        <w:t>’</w:t>
      </w:r>
      <w:r>
        <w:t xml:space="preserve">objections, le </w:t>
      </w:r>
      <w:r w:rsidRPr="00C2723E">
        <w:rPr>
          <w:b/>
        </w:rPr>
        <w:t>Président a déclaré adoptée la décision 11.COM 10.b.4 de renvoyer la célébration en l</w:t>
      </w:r>
      <w:r w:rsidR="00346F1B">
        <w:rPr>
          <w:b/>
        </w:rPr>
        <w:t>’</w:t>
      </w:r>
      <w:r w:rsidRPr="00C2723E">
        <w:rPr>
          <w:b/>
        </w:rPr>
        <w:t>honneur de l</w:t>
      </w:r>
      <w:r w:rsidR="00346F1B">
        <w:rPr>
          <w:b/>
        </w:rPr>
        <w:t>’</w:t>
      </w:r>
      <w:r w:rsidRPr="00C2723E">
        <w:rPr>
          <w:b/>
        </w:rPr>
        <w:t>icône de Notre-Dame de Budslau (Fête de Budslau) à l</w:t>
      </w:r>
      <w:r w:rsidR="00346F1B">
        <w:rPr>
          <w:b/>
        </w:rPr>
        <w:t>’</w:t>
      </w:r>
      <w:r w:rsidRPr="00C2723E">
        <w:rPr>
          <w:b/>
        </w:rPr>
        <w:t>État soumissionnaire pour complément d</w:t>
      </w:r>
      <w:r w:rsidR="00346F1B">
        <w:rPr>
          <w:b/>
        </w:rPr>
        <w:t>’</w:t>
      </w:r>
      <w:r w:rsidRPr="00C2723E">
        <w:rPr>
          <w:b/>
        </w:rPr>
        <w:t>information</w:t>
      </w:r>
      <w:r w:rsidR="00ED0E22">
        <w:t>.</w:t>
      </w:r>
    </w:p>
    <w:p w14:paraId="6AD7C72E" w14:textId="62424244" w:rsidR="00C2723E" w:rsidRDefault="007074F2" w:rsidP="00ED0E22">
      <w:pPr>
        <w:pStyle w:val="Orateurengris"/>
        <w:spacing w:before="120"/>
        <w:ind w:left="709" w:hanging="709"/>
      </w:pPr>
      <w:r>
        <w:t xml:space="preserve">La délégation du </w:t>
      </w:r>
      <w:r w:rsidRPr="007074F2">
        <w:rPr>
          <w:b/>
        </w:rPr>
        <w:t>Bélarus</w:t>
      </w:r>
      <w:r>
        <w:t xml:space="preserve"> a remercié le Président, le Comité et l</w:t>
      </w:r>
      <w:r w:rsidR="00346F1B">
        <w:t>’</w:t>
      </w:r>
      <w:r>
        <w:t>Organe d</w:t>
      </w:r>
      <w:r w:rsidR="00346F1B">
        <w:t>’</w:t>
      </w:r>
      <w:r>
        <w:t>évaluation pour leur travail, ajoutant qu</w:t>
      </w:r>
      <w:r w:rsidR="00346F1B">
        <w:t>’</w:t>
      </w:r>
      <w:r>
        <w:t>elle ferait bon usage des recommandations afin d</w:t>
      </w:r>
      <w:r w:rsidR="00346F1B">
        <w:t>’</w:t>
      </w:r>
      <w:r>
        <w:t>obtenir une réaction positive à l</w:t>
      </w:r>
      <w:r w:rsidR="00346F1B">
        <w:t>’</w:t>
      </w:r>
      <w:r w:rsidR="00ED0E22">
        <w:t>avenir.</w:t>
      </w:r>
    </w:p>
    <w:p w14:paraId="262C01A2" w14:textId="2DD5CD7F" w:rsidR="007074F2" w:rsidRDefault="007074F2" w:rsidP="00ED0E22">
      <w:pPr>
        <w:pStyle w:val="Orateurengris"/>
        <w:spacing w:before="120"/>
        <w:ind w:left="709" w:hanging="709"/>
      </w:pPr>
      <w:r>
        <w:t xml:space="preserve">Le </w:t>
      </w:r>
      <w:r w:rsidRPr="007074F2">
        <w:rPr>
          <w:b/>
        </w:rPr>
        <w:t>Président</w:t>
      </w:r>
      <w:r>
        <w:t xml:space="preserve"> a remercié le Bélarus, et est passé à la candidature su</w:t>
      </w:r>
      <w:r w:rsidR="00ED0E22">
        <w:t>ivante soumise par la Belgique.</w:t>
      </w:r>
    </w:p>
    <w:p w14:paraId="014761BF" w14:textId="31979D46" w:rsidR="007074F2" w:rsidRPr="004A52A7" w:rsidRDefault="007074F2" w:rsidP="00ED0E22">
      <w:pPr>
        <w:pStyle w:val="Orateurengris"/>
        <w:spacing w:before="120"/>
        <w:ind w:left="709" w:hanging="709"/>
      </w:pPr>
      <w:r>
        <w:t xml:space="preserve">Le </w:t>
      </w:r>
      <w:r w:rsidR="00754EC3">
        <w:rPr>
          <w:b/>
        </w:rPr>
        <w:t>Vice-Président</w:t>
      </w:r>
      <w:r w:rsidRPr="007074F2">
        <w:rPr>
          <w:b/>
        </w:rPr>
        <w:t xml:space="preserve"> de l</w:t>
      </w:r>
      <w:r w:rsidR="00346F1B">
        <w:rPr>
          <w:b/>
        </w:rPr>
        <w:t>’</w:t>
      </w:r>
      <w:r w:rsidRPr="007074F2">
        <w:rPr>
          <w:b/>
        </w:rPr>
        <w:t>Organe d</w:t>
      </w:r>
      <w:r w:rsidR="00346F1B">
        <w:rPr>
          <w:b/>
        </w:rPr>
        <w:t>’</w:t>
      </w:r>
      <w:r w:rsidRPr="007074F2">
        <w:rPr>
          <w:b/>
        </w:rPr>
        <w:t>évaluation</w:t>
      </w:r>
      <w:r>
        <w:t xml:space="preserve"> est ensuite passé à la candidature suivante, </w:t>
      </w:r>
      <w:bookmarkStart w:id="22" w:name="Decision10b5"/>
      <w:r w:rsidRPr="007074F2">
        <w:rPr>
          <w:b/>
        </w:rPr>
        <w:t>la culture de la bière en Belgique</w:t>
      </w:r>
      <w:r>
        <w:t xml:space="preserve"> </w:t>
      </w:r>
      <w:bookmarkEnd w:id="22"/>
      <w:r>
        <w:t>[projet de décision 11.COM 10.b.5] soumise par la Belgique. La fabrication et l</w:t>
      </w:r>
      <w:r w:rsidR="00346F1B">
        <w:t>’</w:t>
      </w:r>
      <w:r>
        <w:t>appréciation de la bière faisaient partie du patrimoine vivant de plusieurs communautés réparties dans toute la Belgique</w:t>
      </w:r>
      <w:r w:rsidR="00776AA2">
        <w:t>. Cett</w:t>
      </w:r>
      <w:r>
        <w:t>e culture jouait un rôle dans la vie quotidienne et lors des é</w:t>
      </w:r>
      <w:r w:rsidR="006C0464">
        <w:t>vénements festifs. Près de 1</w:t>
      </w:r>
      <w:r w:rsidR="003E7873">
        <w:t> </w:t>
      </w:r>
      <w:r>
        <w:t>500 types de bière étaient produites dans le pays, y compris par certaines communautés trappistes.</w:t>
      </w:r>
      <w:r w:rsidR="00E50F84">
        <w:t xml:space="preserve"> La bière artisanale devenait particulièrement populaire. </w:t>
      </w:r>
      <w:r w:rsidR="00776AA2">
        <w:t xml:space="preserve">La bière </w:t>
      </w:r>
      <w:r w:rsidR="00E50F84">
        <w:t>était également utilisée en cuisine, pour fabriqu</w:t>
      </w:r>
      <w:r w:rsidR="006C0464">
        <w:t>er des produits tels que les fro</w:t>
      </w:r>
      <w:r w:rsidR="00E50F84">
        <w:t>mages lavés à la bière et elle pouvait être associée à des plats. La transmission se déroulait à la maison, au sein de cercles sociaux et dans les brasseries, les universités et des centres de formation publics. L</w:t>
      </w:r>
      <w:r w:rsidR="00346F1B">
        <w:t>’</w:t>
      </w:r>
      <w:r w:rsidR="00E50F84">
        <w:t>Organe d</w:t>
      </w:r>
      <w:r w:rsidR="00346F1B">
        <w:t>’</w:t>
      </w:r>
      <w:r w:rsidR="00E50F84">
        <w:t>évaluation avait décidé, à la lecture des informations présentées dans le dossier, q</w:t>
      </w:r>
      <w:r w:rsidR="00F978E2">
        <w:t>ue la candidature satisfaisait</w:t>
      </w:r>
      <w:r w:rsidR="00E50F84">
        <w:t xml:space="preserve"> l</w:t>
      </w:r>
      <w:r w:rsidR="00346F1B">
        <w:t>’</w:t>
      </w:r>
      <w:r w:rsidR="00E50F84">
        <w:t xml:space="preserve">ensemble des cinq critères. La culture de la bière en Belgique servait de marqueur </w:t>
      </w:r>
      <w:r w:rsidR="00776AA2">
        <w:t>d</w:t>
      </w:r>
      <w:r w:rsidR="00346F1B">
        <w:t>’</w:t>
      </w:r>
      <w:r w:rsidR="00776AA2">
        <w:t xml:space="preserve">identité </w:t>
      </w:r>
      <w:r w:rsidR="00E50F84">
        <w:t>pour les communautés concernées</w:t>
      </w:r>
      <w:r w:rsidR="00776AA2">
        <w:t>, et favorisait le développement des connaissances sur la nature, les pratiques sociales et les savoir-faire artisanaux, sur lesquelles reposait la fabrication de la bière, qui faisait partie intégrante de la vie quotidienne et des fêtes en Belgique. L</w:t>
      </w:r>
      <w:r w:rsidR="00346F1B">
        <w:t>’</w:t>
      </w:r>
      <w:r w:rsidR="00776AA2">
        <w:t>Organe d</w:t>
      </w:r>
      <w:r w:rsidR="00346F1B">
        <w:t>’</w:t>
      </w:r>
      <w:r w:rsidR="00776AA2">
        <w:t xml:space="preserve">évaluation avait décidé de recommander </w:t>
      </w:r>
      <w:r w:rsidR="00776AA2" w:rsidRPr="0032242C">
        <w:t>l</w:t>
      </w:r>
      <w:r w:rsidR="00346F1B">
        <w:t>’</w:t>
      </w:r>
      <w:r w:rsidR="00776AA2" w:rsidRPr="0032242C">
        <w:t>inscription de la culture de la bière en Belgique sur la Liste représentative.</w:t>
      </w:r>
      <w:r w:rsidR="00776AA2">
        <w:t xml:space="preserve"> </w:t>
      </w:r>
    </w:p>
    <w:p w14:paraId="582E6819" w14:textId="5C537A4B" w:rsidR="00776AA2" w:rsidRDefault="00776AA2" w:rsidP="00ED0E22">
      <w:pPr>
        <w:pStyle w:val="Orateurengris"/>
        <w:spacing w:before="120"/>
        <w:ind w:left="709" w:hanging="709"/>
      </w:pPr>
      <w:r>
        <w:t xml:space="preserve">Après avoir remercié le </w:t>
      </w:r>
      <w:r w:rsidR="00754EC3">
        <w:t>Vice-Président</w:t>
      </w:r>
      <w:r>
        <w:t xml:space="preserve"> et, en l</w:t>
      </w:r>
      <w:r w:rsidR="00346F1B">
        <w:t>’</w:t>
      </w:r>
      <w:r w:rsidR="004C164E">
        <w:t>absence d</w:t>
      </w:r>
      <w:r w:rsidR="00346F1B">
        <w:t>’</w:t>
      </w:r>
      <w:r w:rsidR="004C164E">
        <w:t>amendement</w:t>
      </w:r>
      <w:r w:rsidR="006C0464">
        <w:t>s</w:t>
      </w:r>
      <w:r w:rsidR="004C164E">
        <w:t>, le</w:t>
      </w:r>
      <w:r>
        <w:t xml:space="preserve"> </w:t>
      </w:r>
      <w:r w:rsidRPr="004C164E">
        <w:rPr>
          <w:b/>
        </w:rPr>
        <w:t>Président</w:t>
      </w:r>
      <w:r>
        <w:t xml:space="preserve"> a proposé d</w:t>
      </w:r>
      <w:r w:rsidR="00346F1B">
        <w:t>’</w:t>
      </w:r>
      <w:r>
        <w:t>adopter la décision dans son ensemble. En l</w:t>
      </w:r>
      <w:r w:rsidR="00346F1B">
        <w:t>’</w:t>
      </w:r>
      <w:r>
        <w:t>absence d</w:t>
      </w:r>
      <w:r w:rsidR="00346F1B">
        <w:t>’</w:t>
      </w:r>
      <w:r>
        <w:t xml:space="preserve">autres commentaires ou objections, le </w:t>
      </w:r>
      <w:r w:rsidRPr="004C164E">
        <w:rPr>
          <w:b/>
        </w:rPr>
        <w:t>Président a déclaré adoptée la décision 11.COM 10.b.5 d</w:t>
      </w:r>
      <w:r w:rsidR="00346F1B">
        <w:rPr>
          <w:b/>
        </w:rPr>
        <w:t>’</w:t>
      </w:r>
      <w:r w:rsidRPr="004C164E">
        <w:rPr>
          <w:b/>
        </w:rPr>
        <w:t>inscrire la culture de la bière en Belgique sur la Liste représentative du patrimoine culturel immatériel de l</w:t>
      </w:r>
      <w:r w:rsidR="00346F1B">
        <w:rPr>
          <w:b/>
        </w:rPr>
        <w:t>’</w:t>
      </w:r>
      <w:r w:rsidRPr="004C164E">
        <w:rPr>
          <w:b/>
        </w:rPr>
        <w:t>humanité</w:t>
      </w:r>
      <w:r w:rsidR="00ED0E22">
        <w:t>.</w:t>
      </w:r>
    </w:p>
    <w:p w14:paraId="0EC21661" w14:textId="2A53089D" w:rsidR="004C164E" w:rsidRPr="004C164E" w:rsidRDefault="004C164E" w:rsidP="00ED0E22">
      <w:pPr>
        <w:pStyle w:val="Orateurengris"/>
        <w:spacing w:before="120"/>
        <w:ind w:left="709" w:hanging="709"/>
      </w:pPr>
      <w:r w:rsidRPr="004C164E">
        <w:t xml:space="preserve">La délégation de la </w:t>
      </w:r>
      <w:r w:rsidRPr="004C164E">
        <w:rPr>
          <w:b/>
        </w:rPr>
        <w:t>Belgique</w:t>
      </w:r>
      <w:r>
        <w:t xml:space="preserve"> s</w:t>
      </w:r>
      <w:r w:rsidR="00346F1B">
        <w:t>’</w:t>
      </w:r>
      <w:r>
        <w:t>est dite honorée de l</w:t>
      </w:r>
      <w:r w:rsidR="00346F1B">
        <w:t>’</w:t>
      </w:r>
      <w:r>
        <w:t>inscription de la culture de la bière en Belgique sur la Liste représentative</w:t>
      </w:r>
      <w:r w:rsidR="00EF0C3E">
        <w:t xml:space="preserve"> et a exprimé toute</w:t>
      </w:r>
      <w:r>
        <w:t xml:space="preserve"> </w:t>
      </w:r>
      <w:r w:rsidR="00EF0C3E">
        <w:t xml:space="preserve">sa gratitude </w:t>
      </w:r>
      <w:r>
        <w:t xml:space="preserve">au Comité pour sa décision, aux </w:t>
      </w:r>
      <w:r w:rsidR="00EF0C3E">
        <w:t>autorités éthiopiennes pour l</w:t>
      </w:r>
      <w:r w:rsidR="00346F1B">
        <w:t>’</w:t>
      </w:r>
      <w:r w:rsidR="00EF0C3E">
        <w:t>accueil de cette</w:t>
      </w:r>
      <w:r>
        <w:t xml:space="preserve"> session et aux </w:t>
      </w:r>
      <w:r w:rsidR="00A46CAD">
        <w:t>membres</w:t>
      </w:r>
      <w:r>
        <w:t xml:space="preserve"> de l</w:t>
      </w:r>
      <w:r w:rsidR="00346F1B">
        <w:t>’</w:t>
      </w:r>
      <w:r>
        <w:t>Organe d</w:t>
      </w:r>
      <w:r w:rsidR="00346F1B">
        <w:t>’</w:t>
      </w:r>
      <w:r>
        <w:t>évaluation pour leur professionnalisme. La délégation a souligné qu</w:t>
      </w:r>
      <w:r w:rsidR="00346F1B">
        <w:t>’</w:t>
      </w:r>
      <w:r>
        <w:t>elle ne représentait pas uniquement la Belgique mais tous les amateurs et les brasseurs, les musées et les associations, les zythologues et les amoureux de la bière, les femmes et les hommes qui faisaient partie de cette grande communauté qui contribuait à la pérennité, la diversité et la sauvegarde de cet élément. La délégation a évoqué les nombreuses mesures en vigueur depuis les années 1970 destinées à revitaliser et sauvegarder cette g</w:t>
      </w:r>
      <w:r w:rsidR="002D39BD">
        <w:t>rande diversité. Ces mesures, qui garantissaient également la pérennité présente et future de l</w:t>
      </w:r>
      <w:r w:rsidR="00346F1B">
        <w:t>’</w:t>
      </w:r>
      <w:r w:rsidR="002D39BD">
        <w:t>élément, prenaient en considération les risques liés à la consommation d</w:t>
      </w:r>
      <w:r w:rsidR="00346F1B">
        <w:t>’</w:t>
      </w:r>
      <w:r w:rsidR="002D39BD">
        <w:t>alcool et le soutien au développement durable. Ces objectifs faisaient partie intégrante d</w:t>
      </w:r>
      <w:r w:rsidR="00346F1B">
        <w:t>’</w:t>
      </w:r>
      <w:r w:rsidR="002D39BD">
        <w:t>un cadre multiple d</w:t>
      </w:r>
      <w:r w:rsidR="00346F1B">
        <w:t>’</w:t>
      </w:r>
      <w:r w:rsidR="002D39BD">
        <w:t>actions pour le PCI de Belgique. Mais l</w:t>
      </w:r>
      <w:r w:rsidR="00346F1B">
        <w:t>’</w:t>
      </w:r>
      <w:r w:rsidR="002D39BD">
        <w:t>inscription de la culture de la bière en Belgique était avant tout</w:t>
      </w:r>
      <w:r w:rsidR="00EF0C3E">
        <w:t xml:space="preserve"> le résultat d</w:t>
      </w:r>
      <w:r w:rsidR="00346F1B">
        <w:t>’</w:t>
      </w:r>
      <w:r w:rsidR="00EF0C3E">
        <w:t>un effort commun. En effet, la Convention était une</w:t>
      </w:r>
      <w:r w:rsidR="002D39BD">
        <w:t xml:space="preserve"> plateforme </w:t>
      </w:r>
      <w:r w:rsidR="00EF0C3E">
        <w:t xml:space="preserve">qui </w:t>
      </w:r>
      <w:r w:rsidR="002D39BD">
        <w:t>réunissait les autorités et les co</w:t>
      </w:r>
      <w:r w:rsidR="00EF0C3E">
        <w:t>mmunautés du patrimoine de la Flandre, de la</w:t>
      </w:r>
      <w:r w:rsidR="002D39BD">
        <w:t xml:space="preserve"> Wallonie, </w:t>
      </w:r>
      <w:r w:rsidR="00EF0C3E">
        <w:t>de la communauté germanophone et de Bruxelles, et l</w:t>
      </w:r>
      <w:r w:rsidR="00346F1B">
        <w:t>’</w:t>
      </w:r>
      <w:r w:rsidR="00EF0C3E">
        <w:t>inscription de ce dossier était le point d</w:t>
      </w:r>
      <w:r w:rsidR="00346F1B">
        <w:t>’</w:t>
      </w:r>
      <w:r w:rsidR="00EF0C3E">
        <w:t>org</w:t>
      </w:r>
      <w:r w:rsidR="00ED0E22">
        <w:t>ue de cette approche conjointe.</w:t>
      </w:r>
    </w:p>
    <w:p w14:paraId="52869963" w14:textId="7A98688B" w:rsidR="00EF0C3E" w:rsidRPr="00EF0C3E" w:rsidRDefault="00EF0C3E" w:rsidP="00ED0E22">
      <w:pPr>
        <w:pStyle w:val="Orateurengris"/>
        <w:spacing w:before="120"/>
        <w:ind w:left="709" w:hanging="709"/>
      </w:pPr>
      <w:r>
        <w:t xml:space="preserve">Le </w:t>
      </w:r>
      <w:r w:rsidRPr="00EF0C3E">
        <w:rPr>
          <w:b/>
        </w:rPr>
        <w:t>Président</w:t>
      </w:r>
      <w:r>
        <w:t xml:space="preserve"> a remercié la Belgique, et est passé à la candidature</w:t>
      </w:r>
      <w:r w:rsidR="00FC6CAF">
        <w:t xml:space="preserve"> suivante soumise par la Chine.</w:t>
      </w:r>
    </w:p>
    <w:p w14:paraId="1FAF6843" w14:textId="0662255D" w:rsidR="00EF0C3E" w:rsidRPr="009B2083" w:rsidRDefault="001D19FC" w:rsidP="00ED0E22">
      <w:pPr>
        <w:pStyle w:val="Orateurengris"/>
        <w:spacing w:before="120"/>
        <w:ind w:left="709" w:hanging="709"/>
      </w:pPr>
      <w:r>
        <w:t xml:space="preserve">Le </w:t>
      </w:r>
      <w:r w:rsidR="00754EC3">
        <w:rPr>
          <w:b/>
        </w:rPr>
        <w:t>Vice-Président</w:t>
      </w:r>
      <w:r>
        <w:t xml:space="preserve"> est ensuite passé à </w:t>
      </w:r>
      <w:r w:rsidRPr="009B2083">
        <w:t>la candidature suivante</w:t>
      </w:r>
      <w:r w:rsidRPr="001D19FC">
        <w:rPr>
          <w:b/>
        </w:rPr>
        <w:t xml:space="preserve">, </w:t>
      </w:r>
      <w:bookmarkStart w:id="23" w:name="Decision10b6"/>
      <w:r w:rsidRPr="001D19FC">
        <w:rPr>
          <w:b/>
        </w:rPr>
        <w:t>les vingt-quatre périodes solaires, la connaissance en Chine du temp</w:t>
      </w:r>
      <w:r w:rsidR="009B2083">
        <w:rPr>
          <w:b/>
        </w:rPr>
        <w:t>s et les pratiques développées à</w:t>
      </w:r>
      <w:r w:rsidRPr="001D19FC">
        <w:rPr>
          <w:b/>
        </w:rPr>
        <w:t xml:space="preserve"> travers l</w:t>
      </w:r>
      <w:r w:rsidR="00346F1B">
        <w:rPr>
          <w:b/>
        </w:rPr>
        <w:t>’</w:t>
      </w:r>
      <w:r w:rsidRPr="001D19FC">
        <w:rPr>
          <w:b/>
        </w:rPr>
        <w:t>observation du mouvement annuel du soleil</w:t>
      </w:r>
      <w:r>
        <w:t xml:space="preserve"> </w:t>
      </w:r>
      <w:bookmarkEnd w:id="23"/>
      <w:r>
        <w:t>[projet de décision 11.COM 10.b.6], soumise par la Chine. Pour mieux comprendre les saisons, l</w:t>
      </w:r>
      <w:r w:rsidR="00346F1B">
        <w:t>’</w:t>
      </w:r>
      <w:r>
        <w:t>astronomie et d</w:t>
      </w:r>
      <w:r w:rsidR="00346F1B">
        <w:t>’</w:t>
      </w:r>
      <w:r>
        <w:t>autres phénomènes naturels, les Anciens en Chine observaient le cycle du mouvement annuel du soleil e</w:t>
      </w:r>
      <w:r w:rsidR="005D4EFC">
        <w:t>t le divisaient en 24 segments appelés les périodes solaires. Les périodes telles que l</w:t>
      </w:r>
      <w:r w:rsidR="00346F1B">
        <w:t>’</w:t>
      </w:r>
      <w:r w:rsidR="005D4EFC">
        <w:t>arrivée du givre, basées sur l</w:t>
      </w:r>
      <w:r w:rsidR="00346F1B">
        <w:t>’</w:t>
      </w:r>
      <w:r w:rsidR="005D4EFC">
        <w:t>observa</w:t>
      </w:r>
      <w:r w:rsidR="009B2083">
        <w:t>tion de l</w:t>
      </w:r>
      <w:r w:rsidR="00346F1B">
        <w:t>’</w:t>
      </w:r>
      <w:r w:rsidR="009B2083">
        <w:t>environnement, étaient</w:t>
      </w:r>
      <w:r w:rsidR="005D4EFC">
        <w:t xml:space="preserve"> intégrées dans le calendrier comme cadre temporel pour la vie quotidienne et la production agricole, revêtant une importance toute particulière pour les agriculteurs. Certaines festivités populaires, asso</w:t>
      </w:r>
      <w:r w:rsidR="009B2083">
        <w:t>ciées aux périodes solaires, contribuaient</w:t>
      </w:r>
      <w:r w:rsidR="005D4EFC">
        <w:t xml:space="preserve"> à l</w:t>
      </w:r>
      <w:r w:rsidR="00346F1B">
        <w:t>’</w:t>
      </w:r>
      <w:r w:rsidR="005D4EFC">
        <w:t>identité culturelle des communautés. Les connaissances étaient transmises dans le cadre familial et scolaire. L</w:t>
      </w:r>
      <w:r w:rsidR="00346F1B">
        <w:t>’</w:t>
      </w:r>
      <w:r w:rsidR="005D4EFC">
        <w:t>Organe d</w:t>
      </w:r>
      <w:r w:rsidR="00346F1B">
        <w:t>’</w:t>
      </w:r>
      <w:r w:rsidR="005D4EFC">
        <w:t>évaluation avait été heureux de constater que le calendrier traditionnel chinois, qui influençait profondément les modes de pensée et les codes de conduite de la population, était toujours un important vecteur de l</w:t>
      </w:r>
      <w:r w:rsidR="00346F1B">
        <w:t>’</w:t>
      </w:r>
      <w:r w:rsidR="009B2083">
        <w:t xml:space="preserve">identité culturelle chinoise. Il </w:t>
      </w:r>
      <w:r w:rsidR="005D4EFC">
        <w:t xml:space="preserve">continuait à </w:t>
      </w:r>
      <w:r w:rsidR="009B2083">
        <w:t>servir de cadre temporel pour la vie quotidienne et les manifestations festives collec</w:t>
      </w:r>
      <w:r w:rsidR="00F978E2">
        <w:t xml:space="preserve">tives. Le dossier satisfaisait </w:t>
      </w:r>
      <w:r w:rsidR="009B2083">
        <w:t>l</w:t>
      </w:r>
      <w:r w:rsidR="00346F1B">
        <w:t>’</w:t>
      </w:r>
      <w:r w:rsidR="009B2083">
        <w:t xml:space="preserve">ensemble des cinq critères. </w:t>
      </w:r>
      <w:r w:rsidR="009B2083" w:rsidRPr="009B2083">
        <w:t>L</w:t>
      </w:r>
      <w:r w:rsidR="00346F1B">
        <w:t>’</w:t>
      </w:r>
      <w:r w:rsidR="009B2083" w:rsidRPr="009B2083">
        <w:t>Organe d</w:t>
      </w:r>
      <w:r w:rsidR="00346F1B">
        <w:t>’</w:t>
      </w:r>
      <w:r w:rsidR="009B2083" w:rsidRPr="009B2083">
        <w:t>évaluation avait décidé de recommander l</w:t>
      </w:r>
      <w:r w:rsidR="00346F1B">
        <w:t>’</w:t>
      </w:r>
      <w:r w:rsidR="009B2083" w:rsidRPr="009B2083">
        <w:t>inscription des vingt-quatre périodes solaires, la connaissance en Chine du temps et les pratiques développées à travers l</w:t>
      </w:r>
      <w:r w:rsidR="00346F1B">
        <w:t>’</w:t>
      </w:r>
      <w:r w:rsidR="009B2083" w:rsidRPr="009B2083">
        <w:t>observation du mouvement annuel du soleil</w:t>
      </w:r>
      <w:r w:rsidR="00FC6CAF">
        <w:t xml:space="preserve"> sur la Liste représentative.</w:t>
      </w:r>
    </w:p>
    <w:p w14:paraId="05E07A42" w14:textId="263A44A2" w:rsidR="009B2083" w:rsidRPr="009B2083" w:rsidRDefault="009B2083" w:rsidP="00ED0E22">
      <w:pPr>
        <w:pStyle w:val="Orateurengris"/>
        <w:spacing w:before="120"/>
        <w:ind w:left="709" w:hanging="709"/>
      </w:pPr>
      <w:r>
        <w:t xml:space="preserve">Après avoir remercié le </w:t>
      </w:r>
      <w:r w:rsidR="00754EC3">
        <w:t>Vice-Président</w:t>
      </w:r>
      <w:r>
        <w:t xml:space="preserve">, le </w:t>
      </w:r>
      <w:r w:rsidRPr="00B84E85">
        <w:rPr>
          <w:b/>
        </w:rPr>
        <w:t>Président</w:t>
      </w:r>
      <w:r>
        <w:t xml:space="preserve"> a précisé que la Chine souhaitait réviser le résumé de la description de l</w:t>
      </w:r>
      <w:r w:rsidR="00346F1B">
        <w:t>’</w:t>
      </w:r>
      <w:r>
        <w:t>élém</w:t>
      </w:r>
      <w:r w:rsidR="00B84E85">
        <w:t>ent</w:t>
      </w:r>
      <w:r>
        <w:t xml:space="preserve"> afin de </w:t>
      </w:r>
      <w:r w:rsidR="00B84E85">
        <w:t xml:space="preserve">corriger des erreurs dans la </w:t>
      </w:r>
      <w:r>
        <w:t>terminologie. En l</w:t>
      </w:r>
      <w:r w:rsidR="00346F1B">
        <w:t>’</w:t>
      </w:r>
      <w:r>
        <w:t>absence d</w:t>
      </w:r>
      <w:r w:rsidR="00346F1B">
        <w:t>’</w:t>
      </w:r>
      <w:r>
        <w:t>autres amendement</w:t>
      </w:r>
      <w:r w:rsidR="00B84E85">
        <w:t>s</w:t>
      </w:r>
      <w:r w:rsidR="003A6355">
        <w:t>, le</w:t>
      </w:r>
      <w:r>
        <w:t xml:space="preserve"> Président a proposé d</w:t>
      </w:r>
      <w:r w:rsidR="00346F1B">
        <w:t>’</w:t>
      </w:r>
      <w:r>
        <w:t>adopter la décision dans son ensemble. En l</w:t>
      </w:r>
      <w:r w:rsidR="00346F1B">
        <w:t>’</w:t>
      </w:r>
      <w:r>
        <w:t>ab</w:t>
      </w:r>
      <w:r w:rsidR="00B84E85">
        <w:t>sence d</w:t>
      </w:r>
      <w:r w:rsidR="00346F1B">
        <w:t>’</w:t>
      </w:r>
      <w:r w:rsidR="00B84E85">
        <w:t>autres commentaires ou o</w:t>
      </w:r>
      <w:r>
        <w:t xml:space="preserve">bjections, le </w:t>
      </w:r>
      <w:r w:rsidRPr="00B84E85">
        <w:rPr>
          <w:b/>
        </w:rPr>
        <w:t xml:space="preserve">Président a déclaré adoptée </w:t>
      </w:r>
      <w:r w:rsidR="00B84E85" w:rsidRPr="00B84E85">
        <w:rPr>
          <w:b/>
        </w:rPr>
        <w:t>la décision 11.COM 10.b.6 d</w:t>
      </w:r>
      <w:r w:rsidR="00346F1B">
        <w:rPr>
          <w:b/>
        </w:rPr>
        <w:t>’</w:t>
      </w:r>
      <w:r w:rsidR="00B84E85" w:rsidRPr="00B84E85">
        <w:rPr>
          <w:b/>
        </w:rPr>
        <w:t>inscrire</w:t>
      </w:r>
      <w:r w:rsidR="00B84E85">
        <w:t xml:space="preserve"> </w:t>
      </w:r>
      <w:r w:rsidR="00B84E85" w:rsidRPr="001D19FC">
        <w:rPr>
          <w:b/>
        </w:rPr>
        <w:t>les vingt-quatre périodes solaires, la connaissance en Chine du temp</w:t>
      </w:r>
      <w:r w:rsidR="00B84E85">
        <w:rPr>
          <w:b/>
        </w:rPr>
        <w:t>s et les pratiques développées à</w:t>
      </w:r>
      <w:r w:rsidR="00B84E85" w:rsidRPr="001D19FC">
        <w:rPr>
          <w:b/>
        </w:rPr>
        <w:t xml:space="preserve"> travers l</w:t>
      </w:r>
      <w:r w:rsidR="00346F1B">
        <w:rPr>
          <w:b/>
        </w:rPr>
        <w:t>’</w:t>
      </w:r>
      <w:r w:rsidR="00B84E85" w:rsidRPr="001D19FC">
        <w:rPr>
          <w:b/>
        </w:rPr>
        <w:t>observation du mouvement annuel du soleil</w:t>
      </w:r>
      <w:r w:rsidR="00B84E85">
        <w:rPr>
          <w:b/>
        </w:rPr>
        <w:t xml:space="preserve"> sur la Liste représentative du patrimoine culturel immatériel de l</w:t>
      </w:r>
      <w:r w:rsidR="00346F1B">
        <w:rPr>
          <w:b/>
        </w:rPr>
        <w:t>’</w:t>
      </w:r>
      <w:r w:rsidR="00B84E85">
        <w:rPr>
          <w:b/>
        </w:rPr>
        <w:t>humanité.</w:t>
      </w:r>
    </w:p>
    <w:p w14:paraId="6F16B00B" w14:textId="5462FD23" w:rsidR="00DD6BDC" w:rsidRPr="00B84E85" w:rsidRDefault="00B84E85" w:rsidP="00ED0E22">
      <w:pPr>
        <w:pStyle w:val="Orateurengris"/>
        <w:spacing w:before="120"/>
        <w:ind w:left="709" w:hanging="709"/>
      </w:pPr>
      <w:r>
        <w:t xml:space="preserve">La délégation de la </w:t>
      </w:r>
      <w:r w:rsidRPr="00A57BE2">
        <w:rPr>
          <w:b/>
        </w:rPr>
        <w:t>Chine</w:t>
      </w:r>
      <w:r>
        <w:t xml:space="preserve"> a félicité le Président pour sa conduite des débats et a remercié les hôtes éthiopiens pour leur chaleureuse hospitalité. Au nom du ministre de la Culture, la </w:t>
      </w:r>
      <w:r w:rsidR="006C6112">
        <w:t>délégation a adressé ses remerciements au Comité, à l</w:t>
      </w:r>
      <w:r w:rsidR="00346F1B">
        <w:t>’</w:t>
      </w:r>
      <w:r w:rsidR="006C6112">
        <w:t>Organe d</w:t>
      </w:r>
      <w:r w:rsidR="00346F1B">
        <w:t>’</w:t>
      </w:r>
      <w:r w:rsidR="006C6112">
        <w:t>évaluation et au Secrétariat pour les grands efforts déployés afin d</w:t>
      </w:r>
      <w:r w:rsidR="00346F1B">
        <w:t>’</w:t>
      </w:r>
      <w:r w:rsidR="006C6112">
        <w:t>examiner et d</w:t>
      </w:r>
      <w:r w:rsidR="00346F1B">
        <w:t>’</w:t>
      </w:r>
      <w:r w:rsidR="006C6112">
        <w:t>inscrire les vingt-quatre périodes solaires. Il s</w:t>
      </w:r>
      <w:r w:rsidR="00346F1B">
        <w:t>’</w:t>
      </w:r>
      <w:r w:rsidR="006C6112">
        <w:t xml:space="preserve">agissait du troisième élément inscrit soumis </w:t>
      </w:r>
      <w:r w:rsidR="00A57BE2">
        <w:t>par la Chine au titre des</w:t>
      </w:r>
      <w:r w:rsidR="006C6112">
        <w:t xml:space="preserve"> « connaissances et pratiques concernant la nature et l</w:t>
      </w:r>
      <w:r w:rsidR="00346F1B">
        <w:t>’</w:t>
      </w:r>
      <w:r w:rsidR="006C6112">
        <w:t xml:space="preserve">univers ». Les vingt-quatre périodes solaires, un système de connaissances traditionnelles du temps </w:t>
      </w:r>
      <w:r w:rsidR="00A57BE2">
        <w:t>transmis de génération en génération</w:t>
      </w:r>
      <w:r w:rsidR="006C6112">
        <w:t xml:space="preserve"> depuis des milliers d</w:t>
      </w:r>
      <w:r w:rsidR="00346F1B">
        <w:t>’</w:t>
      </w:r>
      <w:r w:rsidR="006C6112">
        <w:t>années, incarnai</w:t>
      </w:r>
      <w:r w:rsidR="00767AAB">
        <w:t>en</w:t>
      </w:r>
      <w:r w:rsidR="006C6112">
        <w:t>t de façon claire les concepts de respect de la nature et d</w:t>
      </w:r>
      <w:r w:rsidR="00346F1B">
        <w:t>’</w:t>
      </w:r>
      <w:r w:rsidR="006C6112">
        <w:t>harmonie entre l</w:t>
      </w:r>
      <w:r w:rsidR="00346F1B">
        <w:t>’</w:t>
      </w:r>
      <w:r w:rsidR="006C6112">
        <w:t xml:space="preserve">homme et la nature. Elles </w:t>
      </w:r>
      <w:r w:rsidR="00A57BE2">
        <w:t xml:space="preserve">étaient un reflet de </w:t>
      </w:r>
      <w:r w:rsidR="006C6112">
        <w:t>la gestion équilibré</w:t>
      </w:r>
      <w:r w:rsidR="00A57BE2">
        <w:t>e de la production agricole, d</w:t>
      </w:r>
      <w:r w:rsidR="006C6112">
        <w:t xml:space="preserve">es rituels </w:t>
      </w:r>
      <w:r w:rsidR="00767AAB">
        <w:t xml:space="preserve">qui y étaient associés </w:t>
      </w:r>
      <w:r w:rsidR="006C6112">
        <w:t xml:space="preserve">et </w:t>
      </w:r>
      <w:r w:rsidR="00A57BE2">
        <w:t>d</w:t>
      </w:r>
      <w:r w:rsidR="00767AAB">
        <w:t xml:space="preserve">es </w:t>
      </w:r>
      <w:r w:rsidR="006C6112">
        <w:t xml:space="preserve">activités populaires </w:t>
      </w:r>
      <w:r w:rsidR="00767AAB">
        <w:t>rythmées par le changement des saisons. L</w:t>
      </w:r>
      <w:r w:rsidR="00346F1B">
        <w:t>’</w:t>
      </w:r>
      <w:r w:rsidR="00767AAB">
        <w:t>élément avait donc une importance culturelle et des fonctions sociales considérables</w:t>
      </w:r>
      <w:r w:rsidR="00DD6BDC">
        <w:t>, et contribuait à la cohésion sociale et au développement durable. Il témoignait du développement continu de la civilisation chinoise. La délégation pensait que l</w:t>
      </w:r>
      <w:r w:rsidR="00346F1B">
        <w:t>’</w:t>
      </w:r>
      <w:r w:rsidR="00DD6BDC">
        <w:t>inscription de l</w:t>
      </w:r>
      <w:r w:rsidR="00346F1B">
        <w:t>’</w:t>
      </w:r>
      <w:r w:rsidR="00DD6BDC">
        <w:t>élément sur la Liste représentative renforcerait l</w:t>
      </w:r>
      <w:r w:rsidR="00346F1B">
        <w:t>’</w:t>
      </w:r>
      <w:r w:rsidR="00DD6BDC">
        <w:t>identité culturelle des communautés et groupes concernés et contribuerait également à assurer la visibilité et la reconnaissance de l</w:t>
      </w:r>
      <w:r w:rsidR="00346F1B">
        <w:t>’</w:t>
      </w:r>
      <w:r w:rsidR="00DD6BDC">
        <w:t>importance du PCI en général. La Chine réitérait son engagement solennel en faveur de la sauvegarde de cet élément avec la participation la plus large possible des parties prenantes. Lors de cette réunion du Comité, la Chine se trouvait dans la période solaire de la Petite neige [Xiao Xue], ce qui signifiait que le froid devenait mordant sans qu</w:t>
      </w:r>
      <w:r w:rsidR="00346F1B">
        <w:t>’</w:t>
      </w:r>
      <w:r w:rsidR="00DD6BDC">
        <w:t>il neige beaucoup pou</w:t>
      </w:r>
      <w:r w:rsidR="00A57BE2">
        <w:t>r autant, c</w:t>
      </w:r>
      <w:r w:rsidR="00346F1B">
        <w:t>’</w:t>
      </w:r>
      <w:r w:rsidR="00A57BE2">
        <w:t>était une époque pendant laquelle la population préparait les fêtes des récoltes. La délégation a conclu son intervention en souhaitant de bonnes récoltes et la prospérité à tous pour l</w:t>
      </w:r>
      <w:r w:rsidR="00346F1B">
        <w:t>’</w:t>
      </w:r>
      <w:r w:rsidR="00DE5C80">
        <w:t>année à venir.</w:t>
      </w:r>
    </w:p>
    <w:p w14:paraId="5164FE27" w14:textId="1F88C432" w:rsidR="00A57BE2" w:rsidRDefault="00A57BE2" w:rsidP="00DE5C80">
      <w:pPr>
        <w:pStyle w:val="Orateurengris"/>
        <w:spacing w:before="120"/>
        <w:ind w:left="709" w:hanging="709"/>
      </w:pPr>
      <w:r>
        <w:t xml:space="preserve">Le </w:t>
      </w:r>
      <w:r w:rsidRPr="00A57BE2">
        <w:rPr>
          <w:b/>
        </w:rPr>
        <w:t>Président</w:t>
      </w:r>
      <w:r>
        <w:t xml:space="preserve"> a remercié la Chine, et est passé à la candidature suivante soumise par Cuba.</w:t>
      </w:r>
    </w:p>
    <w:p w14:paraId="5CDB78E5" w14:textId="3C307A74" w:rsidR="00A57BE2" w:rsidRPr="0032242C" w:rsidRDefault="00A57BE2" w:rsidP="00DE5C80">
      <w:pPr>
        <w:pStyle w:val="Orateurengris"/>
        <w:spacing w:before="120"/>
        <w:ind w:left="709" w:hanging="709"/>
      </w:pPr>
      <w:r>
        <w:t xml:space="preserve">Le </w:t>
      </w:r>
      <w:r w:rsidR="00754EC3">
        <w:rPr>
          <w:b/>
        </w:rPr>
        <w:t>Vice-Président</w:t>
      </w:r>
      <w:r w:rsidRPr="00A57BE2">
        <w:t xml:space="preserve"> est ensuite passé à la </w:t>
      </w:r>
      <w:r>
        <w:t xml:space="preserve">candidature suivante, </w:t>
      </w:r>
      <w:bookmarkStart w:id="24" w:name="Decision10b7"/>
      <w:r w:rsidRPr="00A57BE2">
        <w:rPr>
          <w:b/>
        </w:rPr>
        <w:t>la rumba à Cuba, mélange festif de musiques et de danses et toutes les pratiques associées</w:t>
      </w:r>
      <w:r>
        <w:t xml:space="preserve"> </w:t>
      </w:r>
      <w:bookmarkEnd w:id="24"/>
      <w:r>
        <w:t xml:space="preserve">[projet de décision 11.COM 10.b.7], soumise par Cuba. La rumba cubaine était associée à la culture africaine mais comportait également des éléments de culture antillaise et de flamenco espagnol. La pratique, un symbole de la </w:t>
      </w:r>
      <w:r w:rsidR="001B11CE">
        <w:t>société cubaine marginalisée, s</w:t>
      </w:r>
      <w:r w:rsidR="00346F1B">
        <w:t>’</w:t>
      </w:r>
      <w:r w:rsidR="001B11CE">
        <w:t>était développée dans les quartiers pauvres des villes, les bidonvilles et les zones rurales s</w:t>
      </w:r>
      <w:r w:rsidR="00346F1B">
        <w:t>’</w:t>
      </w:r>
      <w:r w:rsidR="001B11CE">
        <w:t>étendant de l</w:t>
      </w:r>
      <w:r w:rsidR="00346F1B">
        <w:t>’</w:t>
      </w:r>
      <w:r w:rsidR="001B11CE">
        <w:t>ouest à l</w:t>
      </w:r>
      <w:r w:rsidR="00346F1B">
        <w:t>’</w:t>
      </w:r>
      <w:r w:rsidR="001B11CE">
        <w:t>est du pays. La rumba cubaine, avec ses chants, ses mouvements, ses gestes et sa musique, était un acte de résistance et d</w:t>
      </w:r>
      <w:r w:rsidR="00346F1B">
        <w:t>’</w:t>
      </w:r>
      <w:r w:rsidR="001B11CE">
        <w:t>estime de soi tout en évoquant la grâce, la sensualité et la joie de se rapprocher les uns des autres. La pratique était transmise par imitation dans le cadre familial et dans les quartiers. Après un examen minutieux, l</w:t>
      </w:r>
      <w:r w:rsidR="00346F1B">
        <w:t>’</w:t>
      </w:r>
      <w:r w:rsidR="001B11CE">
        <w:t>Organe d</w:t>
      </w:r>
      <w:r w:rsidR="00346F1B">
        <w:t>’</w:t>
      </w:r>
      <w:r w:rsidR="001B11CE">
        <w:t>évaluation avait décidé q</w:t>
      </w:r>
      <w:r w:rsidR="00884ADA">
        <w:t>ue la candidature satisfaisait</w:t>
      </w:r>
      <w:r w:rsidR="001B11CE">
        <w:t xml:space="preserve"> l</w:t>
      </w:r>
      <w:r w:rsidR="00346F1B">
        <w:t>’</w:t>
      </w:r>
      <w:r w:rsidR="001B11CE">
        <w:t>ensemble des cinq critères. La rumba à Cuba était interprétée et pratiquée par une grande variété de populations indépendamment de leur genre, de leur statut social, de leur origine, ou</w:t>
      </w:r>
      <w:r w:rsidR="0032242C">
        <w:t xml:space="preserve"> de leurs croyances religieuses</w:t>
      </w:r>
      <w:r w:rsidR="001B11CE">
        <w:t xml:space="preserve">, renforçant ainsi la cohésion sociale et le respect mutuel. </w:t>
      </w:r>
      <w:r w:rsidR="0032242C">
        <w:t>Le dossier rendait bien compte de la participation d</w:t>
      </w:r>
      <w:r w:rsidR="00346F1B">
        <w:t>’</w:t>
      </w:r>
      <w:r w:rsidR="0032242C">
        <w:t>une grande diversité d</w:t>
      </w:r>
      <w:r w:rsidR="00346F1B">
        <w:t>’</w:t>
      </w:r>
      <w:r w:rsidR="0032242C">
        <w:t>acteurs à la procédure de candidature. L</w:t>
      </w:r>
      <w:r w:rsidR="00346F1B">
        <w:t>’</w:t>
      </w:r>
      <w:r w:rsidR="0032242C">
        <w:t>Organe d</w:t>
      </w:r>
      <w:r w:rsidR="00346F1B">
        <w:t>’</w:t>
      </w:r>
      <w:r w:rsidR="0032242C">
        <w:t>évaluation avait décidé de recommander l</w:t>
      </w:r>
      <w:r w:rsidR="00346F1B">
        <w:t>’</w:t>
      </w:r>
      <w:r w:rsidR="0032242C">
        <w:t xml:space="preserve">inscription </w:t>
      </w:r>
      <w:r w:rsidR="0032242C" w:rsidRPr="0032242C">
        <w:t>de la rumba à Cuba, mélange festif de musiques et de danses et toutes les pratiques associées</w:t>
      </w:r>
      <w:r w:rsidR="00DE5C80">
        <w:t xml:space="preserve"> sur la Liste représentative.</w:t>
      </w:r>
    </w:p>
    <w:p w14:paraId="6F790270" w14:textId="1BD43350" w:rsidR="0032242C" w:rsidRDefault="0032242C" w:rsidP="00DE5C80">
      <w:pPr>
        <w:pStyle w:val="Orateurengris"/>
        <w:spacing w:before="120"/>
        <w:ind w:left="709" w:hanging="709"/>
      </w:pPr>
      <w:r>
        <w:t xml:space="preserve">Après avoir remercié le </w:t>
      </w:r>
      <w:r w:rsidR="00754EC3">
        <w:t>Vice-Président</w:t>
      </w:r>
      <w:r>
        <w:t>, et en l</w:t>
      </w:r>
      <w:r w:rsidR="00346F1B">
        <w:t>’</w:t>
      </w:r>
      <w:r>
        <w:t>absence de demandes d</w:t>
      </w:r>
      <w:r w:rsidR="00346F1B">
        <w:t>’</w:t>
      </w:r>
      <w:r>
        <w:t xml:space="preserve">amendement, le </w:t>
      </w:r>
      <w:r w:rsidRPr="0032242C">
        <w:rPr>
          <w:b/>
        </w:rPr>
        <w:t>Président</w:t>
      </w:r>
      <w:r>
        <w:t xml:space="preserve"> a proposé d</w:t>
      </w:r>
      <w:r w:rsidR="00346F1B">
        <w:t>’</w:t>
      </w:r>
      <w:r>
        <w:t>adopter la décision dans son ensemble. En l</w:t>
      </w:r>
      <w:r w:rsidR="00346F1B">
        <w:t>’</w:t>
      </w:r>
      <w:r>
        <w:t>absence d</w:t>
      </w:r>
      <w:r w:rsidR="00346F1B">
        <w:t>’</w:t>
      </w:r>
      <w:r>
        <w:t xml:space="preserve">autres commentaires ou objections, le </w:t>
      </w:r>
      <w:r w:rsidR="00DE5C80">
        <w:rPr>
          <w:b/>
        </w:rPr>
        <w:t>Président a</w:t>
      </w:r>
      <w:r w:rsidRPr="0032242C">
        <w:rPr>
          <w:b/>
        </w:rPr>
        <w:t xml:space="preserve"> déclaré adoptée la décision 11.COM 10.b.7 d</w:t>
      </w:r>
      <w:r w:rsidR="00346F1B">
        <w:rPr>
          <w:b/>
        </w:rPr>
        <w:t>’</w:t>
      </w:r>
      <w:r w:rsidRPr="0032242C">
        <w:rPr>
          <w:b/>
        </w:rPr>
        <w:t xml:space="preserve">inscrire </w:t>
      </w:r>
      <w:r w:rsidRPr="00A57BE2">
        <w:rPr>
          <w:b/>
        </w:rPr>
        <w:t>la rumba à Cuba, mélange festif de musiques et de danses et toutes les pratiques associées</w:t>
      </w:r>
      <w:r>
        <w:rPr>
          <w:b/>
        </w:rPr>
        <w:t xml:space="preserve"> sur la Liste représentative du patrimoine culturel immatériel de l</w:t>
      </w:r>
      <w:r w:rsidR="00346F1B">
        <w:rPr>
          <w:b/>
        </w:rPr>
        <w:t>’</w:t>
      </w:r>
      <w:r>
        <w:rPr>
          <w:b/>
        </w:rPr>
        <w:t>humanité</w:t>
      </w:r>
      <w:r w:rsidR="00DE5C80">
        <w:t>.</w:t>
      </w:r>
    </w:p>
    <w:p w14:paraId="7DD63656" w14:textId="0665B120" w:rsidR="0032242C" w:rsidRDefault="0032242C" w:rsidP="00DE5C80">
      <w:pPr>
        <w:pStyle w:val="Orateurengris"/>
        <w:spacing w:before="120"/>
        <w:ind w:left="709" w:hanging="709"/>
      </w:pPr>
      <w:r>
        <w:t xml:space="preserve">La délégation de </w:t>
      </w:r>
      <w:r w:rsidRPr="0032242C">
        <w:rPr>
          <w:b/>
        </w:rPr>
        <w:t>Cuba</w:t>
      </w:r>
      <w:r>
        <w:t xml:space="preserve"> a évoqué l</w:t>
      </w:r>
      <w:r w:rsidR="00346F1B">
        <w:t>’</w:t>
      </w:r>
      <w:r>
        <w:t>émotion qu</w:t>
      </w:r>
      <w:r w:rsidR="00346F1B">
        <w:t>’</w:t>
      </w:r>
      <w:r>
        <w:t>elle ressentait de voir la rumba incluse sur la Liste représentative</w:t>
      </w:r>
      <w:r w:rsidR="004A0D8A">
        <w:t>. La danse, effectivement née en Afrique,</w:t>
      </w:r>
      <w:r w:rsidR="00663A0B">
        <w:t xml:space="preserve"> avait des liens é</w:t>
      </w:r>
      <w:r>
        <w:t xml:space="preserve">troits et évidents avec Cuba. </w:t>
      </w:r>
      <w:r w:rsidR="00663A0B">
        <w:t>En effet, dès les premières heures de la révolution, Fidel Castro avait joué un rôle essentiel dans le développement de cette danse qui était une expression de la culture en tant que droit fondamental. Il avait égale</w:t>
      </w:r>
      <w:r w:rsidR="004A0D8A">
        <w:t>ment</w:t>
      </w:r>
      <w:r w:rsidR="00663A0B">
        <w:t xml:space="preserve"> défendu l</w:t>
      </w:r>
      <w:r w:rsidR="00346F1B">
        <w:t>’</w:t>
      </w:r>
      <w:r w:rsidR="00663A0B">
        <w:t>idée que le développement culturel d</w:t>
      </w:r>
      <w:r w:rsidR="00346F1B">
        <w:t>’</w:t>
      </w:r>
      <w:r w:rsidR="00663A0B">
        <w:t>une communauté était l</w:t>
      </w:r>
      <w:r w:rsidR="00346F1B">
        <w:t>’</w:t>
      </w:r>
      <w:r w:rsidR="00663A0B">
        <w:t>unique façon d</w:t>
      </w:r>
      <w:r w:rsidR="00346F1B">
        <w:t>’</w:t>
      </w:r>
      <w:r w:rsidR="00663A0B">
        <w:t xml:space="preserve">assurer une société </w:t>
      </w:r>
      <w:r w:rsidR="004A0D8A">
        <w:t xml:space="preserve">juste, équitable et </w:t>
      </w:r>
      <w:r w:rsidR="00663A0B">
        <w:t>ouverte à tous. En 1961,</w:t>
      </w:r>
      <w:r w:rsidR="004A0D8A">
        <w:t xml:space="preserve"> Castro s</w:t>
      </w:r>
      <w:r w:rsidR="00346F1B">
        <w:t>’</w:t>
      </w:r>
      <w:r w:rsidR="004A0D8A">
        <w:t>était adressé</w:t>
      </w:r>
      <w:r w:rsidR="00663A0B">
        <w:t xml:space="preserve"> aux intellectuels et </w:t>
      </w:r>
      <w:r w:rsidR="004A0D8A">
        <w:t xml:space="preserve">avait </w:t>
      </w:r>
      <w:r w:rsidR="00663A0B">
        <w:t>souligné à quel point il était essentiel de mettre le patrimoine artistique à la porté</w:t>
      </w:r>
      <w:r w:rsidR="004A0D8A">
        <w:t>e</w:t>
      </w:r>
      <w:r w:rsidR="00663A0B">
        <w:t xml:space="preserve"> du peuple afin qu</w:t>
      </w:r>
      <w:r w:rsidR="00346F1B">
        <w:t>’</w:t>
      </w:r>
      <w:r w:rsidR="00663A0B">
        <w:t>il puisse comprendre toutes les manifestations de la culture. Dans la droite ligne de ces principes directeurs, la révolution a</w:t>
      </w:r>
      <w:r w:rsidR="004A0D8A">
        <w:t>vait</w:t>
      </w:r>
      <w:r w:rsidR="00663A0B">
        <w:t xml:space="preserve"> souhaité créer un véritable patrimoine du peuple. La délégation a remercié tous ceux qui avaient rendu cette inscription possible, en particulier le Docteur Miguel Barnet [Président de l</w:t>
      </w:r>
      <w:r w:rsidR="00346F1B">
        <w:t>’</w:t>
      </w:r>
      <w:r w:rsidR="00663A0B">
        <w:t xml:space="preserve">Association nationale des écrivains et artistes cubains, lui-même poète, ethnologue et écrivain] qui avait </w:t>
      </w:r>
      <w:r w:rsidR="004A0D8A">
        <w:t>toujours eu l</w:t>
      </w:r>
      <w:r w:rsidR="00346F1B">
        <w:t>’</w:t>
      </w:r>
      <w:r w:rsidR="004A0D8A">
        <w:t>intime</w:t>
      </w:r>
      <w:r w:rsidR="00663A0B">
        <w:t xml:space="preserve"> conviction que ce jour arriverait. Au nom des musiciens de la rumba cubaine</w:t>
      </w:r>
      <w:r w:rsidR="004A0D8A">
        <w:t>. M. Esmidio Iyerosum a adressé ses remerciements pour l</w:t>
      </w:r>
      <w:r w:rsidR="00346F1B">
        <w:t>’</w:t>
      </w:r>
      <w:r w:rsidR="004A0D8A">
        <w:t>inclusion de la rumba sur la Liste représentative qu</w:t>
      </w:r>
      <w:r w:rsidR="00346F1B">
        <w:t>’</w:t>
      </w:r>
      <w:r w:rsidR="004A0D8A">
        <w:t>il a saluée en déclarant que la rumba cristallisait l</w:t>
      </w:r>
      <w:r w:rsidR="00346F1B">
        <w:t>’</w:t>
      </w:r>
      <w:r w:rsidR="004A0D8A">
        <w:t>histoire de la nation et que la danse e</w:t>
      </w:r>
      <w:r w:rsidR="00FC6CAF">
        <w:t>t le chant représentaient Cuba.</w:t>
      </w:r>
    </w:p>
    <w:p w14:paraId="6E362F8C" w14:textId="207947EB" w:rsidR="002F0575" w:rsidRPr="00A57BE2" w:rsidRDefault="004A0D8A" w:rsidP="002B4948">
      <w:pPr>
        <w:pStyle w:val="Orateurengris"/>
        <w:numPr>
          <w:ilvl w:val="0"/>
          <w:numId w:val="0"/>
        </w:numPr>
        <w:spacing w:before="240" w:after="240"/>
        <w:ind w:left="709"/>
        <w:jc w:val="center"/>
        <w:rPr>
          <w:bCs/>
          <w:i/>
        </w:rPr>
      </w:pPr>
      <w:r>
        <w:rPr>
          <w:i/>
        </w:rPr>
        <w:t>[Un film sur la rumba a été projeté</w:t>
      </w:r>
      <w:r w:rsidR="002F0575" w:rsidRPr="00A57BE2">
        <w:rPr>
          <w:bCs/>
          <w:i/>
        </w:rPr>
        <w:t>]</w:t>
      </w:r>
    </w:p>
    <w:p w14:paraId="7559EEAE" w14:textId="0648D4B9" w:rsidR="002C6860" w:rsidRPr="002C6860" w:rsidRDefault="002C6860" w:rsidP="00DE5C80">
      <w:pPr>
        <w:pStyle w:val="Orateurengris"/>
        <w:tabs>
          <w:tab w:val="left" w:pos="6379"/>
        </w:tabs>
        <w:spacing w:before="120"/>
        <w:ind w:left="709" w:hanging="709"/>
      </w:pPr>
      <w:r>
        <w:t xml:space="preserve">Le </w:t>
      </w:r>
      <w:r w:rsidRPr="002C6860">
        <w:rPr>
          <w:b/>
        </w:rPr>
        <w:t>Président</w:t>
      </w:r>
      <w:r>
        <w:t xml:space="preserve"> a félicité et remercié Cuba pour ce court film très enthousiasmant.</w:t>
      </w:r>
    </w:p>
    <w:p w14:paraId="3716A631" w14:textId="56B390B7" w:rsidR="002C6860" w:rsidRPr="002C6860" w:rsidRDefault="002C6860" w:rsidP="00DE5C80">
      <w:pPr>
        <w:pStyle w:val="Orateurengris"/>
        <w:spacing w:before="120"/>
        <w:ind w:left="709" w:hanging="709"/>
      </w:pPr>
      <w:r>
        <w:t xml:space="preserve">Le </w:t>
      </w:r>
      <w:r w:rsidRPr="002C6860">
        <w:rPr>
          <w:b/>
        </w:rPr>
        <w:t>Secrétaire</w:t>
      </w:r>
      <w:r>
        <w:t xml:space="preserve"> a rappelé au Comité que plusieurs activité</w:t>
      </w:r>
      <w:r w:rsidR="00891D6E">
        <w:t>s</w:t>
      </w:r>
      <w:r>
        <w:t xml:space="preserve"> se dérouleraient pendant l</w:t>
      </w:r>
      <w:r w:rsidR="00346F1B">
        <w:t>’</w:t>
      </w:r>
      <w:r>
        <w:t>heure du déjeuner, à savoir la réunion des facilitateurs de l</w:t>
      </w:r>
      <w:r w:rsidR="00346F1B">
        <w:t>’</w:t>
      </w:r>
      <w:r>
        <w:t>UNESCO, l</w:t>
      </w:r>
      <w:r w:rsidR="00346F1B">
        <w:t>’</w:t>
      </w:r>
      <w:r>
        <w:t>atelier à composition non limitée du Forum des ONG sur Heritage Alive, e</w:t>
      </w:r>
      <w:r w:rsidR="00FC6CAF">
        <w:t>t la réunion du groupe Afrique.</w:t>
      </w:r>
    </w:p>
    <w:p w14:paraId="36355612" w14:textId="458F42B9" w:rsidR="002C6860" w:rsidRPr="002C6860" w:rsidRDefault="002C6860" w:rsidP="00DE5C80">
      <w:pPr>
        <w:pStyle w:val="Orateurengris"/>
        <w:spacing w:before="120"/>
        <w:ind w:left="709" w:hanging="709"/>
      </w:pPr>
      <w:r>
        <w:t xml:space="preserve">Le </w:t>
      </w:r>
      <w:r w:rsidRPr="002C6860">
        <w:rPr>
          <w:b/>
        </w:rPr>
        <w:t>Président</w:t>
      </w:r>
      <w:r w:rsidR="009B4CC3">
        <w:t xml:space="preserve"> a ajourné la session</w:t>
      </w:r>
      <w:r>
        <w:t>.</w:t>
      </w:r>
    </w:p>
    <w:p w14:paraId="34920A71" w14:textId="67C8D2C4" w:rsidR="00292259" w:rsidRPr="00DE5C80" w:rsidRDefault="002C6860" w:rsidP="002B4948">
      <w:pPr>
        <w:pStyle w:val="Orateurengris"/>
        <w:numPr>
          <w:ilvl w:val="0"/>
          <w:numId w:val="0"/>
        </w:numPr>
        <w:tabs>
          <w:tab w:val="clear" w:pos="1418"/>
          <w:tab w:val="clear" w:pos="2126"/>
          <w:tab w:val="clear" w:pos="2835"/>
          <w:tab w:val="left" w:pos="4357"/>
        </w:tabs>
        <w:spacing w:before="120"/>
        <w:ind w:left="709"/>
        <w:jc w:val="center"/>
        <w:outlineLvl w:val="0"/>
        <w:rPr>
          <w:i/>
        </w:rPr>
      </w:pPr>
      <w:r w:rsidRPr="002C6860">
        <w:rPr>
          <w:rFonts w:eastAsia="Cambria"/>
          <w:i/>
        </w:rPr>
        <w:t>[</w:t>
      </w:r>
      <w:r w:rsidR="00C62793" w:rsidRPr="002C6860">
        <w:rPr>
          <w:rFonts w:eastAsia="Cambria"/>
          <w:i/>
        </w:rPr>
        <w:t>Mercredi</w:t>
      </w:r>
      <w:r w:rsidRPr="002C6860">
        <w:rPr>
          <w:rFonts w:eastAsia="Cambria"/>
          <w:i/>
        </w:rPr>
        <w:t xml:space="preserve"> 30 novembre, séance de l</w:t>
      </w:r>
      <w:r w:rsidR="00346F1B">
        <w:rPr>
          <w:rFonts w:eastAsia="Cambria"/>
          <w:i/>
        </w:rPr>
        <w:t>’</w:t>
      </w:r>
      <w:r w:rsidRPr="002C6860">
        <w:rPr>
          <w:rFonts w:eastAsia="Cambria"/>
          <w:i/>
        </w:rPr>
        <w:t>après-midi</w:t>
      </w:r>
      <w:r w:rsidR="001C2F74" w:rsidRPr="002C6860">
        <w:rPr>
          <w:i/>
        </w:rPr>
        <w:t>]</w:t>
      </w:r>
    </w:p>
    <w:p w14:paraId="518D63C9" w14:textId="7F7DB7B2" w:rsidR="001C2F74" w:rsidRPr="002C6860" w:rsidRDefault="002C6860" w:rsidP="00DE5C80">
      <w:pPr>
        <w:pStyle w:val="Orateurengris"/>
        <w:numPr>
          <w:ilvl w:val="0"/>
          <w:numId w:val="0"/>
        </w:numPr>
        <w:spacing w:before="360" w:after="60"/>
        <w:ind w:left="567" w:hanging="567"/>
        <w:outlineLvl w:val="0"/>
        <w:rPr>
          <w:rFonts w:eastAsia="Cambria"/>
          <w:b/>
          <w:u w:val="single"/>
        </w:rPr>
      </w:pPr>
      <w:r>
        <w:rPr>
          <w:b/>
          <w:u w:val="single"/>
        </w:rPr>
        <w:t xml:space="preserve">POINT 10.b </w:t>
      </w:r>
      <w:r>
        <w:rPr>
          <w:rFonts w:eastAsia="Cambria"/>
          <w:b/>
          <w:u w:val="single"/>
        </w:rPr>
        <w:t>DE L</w:t>
      </w:r>
      <w:r w:rsidR="00346F1B">
        <w:rPr>
          <w:rFonts w:eastAsia="Cambria"/>
          <w:b/>
          <w:u w:val="single"/>
        </w:rPr>
        <w:t>’</w:t>
      </w:r>
      <w:r w:rsidRPr="002C6860">
        <w:rPr>
          <w:rFonts w:eastAsia="Cambria"/>
          <w:b/>
          <w:u w:val="single"/>
        </w:rPr>
        <w:t>ORDRE DU JOUR</w:t>
      </w:r>
      <w:r>
        <w:rPr>
          <w:rFonts w:eastAsia="Cambria"/>
          <w:b/>
          <w:u w:val="single"/>
        </w:rPr>
        <w:t xml:space="preserve"> (SUITE</w:t>
      </w:r>
      <w:r w:rsidRPr="002C6860">
        <w:rPr>
          <w:rFonts w:eastAsia="Cambria"/>
          <w:b/>
          <w:u w:val="single"/>
        </w:rPr>
        <w:t>)</w:t>
      </w:r>
      <w:r>
        <w:rPr>
          <w:rFonts w:eastAsia="Cambria"/>
          <w:b/>
          <w:u w:val="single"/>
        </w:rPr>
        <w:t> :</w:t>
      </w:r>
    </w:p>
    <w:p w14:paraId="653871B3" w14:textId="66E8D9C4" w:rsidR="00D12E29" w:rsidRPr="002C6860" w:rsidRDefault="002C6860" w:rsidP="00DE5C80">
      <w:pPr>
        <w:pStyle w:val="Orateurengris"/>
        <w:numPr>
          <w:ilvl w:val="0"/>
          <w:numId w:val="0"/>
        </w:numPr>
        <w:outlineLvl w:val="0"/>
        <w:rPr>
          <w:rFonts w:eastAsiaTheme="minorEastAsia"/>
          <w:b/>
          <w:color w:val="323133"/>
          <w:lang w:eastAsia="ja-JP"/>
        </w:rPr>
      </w:pPr>
      <w:r>
        <w:rPr>
          <w:rFonts w:eastAsiaTheme="minorEastAsia"/>
          <w:b/>
          <w:color w:val="323133"/>
          <w:lang w:eastAsia="ja-JP"/>
        </w:rPr>
        <w:t xml:space="preserve">EXAMEN DES CANDIDATURES POUR </w:t>
      </w:r>
      <w:r w:rsidRPr="002C6860">
        <w:rPr>
          <w:rFonts w:eastAsiaTheme="minorEastAsia"/>
          <w:b/>
          <w:color w:val="323133"/>
          <w:lang w:eastAsia="ja-JP"/>
        </w:rPr>
        <w:t>INSCRIPTION</w:t>
      </w:r>
      <w:r>
        <w:rPr>
          <w:rFonts w:eastAsiaTheme="minorEastAsia"/>
          <w:b/>
          <w:color w:val="323133"/>
          <w:lang w:eastAsia="ja-JP"/>
        </w:rPr>
        <w:t xml:space="preserve"> SUR LA LISTE REPRÉSENTATIVE DU PATRIMOINE CULTUREL IMMATÉRIEL DE L</w:t>
      </w:r>
      <w:r w:rsidR="00346F1B">
        <w:rPr>
          <w:rFonts w:eastAsiaTheme="minorEastAsia"/>
          <w:b/>
          <w:color w:val="323133"/>
          <w:lang w:eastAsia="ja-JP"/>
        </w:rPr>
        <w:t>’</w:t>
      </w:r>
      <w:r w:rsidR="00DE5C80">
        <w:rPr>
          <w:rFonts w:eastAsiaTheme="minorEastAsia"/>
          <w:b/>
          <w:color w:val="323133"/>
          <w:lang w:eastAsia="ja-JP"/>
        </w:rPr>
        <w:t>HUMANITÉ</w:t>
      </w:r>
    </w:p>
    <w:p w14:paraId="7D3BDC82" w14:textId="3B597949" w:rsidR="00857154" w:rsidRPr="00857154" w:rsidRDefault="00857154" w:rsidP="00DE5C80">
      <w:pPr>
        <w:pStyle w:val="Orateurengris"/>
        <w:spacing w:before="120"/>
        <w:ind w:left="709" w:hanging="709"/>
      </w:pPr>
      <w:r>
        <w:t xml:space="preserve">Le </w:t>
      </w:r>
      <w:r w:rsidRPr="00857154">
        <w:rPr>
          <w:b/>
        </w:rPr>
        <w:t>Président</w:t>
      </w:r>
      <w:r>
        <w:t xml:space="preserve"> a informé le Comité que la délégation du Brésil avait demandé une minute de silence au nom des 71 personnes tuées dans un accident d</w:t>
      </w:r>
      <w:r w:rsidR="00346F1B">
        <w:t>’</w:t>
      </w:r>
      <w:r>
        <w:t>avion</w:t>
      </w:r>
      <w:r w:rsidR="00DE5C80">
        <w:t xml:space="preserve"> le jour précédent en Colombie.</w:t>
      </w:r>
    </w:p>
    <w:p w14:paraId="2D1B694C" w14:textId="1E4AA596" w:rsidR="002F0575" w:rsidRPr="00891D6E" w:rsidRDefault="00891D6E" w:rsidP="002B4948">
      <w:pPr>
        <w:pStyle w:val="Orateurengris"/>
        <w:numPr>
          <w:ilvl w:val="0"/>
          <w:numId w:val="0"/>
        </w:numPr>
        <w:spacing w:before="240" w:after="240"/>
        <w:ind w:left="709" w:hanging="709"/>
        <w:jc w:val="center"/>
        <w:rPr>
          <w:bCs/>
          <w:i/>
        </w:rPr>
      </w:pPr>
      <w:r>
        <w:rPr>
          <w:bCs/>
          <w:i/>
        </w:rPr>
        <w:t>[U</w:t>
      </w:r>
      <w:r w:rsidR="00857154">
        <w:rPr>
          <w:bCs/>
          <w:i/>
        </w:rPr>
        <w:t xml:space="preserve">ne minute de silence </w:t>
      </w:r>
      <w:r>
        <w:rPr>
          <w:bCs/>
          <w:i/>
        </w:rPr>
        <w:t xml:space="preserve">a été </w:t>
      </w:r>
      <w:r w:rsidR="00857154">
        <w:rPr>
          <w:bCs/>
          <w:i/>
        </w:rPr>
        <w:t>respectée pour les victimes de l</w:t>
      </w:r>
      <w:r w:rsidR="00346F1B">
        <w:rPr>
          <w:bCs/>
          <w:i/>
        </w:rPr>
        <w:t>’</w:t>
      </w:r>
      <w:r w:rsidR="00857154">
        <w:rPr>
          <w:bCs/>
          <w:i/>
        </w:rPr>
        <w:t>accident d</w:t>
      </w:r>
      <w:r w:rsidR="00346F1B">
        <w:rPr>
          <w:bCs/>
          <w:i/>
        </w:rPr>
        <w:t>’</w:t>
      </w:r>
      <w:r w:rsidR="00857154">
        <w:rPr>
          <w:bCs/>
          <w:i/>
        </w:rPr>
        <w:t>avion au Brésil</w:t>
      </w:r>
      <w:r w:rsidR="002F0575" w:rsidRPr="002C6860">
        <w:rPr>
          <w:i/>
        </w:rPr>
        <w:t>]</w:t>
      </w:r>
    </w:p>
    <w:p w14:paraId="4FF0CBE0" w14:textId="087CEF62" w:rsidR="00857154" w:rsidRDefault="00857154" w:rsidP="00DE5C80">
      <w:pPr>
        <w:pStyle w:val="Orateurengris"/>
        <w:spacing w:before="120"/>
        <w:ind w:left="709" w:hanging="709"/>
      </w:pPr>
      <w:r>
        <w:t xml:space="preserve">Le </w:t>
      </w:r>
      <w:r w:rsidRPr="00857154">
        <w:rPr>
          <w:b/>
        </w:rPr>
        <w:t>Président</w:t>
      </w:r>
      <w:r>
        <w:t xml:space="preserve"> a commencé la séance avec la candidature soumise par l</w:t>
      </w:r>
      <w:r w:rsidR="00346F1B">
        <w:t>’</w:t>
      </w:r>
      <w:r>
        <w:t>Espagne, comme convenu par le Comité le matin même, avant de revenir à l</w:t>
      </w:r>
      <w:r w:rsidR="00346F1B">
        <w:t>’</w:t>
      </w:r>
      <w:r>
        <w:t>o</w:t>
      </w:r>
      <w:r w:rsidR="00DE5C80">
        <w:t>rdre alphabétique des dossiers.</w:t>
      </w:r>
    </w:p>
    <w:p w14:paraId="6FADF7AE" w14:textId="30BF330D" w:rsidR="00857154" w:rsidRPr="00857154" w:rsidRDefault="00857154" w:rsidP="00DE5C80">
      <w:pPr>
        <w:pStyle w:val="Orateurengris"/>
        <w:spacing w:before="120"/>
        <w:ind w:left="709" w:hanging="709"/>
        <w:rPr>
          <w:bCs/>
        </w:rPr>
      </w:pPr>
      <w:r>
        <w:rPr>
          <w:bCs/>
        </w:rPr>
        <w:t xml:space="preserve">Le </w:t>
      </w:r>
      <w:r w:rsidR="00754EC3">
        <w:rPr>
          <w:b/>
          <w:bCs/>
        </w:rPr>
        <w:t>Vice-Président</w:t>
      </w:r>
      <w:r w:rsidRPr="00857154">
        <w:rPr>
          <w:b/>
          <w:bCs/>
        </w:rPr>
        <w:t xml:space="preserve"> de l</w:t>
      </w:r>
      <w:r w:rsidR="00346F1B">
        <w:rPr>
          <w:b/>
          <w:bCs/>
        </w:rPr>
        <w:t>’</w:t>
      </w:r>
      <w:r w:rsidRPr="00857154">
        <w:rPr>
          <w:b/>
          <w:bCs/>
        </w:rPr>
        <w:t>Organe d</w:t>
      </w:r>
      <w:r w:rsidR="00346F1B">
        <w:rPr>
          <w:b/>
          <w:bCs/>
        </w:rPr>
        <w:t>’</w:t>
      </w:r>
      <w:r w:rsidRPr="00857154">
        <w:rPr>
          <w:b/>
          <w:bCs/>
        </w:rPr>
        <w:t>évaluation</w:t>
      </w:r>
      <w:r>
        <w:rPr>
          <w:bCs/>
        </w:rPr>
        <w:t xml:space="preserve"> est passé à la </w:t>
      </w:r>
      <w:r w:rsidRPr="00857154">
        <w:rPr>
          <w:bCs/>
        </w:rPr>
        <w:t>candidature</w:t>
      </w:r>
      <w:r>
        <w:rPr>
          <w:bCs/>
        </w:rPr>
        <w:t xml:space="preserve"> suivante, </w:t>
      </w:r>
      <w:bookmarkStart w:id="25" w:name="Decision10b30"/>
      <w:r w:rsidRPr="00266C71">
        <w:rPr>
          <w:b/>
          <w:bCs/>
        </w:rPr>
        <w:t>la fête des Fallas valenciennes</w:t>
      </w:r>
      <w:r>
        <w:rPr>
          <w:bCs/>
        </w:rPr>
        <w:t xml:space="preserve"> </w:t>
      </w:r>
      <w:bookmarkEnd w:id="25"/>
      <w:r>
        <w:rPr>
          <w:bCs/>
        </w:rPr>
        <w:t>[projet de décision 11.COM 10.b.30], soumise par l</w:t>
      </w:r>
      <w:r w:rsidR="00346F1B">
        <w:rPr>
          <w:bCs/>
        </w:rPr>
        <w:t>’</w:t>
      </w:r>
      <w:r>
        <w:rPr>
          <w:bCs/>
        </w:rPr>
        <w:t>Espagne</w:t>
      </w:r>
      <w:r w:rsidR="00266C71">
        <w:rPr>
          <w:bCs/>
        </w:rPr>
        <w:t>. La fête des Fallas était</w:t>
      </w:r>
      <w:r>
        <w:rPr>
          <w:bCs/>
        </w:rPr>
        <w:t xml:space="preserve"> une pratique traditionnelle des communautés valenciennes marquant l</w:t>
      </w:r>
      <w:r w:rsidR="00346F1B">
        <w:rPr>
          <w:bCs/>
        </w:rPr>
        <w:t>’</w:t>
      </w:r>
      <w:r>
        <w:rPr>
          <w:bCs/>
        </w:rPr>
        <w:t>arr</w:t>
      </w:r>
      <w:r w:rsidR="00266C71">
        <w:rPr>
          <w:bCs/>
        </w:rPr>
        <w:t xml:space="preserve">ivée du printemps. La </w:t>
      </w:r>
      <w:r w:rsidR="00A94BCC">
        <w:rPr>
          <w:bCs/>
        </w:rPr>
        <w:t>« </w:t>
      </w:r>
      <w:r w:rsidR="00266C71">
        <w:rPr>
          <w:bCs/>
        </w:rPr>
        <w:t>falla</w:t>
      </w:r>
      <w:r w:rsidR="00A94BCC">
        <w:rPr>
          <w:bCs/>
        </w:rPr>
        <w:t> »</w:t>
      </w:r>
      <w:r w:rsidR="00266C71">
        <w:rPr>
          <w:bCs/>
        </w:rPr>
        <w:t xml:space="preserve"> était</w:t>
      </w:r>
      <w:r>
        <w:rPr>
          <w:bCs/>
        </w:rPr>
        <w:t xml:space="preserve"> une </w:t>
      </w:r>
      <w:r w:rsidRPr="00857154">
        <w:rPr>
          <w:bCs/>
        </w:rPr>
        <w:t>construction</w:t>
      </w:r>
      <w:r>
        <w:rPr>
          <w:bCs/>
        </w:rPr>
        <w:t xml:space="preserve"> composée de </w:t>
      </w:r>
      <w:r w:rsidR="00266C71">
        <w:rPr>
          <w:bCs/>
        </w:rPr>
        <w:t>caricatures réalisées par des artistes locaux qui commentaient les questions sociales du moment. Érigée sur la place de la ville du 14 au 19 mars, elle était ensuite réduite en cendres, symbolisant le renouveau de l</w:t>
      </w:r>
      <w:r w:rsidR="00346F1B">
        <w:rPr>
          <w:bCs/>
        </w:rPr>
        <w:t>’</w:t>
      </w:r>
      <w:r w:rsidR="00266C71">
        <w:rPr>
          <w:bCs/>
        </w:rPr>
        <w:t>activité sociale. Des fanfares, des repas en exté</w:t>
      </w:r>
      <w:r w:rsidR="00A94BCC">
        <w:rPr>
          <w:bCs/>
        </w:rPr>
        <w:t>rieur et des feux d</w:t>
      </w:r>
      <w:r w:rsidR="00346F1B">
        <w:rPr>
          <w:bCs/>
        </w:rPr>
        <w:t>’</w:t>
      </w:r>
      <w:r w:rsidR="00A94BCC">
        <w:rPr>
          <w:bCs/>
        </w:rPr>
        <w:t>artifice faisaien</w:t>
      </w:r>
      <w:r w:rsidR="00266C71">
        <w:rPr>
          <w:bCs/>
        </w:rPr>
        <w:t>t pa</w:t>
      </w:r>
      <w:r w:rsidR="00A94BCC">
        <w:rPr>
          <w:bCs/>
        </w:rPr>
        <w:t>rtie des festivités, qui renforçaient la cohésion sociale et offraient</w:t>
      </w:r>
      <w:r w:rsidR="00266C71">
        <w:rPr>
          <w:bCs/>
        </w:rPr>
        <w:t xml:space="preserve"> une opportunité de </w:t>
      </w:r>
      <w:r w:rsidR="00266C71" w:rsidRPr="00266C71">
        <w:rPr>
          <w:bCs/>
        </w:rPr>
        <w:t>créativité</w:t>
      </w:r>
      <w:r w:rsidR="00266C71">
        <w:rPr>
          <w:bCs/>
        </w:rPr>
        <w:t xml:space="preserve"> collective transmise au sein des familles. À la lecture des </w:t>
      </w:r>
      <w:r w:rsidR="00266C71" w:rsidRPr="00266C71">
        <w:rPr>
          <w:bCs/>
        </w:rPr>
        <w:t>informations</w:t>
      </w:r>
      <w:r w:rsidR="00266C71">
        <w:rPr>
          <w:bCs/>
        </w:rPr>
        <w:t xml:space="preserve"> présentées dans le dossier, l</w:t>
      </w:r>
      <w:r w:rsidR="00346F1B">
        <w:rPr>
          <w:bCs/>
        </w:rPr>
        <w:t>’</w:t>
      </w:r>
      <w:r w:rsidR="00266C71">
        <w:rPr>
          <w:bCs/>
        </w:rPr>
        <w:t>Organe d</w:t>
      </w:r>
      <w:r w:rsidR="00346F1B">
        <w:rPr>
          <w:bCs/>
        </w:rPr>
        <w:t>’</w:t>
      </w:r>
      <w:r w:rsidR="00266C71">
        <w:rPr>
          <w:bCs/>
        </w:rPr>
        <w:t xml:space="preserve">évaluation avait décidé que la </w:t>
      </w:r>
      <w:r w:rsidR="00266C71" w:rsidRPr="00266C71">
        <w:rPr>
          <w:bCs/>
        </w:rPr>
        <w:t>candidature</w:t>
      </w:r>
      <w:r w:rsidR="00266C71">
        <w:rPr>
          <w:bCs/>
        </w:rPr>
        <w:t xml:space="preserve"> satisfaisait l</w:t>
      </w:r>
      <w:r w:rsidR="00346F1B">
        <w:rPr>
          <w:bCs/>
        </w:rPr>
        <w:t>’</w:t>
      </w:r>
      <w:r w:rsidR="00266C71">
        <w:rPr>
          <w:bCs/>
        </w:rPr>
        <w:t xml:space="preserve">ensemble des cinq critères. Le dossier décrivait correctement la fête des Fallas et la </w:t>
      </w:r>
      <w:r w:rsidR="00266C71" w:rsidRPr="00266C71">
        <w:rPr>
          <w:bCs/>
        </w:rPr>
        <w:t xml:space="preserve">signification </w:t>
      </w:r>
      <w:r w:rsidR="00266C71">
        <w:rPr>
          <w:bCs/>
        </w:rPr>
        <w:t>culturelle de la construct</w:t>
      </w:r>
      <w:r w:rsidR="00A94BCC">
        <w:rPr>
          <w:bCs/>
        </w:rPr>
        <w:t>ion, la « falla », en ce qui concerne le renouveau, l</w:t>
      </w:r>
      <w:r w:rsidR="00346F1B">
        <w:rPr>
          <w:bCs/>
        </w:rPr>
        <w:t>’</w:t>
      </w:r>
      <w:r w:rsidR="00266C71" w:rsidRPr="00266C71">
        <w:rPr>
          <w:bCs/>
        </w:rPr>
        <w:t>identification</w:t>
      </w:r>
      <w:r w:rsidR="00A94BCC">
        <w:rPr>
          <w:bCs/>
        </w:rPr>
        <w:t xml:space="preserve"> et la cohésion sociale. Le</w:t>
      </w:r>
      <w:r w:rsidR="00266C71">
        <w:rPr>
          <w:bCs/>
        </w:rPr>
        <w:t xml:space="preserve"> dossier démontrait </w:t>
      </w:r>
      <w:r w:rsidR="00266C71" w:rsidRPr="00266C71">
        <w:rPr>
          <w:bCs/>
        </w:rPr>
        <w:t>également</w:t>
      </w:r>
      <w:r w:rsidR="00266C71">
        <w:rPr>
          <w:bCs/>
        </w:rPr>
        <w:t xml:space="preserve"> comment un grand éventail d</w:t>
      </w:r>
      <w:r w:rsidR="00346F1B">
        <w:rPr>
          <w:bCs/>
        </w:rPr>
        <w:t>’</w:t>
      </w:r>
      <w:r w:rsidR="00266C71">
        <w:rPr>
          <w:bCs/>
        </w:rPr>
        <w:t xml:space="preserve">acteurs, y compris les communautés concernées, les conseils </w:t>
      </w:r>
      <w:r w:rsidR="00A94BCC">
        <w:rPr>
          <w:bCs/>
        </w:rPr>
        <w:t>municipaux, les universités, le</w:t>
      </w:r>
      <w:r w:rsidR="00266C71">
        <w:rPr>
          <w:bCs/>
        </w:rPr>
        <w:t xml:space="preserve"> </w:t>
      </w:r>
      <w:r w:rsidR="00266C71" w:rsidRPr="00266C71">
        <w:rPr>
          <w:bCs/>
        </w:rPr>
        <w:t>gouvernement</w:t>
      </w:r>
      <w:r w:rsidR="00266C71">
        <w:rPr>
          <w:bCs/>
        </w:rPr>
        <w:t xml:space="preserve"> régional et les experts à titre individuel, avai</w:t>
      </w:r>
      <w:r w:rsidR="00891D6E">
        <w:rPr>
          <w:bCs/>
        </w:rPr>
        <w:t>en</w:t>
      </w:r>
      <w:r w:rsidR="00266C71">
        <w:rPr>
          <w:bCs/>
        </w:rPr>
        <w:t>t participé à</w:t>
      </w:r>
      <w:r w:rsidR="00A94BCC">
        <w:rPr>
          <w:bCs/>
        </w:rPr>
        <w:t xml:space="preserve"> cette </w:t>
      </w:r>
      <w:r w:rsidR="00266C71" w:rsidRPr="00266C71">
        <w:rPr>
          <w:bCs/>
        </w:rPr>
        <w:t>candidature</w:t>
      </w:r>
      <w:r w:rsidR="00A94BCC">
        <w:rPr>
          <w:bCs/>
        </w:rPr>
        <w:t>. L</w:t>
      </w:r>
      <w:r w:rsidR="00346F1B">
        <w:rPr>
          <w:bCs/>
        </w:rPr>
        <w:t>’</w:t>
      </w:r>
      <w:r w:rsidR="00A94BCC">
        <w:rPr>
          <w:bCs/>
        </w:rPr>
        <w:t>Organe d</w:t>
      </w:r>
      <w:r w:rsidR="00346F1B">
        <w:rPr>
          <w:bCs/>
        </w:rPr>
        <w:t>’</w:t>
      </w:r>
      <w:r w:rsidR="00A94BCC">
        <w:rPr>
          <w:bCs/>
        </w:rPr>
        <w:t>évaluation avait donc décidé de recommander l</w:t>
      </w:r>
      <w:r w:rsidR="00346F1B">
        <w:rPr>
          <w:bCs/>
        </w:rPr>
        <w:t>’</w:t>
      </w:r>
      <w:r w:rsidR="00A94BCC" w:rsidRPr="00A94BCC">
        <w:rPr>
          <w:bCs/>
        </w:rPr>
        <w:t>inscription</w:t>
      </w:r>
      <w:r w:rsidR="00A94BCC">
        <w:rPr>
          <w:bCs/>
        </w:rPr>
        <w:t xml:space="preserve"> de </w:t>
      </w:r>
      <w:r w:rsidR="00A94BCC" w:rsidRPr="00A94BCC">
        <w:rPr>
          <w:bCs/>
        </w:rPr>
        <w:t>la fête des Fallas valenciennes sur la Liste représentative</w:t>
      </w:r>
      <w:r w:rsidR="00A94BCC" w:rsidRPr="002B4948">
        <w:rPr>
          <w:bCs/>
        </w:rPr>
        <w:t>.</w:t>
      </w:r>
    </w:p>
    <w:p w14:paraId="438E54DE" w14:textId="67B4AEE5" w:rsidR="00A94BCC" w:rsidRDefault="00A94BCC" w:rsidP="00DE5C80">
      <w:pPr>
        <w:pStyle w:val="Orateurengris"/>
        <w:spacing w:before="120"/>
        <w:ind w:left="709" w:hanging="709"/>
      </w:pPr>
      <w:r>
        <w:t xml:space="preserve">Après avoir remercié le </w:t>
      </w:r>
      <w:r w:rsidR="00754EC3">
        <w:t>Vice-Président</w:t>
      </w:r>
      <w:r>
        <w:t>, et en l</w:t>
      </w:r>
      <w:r w:rsidR="00346F1B">
        <w:t>’</w:t>
      </w:r>
      <w:r>
        <w:t>absence de demandes d</w:t>
      </w:r>
      <w:r w:rsidR="00346F1B">
        <w:t>’</w:t>
      </w:r>
      <w:r>
        <w:t xml:space="preserve">amendement, le </w:t>
      </w:r>
      <w:r w:rsidRPr="00A94BCC">
        <w:rPr>
          <w:b/>
        </w:rPr>
        <w:t>Président</w:t>
      </w:r>
      <w:r>
        <w:t xml:space="preserve"> a proposé d</w:t>
      </w:r>
      <w:r w:rsidR="00346F1B">
        <w:t>’</w:t>
      </w:r>
      <w:r>
        <w:t>adopter la décision dans son ensemble. En l</w:t>
      </w:r>
      <w:r w:rsidR="00346F1B">
        <w:t>’</w:t>
      </w:r>
      <w:r>
        <w:t>absence d</w:t>
      </w:r>
      <w:r w:rsidR="00346F1B">
        <w:t>’</w:t>
      </w:r>
      <w:r>
        <w:t xml:space="preserve">autres commentaires ou objections, le </w:t>
      </w:r>
      <w:r w:rsidRPr="00A94BCC">
        <w:rPr>
          <w:b/>
        </w:rPr>
        <w:t>Président a déclaré adoptée la décision 11.COM 10.b.30 d</w:t>
      </w:r>
      <w:r w:rsidR="00346F1B">
        <w:rPr>
          <w:b/>
        </w:rPr>
        <w:t>’</w:t>
      </w:r>
      <w:r w:rsidRPr="00A94BCC">
        <w:rPr>
          <w:b/>
        </w:rPr>
        <w:t xml:space="preserve">inscrire </w:t>
      </w:r>
      <w:r w:rsidRPr="00A94BCC">
        <w:rPr>
          <w:b/>
          <w:bCs/>
        </w:rPr>
        <w:t>la fête des</w:t>
      </w:r>
      <w:r w:rsidRPr="00266C71">
        <w:rPr>
          <w:b/>
          <w:bCs/>
        </w:rPr>
        <w:t xml:space="preserve"> Fallas valenciennes</w:t>
      </w:r>
      <w:r>
        <w:rPr>
          <w:b/>
          <w:bCs/>
        </w:rPr>
        <w:t xml:space="preserve"> sur la Liste représentative du patrimoine culturel immatériel de l</w:t>
      </w:r>
      <w:r w:rsidR="00346F1B">
        <w:rPr>
          <w:b/>
          <w:bCs/>
        </w:rPr>
        <w:t>’</w:t>
      </w:r>
      <w:r>
        <w:rPr>
          <w:b/>
          <w:bCs/>
        </w:rPr>
        <w:t>humanité</w:t>
      </w:r>
      <w:r w:rsidRPr="002B4948">
        <w:rPr>
          <w:bCs/>
        </w:rPr>
        <w:t>.</w:t>
      </w:r>
    </w:p>
    <w:p w14:paraId="70CE02C1" w14:textId="5CB8DAB7" w:rsidR="00A94BCC" w:rsidRPr="00A94BCC" w:rsidRDefault="00A94BCC" w:rsidP="00DE5C80">
      <w:pPr>
        <w:pStyle w:val="Orateurengris"/>
        <w:spacing w:before="120"/>
        <w:ind w:left="709" w:hanging="709"/>
      </w:pPr>
      <w:r>
        <w:t>La délégation de l</w:t>
      </w:r>
      <w:r w:rsidR="00346F1B">
        <w:t>’</w:t>
      </w:r>
      <w:r w:rsidRPr="009657A9">
        <w:rPr>
          <w:b/>
        </w:rPr>
        <w:t>Espagne</w:t>
      </w:r>
      <w:r>
        <w:t xml:space="preserve"> a remercié le Comité pour son soutien et l</w:t>
      </w:r>
      <w:r w:rsidR="00346F1B">
        <w:t>’</w:t>
      </w:r>
      <w:r>
        <w:t>inscription de la fête des Fallas, ainsi que l</w:t>
      </w:r>
      <w:r w:rsidR="00346F1B">
        <w:t>’</w:t>
      </w:r>
      <w:r>
        <w:t>Organe d</w:t>
      </w:r>
      <w:r w:rsidR="00346F1B">
        <w:t>’</w:t>
      </w:r>
      <w:r>
        <w:t>évaluation pour son rapport et le Secrétariat pour son travail préparatoire</w:t>
      </w:r>
      <w:r w:rsidR="00D52FDB">
        <w:t>. Elle a également remercié le G</w:t>
      </w:r>
      <w:r>
        <w:t>ouvernement de l</w:t>
      </w:r>
      <w:r w:rsidR="00346F1B">
        <w:t>’</w:t>
      </w:r>
      <w:r>
        <w:t xml:space="preserve">Éthiopie pour </w:t>
      </w:r>
      <w:r w:rsidR="009657A9">
        <w:t xml:space="preserve">son </w:t>
      </w:r>
      <w:r>
        <w:t xml:space="preserve">chaleureux accueil et sa magnifique organisation. </w:t>
      </w:r>
      <w:r w:rsidR="009657A9">
        <w:t>L</w:t>
      </w:r>
      <w:r w:rsidR="007828CE">
        <w:t xml:space="preserve">es Fallas étaient un événement </w:t>
      </w:r>
      <w:r w:rsidR="009657A9">
        <w:t>culturel qui avait de profondes racines méditerranéennes et dans lequel le feu jouait un rôle essentiel. Les Fallas rassemblaient toute une multiplicité de créations artistiques, entre la pyrotechnie, la musique, les feux d</w:t>
      </w:r>
      <w:r w:rsidR="00346F1B">
        <w:t>’</w:t>
      </w:r>
      <w:r w:rsidR="009657A9">
        <w:t>artifice, les textes déclamés, les travaux artisanaux et la gastronomie, ce qui signifiait que toute la communauté participait à cette fête, faisant de celle-ci une de ses plus riches expressions culturelles. La transmission de l</w:t>
      </w:r>
      <w:r w:rsidR="00346F1B">
        <w:t>’</w:t>
      </w:r>
      <w:r w:rsidR="009657A9">
        <w:t>élément, à laquelle participai</w:t>
      </w:r>
      <w:r w:rsidR="007828CE">
        <w:t>en</w:t>
      </w:r>
      <w:r w:rsidR="009657A9">
        <w:t xml:space="preserve">t plus de 160 quartiers et 800 commissions, </w:t>
      </w:r>
      <w:r w:rsidR="007828CE">
        <w:t>témoignait de la protection et du</w:t>
      </w:r>
      <w:r w:rsidR="009657A9">
        <w:t xml:space="preserve"> soutien accordé</w:t>
      </w:r>
      <w:r w:rsidR="007828CE">
        <w:t>s</w:t>
      </w:r>
      <w:r w:rsidR="009657A9">
        <w:t xml:space="preserve"> à cette pratique vivante </w:t>
      </w:r>
      <w:r w:rsidR="007828CE">
        <w:t>du PCI. L</w:t>
      </w:r>
      <w:r w:rsidR="00346F1B">
        <w:t>’</w:t>
      </w:r>
      <w:r w:rsidR="007828CE">
        <w:t>inscription remplissait clairement les critères de la Convention à laquelle l</w:t>
      </w:r>
      <w:r w:rsidR="00346F1B">
        <w:t>’</w:t>
      </w:r>
      <w:r w:rsidR="007828CE">
        <w:t xml:space="preserve">Espagne avait activement participé depuis sa négociation. La délégation a célébré le travail réalisé conjointement par le ministère de la Culture, la communauté de Valence, la ville et le Gouvernement de Valence, et </w:t>
      </w:r>
      <w:r w:rsidR="00525173">
        <w:t xml:space="preserve">a félicité toute la population </w:t>
      </w:r>
      <w:r w:rsidR="007828CE">
        <w:t>pour sa créativité, son engagement, son espoir et son génie qui rendaient la fête des Fallas possible chaque année.</w:t>
      </w:r>
    </w:p>
    <w:p w14:paraId="3A63B261" w14:textId="5F7FCD01" w:rsidR="007828CE" w:rsidRPr="007828CE" w:rsidRDefault="007828CE" w:rsidP="00DE5C80">
      <w:pPr>
        <w:pStyle w:val="Orateurengris"/>
        <w:spacing w:before="120"/>
        <w:ind w:left="709" w:hanging="709"/>
        <w:rPr>
          <w:i/>
        </w:rPr>
      </w:pPr>
      <w:r>
        <w:t xml:space="preserve">Au nom des milliers de personnes que prenaient part aux Fallas, le </w:t>
      </w:r>
      <w:r w:rsidRPr="007828CE">
        <w:rPr>
          <w:b/>
        </w:rPr>
        <w:t>Représentant du Gouvernement de Valence</w:t>
      </w:r>
      <w:r>
        <w:t xml:space="preserve"> a exprimé sa gratitude au Comité pour sa reconnaissance des Fallas, ajoutant que des milliers de Valenciens descendraient dans les rue</w:t>
      </w:r>
      <w:r w:rsidR="00525173">
        <w:t>s pour célébrer cet événement. Le Représentant croyait à la possibilité d</w:t>
      </w:r>
      <w:r w:rsidR="00346F1B">
        <w:t>’</w:t>
      </w:r>
      <w:r w:rsidR="00525173">
        <w:t>élargir le concept du patrimoine immatériel et sa philosophie au delà de la Convention. Cette reconnaissance était donc un encouragement à rechercher l</w:t>
      </w:r>
      <w:r w:rsidR="00346F1B">
        <w:t>’</w:t>
      </w:r>
      <w:r w:rsidR="00525173">
        <w:t xml:space="preserve">excellence et à mieux conserver les valeurs </w:t>
      </w:r>
      <w:r w:rsidR="007741CB">
        <w:t xml:space="preserve">sur lesquelles reposaient les </w:t>
      </w:r>
      <w:r w:rsidR="00525173">
        <w:t>Fallas. Il était conscient de la grande responsabilité qui lui incombait ainsi que de l</w:t>
      </w:r>
      <w:r w:rsidR="00346F1B">
        <w:t>’</w:t>
      </w:r>
      <w:r w:rsidR="00525173">
        <w:t xml:space="preserve">engagement à préserver tous les éléments constitutifs de la candidature, la créativité des artistes, les artisans, la sociabilité et la transmission intergénérationnelle. Le représentant a invité les délégués à </w:t>
      </w:r>
      <w:r w:rsidR="00891D6E">
        <w:t xml:space="preserve">faire personnellement </w:t>
      </w:r>
      <w:r w:rsidR="00525173">
        <w:t>l</w:t>
      </w:r>
      <w:r w:rsidR="00346F1B">
        <w:t>’</w:t>
      </w:r>
      <w:r w:rsidR="00525173">
        <w:t>expérience de la fête en mars de l</w:t>
      </w:r>
      <w:r w:rsidR="00346F1B">
        <w:t>’</w:t>
      </w:r>
      <w:r w:rsidR="00DE5C80">
        <w:t>année suivante.</w:t>
      </w:r>
    </w:p>
    <w:p w14:paraId="008EDA24" w14:textId="32163F1C" w:rsidR="00E06546" w:rsidRPr="002C6860" w:rsidRDefault="005D5CD3" w:rsidP="002B4948">
      <w:pPr>
        <w:pStyle w:val="Orateurengris"/>
        <w:numPr>
          <w:ilvl w:val="0"/>
          <w:numId w:val="0"/>
        </w:numPr>
        <w:spacing w:before="240" w:after="240"/>
        <w:ind w:left="709" w:hanging="709"/>
        <w:jc w:val="center"/>
        <w:rPr>
          <w:i/>
        </w:rPr>
      </w:pPr>
      <w:r w:rsidRPr="002C6860">
        <w:rPr>
          <w:i/>
        </w:rPr>
        <w:t>[</w:t>
      </w:r>
      <w:r w:rsidR="007741CB">
        <w:rPr>
          <w:i/>
        </w:rPr>
        <w:t>Un film sur la fête des Fallas valenciennes a été projeté</w:t>
      </w:r>
      <w:r w:rsidRPr="002C6860">
        <w:rPr>
          <w:i/>
        </w:rPr>
        <w:t>]</w:t>
      </w:r>
    </w:p>
    <w:p w14:paraId="1061D85E" w14:textId="6F4CA7CB" w:rsidR="007741CB" w:rsidRPr="007741CB" w:rsidRDefault="00C62F00" w:rsidP="00DE5C80">
      <w:pPr>
        <w:pStyle w:val="Orateurengris"/>
        <w:spacing w:before="120"/>
        <w:ind w:left="709" w:hanging="709"/>
        <w:rPr>
          <w:bCs/>
        </w:rPr>
      </w:pPr>
      <w:r>
        <w:rPr>
          <w:bCs/>
        </w:rPr>
        <w:t>Le</w:t>
      </w:r>
      <w:r w:rsidR="007741CB" w:rsidRPr="007741CB">
        <w:rPr>
          <w:bCs/>
        </w:rPr>
        <w:t xml:space="preserve"> </w:t>
      </w:r>
      <w:r w:rsidR="007741CB" w:rsidRPr="007741CB">
        <w:rPr>
          <w:b/>
          <w:bCs/>
        </w:rPr>
        <w:t>Président</w:t>
      </w:r>
      <w:r w:rsidR="007741CB" w:rsidRPr="007741CB">
        <w:rPr>
          <w:bCs/>
        </w:rPr>
        <w:t xml:space="preserve"> a</w:t>
      </w:r>
      <w:r w:rsidR="007741CB">
        <w:rPr>
          <w:bCs/>
        </w:rPr>
        <w:t xml:space="preserve"> félicité l</w:t>
      </w:r>
      <w:r w:rsidR="00346F1B">
        <w:rPr>
          <w:bCs/>
        </w:rPr>
        <w:t>’</w:t>
      </w:r>
      <w:r w:rsidR="007741CB">
        <w:rPr>
          <w:bCs/>
        </w:rPr>
        <w:t xml:space="preserve">Espagne, et est passé à la </w:t>
      </w:r>
      <w:r w:rsidR="007741CB" w:rsidRPr="007741CB">
        <w:rPr>
          <w:bCs/>
        </w:rPr>
        <w:t>candidature</w:t>
      </w:r>
      <w:r w:rsidR="007741CB">
        <w:rPr>
          <w:bCs/>
        </w:rPr>
        <w:t xml:space="preserve"> soumise par la </w:t>
      </w:r>
      <w:r w:rsidR="007741CB" w:rsidRPr="007741CB">
        <w:rPr>
          <w:bCs/>
        </w:rPr>
        <w:t>République</w:t>
      </w:r>
      <w:r w:rsidR="007741CB">
        <w:rPr>
          <w:bCs/>
        </w:rPr>
        <w:t xml:space="preserve"> p</w:t>
      </w:r>
      <w:r w:rsidR="00C8237F">
        <w:rPr>
          <w:bCs/>
        </w:rPr>
        <w:t>opulaire démocratique de Corée.</w:t>
      </w:r>
    </w:p>
    <w:p w14:paraId="3001EE96" w14:textId="7DD7D6A1" w:rsidR="00713D9F" w:rsidRPr="00713D9F" w:rsidRDefault="00713D9F" w:rsidP="00DE5C80">
      <w:pPr>
        <w:pStyle w:val="Orateurengris"/>
        <w:tabs>
          <w:tab w:val="left" w:pos="7230"/>
        </w:tabs>
        <w:spacing w:before="120"/>
        <w:ind w:left="709" w:hanging="709"/>
      </w:pPr>
      <w:r>
        <w:t xml:space="preserve">Le </w:t>
      </w:r>
      <w:r w:rsidR="00754EC3">
        <w:rPr>
          <w:b/>
        </w:rPr>
        <w:t>Vice-Président</w:t>
      </w:r>
      <w:r>
        <w:t xml:space="preserve"> a présenté la candidature suivante, </w:t>
      </w:r>
      <w:bookmarkStart w:id="26" w:name="Decision10b8"/>
      <w:r w:rsidRPr="00713D9F">
        <w:rPr>
          <w:b/>
        </w:rPr>
        <w:t>le Ssirum, lutte dans la République populaire démocratique de Corée</w:t>
      </w:r>
      <w:r>
        <w:t xml:space="preserve"> </w:t>
      </w:r>
      <w:bookmarkEnd w:id="26"/>
      <w:r>
        <w:t>[projet de décision 11.COM 10.b.8], soumise par la République populaire démocratique de Corée. Dans les communautés de la Corée du Nord, les hommes pratiquaient traditionnellement le ssirum pour renforcer leur force physique nécessaire à l</w:t>
      </w:r>
      <w:r w:rsidR="00346F1B">
        <w:t>’</w:t>
      </w:r>
      <w:r>
        <w:t>accomplissement de leurs travaux. Cette forme de lutte leur était enseignée par leur</w:t>
      </w:r>
      <w:r w:rsidR="00A87458">
        <w:t>s</w:t>
      </w:r>
      <w:r>
        <w:t xml:space="preserve"> père</w:t>
      </w:r>
      <w:r w:rsidR="00A87458">
        <w:t xml:space="preserve">s et </w:t>
      </w:r>
      <w:r>
        <w:t>grands-pères, puis ils renforçaient leurs connaissances auprès de leurs frères et voisins et développaient leurs techniques à l</w:t>
      </w:r>
      <w:r w:rsidR="00346F1B">
        <w:t>’</w:t>
      </w:r>
      <w:r>
        <w:t xml:space="preserve">école ou lors de compétitions. Le ssirum était </w:t>
      </w:r>
      <w:r w:rsidR="00A87458">
        <w:t xml:space="preserve">toujours </w:t>
      </w:r>
      <w:r>
        <w:t>pratiqué de la même manière qu</w:t>
      </w:r>
      <w:r w:rsidR="00346F1B">
        <w:t>’</w:t>
      </w:r>
      <w:r>
        <w:t>auparavant en faisant appel au torse, aux mains et aux jambes. C</w:t>
      </w:r>
      <w:r w:rsidR="00346F1B">
        <w:t>’</w:t>
      </w:r>
      <w:r>
        <w:t xml:space="preserve">était une tradition culturelle qui encourageait la confiance, le respect et la compréhension entre </w:t>
      </w:r>
      <w:r w:rsidR="00A46CAD">
        <w:t>membres</w:t>
      </w:r>
      <w:r>
        <w:t xml:space="preserve"> de la communauté pratiquante afin de promouvoir l</w:t>
      </w:r>
      <w:r w:rsidR="00346F1B">
        <w:t>’</w:t>
      </w:r>
      <w:r>
        <w:t>harmonie.</w:t>
      </w:r>
      <w:r w:rsidR="00A87458">
        <w:t xml:space="preserve"> </w:t>
      </w:r>
      <w:r>
        <w:t>Tandis que l</w:t>
      </w:r>
      <w:r w:rsidR="00346F1B">
        <w:t>’</w:t>
      </w:r>
      <w:r>
        <w:t>Organe d</w:t>
      </w:r>
      <w:r w:rsidR="00346F1B">
        <w:t>’</w:t>
      </w:r>
      <w:r>
        <w:t>évaluation avait décidé que la cand</w:t>
      </w:r>
      <w:r w:rsidR="00F978E2">
        <w:t>idature satisfaisait les</w:t>
      </w:r>
      <w:r w:rsidR="00A87458">
        <w:t xml:space="preserve"> critère</w:t>
      </w:r>
      <w:r>
        <w:t>s R.4 et R.5, il avait rencontré des difficultés à déterminer si l</w:t>
      </w:r>
      <w:r w:rsidR="00346F1B">
        <w:t>’</w:t>
      </w:r>
      <w:r>
        <w:t>élément était constitutif du PCI, tel que défini dans l</w:t>
      </w:r>
      <w:r w:rsidR="00346F1B">
        <w:t>’</w:t>
      </w:r>
      <w:r>
        <w:t xml:space="preserve">article 2 de la Convention. Les informations présentées dans le dossier </w:t>
      </w:r>
      <w:r w:rsidR="0037712C">
        <w:t xml:space="preserve">ne permettaient </w:t>
      </w:r>
      <w:r w:rsidR="00A87458">
        <w:t xml:space="preserve">pas </w:t>
      </w:r>
      <w:r w:rsidR="0037712C">
        <w:t>de définir de façon suffisamment claire l</w:t>
      </w:r>
      <w:r w:rsidR="00346F1B">
        <w:t>’</w:t>
      </w:r>
      <w:r w:rsidR="0037712C">
        <w:t>élément, elles décrivaient une pratique sportive orientée vers des praticiens d</w:t>
      </w:r>
      <w:r w:rsidR="00346F1B">
        <w:t>’</w:t>
      </w:r>
      <w:r w:rsidR="0037712C">
        <w:t>élite et non une tradition porteuse d</w:t>
      </w:r>
      <w:r w:rsidR="00346F1B">
        <w:t>’</w:t>
      </w:r>
      <w:r w:rsidR="0037712C">
        <w:t>une signification culturelle particulière. Les informations relatives aux femmes dans la pratique de l</w:t>
      </w:r>
      <w:r w:rsidR="00346F1B">
        <w:t>’</w:t>
      </w:r>
      <w:r w:rsidR="0037712C">
        <w:t>élément faisaient également défaut. S</w:t>
      </w:r>
      <w:r w:rsidR="00346F1B">
        <w:t>’</w:t>
      </w:r>
      <w:r w:rsidR="0037712C">
        <w:t>agissant du critère R.2, comme c</w:t>
      </w:r>
      <w:r w:rsidR="00346F1B">
        <w:t>’</w:t>
      </w:r>
      <w:r w:rsidR="0037712C">
        <w:t>était souvent le cas ave</w:t>
      </w:r>
      <w:r w:rsidR="00A87458">
        <w:t xml:space="preserve">c les autres candidatures, le dossier </w:t>
      </w:r>
      <w:r w:rsidR="0037712C">
        <w:t xml:space="preserve">décrivait </w:t>
      </w:r>
      <w:r w:rsidR="00A87458">
        <w:t xml:space="preserve">la façon dont </w:t>
      </w:r>
      <w:r w:rsidR="0037712C">
        <w:t>l</w:t>
      </w:r>
      <w:r w:rsidR="00346F1B">
        <w:t>’</w:t>
      </w:r>
      <w:r w:rsidR="0037712C">
        <w:t>inscription contribuerait à la visibilité de l</w:t>
      </w:r>
      <w:r w:rsidR="00346F1B">
        <w:t>’</w:t>
      </w:r>
      <w:r w:rsidR="0037712C">
        <w:t>élément plutôt qu</w:t>
      </w:r>
      <w:r w:rsidR="00346F1B">
        <w:t>’</w:t>
      </w:r>
      <w:r w:rsidR="0037712C">
        <w:t>à la visibilité du PCI en général.</w:t>
      </w:r>
      <w:r w:rsidR="00A87458">
        <w:t xml:space="preserve"> Par ailleurs, lorsqu</w:t>
      </w:r>
      <w:r w:rsidR="00346F1B">
        <w:t>’</w:t>
      </w:r>
      <w:r w:rsidR="00A87458">
        <w:t>il</w:t>
      </w:r>
      <w:r w:rsidR="0037712C">
        <w:t xml:space="preserve"> abordait l</w:t>
      </w:r>
      <w:r w:rsidR="00346F1B">
        <w:t>’</w:t>
      </w:r>
      <w:r w:rsidR="0037712C">
        <w:t>inscription comme un facteur favorisant le dialogue entre les communautés, groupes et individus, le dossier devait être plus explicite sur l</w:t>
      </w:r>
      <w:r w:rsidR="00FA3655">
        <w:t>a façon dont cette inscription contribuerait précisément à cet objectif. Un autre problème important rencontré à l</w:t>
      </w:r>
      <w:r w:rsidR="00346F1B">
        <w:t>’</w:t>
      </w:r>
      <w:r w:rsidR="00FA3655">
        <w:t>examen de ce dossier était qu</w:t>
      </w:r>
      <w:r w:rsidR="00346F1B">
        <w:t>’</w:t>
      </w:r>
      <w:r w:rsidR="00FA3655">
        <w:t>il ne communiquait pas suffisamment d</w:t>
      </w:r>
      <w:r w:rsidR="00346F1B">
        <w:t>’</w:t>
      </w:r>
      <w:r w:rsidR="00FA3655">
        <w:t>informations sur la participation des communautés locales à la conception et la mise en œuvre de ces mesures. Bien que plusieurs initiatives destinées à promouvoir la visibilité de l</w:t>
      </w:r>
      <w:r w:rsidR="00346F1B">
        <w:t>’</w:t>
      </w:r>
      <w:r w:rsidR="00FA3655">
        <w:t>élément soient décrites, le dossier ne décrivait pas suffisamment la façon dont les effets inattendus de l</w:t>
      </w:r>
      <w:r w:rsidR="00346F1B">
        <w:t>’</w:t>
      </w:r>
      <w:r w:rsidR="00FA3655">
        <w:t>inscription étaient anticipés et comment ceux-ci seraient atténués. L</w:t>
      </w:r>
      <w:r w:rsidR="00346F1B">
        <w:t>’</w:t>
      </w:r>
      <w:r w:rsidR="00FA3655">
        <w:t>Organe d</w:t>
      </w:r>
      <w:r w:rsidR="00346F1B">
        <w:t>’</w:t>
      </w:r>
      <w:r w:rsidR="00FA3655">
        <w:t>évaluation avait décidé de renvoyer le Ssirum, lutte dans la République populaire démocratique de Corée, à l</w:t>
      </w:r>
      <w:r w:rsidR="00346F1B">
        <w:t>’</w:t>
      </w:r>
      <w:r w:rsidR="00FA3655">
        <w:t xml:space="preserve">État soumissionnaire afin que </w:t>
      </w:r>
      <w:r w:rsidR="00A87458">
        <w:t>l</w:t>
      </w:r>
      <w:r w:rsidR="00346F1B">
        <w:t>’</w:t>
      </w:r>
      <w:r w:rsidR="00FA3655">
        <w:t xml:space="preserve">élaboration </w:t>
      </w:r>
      <w:r w:rsidR="00A87458">
        <w:t xml:space="preserve">de son dossier de candidature </w:t>
      </w:r>
      <w:r w:rsidR="00C8237F">
        <w:t>soit approfondie.</w:t>
      </w:r>
    </w:p>
    <w:p w14:paraId="1B40B221" w14:textId="4DB62894" w:rsidR="00A87458" w:rsidRDefault="00A87458" w:rsidP="00DE5C80">
      <w:pPr>
        <w:pStyle w:val="Orateurengris"/>
        <w:spacing w:before="120"/>
        <w:ind w:left="709" w:hanging="709"/>
      </w:pPr>
      <w:r>
        <w:t xml:space="preserve">Après avoir remercié le </w:t>
      </w:r>
      <w:r w:rsidR="00754EC3">
        <w:t>Vice-Président</w:t>
      </w:r>
      <w:r>
        <w:t>, et en l</w:t>
      </w:r>
      <w:r w:rsidR="00346F1B">
        <w:t>’</w:t>
      </w:r>
      <w:r>
        <w:t>absence de demandes d</w:t>
      </w:r>
      <w:r w:rsidR="00346F1B">
        <w:t>’</w:t>
      </w:r>
      <w:r>
        <w:t xml:space="preserve">amendement, le </w:t>
      </w:r>
      <w:r w:rsidRPr="00A87458">
        <w:rPr>
          <w:b/>
        </w:rPr>
        <w:t>Président</w:t>
      </w:r>
      <w:r>
        <w:t xml:space="preserve"> a proposé d</w:t>
      </w:r>
      <w:r w:rsidR="00346F1B">
        <w:t>’</w:t>
      </w:r>
      <w:r>
        <w:t>adopter la décision dans son ensemble. En l</w:t>
      </w:r>
      <w:r w:rsidR="00346F1B">
        <w:t>’</w:t>
      </w:r>
      <w:r>
        <w:t>absence de commentaires ou d</w:t>
      </w:r>
      <w:r w:rsidR="00346F1B">
        <w:t>’</w:t>
      </w:r>
      <w:r>
        <w:t xml:space="preserve">objections, le </w:t>
      </w:r>
      <w:r w:rsidRPr="00A87458">
        <w:rPr>
          <w:b/>
        </w:rPr>
        <w:t>Président a déclaré adoptée la décision 11.COM 10.b.8 de renvoyer le Ssirum, lutte dans la République populaire démocratique de Corée à l</w:t>
      </w:r>
      <w:r w:rsidR="00346F1B">
        <w:rPr>
          <w:b/>
        </w:rPr>
        <w:t>’</w:t>
      </w:r>
      <w:r w:rsidRPr="00A87458">
        <w:rPr>
          <w:b/>
        </w:rPr>
        <w:t>État partie pour complément d</w:t>
      </w:r>
      <w:r w:rsidR="00346F1B">
        <w:rPr>
          <w:b/>
        </w:rPr>
        <w:t>’</w:t>
      </w:r>
      <w:r w:rsidRPr="00A87458">
        <w:rPr>
          <w:b/>
        </w:rPr>
        <w:t>information</w:t>
      </w:r>
      <w:r w:rsidR="00C8237F">
        <w:t>.</w:t>
      </w:r>
    </w:p>
    <w:p w14:paraId="4FA2BE96" w14:textId="6B98B044" w:rsidR="00A87458" w:rsidRDefault="00A87458" w:rsidP="00DE5C80">
      <w:pPr>
        <w:pStyle w:val="Orateurengris"/>
        <w:spacing w:before="120"/>
        <w:ind w:left="709" w:hanging="709"/>
      </w:pPr>
      <w:r>
        <w:t xml:space="preserve">La délégation de la </w:t>
      </w:r>
      <w:r w:rsidRPr="00A87458">
        <w:rPr>
          <w:b/>
        </w:rPr>
        <w:t>République populaire démocratique de Corée</w:t>
      </w:r>
      <w:r>
        <w:t xml:space="preserve"> a exprimé sa gratitude pour tous les efforts déployés afin d</w:t>
      </w:r>
      <w:r w:rsidR="00346F1B">
        <w:t>’</w:t>
      </w:r>
      <w:r>
        <w:t>assurer la réussite de la session. Elle regrettait toutefois que le Ssirum n</w:t>
      </w:r>
      <w:r w:rsidR="00346F1B">
        <w:t>’</w:t>
      </w:r>
      <w:r>
        <w:t>ait pas été inscrit mais renvoyé. Si le Ssirum, un élément du PCI apprécié par le peuple corée</w:t>
      </w:r>
      <w:r w:rsidR="00B15ED6">
        <w:t>n, avait été inscrit, cela aurait grandement contribué à une meilleure compréhension de l</w:t>
      </w:r>
      <w:r w:rsidR="00346F1B">
        <w:t>’</w:t>
      </w:r>
      <w:r w:rsidR="00B15ED6">
        <w:t>élément e</w:t>
      </w:r>
      <w:r w:rsidR="00C62F00">
        <w:t xml:space="preserve">t à une meilleure sensibilisation </w:t>
      </w:r>
      <w:r w:rsidR="00B15ED6">
        <w:t xml:space="preserve">au patrimoine concerné, non seulement parmi le peuple coréen mais également parmi </w:t>
      </w:r>
      <w:r w:rsidR="007602F1">
        <w:t>l</w:t>
      </w:r>
      <w:r w:rsidR="00B15ED6">
        <w:t>es autres communautés du monde détentrices d</w:t>
      </w:r>
      <w:r w:rsidR="00346F1B">
        <w:t>’</w:t>
      </w:r>
      <w:r w:rsidR="00B15ED6">
        <w:t>éléments similaires. L</w:t>
      </w:r>
      <w:r w:rsidR="00346F1B">
        <w:t>’</w:t>
      </w:r>
      <w:r w:rsidR="00B15ED6">
        <w:t>inscription aurait également contribué à la visibilité du PCI en général. Néanmoins, afin de toujours mieux sauvegarder le PCI dans le cadre de la Convention, la délégation a déclaré qu</w:t>
      </w:r>
      <w:r w:rsidR="00346F1B">
        <w:t>’</w:t>
      </w:r>
      <w:r w:rsidR="00B15ED6">
        <w:t>elle soumettrait à nouveau son dossier.</w:t>
      </w:r>
    </w:p>
    <w:p w14:paraId="2474137E" w14:textId="61D9EA1D" w:rsidR="007602F1" w:rsidRPr="007602F1" w:rsidRDefault="007602F1" w:rsidP="00DE5C80">
      <w:pPr>
        <w:pStyle w:val="Orateurengris"/>
        <w:spacing w:before="120"/>
        <w:ind w:left="709" w:hanging="709"/>
      </w:pPr>
      <w:r w:rsidRPr="007602F1">
        <w:t xml:space="preserve">Le </w:t>
      </w:r>
      <w:r w:rsidRPr="007602F1">
        <w:rPr>
          <w:b/>
        </w:rPr>
        <w:t>Président</w:t>
      </w:r>
      <w:r w:rsidRPr="007602F1">
        <w:t xml:space="preserve"> a féli</w:t>
      </w:r>
      <w:r>
        <w:t>cité la République populaire démocratique de Corée, et est passé à la candidature suivante, soumise par la République dominicaine.</w:t>
      </w:r>
    </w:p>
    <w:p w14:paraId="7AA12F55" w14:textId="0366489C" w:rsidR="007602F1" w:rsidRPr="007602F1" w:rsidRDefault="007602F1" w:rsidP="00DE5C80">
      <w:pPr>
        <w:pStyle w:val="Orateurengris"/>
        <w:spacing w:before="120"/>
        <w:ind w:left="709" w:hanging="709"/>
      </w:pPr>
      <w:r>
        <w:t xml:space="preserve">Le </w:t>
      </w:r>
      <w:r w:rsidR="00754EC3">
        <w:rPr>
          <w:b/>
        </w:rPr>
        <w:t>Vice-Président</w:t>
      </w:r>
      <w:r>
        <w:t xml:space="preserve"> a présenté la candidature suivante, </w:t>
      </w:r>
      <w:bookmarkStart w:id="27" w:name="Decision10b9"/>
      <w:r w:rsidRPr="007602F1">
        <w:rPr>
          <w:b/>
        </w:rPr>
        <w:t>la musique et la danse du merengue en République dominicaine</w:t>
      </w:r>
      <w:bookmarkEnd w:id="27"/>
      <w:r>
        <w:t xml:space="preserve"> [projet de décision 11.COM 10.b.9], soumise par la République dominicaine. Le merengue était considéré comme faisant partie intégrante de l</w:t>
      </w:r>
      <w:r w:rsidR="00346F1B">
        <w:t>’</w:t>
      </w:r>
      <w:r>
        <w:t>identité nationale de la communauté domini</w:t>
      </w:r>
      <w:r w:rsidR="000214C2">
        <w:t xml:space="preserve">caine. Il jouait un rôle actif </w:t>
      </w:r>
      <w:r>
        <w:t>dans divers aspects de la vie quotidienne de la population – de l</w:t>
      </w:r>
      <w:r w:rsidR="00346F1B">
        <w:t>’</w:t>
      </w:r>
      <w:r>
        <w:t>éducation aux rassemblements sociaux, événements festifs et campagnes politiques. En 2005, la date du 26 novembre avait été déclarée Journée nationale du merengue, à l</w:t>
      </w:r>
      <w:r w:rsidR="00346F1B">
        <w:t>’</w:t>
      </w:r>
      <w:r>
        <w:t>occasion de laquelle des festivals de merengue étaient organisés chaque année. Le merengue était dansé en couple, avec des gestes audacieux alors que les danseurs bougeaient au rythme de la musique. Transmise par la participation, la pratique tradition</w:t>
      </w:r>
      <w:r w:rsidR="000214C2">
        <w:t>nelle attirait des individus issus de</w:t>
      </w:r>
      <w:r>
        <w:t xml:space="preserve"> classes sociales différentes, permettant </w:t>
      </w:r>
      <w:r w:rsidR="005423EA">
        <w:t xml:space="preserve">ainsi </w:t>
      </w:r>
      <w:r>
        <w:t xml:space="preserve">de promouvoir le respect et la coexistence des communautés. </w:t>
      </w:r>
      <w:r w:rsidR="005423EA">
        <w:t>À l</w:t>
      </w:r>
      <w:r w:rsidR="00346F1B">
        <w:t>’</w:t>
      </w:r>
      <w:r w:rsidR="005423EA">
        <w:t>examen des informations présentées dans le dossier, l</w:t>
      </w:r>
      <w:r w:rsidR="00346F1B">
        <w:t>’</w:t>
      </w:r>
      <w:r w:rsidR="005423EA">
        <w:t>Organe d</w:t>
      </w:r>
      <w:r w:rsidR="00346F1B">
        <w:t>’</w:t>
      </w:r>
      <w:r w:rsidR="005423EA">
        <w:t>évaluation avait décidé que</w:t>
      </w:r>
      <w:r w:rsidR="00C62F00">
        <w:t xml:space="preserve"> la candidature satisfaisait les</w:t>
      </w:r>
      <w:r w:rsidR="005423EA">
        <w:t xml:space="preserve"> c</w:t>
      </w:r>
      <w:r w:rsidR="000214C2">
        <w:t>ritères R.1, R.2, R.3 et R.4. Il</w:t>
      </w:r>
      <w:r w:rsidR="005423EA">
        <w:t xml:space="preserve"> avait toutefois décidé que les informations fournies dans le dossier n</w:t>
      </w:r>
      <w:r w:rsidR="00346F1B">
        <w:t>’</w:t>
      </w:r>
      <w:r w:rsidR="005423EA">
        <w:t>étaient pas suffisantes pour déterminer si le critère R.5 était satisfait. L</w:t>
      </w:r>
      <w:r w:rsidR="00346F1B">
        <w:t>’</w:t>
      </w:r>
      <w:r w:rsidR="005423EA">
        <w:t>élément apportait certes la preuve de l</w:t>
      </w:r>
      <w:r w:rsidR="00346F1B">
        <w:t>’</w:t>
      </w:r>
      <w:r w:rsidR="005423EA">
        <w:t>inclusion de l</w:t>
      </w:r>
      <w:r w:rsidR="00346F1B">
        <w:t>’</w:t>
      </w:r>
      <w:r w:rsidR="005423EA">
        <w:t>élément dans l</w:t>
      </w:r>
      <w:r w:rsidR="00346F1B">
        <w:t>’</w:t>
      </w:r>
      <w:r w:rsidR="005423EA">
        <w:t xml:space="preserve">Inventaire partiel du patrimoine culturel dominicain, </w:t>
      </w:r>
      <w:r w:rsidR="00C62F00">
        <w:t xml:space="preserve">placé sous </w:t>
      </w:r>
      <w:r w:rsidR="000214C2">
        <w:t>la responsabilité du</w:t>
      </w:r>
      <w:r w:rsidR="005423EA">
        <w:t xml:space="preserve"> ministère de la Culture et était en cours d</w:t>
      </w:r>
      <w:r w:rsidR="00346F1B">
        <w:t>’</w:t>
      </w:r>
      <w:r w:rsidR="005423EA">
        <w:t>élaboration. Toutefois, pas plus qu</w:t>
      </w:r>
      <w:r w:rsidR="00346F1B">
        <w:t>’</w:t>
      </w:r>
      <w:r w:rsidR="005423EA">
        <w:t>il ne décrivait les modalités de mise à jour, présente ou future, de l</w:t>
      </w:r>
      <w:r w:rsidR="00346F1B">
        <w:t>’</w:t>
      </w:r>
      <w:r w:rsidR="005423EA">
        <w:t>inventaire, le dossier n</w:t>
      </w:r>
      <w:r w:rsidR="00346F1B">
        <w:t>’</w:t>
      </w:r>
      <w:r w:rsidR="005423EA">
        <w:t>était parvenu à démontrer la participation des communautés, groupes et ONG concernées à la procédure d</w:t>
      </w:r>
      <w:r w:rsidR="00346F1B">
        <w:t>’</w:t>
      </w:r>
      <w:r w:rsidR="005423EA">
        <w:t>inventaire lorsque l</w:t>
      </w:r>
      <w:r w:rsidR="00346F1B">
        <w:t>’</w:t>
      </w:r>
      <w:r w:rsidR="005423EA">
        <w:t xml:space="preserve">élément avait été inclus. </w:t>
      </w:r>
      <w:r w:rsidR="000214C2">
        <w:t>L</w:t>
      </w:r>
      <w:r w:rsidR="00346F1B">
        <w:t>’</w:t>
      </w:r>
      <w:r w:rsidR="000214C2">
        <w:t>Organe d</w:t>
      </w:r>
      <w:r w:rsidR="00346F1B">
        <w:t>’</w:t>
      </w:r>
      <w:r w:rsidR="000214C2">
        <w:t>évaluation avait donc décidé de recommander le renvoi de la musique et la danse du merengue en République dominicaine à l</w:t>
      </w:r>
      <w:r w:rsidR="00346F1B">
        <w:t>’</w:t>
      </w:r>
      <w:r w:rsidR="000214C2">
        <w:t>État soumissionnair</w:t>
      </w:r>
      <w:r w:rsidR="007B503E">
        <w:t>e pour complément d</w:t>
      </w:r>
      <w:r w:rsidR="00346F1B">
        <w:t>’</w:t>
      </w:r>
      <w:r w:rsidR="007B503E">
        <w:t>information</w:t>
      </w:r>
      <w:r w:rsidR="00C8237F">
        <w:t>.</w:t>
      </w:r>
    </w:p>
    <w:p w14:paraId="6EA1F0D9" w14:textId="557F12CA" w:rsidR="000214C2" w:rsidRPr="000214C2" w:rsidRDefault="000214C2" w:rsidP="00DE5C80">
      <w:pPr>
        <w:pStyle w:val="Orateurengris"/>
        <w:spacing w:before="120"/>
        <w:ind w:left="709" w:hanging="709"/>
      </w:pPr>
      <w:r>
        <w:t xml:space="preserve">Après avoir remercié le </w:t>
      </w:r>
      <w:r w:rsidR="00754EC3">
        <w:t>Vice-Président</w:t>
      </w:r>
      <w:r>
        <w:t>, et en l</w:t>
      </w:r>
      <w:r w:rsidR="00346F1B">
        <w:t>’</w:t>
      </w:r>
      <w:r>
        <w:t>absence de demandes d</w:t>
      </w:r>
      <w:r w:rsidR="00346F1B">
        <w:t>’</w:t>
      </w:r>
      <w:r>
        <w:t xml:space="preserve">amendement, le </w:t>
      </w:r>
      <w:r w:rsidRPr="000214C2">
        <w:rPr>
          <w:b/>
        </w:rPr>
        <w:t>Président</w:t>
      </w:r>
      <w:r>
        <w:t xml:space="preserve"> a proposé d</w:t>
      </w:r>
      <w:r w:rsidR="00346F1B">
        <w:t>’</w:t>
      </w:r>
      <w:r>
        <w:t>adopter</w:t>
      </w:r>
      <w:r w:rsidR="00311C6B">
        <w:t xml:space="preserve"> la décision dans son ensemble</w:t>
      </w:r>
      <w:r w:rsidR="00FC6CAF">
        <w:t>.</w:t>
      </w:r>
    </w:p>
    <w:p w14:paraId="182D834E" w14:textId="4A16531B" w:rsidR="000214C2" w:rsidRPr="000214C2" w:rsidRDefault="000214C2" w:rsidP="00DE5C80">
      <w:pPr>
        <w:pStyle w:val="Orateurengris"/>
        <w:spacing w:before="120"/>
        <w:ind w:left="709" w:hanging="709"/>
      </w:pPr>
      <w:r>
        <w:t xml:space="preserve">La délégation de </w:t>
      </w:r>
      <w:r w:rsidRPr="000214C2">
        <w:rPr>
          <w:b/>
        </w:rPr>
        <w:t>Cuba</w:t>
      </w:r>
      <w:r w:rsidR="00C62F00">
        <w:t xml:space="preserve"> souhaitait</w:t>
      </w:r>
      <w:r>
        <w:t xml:space="preserve"> ouvrir le débat et demander à l</w:t>
      </w:r>
      <w:r w:rsidR="00346F1B">
        <w:t>’</w:t>
      </w:r>
      <w:r>
        <w:t>État soumissionnaire des informations complémentaires sur le critère R.5, ajoutant qu</w:t>
      </w:r>
      <w:r w:rsidR="00346F1B">
        <w:t>’</w:t>
      </w:r>
      <w:r>
        <w:t>e</w:t>
      </w:r>
      <w:r w:rsidR="00311C6B">
        <w:t>lle présenterait un amendement</w:t>
      </w:r>
      <w:r w:rsidR="00FC6CAF">
        <w:t>.</w:t>
      </w:r>
    </w:p>
    <w:p w14:paraId="111E3594" w14:textId="368FA5D2" w:rsidR="000214C2" w:rsidRPr="000214C2" w:rsidRDefault="000214C2" w:rsidP="00DE5C80">
      <w:pPr>
        <w:pStyle w:val="Orateurengris"/>
        <w:spacing w:before="120"/>
        <w:ind w:left="709" w:hanging="709"/>
      </w:pPr>
      <w:r>
        <w:t xml:space="preserve">La délégation de la </w:t>
      </w:r>
      <w:r w:rsidRPr="000214C2">
        <w:rPr>
          <w:b/>
        </w:rPr>
        <w:t>Palestine</w:t>
      </w:r>
      <w:r w:rsidR="00C62F00">
        <w:t xml:space="preserve"> souhaitait </w:t>
      </w:r>
      <w:r>
        <w:t>également ouv</w:t>
      </w:r>
      <w:r w:rsidR="00C8237F">
        <w:t>rir un débat sur le même sujet.</w:t>
      </w:r>
    </w:p>
    <w:p w14:paraId="083EAE8C" w14:textId="08DDC09D" w:rsidR="000214C2" w:rsidRDefault="000214C2" w:rsidP="00311C6B">
      <w:pPr>
        <w:pStyle w:val="Orateurengris"/>
        <w:tabs>
          <w:tab w:val="clear" w:pos="709"/>
          <w:tab w:val="clear" w:pos="1418"/>
          <w:tab w:val="clear" w:pos="2126"/>
          <w:tab w:val="clear" w:pos="2835"/>
          <w:tab w:val="clear" w:pos="3686"/>
        </w:tabs>
        <w:spacing w:before="120"/>
        <w:ind w:left="709" w:hanging="709"/>
      </w:pPr>
      <w:r>
        <w:t>La délégation de l</w:t>
      </w:r>
      <w:r w:rsidR="00346F1B">
        <w:t>’</w:t>
      </w:r>
      <w:r w:rsidRPr="000214C2">
        <w:rPr>
          <w:b/>
        </w:rPr>
        <w:t>Afghanistan</w:t>
      </w:r>
      <w:r>
        <w:t xml:space="preserve"> a souligné le bon travail réalisé par l</w:t>
      </w:r>
      <w:r w:rsidR="00346F1B">
        <w:t>’</w:t>
      </w:r>
      <w:r>
        <w:t>Organe d</w:t>
      </w:r>
      <w:r w:rsidR="00346F1B">
        <w:t>’</w:t>
      </w:r>
      <w:r>
        <w:t>évaluation et a fait référence aux inf</w:t>
      </w:r>
      <w:r w:rsidR="00C62F00">
        <w:t>ormations insuffisantes. Elle souhaitait</w:t>
      </w:r>
      <w:r>
        <w:t xml:space="preserve"> que l</w:t>
      </w:r>
      <w:r w:rsidR="00346F1B">
        <w:t>’</w:t>
      </w:r>
      <w:r>
        <w:t>État soumissionnair</w:t>
      </w:r>
      <w:r w:rsidR="00C8237F">
        <w:t>e apporte des éclaircissements.</w:t>
      </w:r>
    </w:p>
    <w:p w14:paraId="62D96B7D" w14:textId="434B9613" w:rsidR="000214C2" w:rsidRDefault="000214C2" w:rsidP="00311C6B">
      <w:pPr>
        <w:pStyle w:val="Orateurengris"/>
        <w:tabs>
          <w:tab w:val="clear" w:pos="709"/>
          <w:tab w:val="clear" w:pos="1418"/>
          <w:tab w:val="clear" w:pos="2126"/>
          <w:tab w:val="clear" w:pos="2835"/>
          <w:tab w:val="clear" w:pos="3686"/>
        </w:tabs>
        <w:spacing w:before="120"/>
        <w:ind w:left="709" w:hanging="709"/>
      </w:pPr>
      <w:r>
        <w:t xml:space="preserve">La délégation de la </w:t>
      </w:r>
      <w:r w:rsidRPr="000214C2">
        <w:rPr>
          <w:b/>
        </w:rPr>
        <w:t>Palestine</w:t>
      </w:r>
      <w:r>
        <w:t xml:space="preserve"> a demandé que la République dominicaine </w:t>
      </w:r>
      <w:r w:rsidR="0067180C">
        <w:t xml:space="preserve">fournisse des </w:t>
      </w:r>
      <w:r>
        <w:t>explication</w:t>
      </w:r>
      <w:r w:rsidR="0067180C">
        <w:t>s</w:t>
      </w:r>
      <w:r>
        <w:t xml:space="preserve"> sur le critère R.5, à savoir la participation de la communauté à la préparation de l</w:t>
      </w:r>
      <w:r w:rsidR="00346F1B">
        <w:t>’</w:t>
      </w:r>
      <w:r>
        <w:t>inventaire et sa mise à jour réguli</w:t>
      </w:r>
      <w:r w:rsidR="0067180C">
        <w:t>èr</w:t>
      </w:r>
      <w:r w:rsidR="00C8237F">
        <w:t>e.</w:t>
      </w:r>
    </w:p>
    <w:p w14:paraId="342AFDEB" w14:textId="521ABDCC" w:rsidR="0067180C" w:rsidRDefault="0067180C" w:rsidP="00311C6B">
      <w:pPr>
        <w:pStyle w:val="Orateurengris"/>
        <w:tabs>
          <w:tab w:val="clear" w:pos="709"/>
          <w:tab w:val="clear" w:pos="1418"/>
          <w:tab w:val="clear" w:pos="2126"/>
          <w:tab w:val="clear" w:pos="2835"/>
          <w:tab w:val="clear" w:pos="3686"/>
        </w:tabs>
        <w:spacing w:before="120"/>
        <w:ind w:left="709" w:hanging="709"/>
      </w:pPr>
      <w:r>
        <w:t>Suite à une demande explicite d</w:t>
      </w:r>
      <w:r w:rsidR="00346F1B">
        <w:t>’</w:t>
      </w:r>
      <w:r>
        <w:t xml:space="preserve">éclaircissements, le </w:t>
      </w:r>
      <w:r w:rsidRPr="0067180C">
        <w:rPr>
          <w:b/>
        </w:rPr>
        <w:t>Président</w:t>
      </w:r>
      <w:r>
        <w:t xml:space="preserve"> a donné la paro</w:t>
      </w:r>
      <w:r w:rsidR="00C8237F">
        <w:t>le à la République dominicaine.</w:t>
      </w:r>
    </w:p>
    <w:p w14:paraId="438BF138" w14:textId="1A7FD04B" w:rsidR="006B5F88" w:rsidRDefault="00DC7CF4" w:rsidP="00311C6B">
      <w:pPr>
        <w:pStyle w:val="Orateurengris"/>
        <w:tabs>
          <w:tab w:val="clear" w:pos="709"/>
          <w:tab w:val="clear" w:pos="1418"/>
          <w:tab w:val="clear" w:pos="2126"/>
          <w:tab w:val="clear" w:pos="2835"/>
          <w:tab w:val="clear" w:pos="3686"/>
        </w:tabs>
        <w:spacing w:before="120"/>
        <w:ind w:left="709" w:hanging="709"/>
      </w:pPr>
      <w:r>
        <w:t xml:space="preserve">La délégation de la </w:t>
      </w:r>
      <w:r w:rsidRPr="00C76BE8">
        <w:rPr>
          <w:b/>
        </w:rPr>
        <w:t>République dominicaine</w:t>
      </w:r>
      <w:r>
        <w:t xml:space="preserve"> a remercié le Comité de lui donner l</w:t>
      </w:r>
      <w:r w:rsidR="00346F1B">
        <w:t>’</w:t>
      </w:r>
      <w:r>
        <w:t>opportunité d</w:t>
      </w:r>
      <w:r w:rsidR="00346F1B">
        <w:t>’</w:t>
      </w:r>
      <w:r>
        <w:t>apporter quelques éclaircissements sur le critère R.5, la participation de la communauté à la réalisation de l</w:t>
      </w:r>
      <w:r w:rsidR="00346F1B">
        <w:t>’</w:t>
      </w:r>
      <w:r>
        <w:t>inventaire. Il a été précisé que la délégation avait dist</w:t>
      </w:r>
      <w:r w:rsidR="002567C8">
        <w:t xml:space="preserve">ribué un document succinct aux </w:t>
      </w:r>
      <w:r w:rsidR="00A46CAD">
        <w:t>membres du Comité</w:t>
      </w:r>
      <w:r>
        <w:t xml:space="preserve">, présentant un aperçu complet </w:t>
      </w:r>
      <w:r w:rsidR="000A3386">
        <w:t xml:space="preserve">et organisé </w:t>
      </w:r>
      <w:r w:rsidR="007B503E">
        <w:t>de ce complément d</w:t>
      </w:r>
      <w:r w:rsidR="00346F1B">
        <w:t>’</w:t>
      </w:r>
      <w:r w:rsidR="007B503E">
        <w:t>information</w:t>
      </w:r>
      <w:r>
        <w:t>. La délégation a expliqué que l</w:t>
      </w:r>
      <w:r w:rsidR="00346F1B">
        <w:t>’</w:t>
      </w:r>
      <w:r>
        <w:t>inventaire national du PCI de la République dominicaine datait de 2011, suite à la formation de l</w:t>
      </w:r>
      <w:r w:rsidR="00346F1B">
        <w:t>’</w:t>
      </w:r>
      <w:r>
        <w:t>UNESCO sur la réalisation d</w:t>
      </w:r>
      <w:r w:rsidR="00346F1B">
        <w:t>’</w:t>
      </w:r>
      <w:r>
        <w:t>inventaire, et qu</w:t>
      </w:r>
      <w:r w:rsidR="00346F1B">
        <w:t>’</w:t>
      </w:r>
      <w:r>
        <w:t xml:space="preserve">il avait été </w:t>
      </w:r>
      <w:r w:rsidR="002D6A86">
        <w:t>dressé par du personnel formé lors de l</w:t>
      </w:r>
      <w:r w:rsidR="00346F1B">
        <w:t>’</w:t>
      </w:r>
      <w:r w:rsidR="002D6A86">
        <w:t>atelier de l</w:t>
      </w:r>
      <w:r w:rsidR="00346F1B">
        <w:t>’</w:t>
      </w:r>
      <w:r w:rsidR="002D6A86">
        <w:t>UNESCO, en particulier le Directeur du folklore et des communautés. L</w:t>
      </w:r>
      <w:r w:rsidR="00346F1B">
        <w:t>’</w:t>
      </w:r>
      <w:r w:rsidR="002D6A86">
        <w:t>inventaire comprenait cinq expressions culturelles, dont l</w:t>
      </w:r>
      <w:r w:rsidR="00346F1B">
        <w:t>’</w:t>
      </w:r>
      <w:r w:rsidR="002D6A86">
        <w:t>une était le merengue qui venait d</w:t>
      </w:r>
      <w:r w:rsidR="00346F1B">
        <w:t>’</w:t>
      </w:r>
      <w:r w:rsidR="002D6A86">
        <w:t>être</w:t>
      </w:r>
      <w:r w:rsidR="000A3386">
        <w:t xml:space="preserve"> présenté au Comité et qui avait été inclus dans</w:t>
      </w:r>
      <w:r w:rsidR="002D6A86">
        <w:t xml:space="preserve"> l</w:t>
      </w:r>
      <w:r w:rsidR="00346F1B">
        <w:t>’</w:t>
      </w:r>
      <w:r w:rsidR="002D6A86">
        <w:t>inventaire national en 2011. Le merengue avait été déclaré comme appartenant au patrimoine culturel du pays en 2014. L</w:t>
      </w:r>
      <w:r w:rsidR="00346F1B">
        <w:t>’</w:t>
      </w:r>
      <w:r w:rsidR="002D6A86">
        <w:t xml:space="preserve">inventaire comprenait également </w:t>
      </w:r>
      <w:r w:rsidR="000A3386">
        <w:t xml:space="preserve">les deux éléments, « la tradition du </w:t>
      </w:r>
      <w:r w:rsidR="002D6A86">
        <w:t>théâtre dansé</w:t>
      </w:r>
      <w:r w:rsidR="000A3386">
        <w:t xml:space="preserve"> Cocolo</w:t>
      </w:r>
      <w:r w:rsidR="002D6A86">
        <w:t> » et « l</w:t>
      </w:r>
      <w:r w:rsidR="00346F1B">
        <w:t>’</w:t>
      </w:r>
      <w:r w:rsidR="002D6A86">
        <w:t>espace culturel de la Fraternité du Saint-Esprit des congos de Villa Mella », tous deux déjà inscrits sur la Liste représentative</w:t>
      </w:r>
      <w:r w:rsidR="000A3386">
        <w:t xml:space="preserve"> depuis 2008. La délégation a détaillé </w:t>
      </w:r>
      <w:r w:rsidR="002D6A86">
        <w:t xml:space="preserve">comment les communautés avaient </w:t>
      </w:r>
      <w:r w:rsidR="00C76BE8">
        <w:t>participé à</w:t>
      </w:r>
      <w:r w:rsidR="002D6A86">
        <w:t xml:space="preserve"> la procédure d</w:t>
      </w:r>
      <w:r w:rsidR="00346F1B">
        <w:t>’</w:t>
      </w:r>
      <w:r w:rsidR="002D6A86">
        <w:t xml:space="preserve">inventaire, en particulier </w:t>
      </w:r>
      <w:r w:rsidR="006B5F88">
        <w:t xml:space="preserve">pour les éléments </w:t>
      </w:r>
      <w:r w:rsidR="002D6A86">
        <w:t>« la Dolorita de los morenos » et « la hermandad de los toreros de Santo Domingo y de</w:t>
      </w:r>
      <w:r w:rsidR="006B5F88">
        <w:t xml:space="preserve"> la Virgen de la Altagracia ». L</w:t>
      </w:r>
      <w:r w:rsidR="00346F1B">
        <w:t>’</w:t>
      </w:r>
      <w:r w:rsidR="002D6A86">
        <w:t>inclusion du merengue à l</w:t>
      </w:r>
      <w:r w:rsidR="00346F1B">
        <w:t>’</w:t>
      </w:r>
      <w:r w:rsidR="002D6A86">
        <w:t xml:space="preserve">inventaire avait été décidée par les responsables des praticiens et praticiennes </w:t>
      </w:r>
      <w:r w:rsidR="006B5F88">
        <w:t>de cette danse, ce travail avait été mené entre septembre 2011 et le début 2013, avec la participation des détenteurs. En outre, les preuves de c</w:t>
      </w:r>
      <w:r w:rsidR="000A3386">
        <w:t>es réunions et entretiens avec c</w:t>
      </w:r>
      <w:r w:rsidR="006B5F88">
        <w:t>es figures éminentes avaient été fournies à l</w:t>
      </w:r>
      <w:r w:rsidR="00346F1B">
        <w:t>’</w:t>
      </w:r>
      <w:r w:rsidR="006B5F88">
        <w:t>Organe d</w:t>
      </w:r>
      <w:r w:rsidR="00346F1B">
        <w:t>’</w:t>
      </w:r>
      <w:r w:rsidR="006B5F88">
        <w:t xml:space="preserve">évaluation, les adresses électroniques et les numéros de téléphone des personnes ayant participé à cette procédure avaient </w:t>
      </w:r>
      <w:r w:rsidR="000A3386">
        <w:t>d</w:t>
      </w:r>
      <w:r w:rsidR="00346F1B">
        <w:t>’</w:t>
      </w:r>
      <w:r w:rsidR="000A3386">
        <w:t xml:space="preserve">ailleurs </w:t>
      </w:r>
      <w:r w:rsidR="006B5F88">
        <w:t>été annexés au dossier. M.</w:t>
      </w:r>
      <w:r w:rsidR="003E7873">
        <w:t> </w:t>
      </w:r>
      <w:r w:rsidR="006B5F88">
        <w:t>Carlos Hernández Soto, anthropologue, qui avait participé à de nombreuses réunions de l</w:t>
      </w:r>
      <w:r w:rsidR="00346F1B">
        <w:t>’</w:t>
      </w:r>
      <w:r w:rsidR="006B5F88">
        <w:t xml:space="preserve">UNESCO, avait également </w:t>
      </w:r>
      <w:r w:rsidR="000A3386">
        <w:t xml:space="preserve">pris part </w:t>
      </w:r>
      <w:r w:rsidR="006B5F88">
        <w:t>à cette procédure. Le document distribué présentait des photos des différentes réunions avec les communautés ainsi que des ent</w:t>
      </w:r>
      <w:r w:rsidR="00C76BE8">
        <w:t>retiens et des consultations. Le</w:t>
      </w:r>
      <w:r w:rsidR="006B5F88">
        <w:t xml:space="preserve"> travail d</w:t>
      </w:r>
      <w:r w:rsidR="00346F1B">
        <w:t>’</w:t>
      </w:r>
      <w:r w:rsidR="006B5F88">
        <w:t>inclusion dans l</w:t>
      </w:r>
      <w:r w:rsidR="00346F1B">
        <w:t>’</w:t>
      </w:r>
      <w:r w:rsidR="006B5F88">
        <w:t>inventaire avait été mené dans de nombreuses régions du pays, et le Comité était invité à interroger les nombreux responsables aya</w:t>
      </w:r>
      <w:r w:rsidR="000A3386">
        <w:t>nt participé à cette procédure qu</w:t>
      </w:r>
      <w:r w:rsidR="00346F1B">
        <w:t>’</w:t>
      </w:r>
      <w:r w:rsidR="006B5F88">
        <w:t xml:space="preserve">un anthropologue avait </w:t>
      </w:r>
      <w:r w:rsidR="000A3386">
        <w:t>également coordonné</w:t>
      </w:r>
      <w:r w:rsidR="00C62F00">
        <w:t>e</w:t>
      </w:r>
      <w:r w:rsidR="006B5F88">
        <w:t xml:space="preserve">. Les photos montraient également le travail des détenteurs concernés et une liste des participants était fournie. </w:t>
      </w:r>
      <w:r w:rsidR="00C76BE8">
        <w:t>En fait, tous les éléments inclus dans l</w:t>
      </w:r>
      <w:r w:rsidR="00346F1B">
        <w:t>’</w:t>
      </w:r>
      <w:r w:rsidR="00C76BE8">
        <w:t>inventaire témoignaient de la participation des détenteurs et praticiens de ces éléments. Toutefois, la</w:t>
      </w:r>
      <w:r w:rsidR="00CD38F1">
        <w:t xml:space="preserve"> procédure consistant à réunir d</w:t>
      </w:r>
      <w:r w:rsidR="007636B0">
        <w:t>es individus afin d</w:t>
      </w:r>
      <w:r w:rsidR="00346F1B">
        <w:t>’</w:t>
      </w:r>
      <w:r w:rsidR="007636B0">
        <w:t>expliquer la</w:t>
      </w:r>
      <w:r w:rsidR="00C76BE8">
        <w:t xml:space="preserve"> méthodologie avait parfois été longue et difficile, nécessitant beaucoup de patience. Les difficultés techniques et logistiques rencontrées avaient rendu ce travail encore plus difficile. La délégation s</w:t>
      </w:r>
      <w:r w:rsidR="00346F1B">
        <w:t>’</w:t>
      </w:r>
      <w:r w:rsidR="00C76BE8">
        <w:t>était néanmoins efforcé</w:t>
      </w:r>
      <w:r w:rsidR="00CD38F1">
        <w:t>e</w:t>
      </w:r>
      <w:r w:rsidR="00C76BE8">
        <w:t xml:space="preserve"> de faire de son mieux pour résoudre ces problèmes, et elle était prête à communiquer plus d</w:t>
      </w:r>
      <w:r w:rsidR="00346F1B">
        <w:t>’</w:t>
      </w:r>
      <w:r w:rsidR="00C76BE8">
        <w:t>informations au Comité et au Secrétariat</w:t>
      </w:r>
      <w:r w:rsidR="00CD38F1">
        <w:t xml:space="preserve"> s</w:t>
      </w:r>
      <w:r w:rsidR="00346F1B">
        <w:t>’</w:t>
      </w:r>
      <w:r w:rsidR="00CD38F1">
        <w:t>ils l</w:t>
      </w:r>
      <w:r w:rsidR="00346F1B">
        <w:t>’</w:t>
      </w:r>
      <w:r w:rsidR="00CD38F1">
        <w:t>estimaient</w:t>
      </w:r>
      <w:r w:rsidR="00C76BE8">
        <w:t xml:space="preserve"> nécessaire. La délégation </w:t>
      </w:r>
      <w:r w:rsidR="000A3386">
        <w:t>pensait que le merengue était une partie essentielle de la culture de la République dominicaine, ajoutant qu</w:t>
      </w:r>
      <w:r w:rsidR="00346F1B">
        <w:t>’</w:t>
      </w:r>
      <w:r w:rsidR="000A3386">
        <w:t>aucune autre expression culturelle n</w:t>
      </w:r>
      <w:r w:rsidR="00346F1B">
        <w:t>’</w:t>
      </w:r>
      <w:r w:rsidR="000A3386">
        <w:t>incarnait le pays aussi bien que le merengue. Elle espérait que les éclaircissements apportés permettraient au Comité de modifier la recommandation de l</w:t>
      </w:r>
      <w:r w:rsidR="00346F1B">
        <w:t>’</w:t>
      </w:r>
      <w:r w:rsidR="000A3386">
        <w:t>Organe d</w:t>
      </w:r>
      <w:r w:rsidR="00346F1B">
        <w:t>’</w:t>
      </w:r>
      <w:r w:rsidR="000A3386">
        <w:t>évaluation et d</w:t>
      </w:r>
      <w:r w:rsidR="00346F1B">
        <w:t>’</w:t>
      </w:r>
      <w:r w:rsidR="000A3386">
        <w:t>inscrire l</w:t>
      </w:r>
      <w:r w:rsidR="00346F1B">
        <w:t>’</w:t>
      </w:r>
      <w:r w:rsidR="000A3386">
        <w:t>élément sur la Liste représentative, ce qui était extrêmement important e</w:t>
      </w:r>
      <w:r w:rsidR="00CD38F1">
        <w:t>t symbolique pour la population</w:t>
      </w:r>
      <w:r w:rsidR="00311C6B">
        <w:t xml:space="preserve"> du pays.</w:t>
      </w:r>
    </w:p>
    <w:p w14:paraId="33A23A98" w14:textId="3059A7D5" w:rsidR="00CD38F1" w:rsidRDefault="00CD38F1" w:rsidP="00311C6B">
      <w:pPr>
        <w:pStyle w:val="Orateurengris"/>
        <w:tabs>
          <w:tab w:val="clear" w:pos="709"/>
          <w:tab w:val="clear" w:pos="1418"/>
          <w:tab w:val="clear" w:pos="2126"/>
          <w:tab w:val="clear" w:pos="2835"/>
          <w:tab w:val="clear" w:pos="3686"/>
        </w:tabs>
        <w:spacing w:before="120"/>
        <w:ind w:left="709" w:hanging="709"/>
      </w:pPr>
      <w:r>
        <w:t xml:space="preserve">Après avoir remercié la République dominicaine, le </w:t>
      </w:r>
      <w:r w:rsidRPr="00CD38F1">
        <w:rPr>
          <w:b/>
        </w:rPr>
        <w:t>Président</w:t>
      </w:r>
      <w:r>
        <w:t xml:space="preserve"> a demandé si Cuba so</w:t>
      </w:r>
      <w:r w:rsidR="00311C6B">
        <w:t>uhaitait intervenir à ce stade.</w:t>
      </w:r>
    </w:p>
    <w:p w14:paraId="3D75B2EC" w14:textId="5E4331A7" w:rsidR="00CD38F1" w:rsidRDefault="00CD38F1" w:rsidP="00311C6B">
      <w:pPr>
        <w:pStyle w:val="Orateurengris"/>
        <w:tabs>
          <w:tab w:val="clear" w:pos="709"/>
          <w:tab w:val="clear" w:pos="1418"/>
          <w:tab w:val="clear" w:pos="2126"/>
          <w:tab w:val="clear" w:pos="2835"/>
          <w:tab w:val="clear" w:pos="3686"/>
        </w:tabs>
        <w:spacing w:before="120"/>
        <w:ind w:left="709" w:hanging="709"/>
      </w:pPr>
      <w:r>
        <w:t xml:space="preserve">La délégation de </w:t>
      </w:r>
      <w:r w:rsidRPr="00CD38F1">
        <w:rPr>
          <w:b/>
        </w:rPr>
        <w:t>Cuba</w:t>
      </w:r>
      <w:r>
        <w:t xml:space="preserve"> attendrait le moment du</w:t>
      </w:r>
      <w:r w:rsidR="00311C6B">
        <w:t xml:space="preserve"> débat afin de gagner du temps.</w:t>
      </w:r>
    </w:p>
    <w:p w14:paraId="4B0476B4" w14:textId="47D6FA72" w:rsidR="00CD38F1" w:rsidRDefault="00CD38F1" w:rsidP="00311C6B">
      <w:pPr>
        <w:pStyle w:val="Orateurengris"/>
        <w:tabs>
          <w:tab w:val="clear" w:pos="709"/>
          <w:tab w:val="clear" w:pos="1418"/>
          <w:tab w:val="clear" w:pos="2126"/>
          <w:tab w:val="clear" w:pos="2835"/>
          <w:tab w:val="clear" w:pos="3686"/>
        </w:tabs>
        <w:spacing w:before="120"/>
        <w:ind w:left="709" w:hanging="709"/>
      </w:pPr>
      <w:r>
        <w:t xml:space="preserve">Le </w:t>
      </w:r>
      <w:r w:rsidRPr="00CD38F1">
        <w:rPr>
          <w:b/>
        </w:rPr>
        <w:t>Président</w:t>
      </w:r>
      <w:r>
        <w:t xml:space="preserve"> est alors passé au projet de décision paragraphe par paragraphe. En l</w:t>
      </w:r>
      <w:r w:rsidR="00346F1B">
        <w:t>’</w:t>
      </w:r>
      <w:r>
        <w:t>absence de commentaires ou d</w:t>
      </w:r>
      <w:r w:rsidR="00346F1B">
        <w:t>’</w:t>
      </w:r>
      <w:r>
        <w:t xml:space="preserve">objections, les paragraphes </w:t>
      </w:r>
      <w:r w:rsidR="00311C6B">
        <w:t>1 à 4 ont été adoptés.</w:t>
      </w:r>
    </w:p>
    <w:p w14:paraId="165BFC97" w14:textId="42DDE6F2" w:rsidR="00CD38F1" w:rsidRPr="00CD38F1" w:rsidRDefault="00CD38F1" w:rsidP="00311C6B">
      <w:pPr>
        <w:pStyle w:val="Orateurengris"/>
        <w:tabs>
          <w:tab w:val="clear" w:pos="709"/>
          <w:tab w:val="clear" w:pos="1418"/>
          <w:tab w:val="clear" w:pos="2126"/>
          <w:tab w:val="clear" w:pos="2835"/>
          <w:tab w:val="clear" w:pos="3686"/>
        </w:tabs>
        <w:spacing w:before="120"/>
        <w:ind w:left="709" w:hanging="709"/>
      </w:pPr>
      <w:r>
        <w:t xml:space="preserve">La délégation de </w:t>
      </w:r>
      <w:r w:rsidRPr="00CD38F1">
        <w:rPr>
          <w:b/>
        </w:rPr>
        <w:t>Cuba</w:t>
      </w:r>
      <w:r>
        <w:t xml:space="preserve"> a corrigé le Président car seuls les paragraphes 1 et 2 avec les quatre premiers critères avaient été adoptés, pas le paragraphe 4.</w:t>
      </w:r>
    </w:p>
    <w:p w14:paraId="55F1A8E8" w14:textId="0A317346" w:rsidR="00CD38F1" w:rsidRPr="00CD38F1" w:rsidRDefault="00CD38F1" w:rsidP="00311C6B">
      <w:pPr>
        <w:pStyle w:val="Orateurengris"/>
        <w:tabs>
          <w:tab w:val="clear" w:pos="709"/>
          <w:tab w:val="clear" w:pos="1418"/>
          <w:tab w:val="clear" w:pos="2126"/>
          <w:tab w:val="clear" w:pos="2835"/>
          <w:tab w:val="clear" w:pos="3686"/>
        </w:tabs>
        <w:spacing w:before="120"/>
        <w:ind w:left="709" w:hanging="709"/>
      </w:pPr>
      <w:r>
        <w:t xml:space="preserve">Le </w:t>
      </w:r>
      <w:r w:rsidRPr="00CD38F1">
        <w:rPr>
          <w:b/>
        </w:rPr>
        <w:t>Président</w:t>
      </w:r>
      <w:r>
        <w:t xml:space="preserve"> a demandé à C</w:t>
      </w:r>
      <w:r w:rsidR="00311C6B">
        <w:t>uba de proposer son amendement.</w:t>
      </w:r>
    </w:p>
    <w:p w14:paraId="680E7F9B" w14:textId="323FDEEC" w:rsidR="00C16F4D" w:rsidRPr="00CD38F1" w:rsidRDefault="009F2477" w:rsidP="00311C6B">
      <w:pPr>
        <w:pStyle w:val="Orateurengris"/>
        <w:tabs>
          <w:tab w:val="clear" w:pos="709"/>
          <w:tab w:val="clear" w:pos="1418"/>
          <w:tab w:val="clear" w:pos="2126"/>
          <w:tab w:val="clear" w:pos="2835"/>
          <w:tab w:val="clear" w:pos="3686"/>
        </w:tabs>
        <w:spacing w:before="120"/>
        <w:ind w:left="709" w:hanging="709"/>
      </w:pPr>
      <w:r>
        <w:t>Après avoir précisé qu</w:t>
      </w:r>
      <w:r w:rsidR="00346F1B">
        <w:t>’</w:t>
      </w:r>
      <w:r>
        <w:t>en tant que pays voisin, elle comprenait l</w:t>
      </w:r>
      <w:r w:rsidR="00346F1B">
        <w:t>’</w:t>
      </w:r>
      <w:r>
        <w:t>importance du merengue pour la région et le monde, l</w:t>
      </w:r>
      <w:r w:rsidR="00CD38F1" w:rsidRPr="00CD38F1">
        <w:t xml:space="preserve">a délégation de </w:t>
      </w:r>
      <w:r w:rsidR="00CD38F1" w:rsidRPr="00CD38F1">
        <w:rPr>
          <w:b/>
        </w:rPr>
        <w:t>Cuba</w:t>
      </w:r>
      <w:r w:rsidR="00CD38F1">
        <w:t xml:space="preserve"> a expliqué que son amendement visa</w:t>
      </w:r>
      <w:r>
        <w:t xml:space="preserve">it à supprimer le paragraphe 3. </w:t>
      </w:r>
      <w:r w:rsidR="00CD38F1">
        <w:t xml:space="preserve">Elle </w:t>
      </w:r>
      <w:r w:rsidR="00C16F4D">
        <w:t>avait du mal à</w:t>
      </w:r>
      <w:r w:rsidR="00CD38F1">
        <w:t xml:space="preserve"> comprendre que l</w:t>
      </w:r>
      <w:r w:rsidR="00346F1B">
        <w:t>’</w:t>
      </w:r>
      <w:r w:rsidR="00CD38F1">
        <w:t>élém</w:t>
      </w:r>
      <w:r w:rsidR="00C16F4D">
        <w:t>ent</w:t>
      </w:r>
      <w:r w:rsidR="00CD38F1">
        <w:t xml:space="preserve"> puisse ne pas </w:t>
      </w:r>
      <w:r w:rsidR="00C16F4D">
        <w:t>être inscrit, la raison étant essentiellement un manque de communication. S</w:t>
      </w:r>
      <w:r w:rsidR="00346F1B">
        <w:t>’</w:t>
      </w:r>
      <w:r w:rsidR="00C16F4D">
        <w:t>agissant du critère R.5, la délégation souhaitait insérer un paragraphe ainsi rédigé : « Remercie la délégation de la République dominicaine des éclaircissements apportés… »</w:t>
      </w:r>
      <w:r>
        <w:t>,</w:t>
      </w:r>
      <w:r w:rsidR="00C16F4D">
        <w:t xml:space="preserve"> en rappelant le débat précédent et la nécessité d</w:t>
      </w:r>
      <w:r w:rsidR="00346F1B">
        <w:t>’</w:t>
      </w:r>
      <w:r w:rsidR="00C16F4D">
        <w:t>être plus flexible quant à l</w:t>
      </w:r>
      <w:r w:rsidR="00346F1B">
        <w:t>’</w:t>
      </w:r>
      <w:r w:rsidR="00C16F4D">
        <w:t>interprétation de la façon dont les pays dress</w:t>
      </w:r>
      <w:r>
        <w:t>ai</w:t>
      </w:r>
      <w:r w:rsidR="00C16F4D">
        <w:t>ent leurs inventaires nationaux. Il serait en réalité difficile pour l</w:t>
      </w:r>
      <w:r w:rsidR="00346F1B">
        <w:t>’</w:t>
      </w:r>
      <w:r w:rsidR="00C16F4D">
        <w:t>Amérique latine et toute la région d</w:t>
      </w:r>
      <w:r w:rsidR="00346F1B">
        <w:t>’</w:t>
      </w:r>
      <w:r w:rsidR="00C16F4D">
        <w:t>accepter la décision de ne pas inscrire cet élément en raison d</w:t>
      </w:r>
      <w:r w:rsidR="00346F1B">
        <w:t>’</w:t>
      </w:r>
      <w:r w:rsidR="00C16F4D">
        <w:t>une incompréhension à propos du critère R.5. En outre, si l</w:t>
      </w:r>
      <w:r w:rsidR="00346F1B">
        <w:t>’</w:t>
      </w:r>
      <w:r w:rsidR="00C16F4D">
        <w:t>Organe d</w:t>
      </w:r>
      <w:r w:rsidR="00346F1B">
        <w:t>’</w:t>
      </w:r>
      <w:r w:rsidR="00C16F4D">
        <w:t>évaluation avait pu échanger directement avec l</w:t>
      </w:r>
      <w:r w:rsidR="00346F1B">
        <w:t>’</w:t>
      </w:r>
      <w:r w:rsidR="00C16F4D">
        <w:t>État soumissionnaire, ce genre de problèmes aurait pu être évité. L</w:t>
      </w:r>
      <w:r w:rsidR="00346F1B">
        <w:t>’</w:t>
      </w:r>
      <w:r w:rsidR="00C16F4D">
        <w:t>amendement prévoyait également la suppression des termes : «</w:t>
      </w:r>
      <w:r>
        <w:t xml:space="preserve"> et est encore en cours d</w:t>
      </w:r>
      <w:r w:rsidR="00346F1B">
        <w:t>’</w:t>
      </w:r>
      <w:r>
        <w:t>élaboration, il ne mentionne pas la participation des communautés […] » pour les remplacer par un autre paragraphe qui soutenait l</w:t>
      </w:r>
      <w:r w:rsidR="00346F1B">
        <w:t>’</w:t>
      </w:r>
      <w:r>
        <w:t>inscription de la candidature. Un paragraphe final serait inclus, comme cela avait été le cas pour le Bangladesh, qui remerciait l</w:t>
      </w:r>
      <w:r w:rsidR="00346F1B">
        <w:t>’</w:t>
      </w:r>
      <w:r>
        <w:t>État soumissionnaire pour</w:t>
      </w:r>
      <w:r w:rsidR="00311C6B">
        <w:t xml:space="preserve"> les éclaircissements apportés.</w:t>
      </w:r>
    </w:p>
    <w:p w14:paraId="4C32729B" w14:textId="18BFF23B" w:rsidR="009F2477" w:rsidRPr="00DC5A29" w:rsidRDefault="009F2477" w:rsidP="00311C6B">
      <w:pPr>
        <w:pStyle w:val="Orateurengris"/>
        <w:tabs>
          <w:tab w:val="clear" w:pos="709"/>
          <w:tab w:val="clear" w:pos="1418"/>
          <w:tab w:val="clear" w:pos="2126"/>
          <w:tab w:val="clear" w:pos="2835"/>
          <w:tab w:val="clear" w:pos="3686"/>
        </w:tabs>
        <w:spacing w:before="120"/>
        <w:ind w:left="709" w:hanging="709"/>
      </w:pPr>
      <w:r w:rsidRPr="00DC5A29">
        <w:t xml:space="preserve">Dans le paragraphe sur le critère R.5, la délégation </w:t>
      </w:r>
      <w:r w:rsidR="00C15808">
        <w:t>de la Palestine proposait</w:t>
      </w:r>
      <w:r w:rsidR="00DF34E6" w:rsidRPr="00DC5A29">
        <w:t xml:space="preserve"> de supprimer le premier mot,</w:t>
      </w:r>
      <w:r w:rsidRPr="00DC5A29">
        <w:t xml:space="preserve"> « Si ». Le paragraphe serait alors ainsi rédigé : « Le dossier fournit des preuves de l</w:t>
      </w:r>
      <w:r w:rsidR="00346F1B">
        <w:t>’</w:t>
      </w:r>
      <w:r w:rsidRPr="00DC5A29">
        <w:t>inclusion de l</w:t>
      </w:r>
      <w:r w:rsidR="00346F1B">
        <w:t>’</w:t>
      </w:r>
      <w:r w:rsidRPr="00DC5A29">
        <w:t>élément dans l</w:t>
      </w:r>
      <w:r w:rsidR="00346F1B">
        <w:t>’</w:t>
      </w:r>
      <w:r w:rsidRPr="00DC5A29">
        <w:t xml:space="preserve"> […] » jusqu</w:t>
      </w:r>
      <w:r w:rsidR="00346F1B">
        <w:t>’</w:t>
      </w:r>
      <w:r w:rsidRPr="00DC5A29">
        <w:t>à « ministère de la</w:t>
      </w:r>
      <w:r w:rsidR="00DF34E6" w:rsidRPr="00DC5A29">
        <w:t xml:space="preserve"> Culture », toute la fin du paragraphe à partir de </w:t>
      </w:r>
      <w:r w:rsidR="007636B0" w:rsidRPr="00DC5A29">
        <w:t>« </w:t>
      </w:r>
      <w:r w:rsidR="00D545EA" w:rsidRPr="00DC5A29">
        <w:t>et es</w:t>
      </w:r>
      <w:r w:rsidR="00DF34E6" w:rsidRPr="00DC5A29">
        <w:t>t en</w:t>
      </w:r>
      <w:r w:rsidR="00D545EA" w:rsidRPr="00DC5A29">
        <w:t xml:space="preserve"> en cours d</w:t>
      </w:r>
      <w:r w:rsidR="00346F1B">
        <w:t>’</w:t>
      </w:r>
      <w:r w:rsidR="00D545EA" w:rsidRPr="00DC5A29">
        <w:t>élaboration […]</w:t>
      </w:r>
      <w:r w:rsidR="00DF34E6" w:rsidRPr="00DC5A29">
        <w:t> » serait également supprimée.</w:t>
      </w:r>
    </w:p>
    <w:p w14:paraId="17949AC1" w14:textId="5E807D3B" w:rsidR="00E235F6" w:rsidRPr="00E235F6" w:rsidRDefault="00E235F6" w:rsidP="00311C6B">
      <w:pPr>
        <w:pStyle w:val="Orateurengris"/>
        <w:tabs>
          <w:tab w:val="clear" w:pos="709"/>
          <w:tab w:val="clear" w:pos="1418"/>
          <w:tab w:val="clear" w:pos="2126"/>
          <w:tab w:val="clear" w:pos="2835"/>
          <w:tab w:val="clear" w:pos="3686"/>
        </w:tabs>
        <w:spacing w:before="120"/>
        <w:ind w:left="709" w:hanging="709"/>
      </w:pPr>
      <w:r>
        <w:t xml:space="preserve">La délégation du </w:t>
      </w:r>
      <w:r w:rsidRPr="00E235F6">
        <w:rPr>
          <w:b/>
        </w:rPr>
        <w:t>Guatemala</w:t>
      </w:r>
      <w:r w:rsidR="00C15808">
        <w:t xml:space="preserve"> apportait</w:t>
      </w:r>
      <w:r>
        <w:t xml:space="preserve"> son soutien à l</w:t>
      </w:r>
      <w:r w:rsidR="00346F1B">
        <w:t>’</w:t>
      </w:r>
      <w:r>
        <w:t>inscription du merengue en raison du caractère transfrontalier de l</w:t>
      </w:r>
      <w:r w:rsidR="00346F1B">
        <w:t>’</w:t>
      </w:r>
      <w:r>
        <w:t>élément dans la région et de par le monde. Elle a souligné l</w:t>
      </w:r>
      <w:r w:rsidR="00346F1B">
        <w:t>’</w:t>
      </w:r>
      <w:r w:rsidR="009D355F">
        <w:t xml:space="preserve">importance de Juan Luís Guerra, </w:t>
      </w:r>
      <w:r>
        <w:t>ambassadeur de bonne volonté de l</w:t>
      </w:r>
      <w:r w:rsidR="00346F1B">
        <w:t>’</w:t>
      </w:r>
      <w:r>
        <w:t>UNESCO et l</w:t>
      </w:r>
      <w:r w:rsidR="00346F1B">
        <w:t>’</w:t>
      </w:r>
      <w:r>
        <w:t>un des plus gr</w:t>
      </w:r>
      <w:r w:rsidR="009D355F">
        <w:t>ands adeptes de ce style de musique. La délégation avait également inclus le merengue dans son propre inventaire national en 2011, et elle avait alors pu compter sur le soutien des différentes communautés et groupes concernés pour les procédures d</w:t>
      </w:r>
      <w:r w:rsidR="00346F1B">
        <w:t>’</w:t>
      </w:r>
      <w:r w:rsidR="009D355F">
        <w:t>inclusion qui étaient effectivement très longues et complexes. C</w:t>
      </w:r>
      <w:r w:rsidR="00346F1B">
        <w:t>’</w:t>
      </w:r>
      <w:r w:rsidR="009D355F">
        <w:t xml:space="preserve">était la raison pour laquelle elle </w:t>
      </w:r>
      <w:r w:rsidR="00C15808">
        <w:t>souhaitait</w:t>
      </w:r>
      <w:r w:rsidR="009D355F">
        <w:t xml:space="preserve"> qu</w:t>
      </w:r>
      <w:r w:rsidR="00346F1B">
        <w:t>’</w:t>
      </w:r>
      <w:r w:rsidR="009D355F">
        <w:t>une certaine flexibilité s</w:t>
      </w:r>
      <w:r w:rsidR="00346F1B">
        <w:t>’</w:t>
      </w:r>
      <w:r w:rsidR="00311C6B">
        <w:t>applique à ce sujet.</w:t>
      </w:r>
    </w:p>
    <w:p w14:paraId="5E4EC7F0" w14:textId="7F8E9CE3" w:rsidR="009D355F" w:rsidRDefault="009D355F" w:rsidP="00311C6B">
      <w:pPr>
        <w:pStyle w:val="Orateurengris"/>
        <w:tabs>
          <w:tab w:val="clear" w:pos="709"/>
          <w:tab w:val="clear" w:pos="1418"/>
          <w:tab w:val="clear" w:pos="2126"/>
          <w:tab w:val="clear" w:pos="2835"/>
          <w:tab w:val="clear" w:pos="3686"/>
        </w:tabs>
        <w:spacing w:before="120"/>
        <w:ind w:left="709" w:hanging="709"/>
        <w:rPr>
          <w:szCs w:val="24"/>
        </w:rPr>
      </w:pPr>
      <w:r w:rsidRPr="009D355F">
        <w:rPr>
          <w:szCs w:val="24"/>
        </w:rPr>
        <w:t>Également</w:t>
      </w:r>
      <w:r>
        <w:rPr>
          <w:szCs w:val="24"/>
        </w:rPr>
        <w:t xml:space="preserve"> o</w:t>
      </w:r>
      <w:r w:rsidR="00A14092">
        <w:rPr>
          <w:szCs w:val="24"/>
        </w:rPr>
        <w:t xml:space="preserve">riginaire de la région Caraïbes et </w:t>
      </w:r>
      <w:r>
        <w:rPr>
          <w:szCs w:val="24"/>
        </w:rPr>
        <w:t xml:space="preserve">Amérique latine, </w:t>
      </w:r>
      <w:r w:rsidR="00A14092">
        <w:rPr>
          <w:szCs w:val="24"/>
        </w:rPr>
        <w:t xml:space="preserve">la </w:t>
      </w:r>
      <w:r w:rsidR="00A14092" w:rsidRPr="00A14092">
        <w:rPr>
          <w:szCs w:val="24"/>
        </w:rPr>
        <w:t>délégation</w:t>
      </w:r>
      <w:r w:rsidR="00A14092">
        <w:rPr>
          <w:szCs w:val="24"/>
        </w:rPr>
        <w:t xml:space="preserve"> de </w:t>
      </w:r>
      <w:r w:rsidR="00A14092" w:rsidRPr="00920943">
        <w:rPr>
          <w:b/>
          <w:szCs w:val="24"/>
        </w:rPr>
        <w:t>Sainte-Lucie</w:t>
      </w:r>
      <w:r w:rsidR="00A14092">
        <w:rPr>
          <w:szCs w:val="24"/>
        </w:rPr>
        <w:t xml:space="preserve"> a souligné </w:t>
      </w:r>
      <w:r w:rsidR="0026587F">
        <w:rPr>
          <w:szCs w:val="24"/>
        </w:rPr>
        <w:t>qu</w:t>
      </w:r>
      <w:r w:rsidR="00346F1B">
        <w:rPr>
          <w:szCs w:val="24"/>
        </w:rPr>
        <w:t>’</w:t>
      </w:r>
      <w:r w:rsidR="0026587F">
        <w:rPr>
          <w:szCs w:val="24"/>
        </w:rPr>
        <w:t>elle serait consternée si l</w:t>
      </w:r>
      <w:r w:rsidR="00346F1B">
        <w:rPr>
          <w:szCs w:val="24"/>
        </w:rPr>
        <w:t>’</w:t>
      </w:r>
      <w:r w:rsidR="0026587F" w:rsidRPr="0026587F">
        <w:rPr>
          <w:szCs w:val="24"/>
        </w:rPr>
        <w:t>élément</w:t>
      </w:r>
      <w:r w:rsidR="0026587F">
        <w:rPr>
          <w:szCs w:val="24"/>
        </w:rPr>
        <w:t xml:space="preserve"> n</w:t>
      </w:r>
      <w:r w:rsidR="00346F1B">
        <w:rPr>
          <w:szCs w:val="24"/>
        </w:rPr>
        <w:t>’</w:t>
      </w:r>
      <w:r w:rsidR="0026587F">
        <w:rPr>
          <w:szCs w:val="24"/>
        </w:rPr>
        <w:t xml:space="preserve">était pas inscrit. Elle acceptait les </w:t>
      </w:r>
      <w:r w:rsidR="0026587F">
        <w:t xml:space="preserve">éclaircissements apportés par la République dominicaine et, par conséquent, soutenait les amendements proposés par Cuba. </w:t>
      </w:r>
      <w:r w:rsidR="00920943">
        <w:t>S</w:t>
      </w:r>
      <w:r w:rsidR="00346F1B">
        <w:t>’</w:t>
      </w:r>
      <w:r w:rsidR="00920943">
        <w:t>agissant de la procédure d</w:t>
      </w:r>
      <w:r w:rsidR="00346F1B">
        <w:t>’</w:t>
      </w:r>
      <w:r w:rsidR="00920943">
        <w:t>inventaire, e</w:t>
      </w:r>
      <w:r w:rsidR="0026587F">
        <w:t xml:space="preserve">lle a exprimé des inquiétudes quant à la bonne compréhension de ce qui était jugé </w:t>
      </w:r>
      <w:r w:rsidR="00920943">
        <w:t>« </w:t>
      </w:r>
      <w:r w:rsidR="0026587F">
        <w:t>satisfaisant</w:t>
      </w:r>
      <w:r w:rsidR="00920943">
        <w:t> »</w:t>
      </w:r>
      <w:r w:rsidR="0026587F">
        <w:t>. La délégat</w:t>
      </w:r>
      <w:r w:rsidR="00920943">
        <w:t>ion a expliqué que les pays [des Caraïbes] pourr</w:t>
      </w:r>
      <w:r w:rsidR="0026587F">
        <w:t>aient être désavantagés par rapport aux autres pays, vraisemblablement en raison de méthodes culturelles de travail différentes</w:t>
      </w:r>
      <w:r w:rsidR="00920943">
        <w:t>,</w:t>
      </w:r>
      <w:r w:rsidR="0026587F">
        <w:t xml:space="preserve"> et qu</w:t>
      </w:r>
      <w:r w:rsidR="00346F1B">
        <w:t>’</w:t>
      </w:r>
      <w:r w:rsidR="0026587F">
        <w:t>une certaine flexibilité devrait</w:t>
      </w:r>
      <w:r w:rsidR="00920943">
        <w:t xml:space="preserve"> toujours s</w:t>
      </w:r>
      <w:r w:rsidR="00346F1B">
        <w:t>’</w:t>
      </w:r>
      <w:r w:rsidR="00920943">
        <w:t>appliq</w:t>
      </w:r>
      <w:r w:rsidR="00003A47">
        <w:t xml:space="preserve">uer en prenant en considération </w:t>
      </w:r>
      <w:r w:rsidR="00920943">
        <w:t>ces circonstances particuliè</w:t>
      </w:r>
      <w:r w:rsidR="00003A47">
        <w:t>res, tout particulièrement lors de l</w:t>
      </w:r>
      <w:r w:rsidR="00346F1B">
        <w:t>’</w:t>
      </w:r>
      <w:r w:rsidR="00003A47">
        <w:t xml:space="preserve">évaluation du critère R.5 pour lequel les problèmes étaient récurrents. </w:t>
      </w:r>
      <w:r w:rsidR="00920943">
        <w:t>Elle était satisfaite des éclaircissements apportés et de l</w:t>
      </w:r>
      <w:r w:rsidR="00346F1B">
        <w:t>’</w:t>
      </w:r>
      <w:r w:rsidR="00920943">
        <w:t>explication de l</w:t>
      </w:r>
      <w:r w:rsidR="00346F1B">
        <w:t>’</w:t>
      </w:r>
      <w:r w:rsidR="00920943">
        <w:t>État soumissionnaire concernant sa procédure d</w:t>
      </w:r>
      <w:r w:rsidR="00346F1B">
        <w:t>’</w:t>
      </w:r>
      <w:r w:rsidR="00311C6B">
        <w:t>inventaire légitime et valide.</w:t>
      </w:r>
    </w:p>
    <w:p w14:paraId="7548DAE0" w14:textId="49733EBF" w:rsidR="00003A47" w:rsidRDefault="00003A47"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003A47">
        <w:rPr>
          <w:szCs w:val="24"/>
        </w:rPr>
        <w:t>délégation</w:t>
      </w:r>
      <w:r>
        <w:rPr>
          <w:szCs w:val="24"/>
        </w:rPr>
        <w:t xml:space="preserve"> de l</w:t>
      </w:r>
      <w:r w:rsidR="00346F1B">
        <w:rPr>
          <w:szCs w:val="24"/>
        </w:rPr>
        <w:t>’</w:t>
      </w:r>
      <w:r w:rsidRPr="00003A47">
        <w:rPr>
          <w:b/>
          <w:szCs w:val="24"/>
        </w:rPr>
        <w:t>Algérie</w:t>
      </w:r>
      <w:r>
        <w:rPr>
          <w:szCs w:val="24"/>
        </w:rPr>
        <w:t xml:space="preserve"> soutenait l</w:t>
      </w:r>
      <w:r w:rsidR="00346F1B">
        <w:rPr>
          <w:szCs w:val="24"/>
        </w:rPr>
        <w:t>’</w:t>
      </w:r>
      <w:r w:rsidRPr="00003A47">
        <w:rPr>
          <w:szCs w:val="24"/>
        </w:rPr>
        <w:t>amendement</w:t>
      </w:r>
      <w:r>
        <w:rPr>
          <w:szCs w:val="24"/>
        </w:rPr>
        <w:t xml:space="preserve"> de Cuba légèrement modifié par la Palestine. Elle était toujours dans l</w:t>
      </w:r>
      <w:r w:rsidR="00346F1B">
        <w:rPr>
          <w:szCs w:val="24"/>
        </w:rPr>
        <w:t>’</w:t>
      </w:r>
      <w:r>
        <w:rPr>
          <w:szCs w:val="24"/>
        </w:rPr>
        <w:t xml:space="preserve">attente de la suite de cet </w:t>
      </w:r>
      <w:r w:rsidRPr="00003A47">
        <w:rPr>
          <w:szCs w:val="24"/>
        </w:rPr>
        <w:t>amendement</w:t>
      </w:r>
      <w:r>
        <w:rPr>
          <w:szCs w:val="24"/>
        </w:rPr>
        <w:t xml:space="preserve"> par Cuba qui ferait écho à la </w:t>
      </w:r>
      <w:r w:rsidR="001A4B6F">
        <w:rPr>
          <w:szCs w:val="24"/>
        </w:rPr>
        <w:t xml:space="preserve">décision prise le matin même pour le </w:t>
      </w:r>
      <w:r w:rsidR="001A4B6F" w:rsidRPr="001A4B6F">
        <w:rPr>
          <w:szCs w:val="24"/>
        </w:rPr>
        <w:t>Bangladesh</w:t>
      </w:r>
      <w:r w:rsidR="001A4B6F">
        <w:rPr>
          <w:szCs w:val="24"/>
        </w:rPr>
        <w:t xml:space="preserve">. Grâce aux </w:t>
      </w:r>
      <w:r w:rsidR="001A4B6F">
        <w:t>éclaircissements apportés, elle reconnaissait comme valable l</w:t>
      </w:r>
      <w:r w:rsidR="00346F1B">
        <w:t>’</w:t>
      </w:r>
      <w:r w:rsidR="001A4B6F">
        <w:t>inscription de l</w:t>
      </w:r>
      <w:r w:rsidR="00346F1B">
        <w:t>’</w:t>
      </w:r>
      <w:r w:rsidR="001A4B6F">
        <w:t>élément sur l</w:t>
      </w:r>
      <w:r w:rsidR="00346F1B">
        <w:t>’</w:t>
      </w:r>
      <w:r w:rsidR="001A4B6F">
        <w:t>inventaire en 2011 et, la candidature ayant déjà été soumise en 2013 ou 2014, cette date de précédente soumission pouvait être co</w:t>
      </w:r>
      <w:r w:rsidR="00311C6B">
        <w:t>nsidérée comme une mise à jour.</w:t>
      </w:r>
    </w:p>
    <w:p w14:paraId="3092CFFE" w14:textId="219ADA0C" w:rsidR="001A4B6F" w:rsidRPr="001A4B6F" w:rsidRDefault="001A4B6F"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1A4B6F">
        <w:rPr>
          <w:rFonts w:cs="Times New Roman"/>
          <w:szCs w:val="24"/>
        </w:rPr>
        <w:t>délégation</w:t>
      </w:r>
      <w:r>
        <w:rPr>
          <w:rFonts w:cs="Times New Roman"/>
          <w:szCs w:val="24"/>
        </w:rPr>
        <w:t xml:space="preserve"> de l</w:t>
      </w:r>
      <w:r w:rsidR="00346F1B">
        <w:rPr>
          <w:rFonts w:cs="Times New Roman"/>
          <w:szCs w:val="24"/>
        </w:rPr>
        <w:t>’</w:t>
      </w:r>
      <w:r w:rsidRPr="001A4B6F">
        <w:rPr>
          <w:b/>
        </w:rPr>
        <w:t>Éthiopie</w:t>
      </w:r>
      <w:r>
        <w:rPr>
          <w:rFonts w:cs="Times New Roman"/>
          <w:szCs w:val="24"/>
        </w:rPr>
        <w:t xml:space="preserve"> soutenait l</w:t>
      </w:r>
      <w:r w:rsidR="00346F1B">
        <w:rPr>
          <w:rFonts w:cs="Times New Roman"/>
          <w:szCs w:val="24"/>
        </w:rPr>
        <w:t>’</w:t>
      </w:r>
      <w:r w:rsidRPr="001A4B6F">
        <w:rPr>
          <w:rFonts w:cs="Times New Roman"/>
          <w:szCs w:val="24"/>
        </w:rPr>
        <w:t>amendement</w:t>
      </w:r>
      <w:r w:rsidR="00311C6B">
        <w:rPr>
          <w:rFonts w:cs="Times New Roman"/>
          <w:szCs w:val="24"/>
        </w:rPr>
        <w:t xml:space="preserve"> proposé par Cuba.</w:t>
      </w:r>
    </w:p>
    <w:p w14:paraId="67040447" w14:textId="5D39F551" w:rsidR="001A4B6F" w:rsidRPr="001A4B6F" w:rsidRDefault="001A4B6F"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Après avoir pris en </w:t>
      </w:r>
      <w:r w:rsidRPr="001A4B6F">
        <w:rPr>
          <w:rFonts w:cs="Times New Roman"/>
          <w:szCs w:val="24"/>
        </w:rPr>
        <w:t>considération</w:t>
      </w:r>
      <w:r>
        <w:rPr>
          <w:rFonts w:cs="Times New Roman"/>
          <w:szCs w:val="24"/>
        </w:rPr>
        <w:t xml:space="preserve"> les </w:t>
      </w:r>
      <w:r>
        <w:t>éclaircissements de l</w:t>
      </w:r>
      <w:r w:rsidR="00346F1B">
        <w:t>’</w:t>
      </w:r>
      <w:r>
        <w:t>État soumissionnaire, la délégation de l</w:t>
      </w:r>
      <w:r w:rsidR="00346F1B">
        <w:t>’</w:t>
      </w:r>
      <w:r w:rsidRPr="001A4B6F">
        <w:rPr>
          <w:b/>
        </w:rPr>
        <w:t>Inde</w:t>
      </w:r>
      <w:r>
        <w:t xml:space="preserve"> était certaine que les paramètres étaient respectés. Elle soutenait donc l</w:t>
      </w:r>
      <w:r w:rsidR="00346F1B">
        <w:t>’</w:t>
      </w:r>
      <w:r>
        <w:t>amendement de Cuba en faveur d</w:t>
      </w:r>
      <w:r w:rsidR="0066011A">
        <w:t>e l</w:t>
      </w:r>
      <w:r w:rsidR="00346F1B">
        <w:t>’</w:t>
      </w:r>
      <w:r>
        <w:t>inscription de l</w:t>
      </w:r>
      <w:r w:rsidR="00346F1B">
        <w:t>’</w:t>
      </w:r>
      <w:r>
        <w:t>élément.</w:t>
      </w:r>
    </w:p>
    <w:p w14:paraId="0506EA06" w14:textId="76BA57E5" w:rsidR="0066011A" w:rsidRDefault="0066011A"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66011A">
        <w:rPr>
          <w:rFonts w:cs="Times New Roman"/>
          <w:szCs w:val="24"/>
        </w:rPr>
        <w:t>délégation</w:t>
      </w:r>
      <w:r>
        <w:rPr>
          <w:rFonts w:cs="Times New Roman"/>
          <w:szCs w:val="24"/>
        </w:rPr>
        <w:t xml:space="preserve"> de la </w:t>
      </w:r>
      <w:r w:rsidRPr="0066011A">
        <w:rPr>
          <w:rFonts w:cs="Times New Roman"/>
          <w:b/>
          <w:szCs w:val="24"/>
        </w:rPr>
        <w:t>Palestine</w:t>
      </w:r>
      <w:r>
        <w:rPr>
          <w:rFonts w:cs="Times New Roman"/>
          <w:szCs w:val="24"/>
        </w:rPr>
        <w:t xml:space="preserve"> a demandé que le Comité poursuive ses travaux avec les amendements aux autres paragraphes et que Cuba complète son </w:t>
      </w:r>
      <w:r w:rsidRPr="0066011A">
        <w:rPr>
          <w:rFonts w:cs="Times New Roman"/>
          <w:szCs w:val="24"/>
        </w:rPr>
        <w:t>amendement</w:t>
      </w:r>
      <w:r>
        <w:rPr>
          <w:rFonts w:cs="Times New Roman"/>
          <w:szCs w:val="24"/>
        </w:rPr>
        <w:t xml:space="preserve"> au </w:t>
      </w:r>
      <w:r w:rsidRPr="0066011A">
        <w:rPr>
          <w:rFonts w:cs="Times New Roman"/>
          <w:szCs w:val="24"/>
        </w:rPr>
        <w:t>paragraphe</w:t>
      </w:r>
      <w:r w:rsidR="00311C6B">
        <w:rPr>
          <w:rFonts w:cs="Times New Roman"/>
          <w:szCs w:val="24"/>
        </w:rPr>
        <w:t xml:space="preserve"> 3.</w:t>
      </w:r>
    </w:p>
    <w:p w14:paraId="3202C196" w14:textId="5632DC54" w:rsidR="0066011A" w:rsidRPr="0066011A" w:rsidRDefault="0066011A"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Pr="0066011A">
        <w:rPr>
          <w:rFonts w:cs="Times New Roman"/>
          <w:b/>
          <w:szCs w:val="24"/>
        </w:rPr>
        <w:t>Président</w:t>
      </w:r>
      <w:r>
        <w:rPr>
          <w:rFonts w:cs="Times New Roman"/>
          <w:szCs w:val="24"/>
        </w:rPr>
        <w:t xml:space="preserve"> a rappelé au Comité qu</w:t>
      </w:r>
      <w:r w:rsidR="00346F1B">
        <w:rPr>
          <w:rFonts w:cs="Times New Roman"/>
          <w:szCs w:val="24"/>
        </w:rPr>
        <w:t>’</w:t>
      </w:r>
      <w:r>
        <w:rPr>
          <w:rFonts w:cs="Times New Roman"/>
          <w:szCs w:val="24"/>
        </w:rPr>
        <w:t>il devait d</w:t>
      </w:r>
      <w:r w:rsidR="00346F1B">
        <w:rPr>
          <w:rFonts w:cs="Times New Roman"/>
          <w:szCs w:val="24"/>
        </w:rPr>
        <w:t>’</w:t>
      </w:r>
      <w:r>
        <w:rPr>
          <w:rFonts w:cs="Times New Roman"/>
          <w:szCs w:val="24"/>
        </w:rPr>
        <w:t xml:space="preserve">abord adopter le texte relatif au critère R.5 avant de passer aux autres </w:t>
      </w:r>
      <w:r w:rsidRPr="0066011A">
        <w:rPr>
          <w:rFonts w:cs="Times New Roman"/>
          <w:szCs w:val="24"/>
        </w:rPr>
        <w:t>paragraphe</w:t>
      </w:r>
      <w:r>
        <w:rPr>
          <w:rFonts w:cs="Times New Roman"/>
          <w:szCs w:val="24"/>
        </w:rPr>
        <w:t>s.</w:t>
      </w:r>
    </w:p>
    <w:p w14:paraId="7B2CE125" w14:textId="6BA59371" w:rsidR="0066011A" w:rsidRDefault="0066011A"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66011A">
        <w:rPr>
          <w:rFonts w:cs="Times New Roman"/>
          <w:szCs w:val="24"/>
        </w:rPr>
        <w:t>délégation</w:t>
      </w:r>
      <w:r>
        <w:rPr>
          <w:rFonts w:cs="Times New Roman"/>
          <w:szCs w:val="24"/>
        </w:rPr>
        <w:t xml:space="preserve"> du </w:t>
      </w:r>
      <w:r w:rsidRPr="0066011A">
        <w:rPr>
          <w:rFonts w:cs="Times New Roman"/>
          <w:b/>
          <w:szCs w:val="24"/>
        </w:rPr>
        <w:t>Sénégal</w:t>
      </w:r>
      <w:r>
        <w:rPr>
          <w:rFonts w:cs="Times New Roman"/>
          <w:szCs w:val="24"/>
        </w:rPr>
        <w:t xml:space="preserve"> soutenait </w:t>
      </w:r>
      <w:r w:rsidRPr="0066011A">
        <w:rPr>
          <w:rFonts w:cs="Times New Roman"/>
          <w:szCs w:val="24"/>
        </w:rPr>
        <w:t>également</w:t>
      </w:r>
      <w:r>
        <w:rPr>
          <w:rFonts w:cs="Times New Roman"/>
          <w:szCs w:val="24"/>
        </w:rPr>
        <w:t xml:space="preserve"> l</w:t>
      </w:r>
      <w:r w:rsidR="00346F1B">
        <w:rPr>
          <w:rFonts w:cs="Times New Roman"/>
          <w:szCs w:val="24"/>
        </w:rPr>
        <w:t>’</w:t>
      </w:r>
      <w:r w:rsidRPr="0066011A">
        <w:rPr>
          <w:rFonts w:cs="Times New Roman"/>
          <w:szCs w:val="24"/>
        </w:rPr>
        <w:t>amendement</w:t>
      </w:r>
      <w:r>
        <w:rPr>
          <w:rFonts w:cs="Times New Roman"/>
          <w:szCs w:val="24"/>
        </w:rPr>
        <w:t>, ajoutant que bien qu</w:t>
      </w:r>
      <w:r w:rsidR="00346F1B">
        <w:rPr>
          <w:rFonts w:cs="Times New Roman"/>
          <w:szCs w:val="24"/>
        </w:rPr>
        <w:t>’</w:t>
      </w:r>
      <w:r>
        <w:rPr>
          <w:rFonts w:cs="Times New Roman"/>
          <w:szCs w:val="24"/>
        </w:rPr>
        <w:t xml:space="preserve">il ne soit pas originaire cette région, le merengue était </w:t>
      </w:r>
      <w:r w:rsidRPr="0066011A">
        <w:rPr>
          <w:rFonts w:cs="Times New Roman"/>
          <w:szCs w:val="24"/>
        </w:rPr>
        <w:t>également</w:t>
      </w:r>
      <w:r>
        <w:rPr>
          <w:rFonts w:cs="Times New Roman"/>
          <w:szCs w:val="24"/>
        </w:rPr>
        <w:t xml:space="preserve"> pratiqué au Sénég</w:t>
      </w:r>
      <w:r w:rsidR="00FC6CAF">
        <w:rPr>
          <w:rFonts w:cs="Times New Roman"/>
          <w:szCs w:val="24"/>
        </w:rPr>
        <w:t>al par les communautés créoles.</w:t>
      </w:r>
    </w:p>
    <w:p w14:paraId="01AD2A05" w14:textId="5F8FE3ED" w:rsidR="00202522" w:rsidRPr="00202522" w:rsidRDefault="0066011A"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001B5B83" w:rsidRPr="001B5B83">
        <w:rPr>
          <w:rFonts w:cs="Times New Roman"/>
          <w:szCs w:val="24"/>
        </w:rPr>
        <w:t>délégation</w:t>
      </w:r>
      <w:r w:rsidR="001B5B83">
        <w:rPr>
          <w:rFonts w:cs="Times New Roman"/>
          <w:szCs w:val="24"/>
        </w:rPr>
        <w:t xml:space="preserve"> de la </w:t>
      </w:r>
      <w:r w:rsidR="001B5B83" w:rsidRPr="001B5B83">
        <w:rPr>
          <w:rFonts w:cs="Times New Roman"/>
          <w:b/>
          <w:szCs w:val="24"/>
        </w:rPr>
        <w:t>Colombie</w:t>
      </w:r>
      <w:r w:rsidR="001B5B83">
        <w:rPr>
          <w:rFonts w:cs="Times New Roman"/>
          <w:szCs w:val="24"/>
        </w:rPr>
        <w:t xml:space="preserve"> a souligné que le merengue faisait partie de l</w:t>
      </w:r>
      <w:r w:rsidR="00346F1B">
        <w:rPr>
          <w:rFonts w:cs="Times New Roman"/>
          <w:szCs w:val="24"/>
        </w:rPr>
        <w:t>’</w:t>
      </w:r>
      <w:r w:rsidR="001B5B83">
        <w:rPr>
          <w:rFonts w:cs="Times New Roman"/>
          <w:szCs w:val="24"/>
        </w:rPr>
        <w:t xml:space="preserve">âme de la </w:t>
      </w:r>
      <w:r w:rsidR="001B5B83" w:rsidRPr="001B5B83">
        <w:rPr>
          <w:rFonts w:cs="Times New Roman"/>
          <w:szCs w:val="24"/>
        </w:rPr>
        <w:t>République</w:t>
      </w:r>
      <w:r w:rsidR="001B5B83">
        <w:rPr>
          <w:rFonts w:cs="Times New Roman"/>
          <w:szCs w:val="24"/>
        </w:rPr>
        <w:t xml:space="preserve"> </w:t>
      </w:r>
      <w:r w:rsidR="001B5B83" w:rsidRPr="001B5B83">
        <w:rPr>
          <w:rFonts w:cs="Times New Roman"/>
          <w:szCs w:val="24"/>
        </w:rPr>
        <w:t>dominicaine</w:t>
      </w:r>
      <w:r w:rsidR="001B5B83">
        <w:rPr>
          <w:rFonts w:cs="Times New Roman"/>
          <w:szCs w:val="24"/>
        </w:rPr>
        <w:t xml:space="preserve"> et était reconnu dans la région caribéenne comme l</w:t>
      </w:r>
      <w:r w:rsidR="00346F1B">
        <w:rPr>
          <w:rFonts w:cs="Times New Roman"/>
          <w:szCs w:val="24"/>
        </w:rPr>
        <w:t>’</w:t>
      </w:r>
      <w:r w:rsidR="001B5B83">
        <w:rPr>
          <w:rFonts w:cs="Times New Roman"/>
          <w:szCs w:val="24"/>
        </w:rPr>
        <w:t xml:space="preserve">une des plus importantes </w:t>
      </w:r>
      <w:r w:rsidR="001B5B83" w:rsidRPr="001B5B83">
        <w:rPr>
          <w:rFonts w:cs="Times New Roman"/>
          <w:szCs w:val="24"/>
        </w:rPr>
        <w:t>expressions</w:t>
      </w:r>
      <w:r w:rsidR="001B5B83">
        <w:rPr>
          <w:rFonts w:cs="Times New Roman"/>
          <w:szCs w:val="24"/>
        </w:rPr>
        <w:t xml:space="preserve"> musicales, reliant entre eux tous les différents pays de la région. La vie, la </w:t>
      </w:r>
      <w:r w:rsidR="001B5B83" w:rsidRPr="001B5B83">
        <w:rPr>
          <w:rFonts w:cs="Times New Roman"/>
          <w:szCs w:val="24"/>
        </w:rPr>
        <w:t>communauté</w:t>
      </w:r>
      <w:r w:rsidR="001B5B83">
        <w:rPr>
          <w:rFonts w:cs="Times New Roman"/>
          <w:szCs w:val="24"/>
        </w:rPr>
        <w:t xml:space="preserve"> et le tissu social étaient </w:t>
      </w:r>
      <w:r w:rsidR="00202522">
        <w:rPr>
          <w:rFonts w:cs="Times New Roman"/>
          <w:szCs w:val="24"/>
        </w:rPr>
        <w:t xml:space="preserve">incarnés dans le merengue, et la </w:t>
      </w:r>
      <w:r w:rsidR="00202522" w:rsidRPr="00202522">
        <w:rPr>
          <w:rFonts w:cs="Times New Roman"/>
          <w:szCs w:val="24"/>
        </w:rPr>
        <w:t>délégation</w:t>
      </w:r>
      <w:r w:rsidR="00202522">
        <w:rPr>
          <w:rFonts w:cs="Times New Roman"/>
          <w:szCs w:val="24"/>
        </w:rPr>
        <w:t xml:space="preserve"> estimait donc que la </w:t>
      </w:r>
      <w:r w:rsidR="00202522" w:rsidRPr="00202522">
        <w:rPr>
          <w:rFonts w:cs="Times New Roman"/>
          <w:szCs w:val="24"/>
        </w:rPr>
        <w:t>participation</w:t>
      </w:r>
      <w:r w:rsidR="00202522">
        <w:rPr>
          <w:rFonts w:cs="Times New Roman"/>
          <w:szCs w:val="24"/>
        </w:rPr>
        <w:t xml:space="preserve"> de la communauté à cet élément était</w:t>
      </w:r>
      <w:r w:rsidR="005D1698">
        <w:rPr>
          <w:rFonts w:cs="Times New Roman"/>
          <w:szCs w:val="24"/>
        </w:rPr>
        <w:t xml:space="preserve"> certaine</w:t>
      </w:r>
      <w:r w:rsidR="00202522">
        <w:rPr>
          <w:rFonts w:cs="Times New Roman"/>
          <w:szCs w:val="24"/>
        </w:rPr>
        <w:t>. Elle soutenait donc l</w:t>
      </w:r>
      <w:r w:rsidR="00346F1B">
        <w:rPr>
          <w:rFonts w:cs="Times New Roman"/>
          <w:szCs w:val="24"/>
        </w:rPr>
        <w:t>’</w:t>
      </w:r>
      <w:r w:rsidR="00202522" w:rsidRPr="00202522">
        <w:rPr>
          <w:rFonts w:cs="Times New Roman"/>
          <w:szCs w:val="24"/>
        </w:rPr>
        <w:t>inscription</w:t>
      </w:r>
      <w:r w:rsidR="00202522">
        <w:rPr>
          <w:rFonts w:cs="Times New Roman"/>
          <w:szCs w:val="24"/>
        </w:rPr>
        <w:t xml:space="preserve"> du merengue et l</w:t>
      </w:r>
      <w:r w:rsidR="00346F1B">
        <w:rPr>
          <w:rFonts w:cs="Times New Roman"/>
          <w:szCs w:val="24"/>
        </w:rPr>
        <w:t>’</w:t>
      </w:r>
      <w:r w:rsidR="00202522" w:rsidRPr="00202522">
        <w:rPr>
          <w:rFonts w:cs="Times New Roman"/>
          <w:szCs w:val="24"/>
        </w:rPr>
        <w:t>amendement</w:t>
      </w:r>
      <w:r w:rsidR="00202522">
        <w:rPr>
          <w:rFonts w:cs="Times New Roman"/>
          <w:szCs w:val="24"/>
        </w:rPr>
        <w:t>.</w:t>
      </w:r>
    </w:p>
    <w:p w14:paraId="32CA4C6B" w14:textId="351DCD8A" w:rsidR="005D1698" w:rsidRPr="005D1698" w:rsidRDefault="005D1698"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sidRPr="005D1698">
        <w:rPr>
          <w:rFonts w:cs="Times New Roman"/>
          <w:szCs w:val="24"/>
        </w:rPr>
        <w:t xml:space="preserve">La délégation des </w:t>
      </w:r>
      <w:r w:rsidRPr="005D1698">
        <w:rPr>
          <w:rFonts w:cs="Times New Roman"/>
          <w:b/>
          <w:szCs w:val="24"/>
        </w:rPr>
        <w:t>Philippines</w:t>
      </w:r>
      <w:r w:rsidR="00450503">
        <w:rPr>
          <w:rFonts w:cs="Times New Roman"/>
          <w:szCs w:val="24"/>
        </w:rPr>
        <w:t xml:space="preserve"> estimait </w:t>
      </w:r>
      <w:r>
        <w:rPr>
          <w:rFonts w:cs="Times New Roman"/>
          <w:szCs w:val="24"/>
        </w:rPr>
        <w:t>qu</w:t>
      </w:r>
      <w:r w:rsidR="00346F1B">
        <w:rPr>
          <w:rFonts w:cs="Times New Roman"/>
          <w:szCs w:val="24"/>
        </w:rPr>
        <w:t>’</w:t>
      </w:r>
      <w:r>
        <w:rPr>
          <w:rFonts w:cs="Times New Roman"/>
          <w:szCs w:val="24"/>
        </w:rPr>
        <w:t>il n</w:t>
      </w:r>
      <w:r w:rsidR="00346F1B">
        <w:rPr>
          <w:rFonts w:cs="Times New Roman"/>
          <w:szCs w:val="24"/>
        </w:rPr>
        <w:t>’</w:t>
      </w:r>
      <w:r>
        <w:rPr>
          <w:rFonts w:cs="Times New Roman"/>
          <w:szCs w:val="24"/>
        </w:rPr>
        <w:t>y avait aucun manquement de la part de l</w:t>
      </w:r>
      <w:r w:rsidR="00346F1B">
        <w:rPr>
          <w:rFonts w:cs="Times New Roman"/>
          <w:szCs w:val="24"/>
        </w:rPr>
        <w:t>’</w:t>
      </w:r>
      <w:r>
        <w:rPr>
          <w:rFonts w:cs="Times New Roman"/>
          <w:szCs w:val="24"/>
        </w:rPr>
        <w:t xml:space="preserve">État soumissionnaire en ce qui concerne la </w:t>
      </w:r>
      <w:r w:rsidRPr="005D1698">
        <w:rPr>
          <w:rFonts w:cs="Times New Roman"/>
          <w:szCs w:val="24"/>
        </w:rPr>
        <w:t>participation</w:t>
      </w:r>
      <w:r>
        <w:rPr>
          <w:rFonts w:cs="Times New Roman"/>
          <w:szCs w:val="24"/>
        </w:rPr>
        <w:t xml:space="preserve"> des </w:t>
      </w:r>
      <w:r w:rsidRPr="005D1698">
        <w:rPr>
          <w:rFonts w:cs="Times New Roman"/>
          <w:szCs w:val="24"/>
        </w:rPr>
        <w:t>communauté</w:t>
      </w:r>
      <w:r>
        <w:rPr>
          <w:rFonts w:cs="Times New Roman"/>
          <w:szCs w:val="24"/>
        </w:rPr>
        <w:t>s ou des groupes concernés à la procédure d</w:t>
      </w:r>
      <w:r w:rsidR="00346F1B">
        <w:rPr>
          <w:rFonts w:cs="Times New Roman"/>
          <w:szCs w:val="24"/>
        </w:rPr>
        <w:t>’</w:t>
      </w:r>
      <w:r>
        <w:rPr>
          <w:rFonts w:cs="Times New Roman"/>
          <w:szCs w:val="24"/>
        </w:rPr>
        <w:t xml:space="preserve">inventaire, qui avait été dressé par des praticiens du </w:t>
      </w:r>
      <w:r w:rsidRPr="005D1698">
        <w:rPr>
          <w:rFonts w:cs="Times New Roman"/>
          <w:szCs w:val="24"/>
        </w:rPr>
        <w:t>patrimoine</w:t>
      </w:r>
      <w:r>
        <w:rPr>
          <w:rFonts w:cs="Times New Roman"/>
          <w:szCs w:val="24"/>
        </w:rPr>
        <w:t xml:space="preserve"> culturel tels que des agriculteurs locaux, des producteurs d</w:t>
      </w:r>
      <w:r w:rsidR="00346F1B">
        <w:rPr>
          <w:rFonts w:cs="Times New Roman"/>
          <w:szCs w:val="24"/>
        </w:rPr>
        <w:t>’</w:t>
      </w:r>
      <w:r>
        <w:rPr>
          <w:rFonts w:cs="Times New Roman"/>
          <w:szCs w:val="24"/>
        </w:rPr>
        <w:t xml:space="preserve">émissions de radio, des musiciens, des danseurs, des compositeurs et des chanteurs qui avaient activement pris part aux ateliers et réunions </w:t>
      </w:r>
      <w:r w:rsidR="00303A73">
        <w:rPr>
          <w:rFonts w:cs="Times New Roman"/>
          <w:szCs w:val="24"/>
        </w:rPr>
        <w:t xml:space="preserve">parrainés par le </w:t>
      </w:r>
      <w:r w:rsidR="00303A73" w:rsidRPr="00303A73">
        <w:rPr>
          <w:rFonts w:cs="Times New Roman"/>
          <w:szCs w:val="24"/>
        </w:rPr>
        <w:t>ministère</w:t>
      </w:r>
      <w:r w:rsidR="00303A73">
        <w:rPr>
          <w:rFonts w:cs="Times New Roman"/>
          <w:szCs w:val="24"/>
        </w:rPr>
        <w:t xml:space="preserve"> de la Culture, Bureau du </w:t>
      </w:r>
      <w:r w:rsidR="00303A73" w:rsidRPr="00303A73">
        <w:rPr>
          <w:rFonts w:cs="Times New Roman"/>
          <w:szCs w:val="24"/>
        </w:rPr>
        <w:t>patrimoine</w:t>
      </w:r>
      <w:r w:rsidR="00303A73">
        <w:rPr>
          <w:rFonts w:cs="Times New Roman"/>
          <w:szCs w:val="24"/>
        </w:rPr>
        <w:t xml:space="preserve"> culturel matériel. La </w:t>
      </w:r>
      <w:r w:rsidR="00303A73" w:rsidRPr="00303A73">
        <w:rPr>
          <w:rFonts w:cs="Times New Roman"/>
          <w:szCs w:val="24"/>
        </w:rPr>
        <w:t>délégation</w:t>
      </w:r>
      <w:r w:rsidR="00303A73">
        <w:rPr>
          <w:rFonts w:cs="Times New Roman"/>
          <w:szCs w:val="24"/>
        </w:rPr>
        <w:t xml:space="preserve"> soutenait donc l</w:t>
      </w:r>
      <w:r w:rsidR="00346F1B">
        <w:rPr>
          <w:rFonts w:cs="Times New Roman"/>
          <w:szCs w:val="24"/>
        </w:rPr>
        <w:t>’</w:t>
      </w:r>
      <w:r w:rsidR="00303A73" w:rsidRPr="00303A73">
        <w:rPr>
          <w:rFonts w:cs="Times New Roman"/>
          <w:szCs w:val="24"/>
        </w:rPr>
        <w:t>amendement</w:t>
      </w:r>
      <w:r w:rsidR="00303A73">
        <w:rPr>
          <w:rFonts w:cs="Times New Roman"/>
          <w:szCs w:val="24"/>
        </w:rPr>
        <w:t xml:space="preserve"> de Cuba et l</w:t>
      </w:r>
      <w:r w:rsidR="00346F1B">
        <w:rPr>
          <w:rFonts w:cs="Times New Roman"/>
          <w:szCs w:val="24"/>
        </w:rPr>
        <w:t>’</w:t>
      </w:r>
      <w:r w:rsidR="00303A73" w:rsidRPr="00303A73">
        <w:rPr>
          <w:rFonts w:cs="Times New Roman"/>
          <w:szCs w:val="24"/>
        </w:rPr>
        <w:t>inscription</w:t>
      </w:r>
      <w:r w:rsidR="00303A73">
        <w:rPr>
          <w:rFonts w:cs="Times New Roman"/>
          <w:szCs w:val="24"/>
        </w:rPr>
        <w:t xml:space="preserve"> de l</w:t>
      </w:r>
      <w:r w:rsidR="00346F1B">
        <w:rPr>
          <w:rFonts w:cs="Times New Roman"/>
          <w:szCs w:val="24"/>
        </w:rPr>
        <w:t>’</w:t>
      </w:r>
      <w:r w:rsidR="00311C6B">
        <w:rPr>
          <w:rFonts w:cs="Times New Roman"/>
          <w:szCs w:val="24"/>
        </w:rPr>
        <w:t>élément.</w:t>
      </w:r>
    </w:p>
    <w:p w14:paraId="164D8794" w14:textId="1779CA05" w:rsidR="00303A73" w:rsidRPr="00303A73" w:rsidRDefault="00303A7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Pr="00303A73">
        <w:rPr>
          <w:rFonts w:cs="Times New Roman"/>
          <w:b/>
          <w:szCs w:val="24"/>
        </w:rPr>
        <w:t>Président</w:t>
      </w:r>
      <w:r>
        <w:rPr>
          <w:rFonts w:cs="Times New Roman"/>
          <w:szCs w:val="24"/>
        </w:rPr>
        <w:t xml:space="preserve"> a pris note d</w:t>
      </w:r>
      <w:r w:rsidR="00346F1B">
        <w:rPr>
          <w:rFonts w:cs="Times New Roman"/>
          <w:szCs w:val="24"/>
        </w:rPr>
        <w:t>’</w:t>
      </w:r>
      <w:r>
        <w:rPr>
          <w:rFonts w:cs="Times New Roman"/>
          <w:szCs w:val="24"/>
        </w:rPr>
        <w:t>un soutien général en faveur de l</w:t>
      </w:r>
      <w:r w:rsidR="00346F1B">
        <w:rPr>
          <w:rFonts w:cs="Times New Roman"/>
          <w:szCs w:val="24"/>
        </w:rPr>
        <w:t>’</w:t>
      </w:r>
      <w:r w:rsidRPr="00303A73">
        <w:rPr>
          <w:rFonts w:cs="Times New Roman"/>
          <w:szCs w:val="24"/>
        </w:rPr>
        <w:t>amendement</w:t>
      </w:r>
      <w:r>
        <w:rPr>
          <w:rFonts w:cs="Times New Roman"/>
          <w:szCs w:val="24"/>
        </w:rPr>
        <w:t xml:space="preserve"> sur le </w:t>
      </w:r>
      <w:r w:rsidRPr="00303A73">
        <w:rPr>
          <w:rFonts w:cs="Times New Roman"/>
          <w:szCs w:val="24"/>
        </w:rPr>
        <w:t>critère</w:t>
      </w:r>
      <w:r w:rsidR="00311C6B">
        <w:rPr>
          <w:rFonts w:cs="Times New Roman"/>
          <w:szCs w:val="24"/>
        </w:rPr>
        <w:t xml:space="preserve"> R.5.</w:t>
      </w:r>
    </w:p>
    <w:p w14:paraId="514E7103" w14:textId="34668CC9" w:rsidR="00303A73" w:rsidRPr="00303A73" w:rsidRDefault="00303A7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303A73">
        <w:rPr>
          <w:rFonts w:cs="Times New Roman"/>
          <w:szCs w:val="24"/>
        </w:rPr>
        <w:t>délégation</w:t>
      </w:r>
      <w:r>
        <w:rPr>
          <w:rFonts w:cs="Times New Roman"/>
          <w:szCs w:val="24"/>
        </w:rPr>
        <w:t xml:space="preserve"> de la </w:t>
      </w:r>
      <w:r w:rsidRPr="00303A73">
        <w:rPr>
          <w:rFonts w:cs="Times New Roman"/>
          <w:b/>
          <w:szCs w:val="24"/>
        </w:rPr>
        <w:t>Hongrie</w:t>
      </w:r>
      <w:r>
        <w:rPr>
          <w:rFonts w:cs="Times New Roman"/>
          <w:szCs w:val="24"/>
        </w:rPr>
        <w:t xml:space="preserve"> soutenait l</w:t>
      </w:r>
      <w:r w:rsidR="00346F1B">
        <w:rPr>
          <w:rFonts w:cs="Times New Roman"/>
          <w:szCs w:val="24"/>
        </w:rPr>
        <w:t>’</w:t>
      </w:r>
      <w:r w:rsidRPr="00303A73">
        <w:rPr>
          <w:rFonts w:cs="Times New Roman"/>
          <w:szCs w:val="24"/>
        </w:rPr>
        <w:t>inscription</w:t>
      </w:r>
      <w:r>
        <w:rPr>
          <w:rFonts w:cs="Times New Roman"/>
          <w:szCs w:val="24"/>
        </w:rPr>
        <w:t xml:space="preserve"> de l</w:t>
      </w:r>
      <w:r w:rsidR="00346F1B">
        <w:rPr>
          <w:rFonts w:cs="Times New Roman"/>
          <w:szCs w:val="24"/>
        </w:rPr>
        <w:t>’</w:t>
      </w:r>
      <w:r w:rsidRPr="00303A73">
        <w:rPr>
          <w:rFonts w:cs="Times New Roman"/>
          <w:szCs w:val="24"/>
        </w:rPr>
        <w:t>élément</w:t>
      </w:r>
      <w:r>
        <w:rPr>
          <w:rFonts w:cs="Times New Roman"/>
          <w:szCs w:val="24"/>
        </w:rPr>
        <w:t xml:space="preserve"> mais elle </w:t>
      </w:r>
      <w:r w:rsidR="00C15808">
        <w:rPr>
          <w:rFonts w:cs="Times New Roman"/>
          <w:szCs w:val="24"/>
        </w:rPr>
        <w:t>souhaitait</w:t>
      </w:r>
      <w:r>
        <w:rPr>
          <w:rFonts w:cs="Times New Roman"/>
          <w:szCs w:val="24"/>
        </w:rPr>
        <w:t xml:space="preserve"> toutefois modifier l</w:t>
      </w:r>
      <w:r w:rsidR="00346F1B">
        <w:rPr>
          <w:rFonts w:cs="Times New Roman"/>
          <w:szCs w:val="24"/>
        </w:rPr>
        <w:t>’</w:t>
      </w:r>
      <w:r w:rsidRPr="00303A73">
        <w:rPr>
          <w:rFonts w:cs="Times New Roman"/>
          <w:szCs w:val="24"/>
        </w:rPr>
        <w:t>amendement</w:t>
      </w:r>
      <w:r>
        <w:rPr>
          <w:rFonts w:cs="Times New Roman"/>
          <w:szCs w:val="24"/>
        </w:rPr>
        <w:t xml:space="preserve"> au titre du </w:t>
      </w:r>
      <w:r w:rsidRPr="00303A73">
        <w:rPr>
          <w:rFonts w:cs="Times New Roman"/>
          <w:szCs w:val="24"/>
        </w:rPr>
        <w:t>critère</w:t>
      </w:r>
      <w:r>
        <w:rPr>
          <w:rFonts w:cs="Times New Roman"/>
          <w:szCs w:val="24"/>
        </w:rPr>
        <w:t xml:space="preserve"> R.5. La </w:t>
      </w:r>
      <w:r w:rsidRPr="00303A73">
        <w:rPr>
          <w:rFonts w:cs="Times New Roman"/>
          <w:szCs w:val="24"/>
        </w:rPr>
        <w:t>délégation</w:t>
      </w:r>
      <w:r>
        <w:rPr>
          <w:rFonts w:cs="Times New Roman"/>
          <w:szCs w:val="24"/>
        </w:rPr>
        <w:t xml:space="preserve"> a rappelé que le </w:t>
      </w:r>
      <w:r w:rsidRPr="00303A73">
        <w:rPr>
          <w:rFonts w:cs="Times New Roman"/>
          <w:szCs w:val="24"/>
        </w:rPr>
        <w:t>critère</w:t>
      </w:r>
      <w:r>
        <w:rPr>
          <w:rFonts w:cs="Times New Roman"/>
          <w:szCs w:val="24"/>
        </w:rPr>
        <w:t xml:space="preserve"> R.5 concernait l</w:t>
      </w:r>
      <w:r w:rsidR="00346F1B">
        <w:rPr>
          <w:rFonts w:cs="Times New Roman"/>
          <w:szCs w:val="24"/>
        </w:rPr>
        <w:t>’</w:t>
      </w:r>
      <w:r w:rsidRPr="00303A73">
        <w:rPr>
          <w:rFonts w:cs="Times New Roman"/>
          <w:szCs w:val="24"/>
        </w:rPr>
        <w:t>inscription</w:t>
      </w:r>
      <w:r>
        <w:rPr>
          <w:rFonts w:cs="Times New Roman"/>
          <w:szCs w:val="24"/>
        </w:rPr>
        <w:t xml:space="preserve"> d</w:t>
      </w:r>
      <w:r w:rsidR="00346F1B">
        <w:rPr>
          <w:rFonts w:cs="Times New Roman"/>
          <w:szCs w:val="24"/>
        </w:rPr>
        <w:t>’</w:t>
      </w:r>
      <w:r>
        <w:rPr>
          <w:rFonts w:cs="Times New Roman"/>
          <w:szCs w:val="24"/>
        </w:rPr>
        <w:t>un élément à l</w:t>
      </w:r>
      <w:r w:rsidR="00346F1B">
        <w:rPr>
          <w:rFonts w:cs="Times New Roman"/>
          <w:szCs w:val="24"/>
        </w:rPr>
        <w:t>’</w:t>
      </w:r>
      <w:r w:rsidRPr="00303A73">
        <w:rPr>
          <w:rFonts w:cs="Times New Roman"/>
          <w:szCs w:val="24"/>
        </w:rPr>
        <w:t>inventaire</w:t>
      </w:r>
      <w:r>
        <w:rPr>
          <w:rFonts w:cs="Times New Roman"/>
          <w:szCs w:val="24"/>
        </w:rPr>
        <w:t xml:space="preserve"> national </w:t>
      </w:r>
      <w:r w:rsidR="006407F3">
        <w:rPr>
          <w:rFonts w:cs="Times New Roman"/>
          <w:szCs w:val="24"/>
        </w:rPr>
        <w:t xml:space="preserve">et que celui-ci </w:t>
      </w:r>
      <w:r>
        <w:rPr>
          <w:rFonts w:cs="Times New Roman"/>
          <w:szCs w:val="24"/>
        </w:rPr>
        <w:t>éta</w:t>
      </w:r>
      <w:r w:rsidR="006407F3">
        <w:rPr>
          <w:rFonts w:cs="Times New Roman"/>
          <w:szCs w:val="24"/>
        </w:rPr>
        <w:t xml:space="preserve">it dressé </w:t>
      </w:r>
      <w:r>
        <w:rPr>
          <w:rFonts w:cs="Times New Roman"/>
          <w:szCs w:val="24"/>
        </w:rPr>
        <w:t xml:space="preserve">avec la </w:t>
      </w:r>
      <w:r w:rsidRPr="00303A73">
        <w:rPr>
          <w:rFonts w:cs="Times New Roman"/>
          <w:szCs w:val="24"/>
        </w:rPr>
        <w:t>participation</w:t>
      </w:r>
      <w:r>
        <w:rPr>
          <w:rFonts w:cs="Times New Roman"/>
          <w:szCs w:val="24"/>
        </w:rPr>
        <w:t xml:space="preserve"> des communautés et </w:t>
      </w:r>
      <w:r w:rsidRPr="00303A73">
        <w:rPr>
          <w:szCs w:val="24"/>
        </w:rPr>
        <w:t>régulièrement</w:t>
      </w:r>
      <w:r w:rsidR="006407F3">
        <w:rPr>
          <w:rFonts w:cs="Times New Roman"/>
          <w:szCs w:val="24"/>
        </w:rPr>
        <w:t xml:space="preserve"> mis</w:t>
      </w:r>
      <w:r>
        <w:rPr>
          <w:rFonts w:cs="Times New Roman"/>
          <w:szCs w:val="24"/>
        </w:rPr>
        <w:t xml:space="preserve"> à jour. En prenant pour exemples d</w:t>
      </w:r>
      <w:r w:rsidR="00346F1B">
        <w:rPr>
          <w:rFonts w:cs="Times New Roman"/>
          <w:szCs w:val="24"/>
        </w:rPr>
        <w:t>’</w:t>
      </w:r>
      <w:r>
        <w:rPr>
          <w:rFonts w:cs="Times New Roman"/>
          <w:szCs w:val="24"/>
        </w:rPr>
        <w:t xml:space="preserve">autres éléments inscrits, comme Nawrouz, le </w:t>
      </w:r>
      <w:r w:rsidRPr="00303A73">
        <w:rPr>
          <w:rFonts w:cs="Times New Roman"/>
          <w:szCs w:val="24"/>
        </w:rPr>
        <w:t>critère</w:t>
      </w:r>
      <w:r>
        <w:rPr>
          <w:rFonts w:cs="Times New Roman"/>
          <w:szCs w:val="24"/>
        </w:rPr>
        <w:t xml:space="preserve"> R.5 devrait expliciter les éléments sur lesquels les </w:t>
      </w:r>
      <w:r>
        <w:t xml:space="preserve">éclaircissements </w:t>
      </w:r>
      <w:r w:rsidR="006407F3">
        <w:t>de l</w:t>
      </w:r>
      <w:r w:rsidR="00346F1B">
        <w:t>’</w:t>
      </w:r>
      <w:r w:rsidR="006407F3">
        <w:t xml:space="preserve">État soumissionnaire avaient </w:t>
      </w:r>
      <w:r>
        <w:t>porté</w:t>
      </w:r>
      <w:r w:rsidR="006407F3">
        <w:t>. La délégation a donc suggéré d</w:t>
      </w:r>
      <w:r w:rsidR="00346F1B">
        <w:t>’</w:t>
      </w:r>
      <w:r w:rsidR="006407F3">
        <w:t>ajouter une phrase pour préciser que l</w:t>
      </w:r>
      <w:r w:rsidR="00346F1B">
        <w:t>’</w:t>
      </w:r>
      <w:r w:rsidR="006407F3">
        <w:t xml:space="preserve">inventaire avait été préparé avec la participation des communautés et </w:t>
      </w:r>
      <w:r w:rsidR="00311C6B">
        <w:t>était régulièrement mis à jour.</w:t>
      </w:r>
    </w:p>
    <w:p w14:paraId="51BE4E49" w14:textId="669AC661" w:rsidR="006407F3" w:rsidRPr="006407F3" w:rsidRDefault="006407F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Pr="006407F3">
        <w:rPr>
          <w:rFonts w:cs="Times New Roman"/>
          <w:b/>
          <w:szCs w:val="24"/>
        </w:rPr>
        <w:t>Président</w:t>
      </w:r>
      <w:r>
        <w:rPr>
          <w:rFonts w:cs="Times New Roman"/>
          <w:szCs w:val="24"/>
        </w:rPr>
        <w:t xml:space="preserve"> a demandé au Comité s</w:t>
      </w:r>
      <w:r w:rsidR="00346F1B">
        <w:rPr>
          <w:rFonts w:cs="Times New Roman"/>
          <w:szCs w:val="24"/>
        </w:rPr>
        <w:t>’</w:t>
      </w:r>
      <w:r>
        <w:rPr>
          <w:rFonts w:cs="Times New Roman"/>
          <w:szCs w:val="24"/>
        </w:rPr>
        <w:t>il acceptait l</w:t>
      </w:r>
      <w:r w:rsidR="00346F1B">
        <w:rPr>
          <w:rFonts w:cs="Times New Roman"/>
          <w:szCs w:val="24"/>
        </w:rPr>
        <w:t>’</w:t>
      </w:r>
      <w:r w:rsidRPr="006407F3">
        <w:rPr>
          <w:rFonts w:cs="Times New Roman"/>
          <w:szCs w:val="24"/>
        </w:rPr>
        <w:t>amendement</w:t>
      </w:r>
      <w:r w:rsidR="00311C6B">
        <w:rPr>
          <w:rFonts w:cs="Times New Roman"/>
          <w:szCs w:val="24"/>
        </w:rPr>
        <w:t xml:space="preserve"> de la Hongrie.</w:t>
      </w:r>
    </w:p>
    <w:p w14:paraId="0B7371F9" w14:textId="15ACB84E" w:rsidR="006407F3" w:rsidRDefault="006407F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6407F3">
        <w:rPr>
          <w:rFonts w:cs="Times New Roman"/>
          <w:szCs w:val="24"/>
        </w:rPr>
        <w:t>délégation</w:t>
      </w:r>
      <w:r>
        <w:rPr>
          <w:rFonts w:cs="Times New Roman"/>
          <w:szCs w:val="24"/>
        </w:rPr>
        <w:t xml:space="preserve"> de l</w:t>
      </w:r>
      <w:r w:rsidR="00346F1B">
        <w:rPr>
          <w:rFonts w:cs="Times New Roman"/>
          <w:szCs w:val="24"/>
        </w:rPr>
        <w:t>’</w:t>
      </w:r>
      <w:r w:rsidRPr="006407F3">
        <w:rPr>
          <w:rFonts w:cs="Times New Roman"/>
          <w:b/>
          <w:szCs w:val="24"/>
        </w:rPr>
        <w:t>Arménie</w:t>
      </w:r>
      <w:r>
        <w:rPr>
          <w:rFonts w:cs="Times New Roman"/>
          <w:szCs w:val="24"/>
        </w:rPr>
        <w:t xml:space="preserve"> soutenait l</w:t>
      </w:r>
      <w:r w:rsidR="00346F1B">
        <w:rPr>
          <w:rFonts w:cs="Times New Roman"/>
          <w:szCs w:val="24"/>
        </w:rPr>
        <w:t>’</w:t>
      </w:r>
      <w:r w:rsidRPr="006407F3">
        <w:rPr>
          <w:rFonts w:cs="Times New Roman"/>
          <w:szCs w:val="24"/>
        </w:rPr>
        <w:t>amendement</w:t>
      </w:r>
      <w:r>
        <w:rPr>
          <w:rFonts w:cs="Times New Roman"/>
          <w:szCs w:val="24"/>
        </w:rPr>
        <w:t xml:space="preserve"> </w:t>
      </w:r>
      <w:r w:rsidR="00311C6B">
        <w:rPr>
          <w:rFonts w:cs="Times New Roman"/>
          <w:szCs w:val="24"/>
        </w:rPr>
        <w:t>du Cuba et celui de la Hongrie.</w:t>
      </w:r>
    </w:p>
    <w:p w14:paraId="192F5885" w14:textId="37729A69" w:rsidR="006407F3" w:rsidRPr="006407F3" w:rsidRDefault="006407F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6407F3">
        <w:rPr>
          <w:rFonts w:cs="Times New Roman"/>
          <w:szCs w:val="24"/>
        </w:rPr>
        <w:t>délégation</w:t>
      </w:r>
      <w:r>
        <w:rPr>
          <w:rFonts w:cs="Times New Roman"/>
          <w:szCs w:val="24"/>
        </w:rPr>
        <w:t xml:space="preserve"> de </w:t>
      </w:r>
      <w:r w:rsidRPr="006407F3">
        <w:rPr>
          <w:rFonts w:cs="Times New Roman"/>
          <w:b/>
          <w:szCs w:val="24"/>
        </w:rPr>
        <w:t>Maurice</w:t>
      </w:r>
      <w:r>
        <w:rPr>
          <w:rFonts w:cs="Times New Roman"/>
          <w:szCs w:val="24"/>
        </w:rPr>
        <w:t xml:space="preserve"> soutenait l</w:t>
      </w:r>
      <w:r w:rsidR="00346F1B">
        <w:rPr>
          <w:rFonts w:cs="Times New Roman"/>
          <w:szCs w:val="24"/>
        </w:rPr>
        <w:t>’</w:t>
      </w:r>
      <w:r w:rsidRPr="006407F3">
        <w:rPr>
          <w:rFonts w:cs="Times New Roman"/>
          <w:szCs w:val="24"/>
        </w:rPr>
        <w:t>amendement</w:t>
      </w:r>
      <w:r>
        <w:rPr>
          <w:rFonts w:cs="Times New Roman"/>
          <w:szCs w:val="24"/>
        </w:rPr>
        <w:t xml:space="preserve"> de la Hongrie.</w:t>
      </w:r>
    </w:p>
    <w:p w14:paraId="79C58003" w14:textId="665E9BFE" w:rsidR="006407F3" w:rsidRPr="006407F3" w:rsidRDefault="006407F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6407F3">
        <w:rPr>
          <w:rFonts w:cs="Times New Roman"/>
          <w:szCs w:val="24"/>
        </w:rPr>
        <w:t>délégation</w:t>
      </w:r>
      <w:r>
        <w:rPr>
          <w:rFonts w:cs="Times New Roman"/>
          <w:szCs w:val="24"/>
        </w:rPr>
        <w:t xml:space="preserve"> de la </w:t>
      </w:r>
      <w:r w:rsidRPr="006407F3">
        <w:rPr>
          <w:rFonts w:cs="Times New Roman"/>
          <w:b/>
          <w:szCs w:val="24"/>
        </w:rPr>
        <w:t>République de Corée</w:t>
      </w:r>
      <w:r>
        <w:rPr>
          <w:rFonts w:cs="Times New Roman"/>
          <w:szCs w:val="24"/>
        </w:rPr>
        <w:t xml:space="preserve"> était favorable au projet de décision amendé par Cuba et légèrement modifié par la Palestine. En règle générale, les projets de décision étaient </w:t>
      </w:r>
      <w:r w:rsidR="00B93F74">
        <w:rPr>
          <w:rFonts w:cs="Times New Roman"/>
          <w:szCs w:val="24"/>
        </w:rPr>
        <w:t>le résultat d</w:t>
      </w:r>
      <w:r w:rsidR="00346F1B">
        <w:rPr>
          <w:rFonts w:cs="Times New Roman"/>
          <w:szCs w:val="24"/>
        </w:rPr>
        <w:t>’</w:t>
      </w:r>
      <w:r w:rsidR="00B93F74">
        <w:rPr>
          <w:rFonts w:cs="Times New Roman"/>
          <w:szCs w:val="24"/>
        </w:rPr>
        <w:t>une longue et attentive délibération de l</w:t>
      </w:r>
      <w:r w:rsidR="00346F1B">
        <w:rPr>
          <w:rFonts w:cs="Times New Roman"/>
          <w:szCs w:val="24"/>
        </w:rPr>
        <w:t>’</w:t>
      </w:r>
      <w:r w:rsidR="00B93F74">
        <w:rPr>
          <w:rFonts w:cs="Times New Roman"/>
          <w:szCs w:val="24"/>
        </w:rPr>
        <w:t>Organe d</w:t>
      </w:r>
      <w:r w:rsidR="00346F1B">
        <w:rPr>
          <w:rFonts w:cs="Times New Roman"/>
          <w:szCs w:val="24"/>
        </w:rPr>
        <w:t>’</w:t>
      </w:r>
      <w:r w:rsidR="00B93F74">
        <w:rPr>
          <w:rFonts w:cs="Times New Roman"/>
          <w:szCs w:val="24"/>
        </w:rPr>
        <w:t>évaluation qui veillait à s</w:t>
      </w:r>
      <w:r w:rsidR="00346F1B">
        <w:rPr>
          <w:rFonts w:cs="Times New Roman"/>
          <w:szCs w:val="24"/>
        </w:rPr>
        <w:t>’</w:t>
      </w:r>
      <w:r w:rsidR="00B93F74">
        <w:rPr>
          <w:rFonts w:cs="Times New Roman"/>
          <w:szCs w:val="24"/>
        </w:rPr>
        <w:t xml:space="preserve">en tenir aux principes de la </w:t>
      </w:r>
      <w:r w:rsidR="00B93F74" w:rsidRPr="00B93F74">
        <w:rPr>
          <w:rFonts w:cs="Times New Roman"/>
          <w:szCs w:val="24"/>
        </w:rPr>
        <w:t>Convention</w:t>
      </w:r>
      <w:r w:rsidR="00B93F74">
        <w:rPr>
          <w:rFonts w:cs="Times New Roman"/>
          <w:szCs w:val="24"/>
        </w:rPr>
        <w:t xml:space="preserve">. La </w:t>
      </w:r>
      <w:r w:rsidR="00B93F74" w:rsidRPr="00B93F74">
        <w:rPr>
          <w:rFonts w:cs="Times New Roman"/>
          <w:szCs w:val="24"/>
        </w:rPr>
        <w:t>délégation</w:t>
      </w:r>
      <w:r w:rsidR="00B93F74">
        <w:rPr>
          <w:rFonts w:cs="Times New Roman"/>
          <w:szCs w:val="24"/>
        </w:rPr>
        <w:t xml:space="preserve"> acceptait l</w:t>
      </w:r>
      <w:r w:rsidR="00346F1B">
        <w:rPr>
          <w:rFonts w:cs="Times New Roman"/>
          <w:szCs w:val="24"/>
        </w:rPr>
        <w:t>’</w:t>
      </w:r>
      <w:r w:rsidR="00B93F74">
        <w:rPr>
          <w:rFonts w:cs="Times New Roman"/>
          <w:szCs w:val="24"/>
        </w:rPr>
        <w:t>argument formulé par l</w:t>
      </w:r>
      <w:r w:rsidR="00346F1B">
        <w:rPr>
          <w:rFonts w:cs="Times New Roman"/>
          <w:szCs w:val="24"/>
        </w:rPr>
        <w:t>’</w:t>
      </w:r>
      <w:r w:rsidR="00B93F74">
        <w:rPr>
          <w:rFonts w:cs="Times New Roman"/>
          <w:szCs w:val="24"/>
        </w:rPr>
        <w:t>Organe d</w:t>
      </w:r>
      <w:r w:rsidR="00346F1B">
        <w:rPr>
          <w:rFonts w:cs="Times New Roman"/>
          <w:szCs w:val="24"/>
        </w:rPr>
        <w:t>’</w:t>
      </w:r>
      <w:r w:rsidR="00B93F74">
        <w:rPr>
          <w:rFonts w:cs="Times New Roman"/>
          <w:szCs w:val="24"/>
        </w:rPr>
        <w:t>évaluation dans le projet original, selon lequel il y avait dans le dossier de candidature des omissions techniques mineures, auxquelles l</w:t>
      </w:r>
      <w:r w:rsidR="00346F1B">
        <w:rPr>
          <w:rFonts w:cs="Times New Roman"/>
          <w:szCs w:val="24"/>
        </w:rPr>
        <w:t>’</w:t>
      </w:r>
      <w:r w:rsidR="00B93F74">
        <w:rPr>
          <w:rFonts w:cs="Times New Roman"/>
          <w:szCs w:val="24"/>
        </w:rPr>
        <w:t xml:space="preserve">État soumissionnaire avait répondu de </w:t>
      </w:r>
      <w:r w:rsidR="00311C6B">
        <w:rPr>
          <w:rFonts w:cs="Times New Roman"/>
          <w:szCs w:val="24"/>
        </w:rPr>
        <w:t>façon correcte et convaincante.</w:t>
      </w:r>
    </w:p>
    <w:p w14:paraId="695AFA11" w14:textId="6E4CC24B" w:rsidR="00B93F74" w:rsidRPr="00B93F74" w:rsidRDefault="00B93F74"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B93F74">
        <w:rPr>
          <w:rFonts w:cs="Times New Roman"/>
          <w:szCs w:val="24"/>
        </w:rPr>
        <w:t>délégation</w:t>
      </w:r>
      <w:r>
        <w:rPr>
          <w:rFonts w:cs="Times New Roman"/>
          <w:szCs w:val="24"/>
        </w:rPr>
        <w:t xml:space="preserve"> de </w:t>
      </w:r>
      <w:r w:rsidRPr="00B93F74">
        <w:rPr>
          <w:rFonts w:cs="Times New Roman"/>
          <w:b/>
          <w:szCs w:val="24"/>
        </w:rPr>
        <w:t>Chypre</w:t>
      </w:r>
      <w:r>
        <w:rPr>
          <w:rFonts w:cs="Times New Roman"/>
          <w:szCs w:val="24"/>
        </w:rPr>
        <w:t xml:space="preserve"> soutenait </w:t>
      </w:r>
      <w:r w:rsidRPr="00B93F74">
        <w:rPr>
          <w:rFonts w:cs="Times New Roman"/>
          <w:szCs w:val="24"/>
        </w:rPr>
        <w:t>également</w:t>
      </w:r>
      <w:r>
        <w:rPr>
          <w:rFonts w:cs="Times New Roman"/>
          <w:szCs w:val="24"/>
        </w:rPr>
        <w:t xml:space="preserve"> les amendements de Cuba. Elle </w:t>
      </w:r>
      <w:r w:rsidR="00C15808">
        <w:rPr>
          <w:rFonts w:cs="Times New Roman"/>
          <w:szCs w:val="24"/>
        </w:rPr>
        <w:t xml:space="preserve">souhaitait </w:t>
      </w:r>
      <w:r>
        <w:rPr>
          <w:rFonts w:cs="Times New Roman"/>
          <w:szCs w:val="24"/>
        </w:rPr>
        <w:t xml:space="preserve">toutefois conserver le même </w:t>
      </w:r>
      <w:r w:rsidRPr="00B93F74">
        <w:rPr>
          <w:rFonts w:cs="Times New Roman"/>
          <w:szCs w:val="24"/>
        </w:rPr>
        <w:t>paragraphe</w:t>
      </w:r>
      <w:r>
        <w:rPr>
          <w:rFonts w:cs="Times New Roman"/>
          <w:szCs w:val="24"/>
        </w:rPr>
        <w:t xml:space="preserve"> que celui ajouté </w:t>
      </w:r>
      <w:r w:rsidR="008C0B2F">
        <w:rPr>
          <w:rFonts w:cs="Times New Roman"/>
          <w:szCs w:val="24"/>
        </w:rPr>
        <w:t xml:space="preserve">pour le </w:t>
      </w:r>
      <w:r w:rsidRPr="00B93F74">
        <w:rPr>
          <w:szCs w:val="24"/>
        </w:rPr>
        <w:t>Bangladesh</w:t>
      </w:r>
      <w:r>
        <w:rPr>
          <w:szCs w:val="24"/>
        </w:rPr>
        <w:t xml:space="preserve"> sur le même sujet, et ne pas l</w:t>
      </w:r>
      <w:r w:rsidR="00346F1B">
        <w:rPr>
          <w:szCs w:val="24"/>
        </w:rPr>
        <w:t>’</w:t>
      </w:r>
      <w:r>
        <w:rPr>
          <w:szCs w:val="24"/>
        </w:rPr>
        <w:t xml:space="preserve">inclure dans le texte sur le </w:t>
      </w:r>
      <w:r w:rsidRPr="00B93F74">
        <w:rPr>
          <w:szCs w:val="24"/>
        </w:rPr>
        <w:t>critère</w:t>
      </w:r>
      <w:r>
        <w:rPr>
          <w:szCs w:val="24"/>
        </w:rPr>
        <w:t xml:space="preserve"> R.5 comme l</w:t>
      </w:r>
      <w:r w:rsidR="00346F1B">
        <w:rPr>
          <w:szCs w:val="24"/>
        </w:rPr>
        <w:t>’</w:t>
      </w:r>
      <w:r w:rsidR="00311C6B">
        <w:rPr>
          <w:szCs w:val="24"/>
        </w:rPr>
        <w:t>avait proposé la Hongrie.</w:t>
      </w:r>
    </w:p>
    <w:p w14:paraId="1E3C0BBC" w14:textId="30286819" w:rsidR="008C0B2F" w:rsidRPr="008C0B2F" w:rsidRDefault="008C0B2F"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Pr="008C0B2F">
        <w:rPr>
          <w:rFonts w:cs="Times New Roman"/>
          <w:b/>
          <w:szCs w:val="24"/>
        </w:rPr>
        <w:t>Président</w:t>
      </w:r>
      <w:r>
        <w:rPr>
          <w:rFonts w:cs="Times New Roman"/>
          <w:szCs w:val="24"/>
        </w:rPr>
        <w:t xml:space="preserve"> a rappelé à Chypre que le </w:t>
      </w:r>
      <w:r w:rsidRPr="008C0B2F">
        <w:rPr>
          <w:rFonts w:cs="Times New Roman"/>
          <w:szCs w:val="24"/>
        </w:rPr>
        <w:t>paragraphe</w:t>
      </w:r>
      <w:r>
        <w:rPr>
          <w:rFonts w:cs="Times New Roman"/>
          <w:szCs w:val="24"/>
        </w:rPr>
        <w:t xml:space="preserve"> serait ajouté après toutes les décisions et qu</w:t>
      </w:r>
      <w:r w:rsidR="00346F1B">
        <w:rPr>
          <w:rFonts w:cs="Times New Roman"/>
          <w:szCs w:val="24"/>
        </w:rPr>
        <w:t>’</w:t>
      </w:r>
      <w:r>
        <w:rPr>
          <w:rFonts w:cs="Times New Roman"/>
          <w:szCs w:val="24"/>
        </w:rPr>
        <w:t>il n</w:t>
      </w:r>
      <w:r w:rsidR="00346F1B">
        <w:rPr>
          <w:rFonts w:cs="Times New Roman"/>
          <w:szCs w:val="24"/>
        </w:rPr>
        <w:t>’</w:t>
      </w:r>
      <w:r>
        <w:rPr>
          <w:rFonts w:cs="Times New Roman"/>
          <w:szCs w:val="24"/>
        </w:rPr>
        <w:t>était donc p</w:t>
      </w:r>
      <w:r w:rsidR="00C15808">
        <w:rPr>
          <w:rFonts w:cs="Times New Roman"/>
          <w:szCs w:val="24"/>
        </w:rPr>
        <w:t>as nécessaire d</w:t>
      </w:r>
      <w:r w:rsidR="00346F1B">
        <w:rPr>
          <w:rFonts w:cs="Times New Roman"/>
          <w:szCs w:val="24"/>
        </w:rPr>
        <w:t>’</w:t>
      </w:r>
      <w:r w:rsidR="00C15808">
        <w:rPr>
          <w:rFonts w:cs="Times New Roman"/>
          <w:szCs w:val="24"/>
        </w:rPr>
        <w:t>en débattre davantage</w:t>
      </w:r>
      <w:r>
        <w:rPr>
          <w:rFonts w:cs="Times New Roman"/>
          <w:szCs w:val="24"/>
        </w:rPr>
        <w:t>.</w:t>
      </w:r>
    </w:p>
    <w:p w14:paraId="5CD21580" w14:textId="0BFA90AC" w:rsidR="008C0B2F" w:rsidRDefault="008C0B2F"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8C0B2F">
        <w:rPr>
          <w:rFonts w:cs="Times New Roman"/>
          <w:szCs w:val="24"/>
        </w:rPr>
        <w:t>délégation</w:t>
      </w:r>
      <w:r>
        <w:rPr>
          <w:rFonts w:cs="Times New Roman"/>
          <w:szCs w:val="24"/>
        </w:rPr>
        <w:t xml:space="preserve"> de la </w:t>
      </w:r>
      <w:r w:rsidRPr="008C0B2F">
        <w:rPr>
          <w:rFonts w:cs="Times New Roman"/>
          <w:b/>
          <w:szCs w:val="24"/>
        </w:rPr>
        <w:t>Zambie</w:t>
      </w:r>
      <w:r>
        <w:rPr>
          <w:rFonts w:cs="Times New Roman"/>
          <w:szCs w:val="24"/>
        </w:rPr>
        <w:t xml:space="preserve"> soutenait la suggestion </w:t>
      </w:r>
      <w:r w:rsidR="00DC0213">
        <w:rPr>
          <w:rFonts w:cs="Times New Roman"/>
          <w:szCs w:val="24"/>
        </w:rPr>
        <w:t xml:space="preserve">visant à </w:t>
      </w:r>
      <w:r>
        <w:rPr>
          <w:rFonts w:cs="Times New Roman"/>
          <w:szCs w:val="24"/>
        </w:rPr>
        <w:t xml:space="preserve">adopter les premières phrases, mais </w:t>
      </w:r>
      <w:r w:rsidR="00DC0213">
        <w:rPr>
          <w:rFonts w:cs="Times New Roman"/>
          <w:szCs w:val="24"/>
        </w:rPr>
        <w:t xml:space="preserve">elle était </w:t>
      </w:r>
      <w:r>
        <w:rPr>
          <w:rFonts w:cs="Times New Roman"/>
          <w:szCs w:val="24"/>
        </w:rPr>
        <w:t xml:space="preserve">gênée par la référence à un </w:t>
      </w:r>
      <w:r w:rsidRPr="008C0B2F">
        <w:rPr>
          <w:rFonts w:cs="Times New Roman"/>
          <w:szCs w:val="24"/>
        </w:rPr>
        <w:t>inventaire</w:t>
      </w:r>
      <w:r>
        <w:rPr>
          <w:rFonts w:cs="Times New Roman"/>
          <w:szCs w:val="24"/>
        </w:rPr>
        <w:t xml:space="preserve"> « partiel », à moins que ce</w:t>
      </w:r>
      <w:r w:rsidR="00311C6B">
        <w:rPr>
          <w:rFonts w:cs="Times New Roman"/>
          <w:szCs w:val="24"/>
        </w:rPr>
        <w:t>la ait une certaine importance.</w:t>
      </w:r>
    </w:p>
    <w:p w14:paraId="0D609DE2" w14:textId="047439CA" w:rsidR="00DC0213" w:rsidRPr="00DC0213" w:rsidRDefault="00DC021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DC0213">
        <w:rPr>
          <w:rFonts w:cs="Times New Roman"/>
          <w:szCs w:val="24"/>
        </w:rPr>
        <w:t>délégation</w:t>
      </w:r>
      <w:r>
        <w:rPr>
          <w:rFonts w:cs="Times New Roman"/>
          <w:szCs w:val="24"/>
        </w:rPr>
        <w:t xml:space="preserve"> de la </w:t>
      </w:r>
      <w:r w:rsidRPr="00DC0213">
        <w:rPr>
          <w:rFonts w:cs="Times New Roman"/>
          <w:b/>
          <w:szCs w:val="24"/>
        </w:rPr>
        <w:t>Côte d</w:t>
      </w:r>
      <w:r w:rsidR="00346F1B">
        <w:rPr>
          <w:rFonts w:cs="Times New Roman"/>
          <w:b/>
          <w:szCs w:val="24"/>
        </w:rPr>
        <w:t>’</w:t>
      </w:r>
      <w:r w:rsidRPr="00DC0213">
        <w:rPr>
          <w:rFonts w:cs="Times New Roman"/>
          <w:b/>
          <w:szCs w:val="24"/>
        </w:rPr>
        <w:t>Ivoire</w:t>
      </w:r>
      <w:r>
        <w:rPr>
          <w:rFonts w:cs="Times New Roman"/>
          <w:szCs w:val="24"/>
        </w:rPr>
        <w:t xml:space="preserve"> soutenait l</w:t>
      </w:r>
      <w:r w:rsidR="00346F1B">
        <w:rPr>
          <w:rFonts w:cs="Times New Roman"/>
          <w:szCs w:val="24"/>
        </w:rPr>
        <w:t>’</w:t>
      </w:r>
      <w:r w:rsidRPr="00DC0213">
        <w:rPr>
          <w:rFonts w:cs="Times New Roman"/>
          <w:szCs w:val="24"/>
        </w:rPr>
        <w:t>amendement</w:t>
      </w:r>
      <w:r>
        <w:rPr>
          <w:rFonts w:cs="Times New Roman"/>
          <w:szCs w:val="24"/>
        </w:rPr>
        <w:t xml:space="preserve"> </w:t>
      </w:r>
      <w:r w:rsidR="00311C6B">
        <w:rPr>
          <w:rFonts w:cs="Times New Roman"/>
          <w:szCs w:val="24"/>
        </w:rPr>
        <w:t>proposé par Cuba et la Hongrie.</w:t>
      </w:r>
    </w:p>
    <w:p w14:paraId="70189CD9" w14:textId="196DCDA6" w:rsidR="00DC0213" w:rsidRPr="00DC0213" w:rsidRDefault="00DC0213"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DC0213">
        <w:rPr>
          <w:rFonts w:cs="Times New Roman"/>
          <w:szCs w:val="24"/>
        </w:rPr>
        <w:t>délégation</w:t>
      </w:r>
      <w:r>
        <w:rPr>
          <w:rFonts w:cs="Times New Roman"/>
          <w:szCs w:val="24"/>
        </w:rPr>
        <w:t xml:space="preserve"> de </w:t>
      </w:r>
      <w:r w:rsidRPr="00DC0213">
        <w:rPr>
          <w:rFonts w:cs="Times New Roman"/>
          <w:b/>
          <w:szCs w:val="24"/>
        </w:rPr>
        <w:t>Chypre</w:t>
      </w:r>
      <w:r>
        <w:rPr>
          <w:rFonts w:cs="Times New Roman"/>
          <w:szCs w:val="24"/>
        </w:rPr>
        <w:t xml:space="preserve"> a fait remarquer que le Comité était sur le point d</w:t>
      </w:r>
      <w:r w:rsidR="00346F1B">
        <w:rPr>
          <w:rFonts w:cs="Times New Roman"/>
          <w:szCs w:val="24"/>
        </w:rPr>
        <w:t>’</w:t>
      </w:r>
      <w:r>
        <w:rPr>
          <w:rFonts w:cs="Times New Roman"/>
          <w:szCs w:val="24"/>
        </w:rPr>
        <w:t xml:space="preserve">adopter le </w:t>
      </w:r>
      <w:r w:rsidRPr="00DC0213">
        <w:rPr>
          <w:rFonts w:cs="Times New Roman"/>
          <w:szCs w:val="24"/>
        </w:rPr>
        <w:t>paragraphe</w:t>
      </w:r>
      <w:r>
        <w:rPr>
          <w:rFonts w:cs="Times New Roman"/>
          <w:szCs w:val="24"/>
        </w:rPr>
        <w:t xml:space="preserve"> 5 alors qu</w:t>
      </w:r>
      <w:r w:rsidR="00346F1B">
        <w:rPr>
          <w:rFonts w:cs="Times New Roman"/>
          <w:szCs w:val="24"/>
        </w:rPr>
        <w:t>’</w:t>
      </w:r>
      <w:r>
        <w:rPr>
          <w:rFonts w:cs="Times New Roman"/>
          <w:szCs w:val="24"/>
        </w:rPr>
        <w:t>il avait dit qu</w:t>
      </w:r>
      <w:r w:rsidR="00346F1B">
        <w:rPr>
          <w:rFonts w:cs="Times New Roman"/>
          <w:szCs w:val="24"/>
        </w:rPr>
        <w:t>’</w:t>
      </w:r>
      <w:r>
        <w:rPr>
          <w:rFonts w:cs="Times New Roman"/>
          <w:szCs w:val="24"/>
        </w:rPr>
        <w:t>il n</w:t>
      </w:r>
      <w:r w:rsidR="00346F1B">
        <w:rPr>
          <w:rFonts w:cs="Times New Roman"/>
          <w:szCs w:val="24"/>
        </w:rPr>
        <w:t>’</w:t>
      </w:r>
      <w:r>
        <w:rPr>
          <w:rFonts w:cs="Times New Roman"/>
          <w:szCs w:val="24"/>
        </w:rPr>
        <w:t>inclurait pas l</w:t>
      </w:r>
      <w:r w:rsidR="00346F1B">
        <w:rPr>
          <w:rFonts w:cs="Times New Roman"/>
          <w:szCs w:val="24"/>
        </w:rPr>
        <w:t>’</w:t>
      </w:r>
      <w:r w:rsidRPr="00DC0213">
        <w:rPr>
          <w:rFonts w:cs="Times New Roman"/>
          <w:szCs w:val="24"/>
        </w:rPr>
        <w:t>amendement</w:t>
      </w:r>
      <w:r>
        <w:rPr>
          <w:rFonts w:cs="Times New Roman"/>
          <w:szCs w:val="24"/>
        </w:rPr>
        <w:t xml:space="preserve"> de la Hongrie mais l</w:t>
      </w:r>
      <w:r w:rsidR="00346F1B">
        <w:rPr>
          <w:rFonts w:cs="Times New Roman"/>
          <w:szCs w:val="24"/>
        </w:rPr>
        <w:t>’</w:t>
      </w:r>
      <w:r>
        <w:rPr>
          <w:rFonts w:cs="Times New Roman"/>
          <w:szCs w:val="24"/>
        </w:rPr>
        <w:t xml:space="preserve">autre </w:t>
      </w:r>
      <w:r w:rsidRPr="00DC0213">
        <w:rPr>
          <w:rFonts w:cs="Times New Roman"/>
          <w:szCs w:val="24"/>
        </w:rPr>
        <w:t>paragraphe</w:t>
      </w:r>
      <w:r>
        <w:rPr>
          <w:rFonts w:cs="Times New Roman"/>
          <w:szCs w:val="24"/>
        </w:rPr>
        <w:t>.</w:t>
      </w:r>
    </w:p>
    <w:p w14:paraId="4868C062" w14:textId="2FFAF691" w:rsidR="002C6FC6" w:rsidRPr="002C6FC6" w:rsidRDefault="002C6FC6"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Pr="002C6FC6">
        <w:rPr>
          <w:rFonts w:cs="Times New Roman"/>
          <w:b/>
          <w:szCs w:val="24"/>
        </w:rPr>
        <w:t>Président</w:t>
      </w:r>
      <w:r>
        <w:rPr>
          <w:rFonts w:cs="Times New Roman"/>
          <w:szCs w:val="24"/>
        </w:rPr>
        <w:t xml:space="preserve"> s</w:t>
      </w:r>
      <w:r w:rsidR="00346F1B">
        <w:rPr>
          <w:rFonts w:cs="Times New Roman"/>
          <w:szCs w:val="24"/>
        </w:rPr>
        <w:t>’</w:t>
      </w:r>
      <w:r>
        <w:rPr>
          <w:rFonts w:cs="Times New Roman"/>
          <w:szCs w:val="24"/>
        </w:rPr>
        <w:t>est dit d</w:t>
      </w:r>
      <w:r w:rsidR="00346F1B">
        <w:rPr>
          <w:rFonts w:cs="Times New Roman"/>
          <w:szCs w:val="24"/>
        </w:rPr>
        <w:t>’</w:t>
      </w:r>
      <w:r w:rsidR="00311C6B">
        <w:rPr>
          <w:rFonts w:cs="Times New Roman"/>
          <w:szCs w:val="24"/>
        </w:rPr>
        <w:t>accord avec Chypre.</w:t>
      </w:r>
    </w:p>
    <w:p w14:paraId="5C17E76E" w14:textId="165183A1" w:rsidR="002C6FC6" w:rsidRDefault="002C6FC6"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À propos de la </w:t>
      </w:r>
      <w:r w:rsidRPr="002C6FC6">
        <w:rPr>
          <w:rFonts w:cs="Times New Roman"/>
          <w:szCs w:val="24"/>
        </w:rPr>
        <w:t xml:space="preserve">proposition </w:t>
      </w:r>
      <w:r>
        <w:rPr>
          <w:rFonts w:cs="Times New Roman"/>
          <w:szCs w:val="24"/>
        </w:rPr>
        <w:t xml:space="preserve">de la Zambie, le </w:t>
      </w:r>
      <w:r w:rsidRPr="002C6FC6">
        <w:rPr>
          <w:rFonts w:cs="Times New Roman"/>
          <w:b/>
          <w:szCs w:val="24"/>
        </w:rPr>
        <w:t>Secrétaire</w:t>
      </w:r>
      <w:r>
        <w:rPr>
          <w:rFonts w:cs="Times New Roman"/>
          <w:szCs w:val="24"/>
        </w:rPr>
        <w:t xml:space="preserve"> a précisé que « partiel » était le terme utilisé par l</w:t>
      </w:r>
      <w:r w:rsidR="00346F1B">
        <w:rPr>
          <w:rFonts w:cs="Times New Roman"/>
          <w:szCs w:val="24"/>
        </w:rPr>
        <w:t>’</w:t>
      </w:r>
      <w:r>
        <w:rPr>
          <w:rFonts w:cs="Times New Roman"/>
          <w:szCs w:val="24"/>
        </w:rPr>
        <w:t xml:space="preserve">État soumissionnaire pour son </w:t>
      </w:r>
      <w:r w:rsidRPr="002C6FC6">
        <w:rPr>
          <w:rFonts w:cs="Times New Roman"/>
          <w:szCs w:val="24"/>
        </w:rPr>
        <w:t>inventaire</w:t>
      </w:r>
      <w:r>
        <w:rPr>
          <w:rFonts w:cs="Times New Roman"/>
          <w:szCs w:val="24"/>
        </w:rPr>
        <w:t>, ce n</w:t>
      </w:r>
      <w:r w:rsidR="00346F1B">
        <w:rPr>
          <w:rFonts w:cs="Times New Roman"/>
          <w:szCs w:val="24"/>
        </w:rPr>
        <w:t>’</w:t>
      </w:r>
      <w:r>
        <w:rPr>
          <w:rFonts w:cs="Times New Roman"/>
          <w:szCs w:val="24"/>
        </w:rPr>
        <w:t>était pas un qualificatif donné par l</w:t>
      </w:r>
      <w:r w:rsidR="00346F1B">
        <w:rPr>
          <w:rFonts w:cs="Times New Roman"/>
          <w:szCs w:val="24"/>
        </w:rPr>
        <w:t>’</w:t>
      </w:r>
      <w:r>
        <w:rPr>
          <w:rFonts w:cs="Times New Roman"/>
          <w:szCs w:val="24"/>
        </w:rPr>
        <w:t>Organe d</w:t>
      </w:r>
      <w:r w:rsidR="00346F1B">
        <w:rPr>
          <w:rFonts w:cs="Times New Roman"/>
          <w:szCs w:val="24"/>
        </w:rPr>
        <w:t>’</w:t>
      </w:r>
      <w:r>
        <w:rPr>
          <w:rFonts w:cs="Times New Roman"/>
          <w:szCs w:val="24"/>
        </w:rPr>
        <w:t>évaluatio</w:t>
      </w:r>
      <w:r w:rsidR="00311C6B">
        <w:rPr>
          <w:rFonts w:cs="Times New Roman"/>
          <w:szCs w:val="24"/>
        </w:rPr>
        <w:t>n.</w:t>
      </w:r>
    </w:p>
    <w:p w14:paraId="7342E3C6" w14:textId="5D08E515" w:rsidR="002C6FC6" w:rsidRPr="002C6FC6" w:rsidRDefault="002C6FC6"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Pr="002C6FC6">
        <w:rPr>
          <w:rFonts w:cs="Times New Roman"/>
          <w:b/>
          <w:szCs w:val="24"/>
        </w:rPr>
        <w:t>Président</w:t>
      </w:r>
      <w:r>
        <w:rPr>
          <w:rFonts w:cs="Times New Roman"/>
          <w:szCs w:val="24"/>
        </w:rPr>
        <w:t xml:space="preserve"> a remercié le </w:t>
      </w:r>
      <w:r w:rsidRPr="002C6FC6">
        <w:rPr>
          <w:rFonts w:cs="Times New Roman"/>
          <w:szCs w:val="24"/>
        </w:rPr>
        <w:t>Secrétaire</w:t>
      </w:r>
      <w:r>
        <w:rPr>
          <w:rFonts w:cs="Times New Roman"/>
          <w:szCs w:val="24"/>
        </w:rPr>
        <w:t xml:space="preserve"> pour cet </w:t>
      </w:r>
      <w:r w:rsidRPr="002C6FC6">
        <w:t>éclaircissement</w:t>
      </w:r>
      <w:r w:rsidR="00311C6B">
        <w:rPr>
          <w:rFonts w:cs="Times New Roman"/>
          <w:szCs w:val="24"/>
        </w:rPr>
        <w:t>.</w:t>
      </w:r>
    </w:p>
    <w:p w14:paraId="6B9AA26A" w14:textId="49732AA4" w:rsidR="002C6FC6" w:rsidRDefault="002C6FC6"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2C6FC6">
        <w:rPr>
          <w:rFonts w:cs="Times New Roman"/>
          <w:szCs w:val="24"/>
        </w:rPr>
        <w:t>délégation</w:t>
      </w:r>
      <w:r>
        <w:rPr>
          <w:rFonts w:cs="Times New Roman"/>
          <w:szCs w:val="24"/>
        </w:rPr>
        <w:t xml:space="preserve"> de la </w:t>
      </w:r>
      <w:r w:rsidRPr="002C6FC6">
        <w:rPr>
          <w:rFonts w:cs="Times New Roman"/>
          <w:b/>
          <w:szCs w:val="24"/>
        </w:rPr>
        <w:t>Zambie</w:t>
      </w:r>
      <w:r>
        <w:rPr>
          <w:rFonts w:cs="Times New Roman"/>
          <w:szCs w:val="24"/>
        </w:rPr>
        <w:t xml:space="preserve"> a demandé que l</w:t>
      </w:r>
      <w:r w:rsidR="00346F1B">
        <w:rPr>
          <w:rFonts w:cs="Times New Roman"/>
          <w:szCs w:val="24"/>
        </w:rPr>
        <w:t>’</w:t>
      </w:r>
      <w:r>
        <w:rPr>
          <w:rFonts w:cs="Times New Roman"/>
          <w:szCs w:val="24"/>
        </w:rPr>
        <w:t xml:space="preserve">État soumissionnaire </w:t>
      </w:r>
      <w:r w:rsidR="002B47E1">
        <w:rPr>
          <w:rFonts w:cs="Times New Roman"/>
          <w:szCs w:val="24"/>
        </w:rPr>
        <w:t xml:space="preserve">précise la </w:t>
      </w:r>
      <w:r w:rsidR="002B47E1" w:rsidRPr="002B47E1">
        <w:rPr>
          <w:rFonts w:cs="Times New Roman"/>
          <w:szCs w:val="24"/>
        </w:rPr>
        <w:t xml:space="preserve">signification </w:t>
      </w:r>
      <w:r w:rsidR="002B47E1">
        <w:rPr>
          <w:rFonts w:cs="Times New Roman"/>
          <w:szCs w:val="24"/>
        </w:rPr>
        <w:t>d</w:t>
      </w:r>
      <w:r w:rsidR="00346F1B">
        <w:rPr>
          <w:rFonts w:cs="Times New Roman"/>
          <w:szCs w:val="24"/>
        </w:rPr>
        <w:t>’</w:t>
      </w:r>
      <w:r>
        <w:rPr>
          <w:rFonts w:cs="Times New Roman"/>
          <w:szCs w:val="24"/>
        </w:rPr>
        <w:t xml:space="preserve">un </w:t>
      </w:r>
      <w:r w:rsidRPr="002C6FC6">
        <w:rPr>
          <w:rFonts w:cs="Times New Roman"/>
          <w:szCs w:val="24"/>
        </w:rPr>
        <w:t>inventaire</w:t>
      </w:r>
      <w:r w:rsidR="00311C6B">
        <w:rPr>
          <w:rFonts w:cs="Times New Roman"/>
          <w:szCs w:val="24"/>
        </w:rPr>
        <w:t xml:space="preserve"> « partiel ».</w:t>
      </w:r>
    </w:p>
    <w:p w14:paraId="16ABAA62" w14:textId="104E0B25" w:rsidR="002B47E1" w:rsidRPr="002B47E1" w:rsidRDefault="002B47E1" w:rsidP="00311C6B">
      <w:pPr>
        <w:pStyle w:val="Orateurengris"/>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Avant de </w:t>
      </w:r>
      <w:r w:rsidR="00C15808">
        <w:rPr>
          <w:rFonts w:cs="Times New Roman"/>
          <w:szCs w:val="24"/>
        </w:rPr>
        <w:t xml:space="preserve">redonner la parole </w:t>
      </w:r>
      <w:r>
        <w:rPr>
          <w:rFonts w:cs="Times New Roman"/>
          <w:szCs w:val="24"/>
        </w:rPr>
        <w:t>à l</w:t>
      </w:r>
      <w:r w:rsidR="00346F1B">
        <w:rPr>
          <w:rFonts w:cs="Times New Roman"/>
          <w:szCs w:val="24"/>
        </w:rPr>
        <w:t>’</w:t>
      </w:r>
      <w:r>
        <w:rPr>
          <w:rFonts w:cs="Times New Roman"/>
          <w:szCs w:val="24"/>
        </w:rPr>
        <w:t xml:space="preserve">État soumissionnaire pour des </w:t>
      </w:r>
      <w:r>
        <w:t>éclaircissements</w:t>
      </w:r>
      <w:r>
        <w:rPr>
          <w:rFonts w:cs="Times New Roman"/>
          <w:szCs w:val="24"/>
        </w:rPr>
        <w:t xml:space="preserve">, le </w:t>
      </w:r>
      <w:r w:rsidRPr="002B47E1">
        <w:rPr>
          <w:rFonts w:cs="Times New Roman"/>
          <w:b/>
          <w:szCs w:val="24"/>
        </w:rPr>
        <w:t>Président</w:t>
      </w:r>
      <w:r w:rsidR="00311C6B">
        <w:rPr>
          <w:rFonts w:cs="Times New Roman"/>
          <w:szCs w:val="24"/>
        </w:rPr>
        <w:t xml:space="preserve"> a donné la parole à Cuba.</w:t>
      </w:r>
    </w:p>
    <w:p w14:paraId="143F83B2" w14:textId="48CB96A0" w:rsidR="002B47E1" w:rsidRPr="002B47E1" w:rsidRDefault="002B47E1"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Dans u</w:t>
      </w:r>
      <w:r w:rsidR="00286E10">
        <w:rPr>
          <w:szCs w:val="24"/>
        </w:rPr>
        <w:t xml:space="preserve">n esprit de consensus et afin de faire </w:t>
      </w:r>
      <w:r>
        <w:rPr>
          <w:szCs w:val="24"/>
        </w:rPr>
        <w:t>avancer</w:t>
      </w:r>
      <w:r w:rsidR="00286E10">
        <w:rPr>
          <w:szCs w:val="24"/>
        </w:rPr>
        <w:t xml:space="preserve"> le débat</w:t>
      </w:r>
      <w:r>
        <w:rPr>
          <w:szCs w:val="24"/>
        </w:rPr>
        <w:t xml:space="preserve">, la </w:t>
      </w:r>
      <w:r w:rsidRPr="002B47E1">
        <w:rPr>
          <w:szCs w:val="24"/>
        </w:rPr>
        <w:t>délégation</w:t>
      </w:r>
      <w:r>
        <w:rPr>
          <w:szCs w:val="24"/>
        </w:rPr>
        <w:t xml:space="preserve"> de </w:t>
      </w:r>
      <w:r w:rsidRPr="002B47E1">
        <w:rPr>
          <w:b/>
          <w:szCs w:val="24"/>
        </w:rPr>
        <w:t>Cuba</w:t>
      </w:r>
      <w:r>
        <w:rPr>
          <w:szCs w:val="24"/>
        </w:rPr>
        <w:t xml:space="preserve"> a demandé à la Zambie si elle pouvait accepter l</w:t>
      </w:r>
      <w:r w:rsidR="00346F1B">
        <w:rPr>
          <w:szCs w:val="24"/>
        </w:rPr>
        <w:t>’</w:t>
      </w:r>
      <w:r w:rsidRPr="002B47E1">
        <w:rPr>
          <w:szCs w:val="24"/>
        </w:rPr>
        <w:t>amendement</w:t>
      </w:r>
      <w:r>
        <w:rPr>
          <w:szCs w:val="24"/>
        </w:rPr>
        <w:t xml:space="preserve"> de la Hongrie qui souhaitait refléter la réalité du débat sur la décision, comme précédemment évoqué. Un </w:t>
      </w:r>
      <w:r w:rsidRPr="002B47E1">
        <w:rPr>
          <w:szCs w:val="24"/>
        </w:rPr>
        <w:t>paragraphe</w:t>
      </w:r>
      <w:r>
        <w:rPr>
          <w:szCs w:val="24"/>
        </w:rPr>
        <w:t xml:space="preserve"> </w:t>
      </w:r>
      <w:r w:rsidRPr="002B47E1">
        <w:rPr>
          <w:szCs w:val="24"/>
        </w:rPr>
        <w:t>supplémentaire</w:t>
      </w:r>
      <w:r>
        <w:rPr>
          <w:szCs w:val="24"/>
        </w:rPr>
        <w:t xml:space="preserve"> serait ajouté après, le </w:t>
      </w:r>
      <w:r w:rsidRPr="002B47E1">
        <w:rPr>
          <w:szCs w:val="24"/>
        </w:rPr>
        <w:t>paragraphe</w:t>
      </w:r>
      <w:r>
        <w:rPr>
          <w:szCs w:val="24"/>
        </w:rPr>
        <w:t xml:space="preserve"> standard utilisé pour le </w:t>
      </w:r>
      <w:r w:rsidRPr="002B47E1">
        <w:rPr>
          <w:szCs w:val="24"/>
        </w:rPr>
        <w:t>Bangladesh</w:t>
      </w:r>
      <w:r>
        <w:rPr>
          <w:szCs w:val="24"/>
        </w:rPr>
        <w:t xml:space="preserve">. La </w:t>
      </w:r>
      <w:r w:rsidRPr="002B47E1">
        <w:rPr>
          <w:szCs w:val="24"/>
        </w:rPr>
        <w:t>délégation</w:t>
      </w:r>
      <w:r w:rsidR="00286E10">
        <w:rPr>
          <w:szCs w:val="24"/>
        </w:rPr>
        <w:t xml:space="preserve"> a rappelé qu</w:t>
      </w:r>
      <w:r w:rsidR="00346F1B">
        <w:rPr>
          <w:szCs w:val="24"/>
        </w:rPr>
        <w:t>’</w:t>
      </w:r>
      <w:r w:rsidR="00286E10">
        <w:rPr>
          <w:szCs w:val="24"/>
        </w:rPr>
        <w:t xml:space="preserve">il avait été </w:t>
      </w:r>
      <w:r>
        <w:rPr>
          <w:szCs w:val="24"/>
        </w:rPr>
        <w:t xml:space="preserve">convenu que la </w:t>
      </w:r>
      <w:r w:rsidRPr="002B47E1">
        <w:rPr>
          <w:szCs w:val="24"/>
        </w:rPr>
        <w:t xml:space="preserve">proposition </w:t>
      </w:r>
      <w:r>
        <w:rPr>
          <w:szCs w:val="24"/>
        </w:rPr>
        <w:t>de la Hongrie relative à l</w:t>
      </w:r>
      <w:r w:rsidR="00346F1B">
        <w:rPr>
          <w:szCs w:val="24"/>
        </w:rPr>
        <w:t>’</w:t>
      </w:r>
      <w:r>
        <w:rPr>
          <w:szCs w:val="24"/>
        </w:rPr>
        <w:t xml:space="preserve">article 12 de la </w:t>
      </w:r>
      <w:r w:rsidRPr="002B47E1">
        <w:rPr>
          <w:szCs w:val="24"/>
        </w:rPr>
        <w:t>Convention</w:t>
      </w:r>
      <w:r>
        <w:rPr>
          <w:szCs w:val="24"/>
        </w:rPr>
        <w:t xml:space="preserve"> sur les inventaires serait inc</w:t>
      </w:r>
      <w:r w:rsidR="00311C6B">
        <w:rPr>
          <w:szCs w:val="24"/>
        </w:rPr>
        <w:t>luse dans la décision générale.</w:t>
      </w:r>
    </w:p>
    <w:p w14:paraId="433CA8E6" w14:textId="4FB7742D" w:rsidR="002B47E1" w:rsidRDefault="00286E10"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286E10">
        <w:rPr>
          <w:b/>
          <w:szCs w:val="24"/>
        </w:rPr>
        <w:t>Président</w:t>
      </w:r>
      <w:r>
        <w:rPr>
          <w:szCs w:val="24"/>
        </w:rPr>
        <w:t xml:space="preserve"> a demandé à la Zambie si elle acceptait la </w:t>
      </w:r>
      <w:r w:rsidRPr="00286E10">
        <w:rPr>
          <w:szCs w:val="24"/>
        </w:rPr>
        <w:t xml:space="preserve">proposition </w:t>
      </w:r>
      <w:r w:rsidR="00311C6B">
        <w:rPr>
          <w:szCs w:val="24"/>
        </w:rPr>
        <w:t>de la Hongrie.</w:t>
      </w:r>
    </w:p>
    <w:p w14:paraId="2FBA88E2" w14:textId="6E6D43BA" w:rsidR="00286E10" w:rsidRDefault="00286E10"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Avec l</w:t>
      </w:r>
      <w:r w:rsidR="00346F1B">
        <w:rPr>
          <w:szCs w:val="24"/>
        </w:rPr>
        <w:t>’</w:t>
      </w:r>
      <w:r w:rsidRPr="00286E10">
        <w:rPr>
          <w:szCs w:val="24"/>
        </w:rPr>
        <w:t>amendement</w:t>
      </w:r>
      <w:r>
        <w:rPr>
          <w:szCs w:val="24"/>
        </w:rPr>
        <w:t xml:space="preserve"> suggéré, la </w:t>
      </w:r>
      <w:r w:rsidRPr="00286E10">
        <w:rPr>
          <w:szCs w:val="24"/>
        </w:rPr>
        <w:t>délégation</w:t>
      </w:r>
      <w:r>
        <w:rPr>
          <w:szCs w:val="24"/>
        </w:rPr>
        <w:t xml:space="preserve"> de la </w:t>
      </w:r>
      <w:r w:rsidRPr="00286E10">
        <w:rPr>
          <w:b/>
          <w:szCs w:val="24"/>
        </w:rPr>
        <w:t>Zambie</w:t>
      </w:r>
      <w:r>
        <w:rPr>
          <w:szCs w:val="24"/>
        </w:rPr>
        <w:t xml:space="preserve"> </w:t>
      </w:r>
      <w:r w:rsidR="00654E55">
        <w:rPr>
          <w:szCs w:val="24"/>
        </w:rPr>
        <w:t xml:space="preserve">acceptait </w:t>
      </w:r>
      <w:r w:rsidR="00311C6B">
        <w:rPr>
          <w:szCs w:val="24"/>
        </w:rPr>
        <w:t>la proposition.</w:t>
      </w:r>
    </w:p>
    <w:p w14:paraId="0629487B" w14:textId="24A8F90A" w:rsidR="00286E10" w:rsidRDefault="00286E10"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286E10">
        <w:rPr>
          <w:b/>
          <w:szCs w:val="24"/>
        </w:rPr>
        <w:t>Président</w:t>
      </w:r>
      <w:r>
        <w:rPr>
          <w:szCs w:val="24"/>
        </w:rPr>
        <w:t xml:space="preserve"> est ensuite passé à l</w:t>
      </w:r>
      <w:r w:rsidR="00346F1B">
        <w:rPr>
          <w:szCs w:val="24"/>
        </w:rPr>
        <w:t>’</w:t>
      </w:r>
      <w:r>
        <w:rPr>
          <w:szCs w:val="24"/>
        </w:rPr>
        <w:t xml:space="preserve">adoption du </w:t>
      </w:r>
      <w:r w:rsidRPr="00286E10">
        <w:rPr>
          <w:szCs w:val="24"/>
        </w:rPr>
        <w:t>critère</w:t>
      </w:r>
      <w:r>
        <w:rPr>
          <w:szCs w:val="24"/>
        </w:rPr>
        <w:t xml:space="preserve"> R.5.</w:t>
      </w:r>
    </w:p>
    <w:p w14:paraId="4EA40001" w14:textId="62B1FA74" w:rsidR="00286E10" w:rsidRDefault="00AD3455"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AD3455">
        <w:rPr>
          <w:szCs w:val="24"/>
        </w:rPr>
        <w:t>délégation</w:t>
      </w:r>
      <w:r>
        <w:rPr>
          <w:szCs w:val="24"/>
        </w:rPr>
        <w:t xml:space="preserve"> de la </w:t>
      </w:r>
      <w:r w:rsidRPr="00AD3455">
        <w:rPr>
          <w:b/>
          <w:szCs w:val="24"/>
        </w:rPr>
        <w:t>Palestine</w:t>
      </w:r>
      <w:r>
        <w:rPr>
          <w:szCs w:val="24"/>
        </w:rPr>
        <w:t xml:space="preserve"> a fait remarquer que le terme « partiel » faisait partie du nom de l</w:t>
      </w:r>
      <w:r w:rsidR="00346F1B">
        <w:rPr>
          <w:szCs w:val="24"/>
        </w:rPr>
        <w:t>’</w:t>
      </w:r>
      <w:r w:rsidRPr="00AD3455">
        <w:rPr>
          <w:szCs w:val="24"/>
        </w:rPr>
        <w:t>inventaire</w:t>
      </w:r>
      <w:r>
        <w:rPr>
          <w:szCs w:val="24"/>
        </w:rPr>
        <w:t xml:space="preserve">, comme expliqué par le </w:t>
      </w:r>
      <w:r w:rsidRPr="00AD3455">
        <w:rPr>
          <w:szCs w:val="24"/>
        </w:rPr>
        <w:t>Secrétaire</w:t>
      </w:r>
      <w:r>
        <w:rPr>
          <w:szCs w:val="24"/>
        </w:rPr>
        <w:t>,</w:t>
      </w:r>
      <w:r w:rsidR="00311C6B">
        <w:rPr>
          <w:szCs w:val="24"/>
        </w:rPr>
        <w:t xml:space="preserve"> et devrait donc être conservé.</w:t>
      </w:r>
    </w:p>
    <w:p w14:paraId="638D6DC9" w14:textId="5F7DB6F8" w:rsidR="00AD3455" w:rsidRDefault="00AD3455"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AD3455">
        <w:rPr>
          <w:szCs w:val="24"/>
        </w:rPr>
        <w:t>délégation</w:t>
      </w:r>
      <w:r>
        <w:rPr>
          <w:szCs w:val="24"/>
        </w:rPr>
        <w:t xml:space="preserve"> de l</w:t>
      </w:r>
      <w:r w:rsidR="00346F1B">
        <w:rPr>
          <w:szCs w:val="24"/>
        </w:rPr>
        <w:t>’</w:t>
      </w:r>
      <w:r w:rsidRPr="00AD3455">
        <w:rPr>
          <w:b/>
          <w:szCs w:val="24"/>
        </w:rPr>
        <w:t>Inde</w:t>
      </w:r>
      <w:r>
        <w:rPr>
          <w:szCs w:val="24"/>
        </w:rPr>
        <w:t xml:space="preserve"> a souscrit à la très bonne </w:t>
      </w:r>
      <w:r w:rsidRPr="00AD3455">
        <w:rPr>
          <w:szCs w:val="24"/>
        </w:rPr>
        <w:t xml:space="preserve">proposition </w:t>
      </w:r>
      <w:r>
        <w:rPr>
          <w:szCs w:val="24"/>
        </w:rPr>
        <w:t>de la Hongrie, qui améliorerait le système à l</w:t>
      </w:r>
      <w:r w:rsidR="00346F1B">
        <w:rPr>
          <w:szCs w:val="24"/>
        </w:rPr>
        <w:t>’</w:t>
      </w:r>
      <w:r>
        <w:rPr>
          <w:szCs w:val="24"/>
        </w:rPr>
        <w:t>avenir, ajoutant qu</w:t>
      </w:r>
      <w:r w:rsidR="00346F1B">
        <w:rPr>
          <w:szCs w:val="24"/>
        </w:rPr>
        <w:t>’</w:t>
      </w:r>
      <w:r>
        <w:rPr>
          <w:szCs w:val="24"/>
        </w:rPr>
        <w:t>il était rassurant de constater qu</w:t>
      </w:r>
      <w:r w:rsidR="00346F1B">
        <w:rPr>
          <w:szCs w:val="24"/>
        </w:rPr>
        <w:t>’</w:t>
      </w:r>
      <w:r>
        <w:rPr>
          <w:szCs w:val="24"/>
        </w:rPr>
        <w:t>un c</w:t>
      </w:r>
      <w:r w:rsidR="00311C6B">
        <w:rPr>
          <w:szCs w:val="24"/>
        </w:rPr>
        <w:t>onsensus existait sur ce sujet.</w:t>
      </w:r>
    </w:p>
    <w:p w14:paraId="6E968DBF" w14:textId="7E130625" w:rsidR="00AD3455" w:rsidRDefault="00AD3455"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En l</w:t>
      </w:r>
      <w:r w:rsidR="00346F1B">
        <w:rPr>
          <w:szCs w:val="24"/>
        </w:rPr>
        <w:t>’</w:t>
      </w:r>
      <w:r>
        <w:rPr>
          <w:szCs w:val="24"/>
        </w:rPr>
        <w:t>absence d</w:t>
      </w:r>
      <w:r w:rsidR="00346F1B">
        <w:rPr>
          <w:szCs w:val="24"/>
        </w:rPr>
        <w:t>’</w:t>
      </w:r>
      <w:r>
        <w:rPr>
          <w:szCs w:val="24"/>
        </w:rPr>
        <w:t xml:space="preserve">autres commentaires ou objections, le </w:t>
      </w:r>
      <w:r w:rsidRPr="00AD3455">
        <w:rPr>
          <w:b/>
          <w:szCs w:val="24"/>
        </w:rPr>
        <w:t>Président</w:t>
      </w:r>
      <w:r>
        <w:rPr>
          <w:szCs w:val="24"/>
        </w:rPr>
        <w:t xml:space="preserve"> a déclaré le critère R.5 adopté tel qu</w:t>
      </w:r>
      <w:r w:rsidR="00346F1B">
        <w:rPr>
          <w:szCs w:val="24"/>
        </w:rPr>
        <w:t>’</w:t>
      </w:r>
      <w:r>
        <w:rPr>
          <w:szCs w:val="24"/>
        </w:rPr>
        <w:t xml:space="preserve">amendé. Le </w:t>
      </w:r>
      <w:r w:rsidRPr="00AD3455">
        <w:rPr>
          <w:szCs w:val="24"/>
        </w:rPr>
        <w:t>paragraphe</w:t>
      </w:r>
      <w:r>
        <w:rPr>
          <w:szCs w:val="24"/>
        </w:rPr>
        <w:t xml:space="preserve"> 2, dans son </w:t>
      </w:r>
      <w:r w:rsidRPr="00AD3455">
        <w:rPr>
          <w:szCs w:val="24"/>
        </w:rPr>
        <w:t>ensemble</w:t>
      </w:r>
      <w:r>
        <w:rPr>
          <w:szCs w:val="24"/>
        </w:rPr>
        <w:t xml:space="preserve">, a été </w:t>
      </w:r>
      <w:r w:rsidR="008052AC">
        <w:rPr>
          <w:szCs w:val="24"/>
        </w:rPr>
        <w:t>dûment</w:t>
      </w:r>
      <w:r>
        <w:rPr>
          <w:szCs w:val="24"/>
        </w:rPr>
        <w:t xml:space="preserve"> adopté. Le Président est passé au </w:t>
      </w:r>
      <w:r w:rsidRPr="00AD3455">
        <w:rPr>
          <w:szCs w:val="24"/>
        </w:rPr>
        <w:t>paragraphe</w:t>
      </w:r>
      <w:r w:rsidR="00311C6B">
        <w:rPr>
          <w:szCs w:val="24"/>
        </w:rPr>
        <w:t xml:space="preserve"> 3.</w:t>
      </w:r>
    </w:p>
    <w:p w14:paraId="2F2FE515" w14:textId="563C96BC" w:rsidR="00AD3455" w:rsidRDefault="00AD3455"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En se fondant sur la décision </w:t>
      </w:r>
      <w:r w:rsidR="00B67BF2">
        <w:rPr>
          <w:szCs w:val="24"/>
        </w:rPr>
        <w:t xml:space="preserve">adoptée pour le </w:t>
      </w:r>
      <w:r w:rsidR="00B67BF2" w:rsidRPr="00B67BF2">
        <w:rPr>
          <w:szCs w:val="24"/>
        </w:rPr>
        <w:t>Bangladesh</w:t>
      </w:r>
      <w:r w:rsidR="00B67BF2">
        <w:rPr>
          <w:szCs w:val="24"/>
        </w:rPr>
        <w:t xml:space="preserve">, la </w:t>
      </w:r>
      <w:r w:rsidR="00B67BF2" w:rsidRPr="00B67BF2">
        <w:rPr>
          <w:szCs w:val="24"/>
        </w:rPr>
        <w:t>délégation</w:t>
      </w:r>
      <w:r w:rsidR="00B67BF2">
        <w:rPr>
          <w:szCs w:val="24"/>
        </w:rPr>
        <w:t xml:space="preserve"> de </w:t>
      </w:r>
      <w:r w:rsidR="00B67BF2" w:rsidRPr="00B67BF2">
        <w:rPr>
          <w:b/>
          <w:szCs w:val="24"/>
        </w:rPr>
        <w:t>Cuba</w:t>
      </w:r>
      <w:r w:rsidR="00B67BF2">
        <w:rPr>
          <w:szCs w:val="24"/>
        </w:rPr>
        <w:t xml:space="preserve"> </w:t>
      </w:r>
      <w:r w:rsidR="00C15808">
        <w:rPr>
          <w:szCs w:val="24"/>
        </w:rPr>
        <w:t>souhaitait</w:t>
      </w:r>
      <w:r w:rsidR="00B67BF2">
        <w:rPr>
          <w:szCs w:val="24"/>
        </w:rPr>
        <w:t xml:space="preserve"> intégrer dans la décision un </w:t>
      </w:r>
      <w:r w:rsidR="00B67BF2" w:rsidRPr="00B67BF2">
        <w:rPr>
          <w:szCs w:val="24"/>
        </w:rPr>
        <w:t>paragraphe</w:t>
      </w:r>
      <w:r w:rsidR="00B67BF2">
        <w:rPr>
          <w:szCs w:val="24"/>
        </w:rPr>
        <w:t xml:space="preserve"> qui remercierait l</w:t>
      </w:r>
      <w:r w:rsidR="00346F1B">
        <w:rPr>
          <w:szCs w:val="24"/>
        </w:rPr>
        <w:t>’</w:t>
      </w:r>
      <w:r w:rsidR="00B67BF2">
        <w:rPr>
          <w:szCs w:val="24"/>
        </w:rPr>
        <w:t xml:space="preserve">État soumissionnaire pour les </w:t>
      </w:r>
      <w:r w:rsidR="00B67BF2">
        <w:t xml:space="preserve">éclaircissements apportés au Comité sur le critère R.5. En outre, elle </w:t>
      </w:r>
      <w:r w:rsidR="00C15808">
        <w:t>souhaitait</w:t>
      </w:r>
      <w:r w:rsidR="00B67BF2">
        <w:t xml:space="preserve"> qu</w:t>
      </w:r>
      <w:r w:rsidR="00346F1B">
        <w:t>’</w:t>
      </w:r>
      <w:r w:rsidR="00B67BF2">
        <w:t>un nouveau paragraphe soit ainsi rédigé : « Décide d</w:t>
      </w:r>
      <w:r w:rsidR="00346F1B">
        <w:t>’</w:t>
      </w:r>
      <w:r w:rsidR="00B67BF2">
        <w:t>inscrire la musique et la danse du merengue en République dominicaine sur la Liste représentative du patrimoine culturel immatériel de l</w:t>
      </w:r>
      <w:r w:rsidR="00346F1B">
        <w:t>’</w:t>
      </w:r>
      <w:r w:rsidR="00B67BF2">
        <w:t>humanité. »</w:t>
      </w:r>
      <w:r w:rsidR="00FC6CAF">
        <w:t>.</w:t>
      </w:r>
    </w:p>
    <w:p w14:paraId="4BB48D53" w14:textId="3385C4D4" w:rsidR="00B67BF2" w:rsidRPr="00B67BF2" w:rsidRDefault="00B67BF2" w:rsidP="00311C6B">
      <w:pPr>
        <w:pStyle w:val="Orateurengris"/>
        <w:tabs>
          <w:tab w:val="clear" w:pos="709"/>
          <w:tab w:val="clear" w:pos="1418"/>
          <w:tab w:val="clear" w:pos="2126"/>
          <w:tab w:val="clear" w:pos="2835"/>
          <w:tab w:val="clear" w:pos="3686"/>
        </w:tabs>
        <w:spacing w:before="120"/>
        <w:ind w:left="709" w:hanging="709"/>
        <w:rPr>
          <w:szCs w:val="24"/>
        </w:rPr>
      </w:pPr>
      <w:r w:rsidRPr="00B67BF2">
        <w:rPr>
          <w:szCs w:val="24"/>
        </w:rPr>
        <w:t xml:space="preserve">La délégation de la </w:t>
      </w:r>
      <w:r w:rsidRPr="00C25392">
        <w:rPr>
          <w:b/>
          <w:szCs w:val="24"/>
        </w:rPr>
        <w:t>Palestine</w:t>
      </w:r>
      <w:r w:rsidR="00C25392">
        <w:rPr>
          <w:szCs w:val="24"/>
        </w:rPr>
        <w:t xml:space="preserve"> soutenait l</w:t>
      </w:r>
      <w:r w:rsidR="00346F1B">
        <w:rPr>
          <w:szCs w:val="24"/>
        </w:rPr>
        <w:t>’</w:t>
      </w:r>
      <w:r w:rsidR="00C25392" w:rsidRPr="00C25392">
        <w:rPr>
          <w:szCs w:val="24"/>
        </w:rPr>
        <w:t>amendement</w:t>
      </w:r>
      <w:r w:rsidR="00C25392">
        <w:rPr>
          <w:szCs w:val="24"/>
        </w:rPr>
        <w:t xml:space="preserve"> de Cuba ainsi que le </w:t>
      </w:r>
      <w:r w:rsidR="00C25392" w:rsidRPr="00C25392">
        <w:rPr>
          <w:szCs w:val="24"/>
        </w:rPr>
        <w:t>paragraphe</w:t>
      </w:r>
      <w:r w:rsidR="00311C6B">
        <w:rPr>
          <w:szCs w:val="24"/>
        </w:rPr>
        <w:t xml:space="preserve"> additionnel.</w:t>
      </w:r>
    </w:p>
    <w:p w14:paraId="32820DAB" w14:textId="0950273B" w:rsidR="00C25392" w:rsidRPr="00C25392" w:rsidRDefault="00C25392"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En l</w:t>
      </w:r>
      <w:r w:rsidR="00346F1B">
        <w:rPr>
          <w:szCs w:val="24"/>
        </w:rPr>
        <w:t>’</w:t>
      </w:r>
      <w:r>
        <w:rPr>
          <w:szCs w:val="24"/>
        </w:rPr>
        <w:t>absence d</w:t>
      </w:r>
      <w:r w:rsidR="00346F1B">
        <w:rPr>
          <w:szCs w:val="24"/>
        </w:rPr>
        <w:t>’</w:t>
      </w:r>
      <w:r>
        <w:rPr>
          <w:szCs w:val="24"/>
        </w:rPr>
        <w:t xml:space="preserve">autres commentaires ou objections, le </w:t>
      </w:r>
      <w:r w:rsidRPr="00C25392">
        <w:rPr>
          <w:b/>
          <w:szCs w:val="24"/>
        </w:rPr>
        <w:t>Président</w:t>
      </w:r>
      <w:r>
        <w:rPr>
          <w:szCs w:val="24"/>
        </w:rPr>
        <w:t xml:space="preserve"> a déclaré le </w:t>
      </w:r>
      <w:r w:rsidRPr="00C25392">
        <w:rPr>
          <w:szCs w:val="24"/>
        </w:rPr>
        <w:t>paragraphe</w:t>
      </w:r>
      <w:r>
        <w:rPr>
          <w:szCs w:val="24"/>
        </w:rPr>
        <w:t xml:space="preserve"> 3 adopté tel qu</w:t>
      </w:r>
      <w:r w:rsidR="00346F1B">
        <w:rPr>
          <w:szCs w:val="24"/>
        </w:rPr>
        <w:t>’</w:t>
      </w:r>
      <w:r>
        <w:rPr>
          <w:szCs w:val="24"/>
        </w:rPr>
        <w:t>amendé. Le Secrétariat</w:t>
      </w:r>
      <w:r w:rsidR="00C15808">
        <w:rPr>
          <w:szCs w:val="24"/>
        </w:rPr>
        <w:t xml:space="preserve"> a inséré le</w:t>
      </w:r>
      <w:r w:rsidRPr="00C25392">
        <w:rPr>
          <w:szCs w:val="24"/>
        </w:rPr>
        <w:t xml:space="preserve"> paragraphe</w:t>
      </w:r>
      <w:r>
        <w:rPr>
          <w:szCs w:val="24"/>
        </w:rPr>
        <w:t xml:space="preserve"> </w:t>
      </w:r>
      <w:r w:rsidRPr="00C25392">
        <w:rPr>
          <w:szCs w:val="24"/>
        </w:rPr>
        <w:t>standard</w:t>
      </w:r>
      <w:r>
        <w:rPr>
          <w:szCs w:val="24"/>
        </w:rPr>
        <w:t xml:space="preserve"> (</w:t>
      </w:r>
      <w:r w:rsidRPr="00C25392">
        <w:rPr>
          <w:szCs w:val="24"/>
        </w:rPr>
        <w:t>paragraphe</w:t>
      </w:r>
      <w:r>
        <w:rPr>
          <w:szCs w:val="24"/>
        </w:rPr>
        <w:t xml:space="preserve"> 4)</w:t>
      </w:r>
      <w:r w:rsidRPr="00C25392">
        <w:rPr>
          <w:szCs w:val="24"/>
        </w:rPr>
        <w:t xml:space="preserve"> avec quelques </w:t>
      </w:r>
      <w:r>
        <w:rPr>
          <w:szCs w:val="24"/>
        </w:rPr>
        <w:t>corrections afin de l</w:t>
      </w:r>
      <w:r w:rsidR="00346F1B">
        <w:rPr>
          <w:szCs w:val="24"/>
        </w:rPr>
        <w:t>’</w:t>
      </w:r>
      <w:r>
        <w:rPr>
          <w:szCs w:val="24"/>
        </w:rPr>
        <w:t xml:space="preserve">adapter à cette </w:t>
      </w:r>
      <w:r w:rsidRPr="00C25392">
        <w:rPr>
          <w:szCs w:val="24"/>
        </w:rPr>
        <w:t>candidature</w:t>
      </w:r>
      <w:r w:rsidR="00311C6B">
        <w:rPr>
          <w:szCs w:val="24"/>
        </w:rPr>
        <w:t>.</w:t>
      </w:r>
    </w:p>
    <w:p w14:paraId="2CABF55E" w14:textId="37CE791F" w:rsidR="00C25392" w:rsidRDefault="00C25392" w:rsidP="00311C6B">
      <w:pPr>
        <w:pStyle w:val="Orateurengris"/>
        <w:tabs>
          <w:tab w:val="clear" w:pos="709"/>
          <w:tab w:val="clear" w:pos="1418"/>
          <w:tab w:val="clear" w:pos="2126"/>
          <w:tab w:val="clear" w:pos="2835"/>
          <w:tab w:val="clear" w:pos="3686"/>
        </w:tabs>
        <w:spacing w:before="120"/>
        <w:ind w:left="709" w:hanging="709"/>
        <w:rPr>
          <w:szCs w:val="24"/>
        </w:rPr>
      </w:pPr>
      <w:r w:rsidRPr="00C25392">
        <w:rPr>
          <w:szCs w:val="24"/>
        </w:rPr>
        <w:t>En ce qui concerne</w:t>
      </w:r>
      <w:r>
        <w:rPr>
          <w:szCs w:val="24"/>
        </w:rPr>
        <w:t xml:space="preserve"> le dernier </w:t>
      </w:r>
      <w:r w:rsidRPr="00C25392">
        <w:rPr>
          <w:szCs w:val="24"/>
        </w:rPr>
        <w:t>paragraphe</w:t>
      </w:r>
      <w:r>
        <w:rPr>
          <w:szCs w:val="24"/>
        </w:rPr>
        <w:t xml:space="preserve"> de la </w:t>
      </w:r>
      <w:r w:rsidRPr="00C25392">
        <w:rPr>
          <w:szCs w:val="24"/>
        </w:rPr>
        <w:t>décision</w:t>
      </w:r>
      <w:r>
        <w:rPr>
          <w:szCs w:val="24"/>
        </w:rPr>
        <w:t xml:space="preserve">, la </w:t>
      </w:r>
      <w:r w:rsidRPr="00C25392">
        <w:rPr>
          <w:szCs w:val="24"/>
        </w:rPr>
        <w:t>délégation</w:t>
      </w:r>
      <w:r>
        <w:rPr>
          <w:szCs w:val="24"/>
        </w:rPr>
        <w:t xml:space="preserve"> de </w:t>
      </w:r>
      <w:r w:rsidRPr="00C25392">
        <w:rPr>
          <w:b/>
          <w:szCs w:val="24"/>
        </w:rPr>
        <w:t>Cuba</w:t>
      </w:r>
      <w:r>
        <w:rPr>
          <w:szCs w:val="24"/>
        </w:rPr>
        <w:t xml:space="preserve"> a proposé d</w:t>
      </w:r>
      <w:r w:rsidR="00346F1B">
        <w:rPr>
          <w:szCs w:val="24"/>
        </w:rPr>
        <w:t>’</w:t>
      </w:r>
      <w:r>
        <w:rPr>
          <w:szCs w:val="24"/>
        </w:rPr>
        <w:t>encourager l</w:t>
      </w:r>
      <w:r w:rsidR="00346F1B">
        <w:rPr>
          <w:szCs w:val="24"/>
        </w:rPr>
        <w:t>’</w:t>
      </w:r>
      <w:r>
        <w:rPr>
          <w:szCs w:val="24"/>
        </w:rPr>
        <w:t xml:space="preserve">État à communiquer des </w:t>
      </w:r>
      <w:r w:rsidRPr="00C25392">
        <w:rPr>
          <w:szCs w:val="24"/>
        </w:rPr>
        <w:t>informations</w:t>
      </w:r>
      <w:r>
        <w:rPr>
          <w:szCs w:val="24"/>
        </w:rPr>
        <w:t xml:space="preserve"> en vue de son rapport périodique, comme cela avait été fait pour d</w:t>
      </w:r>
      <w:r w:rsidR="00346F1B">
        <w:rPr>
          <w:szCs w:val="24"/>
        </w:rPr>
        <w:t>’</w:t>
      </w:r>
      <w:r>
        <w:rPr>
          <w:szCs w:val="24"/>
        </w:rPr>
        <w:t xml:space="preserve">autres candidatures. La </w:t>
      </w:r>
      <w:r w:rsidRPr="00C25392">
        <w:rPr>
          <w:szCs w:val="24"/>
        </w:rPr>
        <w:t>délégation</w:t>
      </w:r>
      <w:r>
        <w:rPr>
          <w:szCs w:val="24"/>
        </w:rPr>
        <w:t xml:space="preserve"> ne souhaitait pas ignorer les recommandations de l</w:t>
      </w:r>
      <w:r w:rsidR="00346F1B">
        <w:rPr>
          <w:szCs w:val="24"/>
        </w:rPr>
        <w:t>’</w:t>
      </w:r>
      <w:r>
        <w:rPr>
          <w:szCs w:val="24"/>
        </w:rPr>
        <w:t>Organe d</w:t>
      </w:r>
      <w:r w:rsidR="00346F1B">
        <w:rPr>
          <w:szCs w:val="24"/>
        </w:rPr>
        <w:t>’</w:t>
      </w:r>
      <w:r>
        <w:rPr>
          <w:szCs w:val="24"/>
        </w:rPr>
        <w:t>évaluation qui aideraient l</w:t>
      </w:r>
      <w:r w:rsidR="00346F1B">
        <w:rPr>
          <w:szCs w:val="24"/>
        </w:rPr>
        <w:t>’</w:t>
      </w:r>
      <w:r>
        <w:rPr>
          <w:szCs w:val="24"/>
        </w:rPr>
        <w:t xml:space="preserve">État soumissionnaire à améliorer ses pratiques de </w:t>
      </w:r>
      <w:r w:rsidRPr="00C25392">
        <w:rPr>
          <w:szCs w:val="24"/>
        </w:rPr>
        <w:t>sauvegarde</w:t>
      </w:r>
      <w:r w:rsidR="0045217F">
        <w:rPr>
          <w:szCs w:val="24"/>
        </w:rPr>
        <w:t xml:space="preserve">. Ces recommandations seraient ainsi prises en compte dans ce dernier </w:t>
      </w:r>
      <w:r w:rsidR="0045217F" w:rsidRPr="0045217F">
        <w:rPr>
          <w:szCs w:val="24"/>
        </w:rPr>
        <w:t>paragraphe</w:t>
      </w:r>
      <w:r w:rsidR="00311C6B">
        <w:rPr>
          <w:szCs w:val="24"/>
        </w:rPr>
        <w:t>.</w:t>
      </w:r>
    </w:p>
    <w:p w14:paraId="648B1338" w14:textId="1133758F" w:rsidR="0045217F" w:rsidRDefault="0045217F"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45217F">
        <w:rPr>
          <w:b/>
          <w:szCs w:val="24"/>
        </w:rPr>
        <w:t>Président</w:t>
      </w:r>
      <w:r>
        <w:rPr>
          <w:szCs w:val="24"/>
        </w:rPr>
        <w:t xml:space="preserve"> a demandé au Comité s</w:t>
      </w:r>
      <w:r w:rsidR="00346F1B">
        <w:rPr>
          <w:szCs w:val="24"/>
        </w:rPr>
        <w:t>’</w:t>
      </w:r>
      <w:r>
        <w:rPr>
          <w:szCs w:val="24"/>
        </w:rPr>
        <w:t xml:space="preserve">il adhérait à la </w:t>
      </w:r>
      <w:r w:rsidRPr="0045217F">
        <w:rPr>
          <w:szCs w:val="24"/>
        </w:rPr>
        <w:t xml:space="preserve">proposition </w:t>
      </w:r>
      <w:r>
        <w:rPr>
          <w:szCs w:val="24"/>
        </w:rPr>
        <w:t>de Cuba en faveur de l</w:t>
      </w:r>
      <w:r w:rsidR="00346F1B">
        <w:rPr>
          <w:szCs w:val="24"/>
        </w:rPr>
        <w:t>’</w:t>
      </w:r>
      <w:r>
        <w:rPr>
          <w:szCs w:val="24"/>
        </w:rPr>
        <w:t xml:space="preserve">insertion du </w:t>
      </w:r>
      <w:r w:rsidRPr="0045217F">
        <w:rPr>
          <w:szCs w:val="24"/>
        </w:rPr>
        <w:t>paragraphe</w:t>
      </w:r>
      <w:r w:rsidR="00311C6B">
        <w:rPr>
          <w:szCs w:val="24"/>
        </w:rPr>
        <w:t xml:space="preserve"> 5.</w:t>
      </w:r>
    </w:p>
    <w:p w14:paraId="415C1D8C" w14:textId="535048D3" w:rsidR="0045217F" w:rsidRPr="0045217F" w:rsidRDefault="0045217F"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45217F">
        <w:rPr>
          <w:szCs w:val="24"/>
        </w:rPr>
        <w:t>délégation</w:t>
      </w:r>
      <w:r>
        <w:rPr>
          <w:szCs w:val="24"/>
        </w:rPr>
        <w:t xml:space="preserve"> de </w:t>
      </w:r>
      <w:r w:rsidRPr="0045217F">
        <w:rPr>
          <w:b/>
          <w:szCs w:val="24"/>
        </w:rPr>
        <w:t>Cuba</w:t>
      </w:r>
      <w:r>
        <w:rPr>
          <w:szCs w:val="24"/>
        </w:rPr>
        <w:t xml:space="preserve"> a précisé le libellé du </w:t>
      </w:r>
      <w:r w:rsidRPr="0045217F">
        <w:rPr>
          <w:szCs w:val="24"/>
        </w:rPr>
        <w:t>paragraphe</w:t>
      </w:r>
      <w:r>
        <w:rPr>
          <w:szCs w:val="24"/>
        </w:rPr>
        <w:t xml:space="preserve"> qui serait ainsi rédigé : « Encourage l</w:t>
      </w:r>
      <w:r w:rsidR="00346F1B">
        <w:rPr>
          <w:szCs w:val="24"/>
        </w:rPr>
        <w:t>’</w:t>
      </w:r>
      <w:r>
        <w:rPr>
          <w:szCs w:val="24"/>
        </w:rPr>
        <w:t xml:space="preserve">État </w:t>
      </w:r>
      <w:r w:rsidRPr="0045217F">
        <w:rPr>
          <w:szCs w:val="24"/>
        </w:rPr>
        <w:t>soumissionnaire</w:t>
      </w:r>
      <w:r>
        <w:rPr>
          <w:szCs w:val="24"/>
        </w:rPr>
        <w:t xml:space="preserve"> à continuer à travailler afin d</w:t>
      </w:r>
      <w:r w:rsidR="00346F1B">
        <w:rPr>
          <w:szCs w:val="24"/>
        </w:rPr>
        <w:t>’</w:t>
      </w:r>
      <w:r>
        <w:rPr>
          <w:szCs w:val="24"/>
        </w:rPr>
        <w:t xml:space="preserve">assurer une </w:t>
      </w:r>
      <w:r w:rsidRPr="0045217F">
        <w:rPr>
          <w:szCs w:val="24"/>
        </w:rPr>
        <w:t>participation</w:t>
      </w:r>
      <w:r>
        <w:rPr>
          <w:szCs w:val="24"/>
        </w:rPr>
        <w:t xml:space="preserve"> pleine et entière des communautés concernées dans la </w:t>
      </w:r>
      <w:r w:rsidRPr="0045217F">
        <w:rPr>
          <w:szCs w:val="24"/>
        </w:rPr>
        <w:t>réalisation</w:t>
      </w:r>
      <w:r>
        <w:rPr>
          <w:szCs w:val="24"/>
        </w:rPr>
        <w:t xml:space="preserve"> et la mise à jour des </w:t>
      </w:r>
      <w:r w:rsidRPr="0045217F">
        <w:rPr>
          <w:szCs w:val="24"/>
        </w:rPr>
        <w:t>inventaire</w:t>
      </w:r>
      <w:r>
        <w:rPr>
          <w:szCs w:val="24"/>
        </w:rPr>
        <w:t xml:space="preserve">s. ». La </w:t>
      </w:r>
      <w:r w:rsidRPr="0045217F">
        <w:rPr>
          <w:szCs w:val="24"/>
        </w:rPr>
        <w:t>délégation</w:t>
      </w:r>
      <w:r>
        <w:rPr>
          <w:szCs w:val="24"/>
        </w:rPr>
        <w:t xml:space="preserve"> a expliqué que cette </w:t>
      </w:r>
      <w:r w:rsidRPr="0045217F">
        <w:rPr>
          <w:szCs w:val="24"/>
        </w:rPr>
        <w:t>recommandation</w:t>
      </w:r>
      <w:r>
        <w:rPr>
          <w:szCs w:val="24"/>
        </w:rPr>
        <w:t xml:space="preserve"> aiderait l</w:t>
      </w:r>
      <w:r w:rsidR="00346F1B">
        <w:rPr>
          <w:szCs w:val="24"/>
        </w:rPr>
        <w:t>’</w:t>
      </w:r>
      <w:r>
        <w:rPr>
          <w:szCs w:val="24"/>
        </w:rPr>
        <w:t>État à sauvegarder son élément et à rédiger corre</w:t>
      </w:r>
      <w:r w:rsidR="00311C6B">
        <w:rPr>
          <w:szCs w:val="24"/>
        </w:rPr>
        <w:t>ctement son rapport périodique.</w:t>
      </w:r>
    </w:p>
    <w:p w14:paraId="3322F28B" w14:textId="7F3BA5EB" w:rsidR="0045217F" w:rsidRDefault="0045217F"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A31ACC">
        <w:rPr>
          <w:b/>
          <w:szCs w:val="24"/>
        </w:rPr>
        <w:t>Secrétaire</w:t>
      </w:r>
      <w:r>
        <w:rPr>
          <w:szCs w:val="24"/>
        </w:rPr>
        <w:t xml:space="preserve"> a demandé à Cuba </w:t>
      </w:r>
      <w:r w:rsidR="005173D4">
        <w:rPr>
          <w:szCs w:val="24"/>
        </w:rPr>
        <w:t>d</w:t>
      </w:r>
      <w:r w:rsidR="00346F1B">
        <w:rPr>
          <w:szCs w:val="24"/>
        </w:rPr>
        <w:t>’</w:t>
      </w:r>
      <w:r w:rsidR="005173D4">
        <w:rPr>
          <w:szCs w:val="24"/>
        </w:rPr>
        <w:t xml:space="preserve">apporter des </w:t>
      </w:r>
      <w:r w:rsidR="005173D4">
        <w:t xml:space="preserve">éclaircissements sur </w:t>
      </w:r>
      <w:r w:rsidR="00A31ACC">
        <w:t>ce paragraph</w:t>
      </w:r>
      <w:r w:rsidR="00311C6B">
        <w:t>e et de le soumettre par écrit.</w:t>
      </w:r>
    </w:p>
    <w:p w14:paraId="3F82FB89" w14:textId="2E791583" w:rsidR="00A31ACC" w:rsidRPr="00A31ACC" w:rsidRDefault="00A31ACC"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A31ACC">
        <w:rPr>
          <w:szCs w:val="24"/>
        </w:rPr>
        <w:t>délégation</w:t>
      </w:r>
      <w:r>
        <w:rPr>
          <w:szCs w:val="24"/>
        </w:rPr>
        <w:t xml:space="preserve"> de </w:t>
      </w:r>
      <w:r w:rsidRPr="00A31ACC">
        <w:rPr>
          <w:b/>
          <w:szCs w:val="24"/>
        </w:rPr>
        <w:t>Cuba</w:t>
      </w:r>
      <w:r>
        <w:rPr>
          <w:szCs w:val="24"/>
        </w:rPr>
        <w:t xml:space="preserve"> a précisé que la </w:t>
      </w:r>
      <w:r w:rsidRPr="00A31ACC">
        <w:rPr>
          <w:szCs w:val="24"/>
        </w:rPr>
        <w:t>recommandation</w:t>
      </w:r>
      <w:r>
        <w:rPr>
          <w:szCs w:val="24"/>
        </w:rPr>
        <w:t xml:space="preserve"> à l</w:t>
      </w:r>
      <w:r w:rsidR="00346F1B">
        <w:rPr>
          <w:szCs w:val="24"/>
        </w:rPr>
        <w:t>’</w:t>
      </w:r>
      <w:r>
        <w:rPr>
          <w:szCs w:val="24"/>
        </w:rPr>
        <w:t>État soumissionnaire</w:t>
      </w:r>
      <w:r w:rsidR="0080744C">
        <w:rPr>
          <w:szCs w:val="24"/>
        </w:rPr>
        <w:t xml:space="preserve"> visait simplement à assurer </w:t>
      </w:r>
      <w:r>
        <w:rPr>
          <w:szCs w:val="24"/>
        </w:rPr>
        <w:t xml:space="preserve">la </w:t>
      </w:r>
      <w:r w:rsidRPr="00A31ACC">
        <w:rPr>
          <w:szCs w:val="24"/>
        </w:rPr>
        <w:t>participation</w:t>
      </w:r>
      <w:r>
        <w:rPr>
          <w:szCs w:val="24"/>
        </w:rPr>
        <w:t xml:space="preserve"> des communautés et la mise à jour de son </w:t>
      </w:r>
      <w:r w:rsidRPr="00A31ACC">
        <w:rPr>
          <w:szCs w:val="24"/>
        </w:rPr>
        <w:t>inventaire</w:t>
      </w:r>
      <w:r>
        <w:rPr>
          <w:szCs w:val="24"/>
        </w:rPr>
        <w:t xml:space="preserve">. Ce pourrait donc être une bonne </w:t>
      </w:r>
      <w:r w:rsidRPr="00A31ACC">
        <w:rPr>
          <w:szCs w:val="24"/>
        </w:rPr>
        <w:t>recommandation</w:t>
      </w:r>
      <w:r>
        <w:rPr>
          <w:szCs w:val="24"/>
        </w:rPr>
        <w:t xml:space="preserve"> basée sur l</w:t>
      </w:r>
      <w:r w:rsidR="00346F1B">
        <w:rPr>
          <w:szCs w:val="24"/>
        </w:rPr>
        <w:t>’</w:t>
      </w:r>
      <w:r w:rsidRPr="00A31ACC">
        <w:rPr>
          <w:szCs w:val="24"/>
        </w:rPr>
        <w:t>évaluation</w:t>
      </w:r>
      <w:r>
        <w:rPr>
          <w:szCs w:val="24"/>
        </w:rPr>
        <w:t xml:space="preserve"> de l</w:t>
      </w:r>
      <w:r w:rsidR="00346F1B">
        <w:rPr>
          <w:szCs w:val="24"/>
        </w:rPr>
        <w:t>’</w:t>
      </w:r>
      <w:r>
        <w:rPr>
          <w:szCs w:val="24"/>
        </w:rPr>
        <w:t>Organe d</w:t>
      </w:r>
      <w:r w:rsidR="00346F1B">
        <w:rPr>
          <w:szCs w:val="24"/>
        </w:rPr>
        <w:t>’</w:t>
      </w:r>
      <w:r>
        <w:rPr>
          <w:szCs w:val="24"/>
        </w:rPr>
        <w:t xml:space="preserve">évaluation, ce qui ne signifiait </w:t>
      </w:r>
      <w:r w:rsidRPr="00A31ACC">
        <w:rPr>
          <w:szCs w:val="24"/>
        </w:rPr>
        <w:t>pas pour autant que la délégation était opposée à l</w:t>
      </w:r>
      <w:r w:rsidR="00346F1B">
        <w:rPr>
          <w:szCs w:val="24"/>
        </w:rPr>
        <w:t>’</w:t>
      </w:r>
      <w:r w:rsidR="00311C6B">
        <w:rPr>
          <w:szCs w:val="24"/>
        </w:rPr>
        <w:t>inscription.</w:t>
      </w:r>
    </w:p>
    <w:p w14:paraId="54C5C5D1" w14:textId="16585835" w:rsidR="00A31ACC" w:rsidRDefault="00A31ACC"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A31ACC">
        <w:rPr>
          <w:szCs w:val="24"/>
        </w:rPr>
        <w:t>délégation</w:t>
      </w:r>
      <w:r>
        <w:rPr>
          <w:szCs w:val="24"/>
        </w:rPr>
        <w:t xml:space="preserve"> de la </w:t>
      </w:r>
      <w:r w:rsidRPr="00A31ACC">
        <w:rPr>
          <w:b/>
          <w:szCs w:val="24"/>
        </w:rPr>
        <w:t>Palestine</w:t>
      </w:r>
      <w:r>
        <w:rPr>
          <w:szCs w:val="24"/>
        </w:rPr>
        <w:t xml:space="preserve"> avait noté quelques différences de libellé entre les vers</w:t>
      </w:r>
      <w:r w:rsidR="00635860">
        <w:rPr>
          <w:szCs w:val="24"/>
        </w:rPr>
        <w:t>ions anglaises et françaises. Elle</w:t>
      </w:r>
      <w:r>
        <w:rPr>
          <w:szCs w:val="24"/>
        </w:rPr>
        <w:t xml:space="preserve"> a demandé à Cuba de faire preuve d</w:t>
      </w:r>
      <w:r w:rsidR="00346F1B">
        <w:rPr>
          <w:szCs w:val="24"/>
        </w:rPr>
        <w:t>’</w:t>
      </w:r>
      <w:r>
        <w:rPr>
          <w:szCs w:val="24"/>
        </w:rPr>
        <w:t xml:space="preserve">indulgence et de </w:t>
      </w:r>
      <w:r w:rsidR="00635860">
        <w:rPr>
          <w:szCs w:val="24"/>
        </w:rPr>
        <w:t>ne pas encourager ou recommander certaines actions à l</w:t>
      </w:r>
      <w:r w:rsidR="00346F1B">
        <w:rPr>
          <w:szCs w:val="24"/>
        </w:rPr>
        <w:t>’</w:t>
      </w:r>
      <w:r w:rsidR="00635860">
        <w:rPr>
          <w:szCs w:val="24"/>
        </w:rPr>
        <w:t>État soumissionnaire. Elle a suggéré d</w:t>
      </w:r>
      <w:r w:rsidR="00346F1B">
        <w:rPr>
          <w:szCs w:val="24"/>
        </w:rPr>
        <w:t>’</w:t>
      </w:r>
      <w:r w:rsidR="00635860">
        <w:rPr>
          <w:szCs w:val="24"/>
        </w:rPr>
        <w:t xml:space="preserve">adopter dans un premier temps le </w:t>
      </w:r>
      <w:r w:rsidR="00635860" w:rsidRPr="00635860">
        <w:rPr>
          <w:szCs w:val="24"/>
        </w:rPr>
        <w:t>paragraphe</w:t>
      </w:r>
      <w:r w:rsidR="00635860">
        <w:rPr>
          <w:szCs w:val="24"/>
        </w:rPr>
        <w:t xml:space="preserve"> 4 puis de débattre du nouveau </w:t>
      </w:r>
      <w:r w:rsidR="00635860" w:rsidRPr="00635860">
        <w:rPr>
          <w:szCs w:val="24"/>
        </w:rPr>
        <w:t>paragraphe</w:t>
      </w:r>
      <w:r w:rsidR="00FC6CAF">
        <w:rPr>
          <w:szCs w:val="24"/>
        </w:rPr>
        <w:t> </w:t>
      </w:r>
      <w:r w:rsidR="0068180E">
        <w:rPr>
          <w:szCs w:val="24"/>
        </w:rPr>
        <w:t>5.</w:t>
      </w:r>
    </w:p>
    <w:p w14:paraId="22D96B25" w14:textId="3A00A66F" w:rsidR="004B16E5" w:rsidRPr="004B16E5" w:rsidRDefault="00635860"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635860">
        <w:rPr>
          <w:szCs w:val="24"/>
        </w:rPr>
        <w:t>délégation</w:t>
      </w:r>
      <w:r>
        <w:rPr>
          <w:szCs w:val="24"/>
        </w:rPr>
        <w:t xml:space="preserve"> de la </w:t>
      </w:r>
      <w:r w:rsidRPr="00635860">
        <w:rPr>
          <w:b/>
          <w:szCs w:val="24"/>
        </w:rPr>
        <w:t>Hongrie</w:t>
      </w:r>
      <w:r>
        <w:rPr>
          <w:szCs w:val="24"/>
        </w:rPr>
        <w:t xml:space="preserve"> a dit adhérer à la </w:t>
      </w:r>
      <w:r w:rsidRPr="00635860">
        <w:rPr>
          <w:szCs w:val="24"/>
        </w:rPr>
        <w:t xml:space="preserve">proposition </w:t>
      </w:r>
      <w:r>
        <w:rPr>
          <w:szCs w:val="24"/>
        </w:rPr>
        <w:t xml:space="preserve">de Cuba sur les </w:t>
      </w:r>
      <w:r w:rsidRPr="00635860">
        <w:rPr>
          <w:szCs w:val="24"/>
        </w:rPr>
        <w:t>p</w:t>
      </w:r>
      <w:r>
        <w:rPr>
          <w:szCs w:val="24"/>
        </w:rPr>
        <w:t>aragraphes</w:t>
      </w:r>
      <w:r w:rsidR="004B16E5">
        <w:rPr>
          <w:szCs w:val="24"/>
        </w:rPr>
        <w:t xml:space="preserve"> 4 et 5. Elle comprenait que cela </w:t>
      </w:r>
      <w:r>
        <w:rPr>
          <w:szCs w:val="24"/>
        </w:rPr>
        <w:t xml:space="preserve">ne remplaçait pas le précédent </w:t>
      </w:r>
      <w:r w:rsidRPr="00635860">
        <w:rPr>
          <w:szCs w:val="24"/>
        </w:rPr>
        <w:t>paragraphe</w:t>
      </w:r>
      <w:r>
        <w:rPr>
          <w:szCs w:val="24"/>
        </w:rPr>
        <w:t xml:space="preserve"> 5, mais que celui-ci devrait être reformulé afin d</w:t>
      </w:r>
      <w:r w:rsidR="00346F1B">
        <w:rPr>
          <w:szCs w:val="24"/>
        </w:rPr>
        <w:t>’</w:t>
      </w:r>
      <w:r>
        <w:rPr>
          <w:szCs w:val="24"/>
        </w:rPr>
        <w:t> « encourager » l</w:t>
      </w:r>
      <w:r w:rsidR="00346F1B">
        <w:rPr>
          <w:szCs w:val="24"/>
        </w:rPr>
        <w:t>’</w:t>
      </w:r>
      <w:r>
        <w:rPr>
          <w:szCs w:val="24"/>
        </w:rPr>
        <w:t xml:space="preserve">État, comme cela avait été le cas avec la rumba cubaine. Les deux </w:t>
      </w:r>
      <w:r w:rsidRPr="00635860">
        <w:rPr>
          <w:szCs w:val="24"/>
        </w:rPr>
        <w:t>p</w:t>
      </w:r>
      <w:r>
        <w:rPr>
          <w:szCs w:val="24"/>
        </w:rPr>
        <w:t xml:space="preserve">aragraphes abordaient certains sujets auxquels le dossier de candidature avait fait référence </w:t>
      </w:r>
      <w:r w:rsidR="004B16E5">
        <w:rPr>
          <w:szCs w:val="24"/>
        </w:rPr>
        <w:t>et, une fois l</w:t>
      </w:r>
      <w:r w:rsidR="00346F1B">
        <w:rPr>
          <w:szCs w:val="24"/>
        </w:rPr>
        <w:t>’</w:t>
      </w:r>
      <w:r w:rsidR="004B16E5" w:rsidRPr="004B16E5">
        <w:rPr>
          <w:szCs w:val="24"/>
        </w:rPr>
        <w:t>élément</w:t>
      </w:r>
      <w:r w:rsidR="004B16E5">
        <w:rPr>
          <w:szCs w:val="24"/>
        </w:rPr>
        <w:t xml:space="preserve"> inscrit, ces encouragements permettraient à l</w:t>
      </w:r>
      <w:r w:rsidR="00346F1B">
        <w:rPr>
          <w:szCs w:val="24"/>
        </w:rPr>
        <w:t>’</w:t>
      </w:r>
      <w:r w:rsidR="004B16E5">
        <w:rPr>
          <w:szCs w:val="24"/>
        </w:rPr>
        <w:t xml:space="preserve">État soumissionnaire de mieux gérer son </w:t>
      </w:r>
      <w:r w:rsidR="004B16E5" w:rsidRPr="004B16E5">
        <w:rPr>
          <w:szCs w:val="24"/>
        </w:rPr>
        <w:t>élément</w:t>
      </w:r>
      <w:r w:rsidR="004B16E5">
        <w:rPr>
          <w:szCs w:val="24"/>
        </w:rPr>
        <w:t xml:space="preserve">. La </w:t>
      </w:r>
      <w:r w:rsidR="004B16E5" w:rsidRPr="004B16E5">
        <w:rPr>
          <w:szCs w:val="24"/>
        </w:rPr>
        <w:t>délégation</w:t>
      </w:r>
      <w:r w:rsidR="004B16E5">
        <w:rPr>
          <w:szCs w:val="24"/>
        </w:rPr>
        <w:t xml:space="preserve"> a réitéré son soutien à </w:t>
      </w:r>
      <w:r w:rsidR="004B16E5" w:rsidRPr="004B16E5">
        <w:rPr>
          <w:szCs w:val="24"/>
        </w:rPr>
        <w:t xml:space="preserve">proposition </w:t>
      </w:r>
      <w:r w:rsidR="004B16E5">
        <w:rPr>
          <w:szCs w:val="24"/>
        </w:rPr>
        <w:t>de Cuba avec une reformulation qui, tout en conservant le contexte de l</w:t>
      </w:r>
      <w:r w:rsidR="00346F1B">
        <w:rPr>
          <w:szCs w:val="24"/>
        </w:rPr>
        <w:t>’</w:t>
      </w:r>
      <w:r w:rsidR="004B16E5" w:rsidRPr="004B16E5">
        <w:rPr>
          <w:szCs w:val="24"/>
        </w:rPr>
        <w:t>inscription</w:t>
      </w:r>
      <w:r w:rsidR="004B16E5">
        <w:rPr>
          <w:szCs w:val="24"/>
        </w:rPr>
        <w:t>, transformerait l</w:t>
      </w:r>
      <w:r w:rsidR="0068180E">
        <w:rPr>
          <w:szCs w:val="24"/>
        </w:rPr>
        <w:t>es critiques en encouragements.</w:t>
      </w:r>
    </w:p>
    <w:p w14:paraId="63AE5CC9" w14:textId="32C8EFDF" w:rsidR="004B16E5" w:rsidRDefault="004B16E5"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4B16E5">
        <w:rPr>
          <w:b/>
          <w:szCs w:val="24"/>
        </w:rPr>
        <w:t>Président</w:t>
      </w:r>
      <w:r>
        <w:rPr>
          <w:szCs w:val="24"/>
        </w:rPr>
        <w:t xml:space="preserve"> a demandé au Comité de passer à l</w:t>
      </w:r>
      <w:r w:rsidR="00346F1B">
        <w:rPr>
          <w:szCs w:val="24"/>
        </w:rPr>
        <w:t>’</w:t>
      </w:r>
      <w:r>
        <w:rPr>
          <w:szCs w:val="24"/>
        </w:rPr>
        <w:t>adoption de l</w:t>
      </w:r>
      <w:r w:rsidR="00346F1B">
        <w:rPr>
          <w:szCs w:val="24"/>
        </w:rPr>
        <w:t>’</w:t>
      </w:r>
      <w:r w:rsidRPr="004B16E5">
        <w:rPr>
          <w:szCs w:val="24"/>
        </w:rPr>
        <w:t>amendement</w:t>
      </w:r>
      <w:r>
        <w:rPr>
          <w:szCs w:val="24"/>
        </w:rPr>
        <w:t xml:space="preserve"> de Cuba au </w:t>
      </w:r>
      <w:r w:rsidRPr="004B16E5">
        <w:rPr>
          <w:szCs w:val="24"/>
        </w:rPr>
        <w:t>paragraphe</w:t>
      </w:r>
      <w:r>
        <w:rPr>
          <w:szCs w:val="24"/>
        </w:rPr>
        <w:t xml:space="preserve"> 4, puis du </w:t>
      </w:r>
      <w:r w:rsidRPr="004B16E5">
        <w:rPr>
          <w:szCs w:val="24"/>
        </w:rPr>
        <w:t>paragraphe</w:t>
      </w:r>
      <w:r>
        <w:rPr>
          <w:szCs w:val="24"/>
        </w:rPr>
        <w:t xml:space="preserve"> qui « encourage » l</w:t>
      </w:r>
      <w:r w:rsidR="00346F1B">
        <w:rPr>
          <w:szCs w:val="24"/>
        </w:rPr>
        <w:t>’</w:t>
      </w:r>
      <w:r>
        <w:rPr>
          <w:szCs w:val="24"/>
        </w:rPr>
        <w:t>État soumissionnaire. En l</w:t>
      </w:r>
      <w:r w:rsidR="00346F1B">
        <w:rPr>
          <w:szCs w:val="24"/>
        </w:rPr>
        <w:t>’</w:t>
      </w:r>
      <w:r>
        <w:rPr>
          <w:szCs w:val="24"/>
        </w:rPr>
        <w:t>absence d</w:t>
      </w:r>
      <w:r w:rsidR="00346F1B">
        <w:rPr>
          <w:szCs w:val="24"/>
        </w:rPr>
        <w:t>’</w:t>
      </w:r>
      <w:r w:rsidRPr="004B16E5">
        <w:rPr>
          <w:szCs w:val="24"/>
        </w:rPr>
        <w:t>objections</w:t>
      </w:r>
      <w:r>
        <w:rPr>
          <w:szCs w:val="24"/>
        </w:rPr>
        <w:t xml:space="preserve">, le </w:t>
      </w:r>
      <w:r w:rsidRPr="004B16E5">
        <w:rPr>
          <w:szCs w:val="24"/>
        </w:rPr>
        <w:t>paragraphe</w:t>
      </w:r>
      <w:r>
        <w:rPr>
          <w:szCs w:val="24"/>
        </w:rPr>
        <w:t xml:space="preserve"> 4 a été adopté tel qu</w:t>
      </w:r>
      <w:r w:rsidR="00346F1B">
        <w:rPr>
          <w:szCs w:val="24"/>
        </w:rPr>
        <w:t>’</w:t>
      </w:r>
      <w:r w:rsidR="0068180E">
        <w:rPr>
          <w:szCs w:val="24"/>
        </w:rPr>
        <w:t>amendé.</w:t>
      </w:r>
    </w:p>
    <w:p w14:paraId="41DE453F" w14:textId="4633ECFC" w:rsidR="004B16E5" w:rsidRDefault="004B16E5"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4B16E5">
        <w:rPr>
          <w:szCs w:val="24"/>
        </w:rPr>
        <w:t>délégation</w:t>
      </w:r>
      <w:r>
        <w:rPr>
          <w:szCs w:val="24"/>
        </w:rPr>
        <w:t xml:space="preserve"> de </w:t>
      </w:r>
      <w:r w:rsidRPr="004B16E5">
        <w:rPr>
          <w:b/>
          <w:szCs w:val="24"/>
        </w:rPr>
        <w:t>Cuba</w:t>
      </w:r>
      <w:r>
        <w:rPr>
          <w:szCs w:val="24"/>
        </w:rPr>
        <w:t xml:space="preserve"> a lu à voix haute le </w:t>
      </w:r>
      <w:r w:rsidRPr="004B16E5">
        <w:rPr>
          <w:szCs w:val="24"/>
        </w:rPr>
        <w:t>paragraphe</w:t>
      </w:r>
      <w:r>
        <w:rPr>
          <w:szCs w:val="24"/>
        </w:rPr>
        <w:t xml:space="preserve"> 5 ainsi rédigé : « Encourage l</w:t>
      </w:r>
      <w:r w:rsidR="00346F1B">
        <w:rPr>
          <w:szCs w:val="24"/>
        </w:rPr>
        <w:t>’</w:t>
      </w:r>
      <w:r>
        <w:rPr>
          <w:szCs w:val="24"/>
        </w:rPr>
        <w:t>État soumissionnaire à continuer à travailler afin d</w:t>
      </w:r>
      <w:r w:rsidR="00346F1B">
        <w:rPr>
          <w:szCs w:val="24"/>
        </w:rPr>
        <w:t>’</w:t>
      </w:r>
      <w:r>
        <w:rPr>
          <w:szCs w:val="24"/>
        </w:rPr>
        <w:t xml:space="preserve">assurer </w:t>
      </w:r>
      <w:r w:rsidR="0080744C">
        <w:rPr>
          <w:szCs w:val="24"/>
        </w:rPr>
        <w:t xml:space="preserve">une </w:t>
      </w:r>
      <w:r w:rsidR="0080744C" w:rsidRPr="0080744C">
        <w:rPr>
          <w:szCs w:val="24"/>
        </w:rPr>
        <w:t>participation</w:t>
      </w:r>
      <w:r w:rsidR="0080744C">
        <w:rPr>
          <w:szCs w:val="24"/>
        </w:rPr>
        <w:t xml:space="preserve"> pleine et entière des communautés concernées dans la </w:t>
      </w:r>
      <w:r w:rsidR="0080744C" w:rsidRPr="0080744C">
        <w:rPr>
          <w:szCs w:val="24"/>
        </w:rPr>
        <w:t>réalisation</w:t>
      </w:r>
      <w:r w:rsidR="0080744C">
        <w:rPr>
          <w:szCs w:val="24"/>
        </w:rPr>
        <w:t xml:space="preserve"> et la mise à jour des inventaires. ».</w:t>
      </w:r>
    </w:p>
    <w:p w14:paraId="44B35386" w14:textId="337AD092" w:rsidR="0080744C" w:rsidRDefault="0080744C"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80744C">
        <w:rPr>
          <w:b/>
          <w:szCs w:val="24"/>
        </w:rPr>
        <w:t>Président</w:t>
      </w:r>
      <w:r>
        <w:rPr>
          <w:szCs w:val="24"/>
        </w:rPr>
        <w:t xml:space="preserve"> a demandé si le libellé convenait à Sainte-Lucie.</w:t>
      </w:r>
    </w:p>
    <w:p w14:paraId="09A045A3" w14:textId="62A3F3DB" w:rsidR="0080744C" w:rsidRDefault="0080744C"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80744C">
        <w:rPr>
          <w:szCs w:val="24"/>
        </w:rPr>
        <w:t>délégation</w:t>
      </w:r>
      <w:r>
        <w:rPr>
          <w:szCs w:val="24"/>
        </w:rPr>
        <w:t xml:space="preserve"> de </w:t>
      </w:r>
      <w:r w:rsidRPr="0080744C">
        <w:rPr>
          <w:b/>
          <w:szCs w:val="24"/>
        </w:rPr>
        <w:t>Sainte-Lucie</w:t>
      </w:r>
      <w:r>
        <w:rPr>
          <w:szCs w:val="24"/>
        </w:rPr>
        <w:t xml:space="preserve"> a repris les remarques formulées par la Palestine qui s</w:t>
      </w:r>
      <w:r w:rsidR="00346F1B">
        <w:rPr>
          <w:szCs w:val="24"/>
        </w:rPr>
        <w:t>’</w:t>
      </w:r>
      <w:r>
        <w:rPr>
          <w:szCs w:val="24"/>
        </w:rPr>
        <w:t>interrogeait sur la nécessité d</w:t>
      </w:r>
      <w:r w:rsidR="00346F1B">
        <w:rPr>
          <w:szCs w:val="24"/>
        </w:rPr>
        <w:t>’</w:t>
      </w:r>
      <w:r>
        <w:rPr>
          <w:szCs w:val="24"/>
        </w:rPr>
        <w:t xml:space="preserve">inclure cette recommandation car, en effet, tous les États soumissionnaires devraient être encouragés à faire participer les communautés à la </w:t>
      </w:r>
      <w:r w:rsidRPr="0080744C">
        <w:rPr>
          <w:szCs w:val="24"/>
        </w:rPr>
        <w:t>préparation</w:t>
      </w:r>
      <w:r>
        <w:rPr>
          <w:szCs w:val="24"/>
        </w:rPr>
        <w:t xml:space="preserve"> de leurs inventaires. La </w:t>
      </w:r>
      <w:r w:rsidRPr="0080744C">
        <w:rPr>
          <w:szCs w:val="24"/>
        </w:rPr>
        <w:t>délégation</w:t>
      </w:r>
      <w:r>
        <w:rPr>
          <w:szCs w:val="24"/>
        </w:rPr>
        <w:t xml:space="preserve"> s</w:t>
      </w:r>
      <w:r w:rsidR="00346F1B">
        <w:rPr>
          <w:szCs w:val="24"/>
        </w:rPr>
        <w:t>’</w:t>
      </w:r>
      <w:r>
        <w:rPr>
          <w:szCs w:val="24"/>
        </w:rPr>
        <w:t>est dite satisfaite de savoir que l</w:t>
      </w:r>
      <w:r w:rsidR="00346F1B">
        <w:rPr>
          <w:szCs w:val="24"/>
        </w:rPr>
        <w:t>’</w:t>
      </w:r>
      <w:r>
        <w:rPr>
          <w:szCs w:val="24"/>
        </w:rPr>
        <w:t>État soumissionna</w:t>
      </w:r>
      <w:r w:rsidR="00B81F88">
        <w:rPr>
          <w:szCs w:val="24"/>
        </w:rPr>
        <w:t xml:space="preserve">ire œuvrait déjà à cette tâche et a déclaré </w:t>
      </w:r>
      <w:r>
        <w:rPr>
          <w:szCs w:val="24"/>
        </w:rPr>
        <w:t xml:space="preserve">ne </w:t>
      </w:r>
      <w:r w:rsidR="00B81F88">
        <w:rPr>
          <w:szCs w:val="24"/>
        </w:rPr>
        <w:t>pas comprendre</w:t>
      </w:r>
      <w:r>
        <w:rPr>
          <w:szCs w:val="24"/>
        </w:rPr>
        <w:t xml:space="preserve"> </w:t>
      </w:r>
      <w:r w:rsidR="00B81F88">
        <w:rPr>
          <w:szCs w:val="24"/>
        </w:rPr>
        <w:t xml:space="preserve">la raison pour laquelle </w:t>
      </w:r>
      <w:r>
        <w:rPr>
          <w:szCs w:val="24"/>
        </w:rPr>
        <w:t xml:space="preserve">la </w:t>
      </w:r>
      <w:r w:rsidRPr="0080744C">
        <w:rPr>
          <w:szCs w:val="24"/>
        </w:rPr>
        <w:t>République</w:t>
      </w:r>
      <w:r>
        <w:rPr>
          <w:szCs w:val="24"/>
        </w:rPr>
        <w:t xml:space="preserve"> </w:t>
      </w:r>
      <w:r w:rsidRPr="0080744C">
        <w:rPr>
          <w:szCs w:val="24"/>
        </w:rPr>
        <w:t>dominicaine</w:t>
      </w:r>
      <w:r w:rsidR="0068180E">
        <w:rPr>
          <w:szCs w:val="24"/>
        </w:rPr>
        <w:t xml:space="preserve"> était ainsi désignée.</w:t>
      </w:r>
    </w:p>
    <w:p w14:paraId="1FBECFE6" w14:textId="2EAA4AB5" w:rsidR="00B81F88" w:rsidRPr="00B81F88" w:rsidRDefault="00B81F88"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B81F88">
        <w:rPr>
          <w:b/>
          <w:szCs w:val="24"/>
        </w:rPr>
        <w:t>Président</w:t>
      </w:r>
      <w:r>
        <w:rPr>
          <w:szCs w:val="24"/>
        </w:rPr>
        <w:t xml:space="preserve"> a signalé que la Palestine et Sainte-Lucie proposaient une suppression.</w:t>
      </w:r>
    </w:p>
    <w:p w14:paraId="5600C21E" w14:textId="1514876C" w:rsidR="00B81F88" w:rsidRDefault="00B81F88"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B81F88">
        <w:rPr>
          <w:szCs w:val="24"/>
        </w:rPr>
        <w:t>délégation</w:t>
      </w:r>
      <w:r>
        <w:rPr>
          <w:szCs w:val="24"/>
        </w:rPr>
        <w:t xml:space="preserve"> de la </w:t>
      </w:r>
      <w:r w:rsidRPr="00B81F88">
        <w:rPr>
          <w:b/>
          <w:szCs w:val="24"/>
        </w:rPr>
        <w:t>Palestine</w:t>
      </w:r>
      <w:r>
        <w:rPr>
          <w:szCs w:val="24"/>
        </w:rPr>
        <w:t xml:space="preserve"> a déclaré ne pas insister pas pour que sa position soit prise en compte, ajoutant que cela ne changeait rien et qu</w:t>
      </w:r>
      <w:r w:rsidR="00346F1B">
        <w:rPr>
          <w:szCs w:val="24"/>
        </w:rPr>
        <w:t>’</w:t>
      </w:r>
      <w:r>
        <w:rPr>
          <w:szCs w:val="24"/>
        </w:rPr>
        <w:t>il s</w:t>
      </w:r>
      <w:r w:rsidR="00346F1B">
        <w:rPr>
          <w:szCs w:val="24"/>
        </w:rPr>
        <w:t>’</w:t>
      </w:r>
      <w:r>
        <w:rPr>
          <w:szCs w:val="24"/>
        </w:rPr>
        <w:t>agissait bien d</w:t>
      </w:r>
      <w:r w:rsidR="00346F1B">
        <w:rPr>
          <w:szCs w:val="24"/>
        </w:rPr>
        <w:t>’</w:t>
      </w:r>
      <w:r>
        <w:rPr>
          <w:szCs w:val="24"/>
        </w:rPr>
        <w:t>une forme d</w:t>
      </w:r>
      <w:r w:rsidR="00346F1B">
        <w:rPr>
          <w:szCs w:val="24"/>
        </w:rPr>
        <w:t>’</w:t>
      </w:r>
      <w:r w:rsidR="00AF33BE">
        <w:rPr>
          <w:szCs w:val="24"/>
        </w:rPr>
        <w:t>encouragement. Elle était prête</w:t>
      </w:r>
      <w:r>
        <w:rPr>
          <w:szCs w:val="24"/>
        </w:rPr>
        <w:t xml:space="preserve"> à adopter l</w:t>
      </w:r>
      <w:r w:rsidR="00346F1B">
        <w:rPr>
          <w:szCs w:val="24"/>
        </w:rPr>
        <w:t>’</w:t>
      </w:r>
      <w:r w:rsidRPr="00B81F88">
        <w:rPr>
          <w:szCs w:val="24"/>
        </w:rPr>
        <w:t>amendement</w:t>
      </w:r>
      <w:r>
        <w:rPr>
          <w:szCs w:val="24"/>
        </w:rPr>
        <w:t xml:space="preserve">. </w:t>
      </w:r>
    </w:p>
    <w:p w14:paraId="397C663E" w14:textId="73DFD984" w:rsidR="00B81F88" w:rsidRDefault="00B81F88"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B81F88">
        <w:rPr>
          <w:b/>
          <w:szCs w:val="24"/>
        </w:rPr>
        <w:t>Président</w:t>
      </w:r>
      <w:r>
        <w:rPr>
          <w:szCs w:val="24"/>
        </w:rPr>
        <w:t xml:space="preserve"> a demandé à Sainte-Lucie si elle pourrait accepter la proposition.</w:t>
      </w:r>
    </w:p>
    <w:p w14:paraId="6DA8A03A" w14:textId="0FFEB926" w:rsidR="00B81F88" w:rsidRDefault="00B81F88"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La </w:t>
      </w:r>
      <w:r w:rsidRPr="00B81F88">
        <w:rPr>
          <w:szCs w:val="24"/>
        </w:rPr>
        <w:t>délégation</w:t>
      </w:r>
      <w:r>
        <w:rPr>
          <w:szCs w:val="24"/>
        </w:rPr>
        <w:t xml:space="preserve"> de </w:t>
      </w:r>
      <w:r w:rsidRPr="00B81F88">
        <w:rPr>
          <w:b/>
          <w:szCs w:val="24"/>
        </w:rPr>
        <w:t>Sainte-Lucie</w:t>
      </w:r>
      <w:r>
        <w:rPr>
          <w:szCs w:val="24"/>
        </w:rPr>
        <w:t xml:space="preserve"> a accepté l</w:t>
      </w:r>
      <w:r w:rsidR="00346F1B">
        <w:rPr>
          <w:szCs w:val="24"/>
        </w:rPr>
        <w:t>’</w:t>
      </w:r>
      <w:r>
        <w:rPr>
          <w:szCs w:val="24"/>
        </w:rPr>
        <w:t xml:space="preserve">adoption du </w:t>
      </w:r>
      <w:r w:rsidRPr="00B81F88">
        <w:rPr>
          <w:szCs w:val="24"/>
        </w:rPr>
        <w:t>paragraphe</w:t>
      </w:r>
      <w:r w:rsidR="0068180E">
        <w:rPr>
          <w:szCs w:val="24"/>
        </w:rPr>
        <w:t xml:space="preserve"> 5.</w:t>
      </w:r>
    </w:p>
    <w:p w14:paraId="6C9C3D51" w14:textId="4F1F3BED" w:rsidR="00B81F88" w:rsidRDefault="003A6355"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Le</w:t>
      </w:r>
      <w:r w:rsidR="00B81F88">
        <w:rPr>
          <w:szCs w:val="24"/>
        </w:rPr>
        <w:t xml:space="preserve"> </w:t>
      </w:r>
      <w:r w:rsidR="00B81F88" w:rsidRPr="00352DA6">
        <w:rPr>
          <w:b/>
          <w:szCs w:val="24"/>
        </w:rPr>
        <w:t>Président</w:t>
      </w:r>
      <w:r w:rsidR="00B81F88">
        <w:rPr>
          <w:szCs w:val="24"/>
        </w:rPr>
        <w:t xml:space="preserve"> a procédé à l</w:t>
      </w:r>
      <w:r w:rsidR="00346F1B">
        <w:rPr>
          <w:szCs w:val="24"/>
        </w:rPr>
        <w:t>’</w:t>
      </w:r>
      <w:r w:rsidR="00B81F88">
        <w:rPr>
          <w:szCs w:val="24"/>
        </w:rPr>
        <w:t xml:space="preserve">adoption du </w:t>
      </w:r>
      <w:r w:rsidR="00B81F88" w:rsidRPr="00B81F88">
        <w:rPr>
          <w:szCs w:val="24"/>
        </w:rPr>
        <w:t>paragraphe</w:t>
      </w:r>
      <w:r w:rsidR="00B81F88">
        <w:rPr>
          <w:szCs w:val="24"/>
        </w:rPr>
        <w:t xml:space="preserve"> 5 qui a été </w:t>
      </w:r>
      <w:r w:rsidR="008052AC">
        <w:rPr>
          <w:szCs w:val="24"/>
        </w:rPr>
        <w:t>dûment</w:t>
      </w:r>
      <w:r w:rsidR="00B81F88">
        <w:rPr>
          <w:szCs w:val="24"/>
        </w:rPr>
        <w:t xml:space="preserve"> adopté. Puis, il est passé à l</w:t>
      </w:r>
      <w:r w:rsidR="00346F1B">
        <w:rPr>
          <w:szCs w:val="24"/>
        </w:rPr>
        <w:t>’</w:t>
      </w:r>
      <w:r w:rsidR="00B81F88">
        <w:rPr>
          <w:szCs w:val="24"/>
        </w:rPr>
        <w:t xml:space="preserve">adoption du projet de décision dans son </w:t>
      </w:r>
      <w:r w:rsidR="00B81F88" w:rsidRPr="00B81F88">
        <w:rPr>
          <w:szCs w:val="24"/>
        </w:rPr>
        <w:t>ensemble</w:t>
      </w:r>
      <w:r w:rsidR="00B81F88">
        <w:rPr>
          <w:szCs w:val="24"/>
        </w:rPr>
        <w:t xml:space="preserve"> et, en l</w:t>
      </w:r>
      <w:r w:rsidR="00346F1B">
        <w:rPr>
          <w:szCs w:val="24"/>
        </w:rPr>
        <w:t>’</w:t>
      </w:r>
      <w:r w:rsidR="00B81F88">
        <w:rPr>
          <w:szCs w:val="24"/>
        </w:rPr>
        <w:t>absence d</w:t>
      </w:r>
      <w:r w:rsidR="00346F1B">
        <w:rPr>
          <w:szCs w:val="24"/>
        </w:rPr>
        <w:t>’</w:t>
      </w:r>
      <w:r w:rsidR="00B81F88">
        <w:rPr>
          <w:szCs w:val="24"/>
        </w:rPr>
        <w:t xml:space="preserve">autres commentaires ou objections, le </w:t>
      </w:r>
      <w:r w:rsidR="00B81F88" w:rsidRPr="00352DA6">
        <w:rPr>
          <w:b/>
          <w:szCs w:val="24"/>
        </w:rPr>
        <w:t>Président a déclaré a</w:t>
      </w:r>
      <w:r w:rsidR="00352DA6" w:rsidRPr="00352DA6">
        <w:rPr>
          <w:b/>
          <w:szCs w:val="24"/>
        </w:rPr>
        <w:t>doptée la décision 11.COM 10.b.9 d</w:t>
      </w:r>
      <w:r w:rsidR="00346F1B">
        <w:rPr>
          <w:b/>
          <w:szCs w:val="24"/>
        </w:rPr>
        <w:t>’</w:t>
      </w:r>
      <w:r w:rsidR="00352DA6" w:rsidRPr="00352DA6">
        <w:rPr>
          <w:b/>
          <w:szCs w:val="24"/>
        </w:rPr>
        <w:t>inscrire la musique et la danse du merengue en République dominicaine sur la Liste représentative du patrimoine culturel immatériel de l</w:t>
      </w:r>
      <w:r w:rsidR="00346F1B">
        <w:rPr>
          <w:b/>
          <w:szCs w:val="24"/>
        </w:rPr>
        <w:t>’</w:t>
      </w:r>
      <w:r w:rsidR="00352DA6" w:rsidRPr="00352DA6">
        <w:rPr>
          <w:b/>
          <w:szCs w:val="24"/>
        </w:rPr>
        <w:t>humanité</w:t>
      </w:r>
      <w:r w:rsidR="0068180E">
        <w:rPr>
          <w:szCs w:val="24"/>
        </w:rPr>
        <w:t>.</w:t>
      </w:r>
    </w:p>
    <w:p w14:paraId="0552573C" w14:textId="5AE758E7" w:rsidR="00352DA6" w:rsidRPr="00352DA6" w:rsidRDefault="00352DA6" w:rsidP="00311C6B">
      <w:pPr>
        <w:pStyle w:val="Orateurengris"/>
        <w:tabs>
          <w:tab w:val="clear" w:pos="709"/>
          <w:tab w:val="clear" w:pos="1418"/>
          <w:tab w:val="clear" w:pos="2126"/>
          <w:tab w:val="clear" w:pos="2835"/>
          <w:tab w:val="clear" w:pos="3686"/>
        </w:tabs>
        <w:spacing w:before="120"/>
        <w:ind w:left="709" w:hanging="709"/>
        <w:rPr>
          <w:szCs w:val="24"/>
        </w:rPr>
      </w:pPr>
      <w:r w:rsidRPr="00352DA6">
        <w:rPr>
          <w:szCs w:val="24"/>
        </w:rPr>
        <w:t>La délégation</w:t>
      </w:r>
      <w:r>
        <w:rPr>
          <w:szCs w:val="24"/>
        </w:rPr>
        <w:t xml:space="preserve"> de la </w:t>
      </w:r>
      <w:r w:rsidRPr="00AD0A44">
        <w:rPr>
          <w:b/>
          <w:szCs w:val="24"/>
        </w:rPr>
        <w:t>République dominicaine</w:t>
      </w:r>
      <w:r>
        <w:rPr>
          <w:szCs w:val="24"/>
        </w:rPr>
        <w:t xml:space="preserve"> a exprimé s</w:t>
      </w:r>
      <w:r w:rsidR="00AF33BE">
        <w:rPr>
          <w:szCs w:val="24"/>
        </w:rPr>
        <w:t xml:space="preserve">a grande joie et sa gratitude envers </w:t>
      </w:r>
      <w:r>
        <w:rPr>
          <w:szCs w:val="24"/>
        </w:rPr>
        <w:t>Comité pour l</w:t>
      </w:r>
      <w:r w:rsidR="00346F1B">
        <w:rPr>
          <w:szCs w:val="24"/>
        </w:rPr>
        <w:t>’</w:t>
      </w:r>
      <w:r>
        <w:rPr>
          <w:szCs w:val="24"/>
        </w:rPr>
        <w:t>inclusion du merengue sur la Liste représentative</w:t>
      </w:r>
      <w:r w:rsidR="00AD0A44">
        <w:rPr>
          <w:szCs w:val="24"/>
        </w:rPr>
        <w:t>, ajoutant qu</w:t>
      </w:r>
      <w:r w:rsidR="00346F1B">
        <w:rPr>
          <w:szCs w:val="24"/>
        </w:rPr>
        <w:t>’</w:t>
      </w:r>
      <w:r w:rsidR="00AD0A44">
        <w:rPr>
          <w:szCs w:val="24"/>
        </w:rPr>
        <w:t>il s</w:t>
      </w:r>
      <w:r w:rsidR="00346F1B">
        <w:rPr>
          <w:szCs w:val="24"/>
        </w:rPr>
        <w:t>’</w:t>
      </w:r>
      <w:r w:rsidR="00AD0A44">
        <w:rPr>
          <w:szCs w:val="24"/>
        </w:rPr>
        <w:t>agissai</w:t>
      </w:r>
      <w:r>
        <w:rPr>
          <w:szCs w:val="24"/>
        </w:rPr>
        <w:t>t d</w:t>
      </w:r>
      <w:r w:rsidR="00346F1B">
        <w:rPr>
          <w:szCs w:val="24"/>
        </w:rPr>
        <w:t>’</w:t>
      </w:r>
      <w:r>
        <w:rPr>
          <w:szCs w:val="24"/>
        </w:rPr>
        <w:t>une étape très importante pour le pays. Elle a évoqué la grande fête nationale qui se tiendrait le soir même dans le pays et a ajouté qu</w:t>
      </w:r>
      <w:r w:rsidR="00346F1B">
        <w:rPr>
          <w:szCs w:val="24"/>
        </w:rPr>
        <w:t>’</w:t>
      </w:r>
      <w:r>
        <w:rPr>
          <w:szCs w:val="24"/>
        </w:rPr>
        <w:t xml:space="preserve">on danserait beaucoup le merengue </w:t>
      </w:r>
      <w:r w:rsidR="00AD0A44">
        <w:rPr>
          <w:szCs w:val="24"/>
        </w:rPr>
        <w:t xml:space="preserve">dans les </w:t>
      </w:r>
      <w:r>
        <w:rPr>
          <w:szCs w:val="24"/>
        </w:rPr>
        <w:t>jours à venir, voire même lors d</w:t>
      </w:r>
      <w:r w:rsidR="00346F1B">
        <w:rPr>
          <w:szCs w:val="24"/>
        </w:rPr>
        <w:t>’</w:t>
      </w:r>
      <w:r>
        <w:rPr>
          <w:szCs w:val="24"/>
        </w:rPr>
        <w:t xml:space="preserve">une des prochaines sessions du Comité. Tout le monde pourrait ainsi constater ce que la musique signifiait pour la population, et sa capacité à rassembler les générations, nouvelles et anciennes, les différents quartiers et communautés, et les hommes et les femmes dans un moment de joie. La </w:t>
      </w:r>
      <w:r w:rsidRPr="00352DA6">
        <w:rPr>
          <w:szCs w:val="24"/>
        </w:rPr>
        <w:t>délégation</w:t>
      </w:r>
      <w:r>
        <w:rPr>
          <w:szCs w:val="24"/>
        </w:rPr>
        <w:t xml:space="preserve"> a conclu </w:t>
      </w:r>
      <w:r w:rsidR="00AD0A44">
        <w:rPr>
          <w:szCs w:val="24"/>
        </w:rPr>
        <w:t xml:space="preserve">son </w:t>
      </w:r>
      <w:r w:rsidR="00AD0A44" w:rsidRPr="00AD0A44">
        <w:rPr>
          <w:szCs w:val="24"/>
        </w:rPr>
        <w:t>intervention</w:t>
      </w:r>
      <w:r w:rsidR="00AD0A44">
        <w:rPr>
          <w:szCs w:val="24"/>
        </w:rPr>
        <w:t xml:space="preserve"> en réaffirmant son </w:t>
      </w:r>
      <w:r w:rsidR="00AD0A44" w:rsidRPr="00AD0A44">
        <w:rPr>
          <w:szCs w:val="24"/>
        </w:rPr>
        <w:t>engagement</w:t>
      </w:r>
      <w:r w:rsidR="00AD0A44">
        <w:rPr>
          <w:szCs w:val="24"/>
        </w:rPr>
        <w:t xml:space="preserve"> à sauvegarder cette expression de la culture, ainsi que d</w:t>
      </w:r>
      <w:r w:rsidR="00346F1B">
        <w:rPr>
          <w:szCs w:val="24"/>
        </w:rPr>
        <w:t>’</w:t>
      </w:r>
      <w:r w:rsidR="00AD0A44">
        <w:rPr>
          <w:szCs w:val="24"/>
        </w:rPr>
        <w:t xml:space="preserve">autres formes qui constituaient son </w:t>
      </w:r>
      <w:r w:rsidR="00AD0A44" w:rsidRPr="00AD0A44">
        <w:rPr>
          <w:szCs w:val="24"/>
        </w:rPr>
        <w:t>inventaire</w:t>
      </w:r>
      <w:r w:rsidR="0068180E">
        <w:rPr>
          <w:szCs w:val="24"/>
        </w:rPr>
        <w:t>, présent et à venir.</w:t>
      </w:r>
    </w:p>
    <w:p w14:paraId="2C847E43" w14:textId="156EFC58" w:rsidR="00AD0A44" w:rsidRDefault="00AD0A44"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Pr="00AD0A44">
        <w:rPr>
          <w:b/>
          <w:szCs w:val="24"/>
        </w:rPr>
        <w:t>Président</w:t>
      </w:r>
      <w:r>
        <w:rPr>
          <w:szCs w:val="24"/>
        </w:rPr>
        <w:t xml:space="preserve"> a félicité la </w:t>
      </w:r>
      <w:r w:rsidRPr="00AD0A44">
        <w:rPr>
          <w:szCs w:val="24"/>
        </w:rPr>
        <w:t>République</w:t>
      </w:r>
      <w:r>
        <w:rPr>
          <w:szCs w:val="24"/>
        </w:rPr>
        <w:t xml:space="preserve"> </w:t>
      </w:r>
      <w:r w:rsidRPr="00AD0A44">
        <w:rPr>
          <w:szCs w:val="24"/>
        </w:rPr>
        <w:t>dominicaine</w:t>
      </w:r>
      <w:r>
        <w:rPr>
          <w:szCs w:val="24"/>
        </w:rPr>
        <w:t xml:space="preserve">, puis est passé à la </w:t>
      </w:r>
      <w:r w:rsidRPr="00AD0A44">
        <w:rPr>
          <w:szCs w:val="24"/>
        </w:rPr>
        <w:t>candidature</w:t>
      </w:r>
      <w:r w:rsidR="00FC6CAF">
        <w:rPr>
          <w:szCs w:val="24"/>
        </w:rPr>
        <w:t xml:space="preserve"> suivante, soumise par</w:t>
      </w:r>
      <w:r>
        <w:rPr>
          <w:szCs w:val="24"/>
        </w:rPr>
        <w:t xml:space="preserve"> l</w:t>
      </w:r>
      <w:r w:rsidR="00346F1B">
        <w:rPr>
          <w:szCs w:val="24"/>
        </w:rPr>
        <w:t>’</w:t>
      </w:r>
      <w:r>
        <w:t>Égypte</w:t>
      </w:r>
      <w:r w:rsidR="0068180E">
        <w:rPr>
          <w:szCs w:val="24"/>
        </w:rPr>
        <w:t>.</w:t>
      </w:r>
    </w:p>
    <w:p w14:paraId="646FA53C" w14:textId="45A37CA3" w:rsidR="00AD0A44" w:rsidRPr="00AD0A44" w:rsidRDefault="00AD0A44" w:rsidP="00311C6B">
      <w:pPr>
        <w:pStyle w:val="Orateurengris"/>
        <w:tabs>
          <w:tab w:val="clear" w:pos="709"/>
          <w:tab w:val="clear" w:pos="1418"/>
          <w:tab w:val="clear" w:pos="2126"/>
          <w:tab w:val="clear" w:pos="2835"/>
          <w:tab w:val="clear" w:pos="3686"/>
        </w:tabs>
        <w:spacing w:before="120"/>
        <w:ind w:left="709" w:hanging="709"/>
        <w:rPr>
          <w:szCs w:val="24"/>
        </w:rPr>
      </w:pPr>
      <w:r>
        <w:rPr>
          <w:szCs w:val="24"/>
        </w:rPr>
        <w:t xml:space="preserve">Le </w:t>
      </w:r>
      <w:r w:rsidR="00754EC3">
        <w:rPr>
          <w:b/>
          <w:szCs w:val="24"/>
        </w:rPr>
        <w:t>Vice-Président</w:t>
      </w:r>
      <w:r>
        <w:rPr>
          <w:szCs w:val="24"/>
        </w:rPr>
        <w:t xml:space="preserve"> est ensuite passé à la </w:t>
      </w:r>
      <w:r w:rsidRPr="00AD0A44">
        <w:rPr>
          <w:szCs w:val="24"/>
        </w:rPr>
        <w:t>candidature</w:t>
      </w:r>
      <w:r>
        <w:rPr>
          <w:szCs w:val="24"/>
        </w:rPr>
        <w:t xml:space="preserve"> suivante, </w:t>
      </w:r>
      <w:bookmarkStart w:id="28" w:name="Decision10b10"/>
      <w:r w:rsidRPr="00AD0A44">
        <w:rPr>
          <w:b/>
          <w:szCs w:val="24"/>
        </w:rPr>
        <w:t>le tahteeb, jeu du bâton</w:t>
      </w:r>
      <w:r>
        <w:rPr>
          <w:szCs w:val="24"/>
        </w:rPr>
        <w:t xml:space="preserve"> </w:t>
      </w:r>
      <w:bookmarkEnd w:id="28"/>
      <w:r>
        <w:rPr>
          <w:szCs w:val="24"/>
        </w:rPr>
        <w:t>[projet de décision 11.COM 10.b.10], soumise par l</w:t>
      </w:r>
      <w:r w:rsidR="00346F1B">
        <w:rPr>
          <w:szCs w:val="24"/>
        </w:rPr>
        <w:t>’</w:t>
      </w:r>
      <w:r>
        <w:t xml:space="preserve">Égypte. </w:t>
      </w:r>
      <w:r w:rsidR="006D6D9D">
        <w:t>Dans l</w:t>
      </w:r>
      <w:r w:rsidR="00346F1B">
        <w:t>’</w:t>
      </w:r>
      <w:r w:rsidR="006D6D9D">
        <w:t>Égypte ancienne, le tahteeb était considéré comme une forme d</w:t>
      </w:r>
      <w:r w:rsidR="00346F1B">
        <w:t>’</w:t>
      </w:r>
      <w:r w:rsidR="006D6D9D">
        <w:t>art martial. C</w:t>
      </w:r>
      <w:r w:rsidR="00346F1B">
        <w:t>’</w:t>
      </w:r>
      <w:r w:rsidR="006D6D9D">
        <w:t xml:space="preserve">était désormais un jeu festif mais une partie du symbolisme et des valeurs associées à sa pratique demeuraient. Joué devant un public, le tahteeb consistait en un échange bref et non violent entre deux adversaires maniant un long bâton sur fond de musique traditionnelle. </w:t>
      </w:r>
      <w:r w:rsidR="003B2173">
        <w:t>Les praticiens étaient des hommes, majoritairement issus des communautés saeedy de Haute-Égypte. Les règles du jeu reposaient sur le respect mutuel, l</w:t>
      </w:r>
      <w:r w:rsidR="00346F1B">
        <w:t>’</w:t>
      </w:r>
      <w:r w:rsidR="003B2173">
        <w:t>amitié, le courage, la courtoisie et la fierté. L</w:t>
      </w:r>
      <w:r w:rsidR="00346F1B">
        <w:t>’</w:t>
      </w:r>
      <w:r w:rsidR="003B2173">
        <w:t>élément était transmis au sein des familles et entre voisins dans les communautés. L</w:t>
      </w:r>
      <w:r w:rsidR="00346F1B">
        <w:t>’</w:t>
      </w:r>
      <w:r w:rsidR="003B2173">
        <w:t>Organe d</w:t>
      </w:r>
      <w:r w:rsidR="00346F1B">
        <w:t>’</w:t>
      </w:r>
      <w:r w:rsidR="003B2173">
        <w:t>évaluation avait estimé que</w:t>
      </w:r>
      <w:r w:rsidR="00BD7E7E">
        <w:t xml:space="preserve"> la candidature satisfaisait les</w:t>
      </w:r>
      <w:r w:rsidR="003B2173">
        <w:t xml:space="preserve"> critères R.</w:t>
      </w:r>
      <w:r w:rsidR="001026BA">
        <w:t>1</w:t>
      </w:r>
      <w:r w:rsidR="003B2173">
        <w:t xml:space="preserve"> et R.4. Il avait toutefois jugé que les informations présentées dans le dossier n</w:t>
      </w:r>
      <w:r w:rsidR="00346F1B">
        <w:t>’</w:t>
      </w:r>
      <w:r w:rsidR="003B2173">
        <w:t>étaient pas suffisantes pour déterminer si les critères R.2, R.3 et R.5 étaient satisfaits. Le dossier de candidature ne parvenait pas à démontrer clairement en quoi l</w:t>
      </w:r>
      <w:r w:rsidR="00346F1B">
        <w:t>’</w:t>
      </w:r>
      <w:r w:rsidR="003B2173">
        <w:t>inscription ferait mieux connaître le PCI en général. Les réponses aux autres sous-questions avaient été jugées satisfaisantes, y compris celles relatives à la potentielle contribution de l</w:t>
      </w:r>
      <w:r w:rsidR="00346F1B">
        <w:t>’</w:t>
      </w:r>
      <w:r w:rsidR="003B2173">
        <w:t>inscription au dialogue entre les populations rurales et urbaine</w:t>
      </w:r>
      <w:r w:rsidR="001026BA">
        <w:t>s</w:t>
      </w:r>
      <w:r w:rsidR="003B2173">
        <w:t xml:space="preserve"> et au respect mutuel. S</w:t>
      </w:r>
      <w:r w:rsidR="00346F1B">
        <w:t>’</w:t>
      </w:r>
      <w:r w:rsidR="003B2173">
        <w:t>agissant du critère R.3, bien que l</w:t>
      </w:r>
      <w:r w:rsidR="00346F1B">
        <w:t>’</w:t>
      </w:r>
      <w:r w:rsidR="003B2173">
        <w:t>État soumissionnaire ait décrit les mesures de sauvegarde proposées, la participation des communautés concernées à l</w:t>
      </w:r>
      <w:r w:rsidR="00346F1B">
        <w:t>’</w:t>
      </w:r>
      <w:r w:rsidR="003B2173">
        <w:t>élaboration et la mise en œuvre</w:t>
      </w:r>
      <w:r w:rsidR="001026BA">
        <w:t xml:space="preserve"> de ces mesures n</w:t>
      </w:r>
      <w:r w:rsidR="00346F1B">
        <w:t>’</w:t>
      </w:r>
      <w:r w:rsidR="001026BA">
        <w:t>était</w:t>
      </w:r>
      <w:r w:rsidR="003B2173">
        <w:t xml:space="preserve"> pas </w:t>
      </w:r>
      <w:r w:rsidR="001026BA">
        <w:t>suffisamment démontrée. En outre, les communautés et groupes devaient être placés au centre des efforts de sauvegarde. L</w:t>
      </w:r>
      <w:r w:rsidR="00346F1B">
        <w:t>’</w:t>
      </w:r>
      <w:r w:rsidR="001026BA">
        <w:t xml:space="preserve">État soumissionnaire était également encouragé à réfléchir aux éventuels effets de la décontextualisation </w:t>
      </w:r>
      <w:r w:rsidR="00BD7E7E">
        <w:t xml:space="preserve">résultant </w:t>
      </w:r>
      <w:r w:rsidR="001026BA">
        <w:t>de certaines des mesures proposées. En ce qui concerne le critère R.5, le dossier ne mentionnait pas comment les communautés avaient été associées à l</w:t>
      </w:r>
      <w:r w:rsidR="00346F1B">
        <w:t>’</w:t>
      </w:r>
      <w:r w:rsidR="001026BA">
        <w:t>inventaire, ni la façon dont il serait mis à jour. L</w:t>
      </w:r>
      <w:r w:rsidR="00346F1B">
        <w:t>’</w:t>
      </w:r>
      <w:r w:rsidR="001026BA">
        <w:t>Organe d</w:t>
      </w:r>
      <w:r w:rsidR="00346F1B">
        <w:t>’</w:t>
      </w:r>
      <w:r w:rsidR="001026BA">
        <w:t>évaluation avait décidé de recommander le renvoi du tahteeb, jeu du bâton à l</w:t>
      </w:r>
      <w:r w:rsidR="00346F1B">
        <w:t>’</w:t>
      </w:r>
      <w:r w:rsidR="001026BA">
        <w:t>État soumissionnaire pour complément d</w:t>
      </w:r>
      <w:r w:rsidR="00346F1B">
        <w:t>’</w:t>
      </w:r>
      <w:r w:rsidR="001026BA">
        <w:t>infor</w:t>
      </w:r>
      <w:r w:rsidR="007B503E">
        <w:t>mation</w:t>
      </w:r>
      <w:r w:rsidR="0068180E">
        <w:t>.</w:t>
      </w:r>
    </w:p>
    <w:p w14:paraId="33B3260A" w14:textId="65D23D53" w:rsidR="001026BA" w:rsidRPr="001026BA" w:rsidRDefault="001026BA" w:rsidP="00DE5C80">
      <w:pPr>
        <w:pStyle w:val="Orateurengris"/>
        <w:spacing w:before="120"/>
        <w:ind w:left="709" w:hanging="709"/>
        <w:rPr>
          <w:rFonts w:eastAsia="MS Mincho"/>
        </w:rPr>
      </w:pPr>
      <w:r>
        <w:rPr>
          <w:rFonts w:eastAsia="MS Mincho"/>
        </w:rPr>
        <w:t xml:space="preserve">Le </w:t>
      </w:r>
      <w:r w:rsidRPr="001026BA">
        <w:rPr>
          <w:rFonts w:eastAsia="MS Mincho"/>
          <w:b/>
        </w:rPr>
        <w:t>Président</w:t>
      </w:r>
      <w:r>
        <w:rPr>
          <w:rFonts w:eastAsia="MS Mincho"/>
        </w:rPr>
        <w:t xml:space="preserve"> a signalé qu</w:t>
      </w:r>
      <w:r w:rsidR="00346F1B">
        <w:rPr>
          <w:rFonts w:eastAsia="MS Mincho"/>
        </w:rPr>
        <w:t>’</w:t>
      </w:r>
      <w:r>
        <w:rPr>
          <w:rFonts w:eastAsia="MS Mincho"/>
        </w:rPr>
        <w:t xml:space="preserve">il y avait deux amendements portant sur différents critères : un </w:t>
      </w:r>
      <w:r w:rsidRPr="001026BA">
        <w:rPr>
          <w:rFonts w:eastAsia="MS Mincho"/>
        </w:rPr>
        <w:t>amendement</w:t>
      </w:r>
      <w:r>
        <w:rPr>
          <w:rFonts w:eastAsia="MS Mincho"/>
        </w:rPr>
        <w:t xml:space="preserve"> de l</w:t>
      </w:r>
      <w:r w:rsidR="00346F1B">
        <w:rPr>
          <w:rFonts w:eastAsia="MS Mincho"/>
        </w:rPr>
        <w:t>’</w:t>
      </w:r>
      <w:r>
        <w:rPr>
          <w:rFonts w:eastAsia="MS Mincho"/>
        </w:rPr>
        <w:t xml:space="preserve">Arménie sur le </w:t>
      </w:r>
      <w:r w:rsidRPr="001026BA">
        <w:rPr>
          <w:rFonts w:eastAsia="MS Mincho"/>
        </w:rPr>
        <w:t>critère</w:t>
      </w:r>
      <w:r>
        <w:rPr>
          <w:rFonts w:eastAsia="MS Mincho"/>
        </w:rPr>
        <w:t xml:space="preserve"> R.2 et un </w:t>
      </w:r>
      <w:r w:rsidRPr="001026BA">
        <w:rPr>
          <w:rFonts w:eastAsia="MS Mincho"/>
        </w:rPr>
        <w:t>amendement</w:t>
      </w:r>
      <w:r>
        <w:rPr>
          <w:rFonts w:eastAsia="MS Mincho"/>
        </w:rPr>
        <w:t xml:space="preserve"> de l</w:t>
      </w:r>
      <w:r w:rsidR="00346F1B">
        <w:rPr>
          <w:rFonts w:eastAsia="MS Mincho"/>
        </w:rPr>
        <w:t>’</w:t>
      </w:r>
      <w:r>
        <w:rPr>
          <w:rFonts w:eastAsia="MS Mincho"/>
        </w:rPr>
        <w:t>Algérie sur les critères R.3 et R.5. le Président a donné la parole au Comité pour des commentaires d</w:t>
      </w:r>
      <w:r w:rsidR="00346F1B">
        <w:rPr>
          <w:rFonts w:eastAsia="MS Mincho"/>
        </w:rPr>
        <w:t>’</w:t>
      </w:r>
      <w:r w:rsidR="0068180E">
        <w:rPr>
          <w:rFonts w:eastAsia="MS Mincho"/>
        </w:rPr>
        <w:t>ordre général.</w:t>
      </w:r>
    </w:p>
    <w:p w14:paraId="2A04CE9F" w14:textId="03EED14E" w:rsidR="001026BA" w:rsidRDefault="001026BA" w:rsidP="00DE5C80">
      <w:pPr>
        <w:pStyle w:val="Orateurengris"/>
        <w:spacing w:before="120"/>
        <w:ind w:left="709" w:hanging="709"/>
        <w:rPr>
          <w:rFonts w:eastAsia="MS Mincho"/>
        </w:rPr>
      </w:pPr>
      <w:r>
        <w:rPr>
          <w:rFonts w:eastAsia="MS Mincho"/>
        </w:rPr>
        <w:t xml:space="preserve">La </w:t>
      </w:r>
      <w:r w:rsidRPr="001026BA">
        <w:rPr>
          <w:rFonts w:eastAsia="MS Mincho"/>
        </w:rPr>
        <w:t>délégation</w:t>
      </w:r>
      <w:r>
        <w:rPr>
          <w:rFonts w:eastAsia="MS Mincho"/>
        </w:rPr>
        <w:t xml:space="preserve"> de </w:t>
      </w:r>
      <w:r w:rsidRPr="00C973BD">
        <w:rPr>
          <w:rFonts w:eastAsia="MS Mincho"/>
          <w:b/>
        </w:rPr>
        <w:t>Cuba</w:t>
      </w:r>
      <w:r w:rsidR="00BD7E7E">
        <w:rPr>
          <w:rFonts w:eastAsia="MS Mincho"/>
        </w:rPr>
        <w:t xml:space="preserve"> souhaitait</w:t>
      </w:r>
      <w:r>
        <w:rPr>
          <w:rFonts w:eastAsia="MS Mincho"/>
        </w:rPr>
        <w:t xml:space="preserve"> savoir de quelle façon les communautés participaient à </w:t>
      </w:r>
      <w:r w:rsidR="00C973BD" w:rsidRPr="00C973BD">
        <w:rPr>
          <w:rFonts w:eastAsia="MS Mincho"/>
        </w:rPr>
        <w:t>l</w:t>
      </w:r>
      <w:r w:rsidR="00346F1B">
        <w:rPr>
          <w:rFonts w:eastAsia="MS Mincho"/>
        </w:rPr>
        <w:t>’</w:t>
      </w:r>
      <w:r w:rsidR="00C973BD" w:rsidRPr="00C973BD">
        <w:rPr>
          <w:rFonts w:eastAsia="MS Mincho"/>
        </w:rPr>
        <w:t>élaboration</w:t>
      </w:r>
      <w:r w:rsidR="00C973BD">
        <w:rPr>
          <w:rFonts w:eastAsia="MS Mincho"/>
        </w:rPr>
        <w:t xml:space="preserve"> et la mise en œuvre des mesures de sauvegarde.</w:t>
      </w:r>
    </w:p>
    <w:p w14:paraId="5C62FC75" w14:textId="606A4AE9" w:rsidR="00C973BD" w:rsidRPr="00C973BD" w:rsidRDefault="00C973BD" w:rsidP="00DE5C80">
      <w:pPr>
        <w:pStyle w:val="Orateurengris"/>
        <w:spacing w:before="120"/>
        <w:ind w:left="709" w:hanging="709"/>
        <w:rPr>
          <w:rFonts w:eastAsia="MS Mincho"/>
        </w:rPr>
      </w:pPr>
      <w:r>
        <w:rPr>
          <w:rFonts w:eastAsia="MS Mincho"/>
        </w:rPr>
        <w:t>Notant qu</w:t>
      </w:r>
      <w:r w:rsidR="00346F1B">
        <w:rPr>
          <w:rFonts w:eastAsia="MS Mincho"/>
        </w:rPr>
        <w:t>’</w:t>
      </w:r>
      <w:r>
        <w:rPr>
          <w:rFonts w:eastAsia="MS Mincho"/>
        </w:rPr>
        <w:t>il s</w:t>
      </w:r>
      <w:r w:rsidR="00346F1B">
        <w:rPr>
          <w:rFonts w:eastAsia="MS Mincho"/>
        </w:rPr>
        <w:t>’</w:t>
      </w:r>
      <w:r>
        <w:rPr>
          <w:rFonts w:eastAsia="MS Mincho"/>
        </w:rPr>
        <w:t>agissait d</w:t>
      </w:r>
      <w:r w:rsidR="00346F1B">
        <w:rPr>
          <w:rFonts w:eastAsia="MS Mincho"/>
        </w:rPr>
        <w:t>’</w:t>
      </w:r>
      <w:r>
        <w:rPr>
          <w:rFonts w:eastAsia="MS Mincho"/>
        </w:rPr>
        <w:t>une question directement adressée à l</w:t>
      </w:r>
      <w:r w:rsidR="00346F1B">
        <w:rPr>
          <w:rFonts w:eastAsia="MS Mincho"/>
        </w:rPr>
        <w:t>’</w:t>
      </w:r>
      <w:r>
        <w:rPr>
          <w:rFonts w:eastAsia="MS Mincho"/>
        </w:rPr>
        <w:t xml:space="preserve">Égypte, le </w:t>
      </w:r>
      <w:r w:rsidRPr="00C973BD">
        <w:rPr>
          <w:rFonts w:eastAsia="MS Mincho"/>
          <w:b/>
        </w:rPr>
        <w:t>Président</w:t>
      </w:r>
      <w:r>
        <w:rPr>
          <w:rFonts w:eastAsia="MS Mincho"/>
        </w:rPr>
        <w:t xml:space="preserve"> a donné la parole à sa </w:t>
      </w:r>
      <w:r w:rsidRPr="00C973BD">
        <w:rPr>
          <w:rFonts w:eastAsia="MS Mincho"/>
        </w:rPr>
        <w:t>délégation</w:t>
      </w:r>
      <w:r w:rsidR="0068180E">
        <w:rPr>
          <w:rFonts w:eastAsia="MS Mincho"/>
        </w:rPr>
        <w:t>.</w:t>
      </w:r>
    </w:p>
    <w:p w14:paraId="7CB27EAC" w14:textId="060A097C" w:rsidR="00C973BD" w:rsidRPr="00C973BD" w:rsidRDefault="00030D82" w:rsidP="00DE5C80">
      <w:pPr>
        <w:pStyle w:val="Orateurengris"/>
        <w:spacing w:before="120"/>
        <w:ind w:left="709" w:hanging="709"/>
        <w:rPr>
          <w:rFonts w:eastAsia="MS Mincho"/>
        </w:rPr>
      </w:pPr>
      <w:r>
        <w:rPr>
          <w:rFonts w:eastAsia="MS Mincho"/>
        </w:rPr>
        <w:t>S</w:t>
      </w:r>
      <w:r w:rsidR="00346F1B">
        <w:rPr>
          <w:rFonts w:eastAsia="MS Mincho"/>
        </w:rPr>
        <w:t>’</w:t>
      </w:r>
      <w:r>
        <w:rPr>
          <w:rFonts w:eastAsia="MS Mincho"/>
        </w:rPr>
        <w:t xml:space="preserve">agissant du </w:t>
      </w:r>
      <w:r w:rsidRPr="00030D82">
        <w:rPr>
          <w:rFonts w:eastAsia="MS Mincho"/>
        </w:rPr>
        <w:t>critère</w:t>
      </w:r>
      <w:r>
        <w:rPr>
          <w:rFonts w:eastAsia="MS Mincho"/>
        </w:rPr>
        <w:t xml:space="preserve"> R.3, la </w:t>
      </w:r>
      <w:r w:rsidRPr="00030D82">
        <w:rPr>
          <w:rFonts w:eastAsia="MS Mincho"/>
        </w:rPr>
        <w:t>délégation</w:t>
      </w:r>
      <w:r>
        <w:rPr>
          <w:rFonts w:eastAsia="MS Mincho"/>
        </w:rPr>
        <w:t xml:space="preserve"> de l</w:t>
      </w:r>
      <w:r w:rsidR="00346F1B">
        <w:rPr>
          <w:rFonts w:eastAsia="MS Mincho"/>
        </w:rPr>
        <w:t>’</w:t>
      </w:r>
      <w:r w:rsidRPr="00030D82">
        <w:rPr>
          <w:rFonts w:eastAsia="MS Mincho"/>
          <w:b/>
        </w:rPr>
        <w:t>Égypte</w:t>
      </w:r>
      <w:r>
        <w:rPr>
          <w:rFonts w:eastAsia="MS Mincho"/>
        </w:rPr>
        <w:t xml:space="preserve"> a expliqué que la section 5 du dossier de candidature précisait que deux ONG avaient directement participé à la procédure de </w:t>
      </w:r>
      <w:r w:rsidRPr="00030D82">
        <w:rPr>
          <w:rFonts w:eastAsia="MS Mincho"/>
        </w:rPr>
        <w:t>candidature</w:t>
      </w:r>
      <w:r>
        <w:rPr>
          <w:rFonts w:eastAsia="MS Mincho"/>
        </w:rPr>
        <w:t>. Une des ONG, l</w:t>
      </w:r>
      <w:r w:rsidR="00346F1B">
        <w:rPr>
          <w:rFonts w:eastAsia="MS Mincho"/>
        </w:rPr>
        <w:t>’</w:t>
      </w:r>
      <w:r>
        <w:rPr>
          <w:rFonts w:eastAsia="MS Mincho"/>
        </w:rPr>
        <w:t>A</w:t>
      </w:r>
      <w:r w:rsidRPr="00030D82">
        <w:rPr>
          <w:rFonts w:eastAsia="MS Mincho"/>
        </w:rPr>
        <w:t>ssociation</w:t>
      </w:r>
      <w:r>
        <w:rPr>
          <w:rFonts w:eastAsia="MS Mincho"/>
        </w:rPr>
        <w:t xml:space="preserve"> de la Haute-Égypte pour l</w:t>
      </w:r>
      <w:r w:rsidR="00346F1B">
        <w:rPr>
          <w:rFonts w:eastAsia="MS Mincho"/>
        </w:rPr>
        <w:t>’</w:t>
      </w:r>
      <w:r w:rsidRPr="00030D82">
        <w:rPr>
          <w:rFonts w:eastAsia="MS Mincho"/>
        </w:rPr>
        <w:t>éducation</w:t>
      </w:r>
      <w:r>
        <w:rPr>
          <w:rFonts w:eastAsia="MS Mincho"/>
        </w:rPr>
        <w:t xml:space="preserve"> et le </w:t>
      </w:r>
      <w:r w:rsidRPr="00030D82">
        <w:rPr>
          <w:rFonts w:eastAsia="MS Mincho"/>
        </w:rPr>
        <w:t>développement</w:t>
      </w:r>
      <w:r>
        <w:rPr>
          <w:rFonts w:eastAsia="MS Mincho"/>
        </w:rPr>
        <w:t xml:space="preserve"> avait joué un rôle essentiel dans les mesures de sauvegarde</w:t>
      </w:r>
      <w:r w:rsidR="007F2320">
        <w:rPr>
          <w:rFonts w:eastAsia="MS Mincho"/>
        </w:rPr>
        <w:t>. En 2015, l</w:t>
      </w:r>
      <w:r w:rsidR="00346F1B">
        <w:rPr>
          <w:rFonts w:eastAsia="MS Mincho"/>
        </w:rPr>
        <w:t>’</w:t>
      </w:r>
      <w:r w:rsidR="007F2320" w:rsidRPr="007F2320">
        <w:rPr>
          <w:rFonts w:eastAsia="MS Mincho"/>
        </w:rPr>
        <w:t>association</w:t>
      </w:r>
      <w:r w:rsidR="007F2320">
        <w:rPr>
          <w:rFonts w:eastAsia="MS Mincho"/>
        </w:rPr>
        <w:t xml:space="preserve"> avait conçu un programme de formation des formateurs</w:t>
      </w:r>
      <w:r w:rsidR="003666CD">
        <w:rPr>
          <w:rFonts w:eastAsia="MS Mincho"/>
        </w:rPr>
        <w:t xml:space="preserve"> </w:t>
      </w:r>
      <w:r w:rsidR="00593024">
        <w:rPr>
          <w:rFonts w:eastAsia="MS Mincho"/>
        </w:rPr>
        <w:t>(</w:t>
      </w:r>
      <w:r w:rsidR="003666CD">
        <w:rPr>
          <w:rFonts w:eastAsia="MS Mincho"/>
        </w:rPr>
        <w:t>PFF</w:t>
      </w:r>
      <w:r w:rsidR="00593024">
        <w:rPr>
          <w:rFonts w:eastAsia="MS Mincho"/>
        </w:rPr>
        <w:t xml:space="preserve">) </w:t>
      </w:r>
      <w:r w:rsidR="007F2320">
        <w:rPr>
          <w:rFonts w:eastAsia="MS Mincho"/>
        </w:rPr>
        <w:t xml:space="preserve">destiné à préparer les nouveaux formateurs. Le </w:t>
      </w:r>
      <w:r w:rsidR="007F2320" w:rsidRPr="007F2320">
        <w:rPr>
          <w:rFonts w:eastAsia="MS Mincho"/>
        </w:rPr>
        <w:t>ministère</w:t>
      </w:r>
      <w:r w:rsidR="007F2320">
        <w:rPr>
          <w:rFonts w:eastAsia="MS Mincho"/>
        </w:rPr>
        <w:t xml:space="preserve"> des Sports et le </w:t>
      </w:r>
      <w:r w:rsidR="007F2320" w:rsidRPr="007F2320">
        <w:rPr>
          <w:rFonts w:eastAsia="MS Mincho"/>
        </w:rPr>
        <w:t>ministère</w:t>
      </w:r>
      <w:r w:rsidR="007F2320">
        <w:rPr>
          <w:rFonts w:eastAsia="MS Mincho"/>
        </w:rPr>
        <w:t xml:space="preserve"> de la Culture avaient officiellement validé ce programme en 2016. La première phase de mise en œuvre avait débuté quelques jours auparavant (novembre 2016). Vingt personnes avaient été choisies pour être formées en tant q</w:t>
      </w:r>
      <w:r w:rsidR="00654D33">
        <w:rPr>
          <w:rFonts w:eastAsia="MS Mincho"/>
        </w:rPr>
        <w:t>ue formateurs à la pratique du t</w:t>
      </w:r>
      <w:r w:rsidR="007F2320">
        <w:rPr>
          <w:rFonts w:eastAsia="MS Mincho"/>
        </w:rPr>
        <w:t xml:space="preserve">ahteeb. Les joueurs </w:t>
      </w:r>
      <w:r w:rsidR="00654D33">
        <w:rPr>
          <w:rFonts w:eastAsia="MS Mincho"/>
        </w:rPr>
        <w:t>et</w:t>
      </w:r>
      <w:r w:rsidR="007F2320">
        <w:rPr>
          <w:rFonts w:eastAsia="MS Mincho"/>
        </w:rPr>
        <w:t xml:space="preserve"> </w:t>
      </w:r>
      <w:r w:rsidR="007F2320" w:rsidRPr="007F2320">
        <w:rPr>
          <w:rFonts w:eastAsia="MS Mincho"/>
        </w:rPr>
        <w:t>détenteurs</w:t>
      </w:r>
      <w:r w:rsidR="007F2320">
        <w:rPr>
          <w:rFonts w:eastAsia="MS Mincho"/>
        </w:rPr>
        <w:t xml:space="preserve"> </w:t>
      </w:r>
      <w:r w:rsidR="00654D33" w:rsidRPr="00654D33">
        <w:rPr>
          <w:rFonts w:eastAsia="MS Mincho"/>
        </w:rPr>
        <w:t>traditionnels</w:t>
      </w:r>
      <w:r w:rsidR="00654D33">
        <w:rPr>
          <w:rFonts w:eastAsia="MS Mincho"/>
        </w:rPr>
        <w:t xml:space="preserve"> </w:t>
      </w:r>
      <w:r w:rsidR="007F2320">
        <w:rPr>
          <w:rFonts w:eastAsia="MS Mincho"/>
        </w:rPr>
        <w:t xml:space="preserve">issus des communautés locales concernées jouaient un rôle </w:t>
      </w:r>
      <w:r w:rsidR="00593024">
        <w:rPr>
          <w:rFonts w:eastAsia="MS Mincho"/>
        </w:rPr>
        <w:t>essentiel dans le programme PFF</w:t>
      </w:r>
      <w:r w:rsidR="00654D33">
        <w:rPr>
          <w:rFonts w:eastAsia="MS Mincho"/>
        </w:rPr>
        <w:t xml:space="preserve"> auquel ils participaient, ils </w:t>
      </w:r>
      <w:r w:rsidR="007F2320">
        <w:rPr>
          <w:rFonts w:eastAsia="MS Mincho"/>
        </w:rPr>
        <w:t>étaient en charge</w:t>
      </w:r>
      <w:r w:rsidR="00654D33">
        <w:rPr>
          <w:rFonts w:eastAsia="MS Mincho"/>
        </w:rPr>
        <w:t xml:space="preserve">, aux </w:t>
      </w:r>
      <w:r w:rsidR="0068180E">
        <w:rPr>
          <w:rFonts w:eastAsia="MS Mincho"/>
        </w:rPr>
        <w:t>côtés</w:t>
      </w:r>
      <w:r w:rsidR="00654D33">
        <w:rPr>
          <w:rFonts w:eastAsia="MS Mincho"/>
        </w:rPr>
        <w:t xml:space="preserve"> des experts des ONG</w:t>
      </w:r>
      <w:r w:rsidR="00A4696F">
        <w:rPr>
          <w:rFonts w:eastAsia="MS Mincho"/>
        </w:rPr>
        <w:t>,</w:t>
      </w:r>
      <w:r w:rsidR="007F2320">
        <w:rPr>
          <w:rFonts w:eastAsia="MS Mincho"/>
        </w:rPr>
        <w:t xml:space="preserve"> de la sélection des nou</w:t>
      </w:r>
      <w:r w:rsidR="00654D33">
        <w:rPr>
          <w:rFonts w:eastAsia="MS Mincho"/>
        </w:rPr>
        <w:t xml:space="preserve">veaux formateurs. Ils avaient </w:t>
      </w:r>
      <w:r w:rsidR="00654D33" w:rsidRPr="00654D33">
        <w:rPr>
          <w:rFonts w:eastAsia="MS Mincho"/>
        </w:rPr>
        <w:t>également</w:t>
      </w:r>
      <w:r w:rsidR="00654D33">
        <w:rPr>
          <w:rFonts w:eastAsia="MS Mincho"/>
        </w:rPr>
        <w:t xml:space="preserve"> révisé et approuvé le guide des instructeurs du tahteeb, un manuel de référence rédigé par l</w:t>
      </w:r>
      <w:r w:rsidR="00346F1B">
        <w:rPr>
          <w:rFonts w:eastAsia="MS Mincho"/>
        </w:rPr>
        <w:t>’</w:t>
      </w:r>
      <w:r w:rsidR="00654D33">
        <w:rPr>
          <w:rFonts w:eastAsia="MS Mincho"/>
        </w:rPr>
        <w:t xml:space="preserve">ONG, utilisé par les jeunes joueurs et les nouveaux formateurs. La </w:t>
      </w:r>
      <w:r w:rsidR="00654D33" w:rsidRPr="00654D33">
        <w:rPr>
          <w:rFonts w:eastAsia="MS Mincho"/>
        </w:rPr>
        <w:t>participation</w:t>
      </w:r>
      <w:r w:rsidR="00654D33">
        <w:rPr>
          <w:rFonts w:eastAsia="MS Mincho"/>
        </w:rPr>
        <w:t xml:space="preserve"> directe des joueurs </w:t>
      </w:r>
      <w:r w:rsidR="00654D33" w:rsidRPr="00654D33">
        <w:rPr>
          <w:rFonts w:eastAsia="MS Mincho"/>
        </w:rPr>
        <w:t>traditionnels</w:t>
      </w:r>
      <w:r w:rsidR="00654D33">
        <w:rPr>
          <w:rFonts w:eastAsia="MS Mincho"/>
        </w:rPr>
        <w:t xml:space="preserve"> et des </w:t>
      </w:r>
      <w:r w:rsidR="00654D33" w:rsidRPr="00654D33">
        <w:rPr>
          <w:rFonts w:eastAsia="MS Mincho"/>
        </w:rPr>
        <w:t>détenteurs</w:t>
      </w:r>
      <w:r w:rsidR="00654D33">
        <w:rPr>
          <w:rFonts w:eastAsia="MS Mincho"/>
        </w:rPr>
        <w:t xml:space="preserve"> à</w:t>
      </w:r>
      <w:r w:rsidR="00A4696F">
        <w:rPr>
          <w:rFonts w:eastAsia="MS Mincho"/>
        </w:rPr>
        <w:t xml:space="preserve"> cette procédure préservait le t</w:t>
      </w:r>
      <w:r w:rsidR="00EA517F">
        <w:rPr>
          <w:rFonts w:eastAsia="MS Mincho"/>
        </w:rPr>
        <w:t>ahtee</w:t>
      </w:r>
      <w:r w:rsidR="00654D33">
        <w:rPr>
          <w:rFonts w:eastAsia="MS Mincho"/>
        </w:rPr>
        <w:t>b des effet</w:t>
      </w:r>
      <w:r w:rsidR="00A4696F">
        <w:rPr>
          <w:rFonts w:eastAsia="MS Mincho"/>
        </w:rPr>
        <w:t>s liés à la décontextualisation</w:t>
      </w:r>
      <w:r w:rsidR="00654D33">
        <w:rPr>
          <w:rFonts w:eastAsia="MS Mincho"/>
        </w:rPr>
        <w:t xml:space="preserve"> en sauvegardant ses principes, ses règles et son éthique. En outre, il existait un festival annuel du tahteeb, organisé par le </w:t>
      </w:r>
      <w:r w:rsidR="00654D33" w:rsidRPr="00654D33">
        <w:rPr>
          <w:rFonts w:eastAsia="MS Mincho"/>
        </w:rPr>
        <w:t>ministère</w:t>
      </w:r>
      <w:r w:rsidR="00AA1F55">
        <w:rPr>
          <w:rFonts w:eastAsia="MS Mincho"/>
        </w:rPr>
        <w:t xml:space="preserve"> de la Culture, </w:t>
      </w:r>
      <w:r w:rsidR="00654D33">
        <w:rPr>
          <w:rFonts w:eastAsia="MS Mincho"/>
        </w:rPr>
        <w:t xml:space="preserve">tous les joueurs et </w:t>
      </w:r>
      <w:r w:rsidR="00654D33" w:rsidRPr="00654D33">
        <w:rPr>
          <w:rFonts w:eastAsia="MS Mincho"/>
        </w:rPr>
        <w:t>détenteurs</w:t>
      </w:r>
      <w:r w:rsidR="00654D33">
        <w:rPr>
          <w:rFonts w:eastAsia="MS Mincho"/>
        </w:rPr>
        <w:t xml:space="preserve"> </w:t>
      </w:r>
      <w:r w:rsidR="00654D33" w:rsidRPr="00654D33">
        <w:rPr>
          <w:rFonts w:eastAsia="MS Mincho"/>
        </w:rPr>
        <w:t>traditionnels</w:t>
      </w:r>
      <w:r w:rsidR="00AA1F55">
        <w:rPr>
          <w:rFonts w:eastAsia="MS Mincho"/>
        </w:rPr>
        <w:t xml:space="preserve"> étaient invités à </w:t>
      </w:r>
      <w:r w:rsidR="0030322C">
        <w:rPr>
          <w:rFonts w:eastAsia="MS Mincho"/>
        </w:rPr>
        <w:t xml:space="preserve">y </w:t>
      </w:r>
      <w:r w:rsidR="00AA1F55">
        <w:rPr>
          <w:rFonts w:eastAsia="MS Mincho"/>
        </w:rPr>
        <w:t xml:space="preserve">participer </w:t>
      </w:r>
      <w:r w:rsidR="0030322C">
        <w:rPr>
          <w:rFonts w:eastAsia="MS Mincho"/>
        </w:rPr>
        <w:t>et à pratiquer</w:t>
      </w:r>
      <w:r w:rsidR="00AA1F55">
        <w:rPr>
          <w:rFonts w:eastAsia="MS Mincho"/>
        </w:rPr>
        <w:t xml:space="preserve"> le tahteeb. </w:t>
      </w:r>
      <w:r w:rsidR="0030322C">
        <w:rPr>
          <w:rFonts w:eastAsia="MS Mincho"/>
        </w:rPr>
        <w:t>Dans le cadre de ce festival, l</w:t>
      </w:r>
      <w:r w:rsidR="00AA1F55">
        <w:rPr>
          <w:rFonts w:eastAsia="MS Mincho"/>
        </w:rPr>
        <w:t xml:space="preserve">es autorités et les communautés </w:t>
      </w:r>
      <w:r w:rsidR="0030322C">
        <w:rPr>
          <w:rFonts w:eastAsia="MS Mincho"/>
        </w:rPr>
        <w:t xml:space="preserve">œuvraient en </w:t>
      </w:r>
      <w:r w:rsidR="0030322C" w:rsidRPr="0030322C">
        <w:rPr>
          <w:rFonts w:eastAsia="MS Mincho"/>
        </w:rPr>
        <w:t>collaboration</w:t>
      </w:r>
      <w:r w:rsidR="0030322C">
        <w:rPr>
          <w:rFonts w:eastAsia="MS Mincho"/>
        </w:rPr>
        <w:t xml:space="preserve"> </w:t>
      </w:r>
      <w:r w:rsidR="00AA1F55">
        <w:rPr>
          <w:rFonts w:eastAsia="MS Mincho"/>
        </w:rPr>
        <w:t xml:space="preserve">pour sauvegarder ce </w:t>
      </w:r>
      <w:r w:rsidR="00AA1F55" w:rsidRPr="00AA1F55">
        <w:rPr>
          <w:rFonts w:eastAsia="MS Mincho"/>
        </w:rPr>
        <w:t>patrimoine</w:t>
      </w:r>
      <w:r w:rsidR="00AA1F55">
        <w:rPr>
          <w:rFonts w:eastAsia="MS Mincho"/>
        </w:rPr>
        <w:t xml:space="preserve"> et assurer sa </w:t>
      </w:r>
      <w:r w:rsidR="00AA1F55" w:rsidRPr="00AA1F55">
        <w:rPr>
          <w:rFonts w:eastAsia="MS Mincho"/>
        </w:rPr>
        <w:t>viabilité</w:t>
      </w:r>
      <w:r w:rsidR="0068180E">
        <w:rPr>
          <w:rFonts w:eastAsia="MS Mincho"/>
        </w:rPr>
        <w:t>.</w:t>
      </w:r>
    </w:p>
    <w:p w14:paraId="6F7396F0" w14:textId="764CCF84" w:rsidR="0030322C" w:rsidRDefault="0030322C" w:rsidP="00DE5C80">
      <w:pPr>
        <w:pStyle w:val="Orateurengris"/>
        <w:spacing w:before="120"/>
        <w:ind w:left="709" w:hanging="709"/>
        <w:rPr>
          <w:rFonts w:eastAsia="MS Mincho"/>
        </w:rPr>
      </w:pPr>
      <w:r>
        <w:rPr>
          <w:rFonts w:eastAsia="MS Mincho"/>
        </w:rPr>
        <w:t xml:space="preserve">La </w:t>
      </w:r>
      <w:r w:rsidRPr="0030322C">
        <w:rPr>
          <w:rFonts w:eastAsia="MS Mincho"/>
        </w:rPr>
        <w:t>délégation</w:t>
      </w:r>
      <w:r>
        <w:rPr>
          <w:rFonts w:eastAsia="MS Mincho"/>
        </w:rPr>
        <w:t xml:space="preserve"> du </w:t>
      </w:r>
      <w:r w:rsidRPr="0030322C">
        <w:rPr>
          <w:rFonts w:eastAsia="MS Mincho"/>
          <w:b/>
        </w:rPr>
        <w:t>Liban</w:t>
      </w:r>
      <w:r w:rsidR="00BD7E7E">
        <w:rPr>
          <w:rFonts w:eastAsia="MS Mincho"/>
        </w:rPr>
        <w:t xml:space="preserve"> souhaitait</w:t>
      </w:r>
      <w:r>
        <w:rPr>
          <w:rFonts w:eastAsia="MS Mincho"/>
        </w:rPr>
        <w:t xml:space="preserve"> demander à l</w:t>
      </w:r>
      <w:r w:rsidR="00346F1B">
        <w:rPr>
          <w:rFonts w:eastAsia="MS Mincho"/>
        </w:rPr>
        <w:t>’</w:t>
      </w:r>
      <w:r>
        <w:rPr>
          <w:rFonts w:eastAsia="MS Mincho"/>
        </w:rPr>
        <w:t xml:space="preserve">Égypte de donner de plus amples </w:t>
      </w:r>
      <w:r w:rsidRPr="0030322C">
        <w:rPr>
          <w:rFonts w:eastAsia="MS Mincho"/>
        </w:rPr>
        <w:t>informations</w:t>
      </w:r>
      <w:r>
        <w:rPr>
          <w:rFonts w:eastAsia="MS Mincho"/>
        </w:rPr>
        <w:t xml:space="preserve"> sur la dimension de genre du tahteeb et son </w:t>
      </w:r>
      <w:r w:rsidRPr="0030322C">
        <w:rPr>
          <w:rFonts w:eastAsia="MS Mincho"/>
        </w:rPr>
        <w:t>évolution</w:t>
      </w:r>
      <w:r w:rsidR="0068180E">
        <w:rPr>
          <w:rFonts w:eastAsia="MS Mincho"/>
        </w:rPr>
        <w:t>.</w:t>
      </w:r>
    </w:p>
    <w:p w14:paraId="528421F6" w14:textId="587185DF" w:rsidR="0030322C" w:rsidRPr="0030322C" w:rsidRDefault="0030322C" w:rsidP="00DE5C80">
      <w:pPr>
        <w:pStyle w:val="Orateurengris"/>
        <w:spacing w:before="120"/>
        <w:ind w:left="709" w:hanging="709"/>
        <w:rPr>
          <w:rFonts w:eastAsia="MS Mincho"/>
        </w:rPr>
      </w:pPr>
      <w:r>
        <w:rPr>
          <w:rFonts w:eastAsia="MS Mincho"/>
        </w:rPr>
        <w:t xml:space="preserve">La </w:t>
      </w:r>
      <w:r w:rsidRPr="0030322C">
        <w:rPr>
          <w:rFonts w:eastAsia="MS Mincho"/>
        </w:rPr>
        <w:t>délégation</w:t>
      </w:r>
      <w:r>
        <w:rPr>
          <w:rFonts w:eastAsia="MS Mincho"/>
        </w:rPr>
        <w:t xml:space="preserve"> de l</w:t>
      </w:r>
      <w:r w:rsidR="00346F1B">
        <w:rPr>
          <w:rFonts w:eastAsia="MS Mincho"/>
        </w:rPr>
        <w:t>’</w:t>
      </w:r>
      <w:r w:rsidRPr="0030322C">
        <w:rPr>
          <w:rFonts w:eastAsia="MS Mincho"/>
          <w:b/>
        </w:rPr>
        <w:t>Inde</w:t>
      </w:r>
      <w:r>
        <w:rPr>
          <w:rFonts w:eastAsia="MS Mincho"/>
        </w:rPr>
        <w:t xml:space="preserve"> jugeait la </w:t>
      </w:r>
      <w:r w:rsidRPr="0030322C">
        <w:rPr>
          <w:rFonts w:eastAsia="MS Mincho"/>
        </w:rPr>
        <w:t>candidature</w:t>
      </w:r>
      <w:r w:rsidR="00BD7E7E">
        <w:rPr>
          <w:rFonts w:eastAsia="MS Mincho"/>
        </w:rPr>
        <w:t xml:space="preserve"> très intéressante, et souhaitait</w:t>
      </w:r>
      <w:r>
        <w:rPr>
          <w:rFonts w:eastAsia="MS Mincho"/>
        </w:rPr>
        <w:t xml:space="preserve"> que la </w:t>
      </w:r>
      <w:r w:rsidRPr="0030322C">
        <w:rPr>
          <w:rFonts w:eastAsia="MS Mincho"/>
        </w:rPr>
        <w:t>délégation</w:t>
      </w:r>
      <w:r>
        <w:rPr>
          <w:rFonts w:eastAsia="MS Mincho"/>
        </w:rPr>
        <w:t xml:space="preserve"> apporte des éclaircissements sur les modalités d</w:t>
      </w:r>
      <w:r w:rsidR="00346F1B">
        <w:rPr>
          <w:rFonts w:eastAsia="MS Mincho"/>
        </w:rPr>
        <w:t>’</w:t>
      </w:r>
      <w:r w:rsidRPr="0030322C">
        <w:rPr>
          <w:rFonts w:eastAsia="MS Mincho"/>
        </w:rPr>
        <w:t>inscription</w:t>
      </w:r>
      <w:r>
        <w:rPr>
          <w:rFonts w:eastAsia="MS Mincho"/>
        </w:rPr>
        <w:t xml:space="preserve"> du tahteeb sur la liste nationale et sur la mise à jour de cette </w:t>
      </w:r>
      <w:r w:rsidRPr="0030322C">
        <w:rPr>
          <w:rFonts w:eastAsia="MS Mincho"/>
        </w:rPr>
        <w:t>inscription</w:t>
      </w:r>
      <w:r w:rsidR="0068180E">
        <w:rPr>
          <w:rFonts w:eastAsia="MS Mincho"/>
        </w:rPr>
        <w:t>.</w:t>
      </w:r>
    </w:p>
    <w:p w14:paraId="2E17A2E2" w14:textId="550796A0" w:rsidR="0030322C" w:rsidRPr="00C973BD" w:rsidRDefault="0030322C" w:rsidP="00DE5C80">
      <w:pPr>
        <w:pStyle w:val="Orateurengris"/>
        <w:spacing w:before="120"/>
        <w:ind w:left="709" w:hanging="709"/>
        <w:rPr>
          <w:rFonts w:eastAsia="MS Mincho"/>
        </w:rPr>
      </w:pPr>
      <w:r>
        <w:rPr>
          <w:rFonts w:eastAsia="MS Mincho"/>
        </w:rPr>
        <w:t>Notant qu</w:t>
      </w:r>
      <w:r w:rsidR="00346F1B">
        <w:rPr>
          <w:rFonts w:eastAsia="MS Mincho"/>
        </w:rPr>
        <w:t>’</w:t>
      </w:r>
      <w:r>
        <w:rPr>
          <w:rFonts w:eastAsia="MS Mincho"/>
        </w:rPr>
        <w:t>il s</w:t>
      </w:r>
      <w:r w:rsidR="00346F1B">
        <w:rPr>
          <w:rFonts w:eastAsia="MS Mincho"/>
        </w:rPr>
        <w:t>’</w:t>
      </w:r>
      <w:r>
        <w:rPr>
          <w:rFonts w:eastAsia="MS Mincho"/>
        </w:rPr>
        <w:t>agissait de questions directement adressées à l</w:t>
      </w:r>
      <w:r w:rsidR="00346F1B">
        <w:rPr>
          <w:rFonts w:eastAsia="MS Mincho"/>
        </w:rPr>
        <w:t>’</w:t>
      </w:r>
      <w:r>
        <w:rPr>
          <w:rFonts w:eastAsia="MS Mincho"/>
        </w:rPr>
        <w:t xml:space="preserve">Égypte, le </w:t>
      </w:r>
      <w:r w:rsidRPr="00C973BD">
        <w:rPr>
          <w:rFonts w:eastAsia="MS Mincho"/>
          <w:b/>
        </w:rPr>
        <w:t>Président</w:t>
      </w:r>
      <w:r>
        <w:rPr>
          <w:rFonts w:eastAsia="MS Mincho"/>
        </w:rPr>
        <w:t xml:space="preserve"> a donné la parole à sa </w:t>
      </w:r>
      <w:r w:rsidRPr="00C973BD">
        <w:rPr>
          <w:rFonts w:eastAsia="MS Mincho"/>
        </w:rPr>
        <w:t>délégation</w:t>
      </w:r>
      <w:r w:rsidR="0068180E">
        <w:rPr>
          <w:rFonts w:eastAsia="MS Mincho"/>
        </w:rPr>
        <w:t>.</w:t>
      </w:r>
    </w:p>
    <w:p w14:paraId="3E4187B4" w14:textId="2EBFA821" w:rsidR="001027B5" w:rsidRPr="001027B5" w:rsidRDefault="0030322C" w:rsidP="00DE5C80">
      <w:pPr>
        <w:pStyle w:val="Orateurengris"/>
        <w:spacing w:before="120"/>
        <w:ind w:left="709" w:hanging="709"/>
        <w:rPr>
          <w:rFonts w:eastAsia="MS Mincho"/>
        </w:rPr>
      </w:pPr>
      <w:r>
        <w:rPr>
          <w:rFonts w:eastAsia="MS Mincho"/>
        </w:rPr>
        <w:t xml:space="preserve">La </w:t>
      </w:r>
      <w:r w:rsidRPr="0030322C">
        <w:rPr>
          <w:rFonts w:eastAsia="MS Mincho"/>
        </w:rPr>
        <w:t>délégation</w:t>
      </w:r>
      <w:r>
        <w:rPr>
          <w:rFonts w:eastAsia="MS Mincho"/>
        </w:rPr>
        <w:t xml:space="preserve"> de l</w:t>
      </w:r>
      <w:r w:rsidR="00346F1B">
        <w:rPr>
          <w:rFonts w:eastAsia="MS Mincho"/>
        </w:rPr>
        <w:t>’</w:t>
      </w:r>
      <w:r w:rsidRPr="0030322C">
        <w:rPr>
          <w:rFonts w:eastAsia="MS Mincho"/>
          <w:b/>
        </w:rPr>
        <w:t>Égypte</w:t>
      </w:r>
      <w:r>
        <w:rPr>
          <w:rFonts w:eastAsia="MS Mincho"/>
        </w:rPr>
        <w:t xml:space="preserve"> a remercié l</w:t>
      </w:r>
      <w:r w:rsidR="00346F1B">
        <w:rPr>
          <w:rFonts w:eastAsia="MS Mincho"/>
        </w:rPr>
        <w:t>’</w:t>
      </w:r>
      <w:r>
        <w:rPr>
          <w:rFonts w:eastAsia="MS Mincho"/>
        </w:rPr>
        <w:t>Arabie saoudite pour l</w:t>
      </w:r>
      <w:r w:rsidR="00346F1B">
        <w:rPr>
          <w:rFonts w:eastAsia="MS Mincho"/>
        </w:rPr>
        <w:t>’</w:t>
      </w:r>
      <w:r w:rsidRPr="0030322C">
        <w:rPr>
          <w:rFonts w:eastAsia="MS Mincho"/>
        </w:rPr>
        <w:t>interprétation</w:t>
      </w:r>
      <w:r>
        <w:rPr>
          <w:rFonts w:eastAsia="MS Mincho"/>
        </w:rPr>
        <w:t xml:space="preserve"> en arabe. </w:t>
      </w:r>
      <w:r w:rsidR="00EF7120">
        <w:rPr>
          <w:rFonts w:eastAsia="MS Mincho"/>
        </w:rPr>
        <w:t xml:space="preserve">En réponse à la question du Liban à propos du genre, elle a souligné que la </w:t>
      </w:r>
      <w:r w:rsidR="00EF7120" w:rsidRPr="00EF7120">
        <w:rPr>
          <w:rFonts w:eastAsia="MS Mincho"/>
        </w:rPr>
        <w:t>Convention</w:t>
      </w:r>
      <w:r w:rsidR="00EF7120">
        <w:rPr>
          <w:rFonts w:eastAsia="MS Mincho"/>
        </w:rPr>
        <w:t xml:space="preserve"> devait prendre en </w:t>
      </w:r>
      <w:r w:rsidR="00EF7120" w:rsidRPr="00EF7120">
        <w:rPr>
          <w:rFonts w:eastAsia="MS Mincho"/>
        </w:rPr>
        <w:t>considération</w:t>
      </w:r>
      <w:r w:rsidR="00EF7120">
        <w:rPr>
          <w:rFonts w:eastAsia="MS Mincho"/>
        </w:rPr>
        <w:t xml:space="preserve"> les </w:t>
      </w:r>
      <w:r w:rsidR="006C38B4">
        <w:rPr>
          <w:rFonts w:eastAsia="MS Mincho"/>
        </w:rPr>
        <w:t xml:space="preserve">spécificités </w:t>
      </w:r>
      <w:r w:rsidR="00EF7120">
        <w:rPr>
          <w:rFonts w:eastAsia="MS Mincho"/>
        </w:rPr>
        <w:t xml:space="preserve">culturelles de chaque </w:t>
      </w:r>
      <w:r w:rsidR="00EF7120" w:rsidRPr="00EF7120">
        <w:rPr>
          <w:rFonts w:eastAsia="MS Mincho"/>
        </w:rPr>
        <w:t>communauté</w:t>
      </w:r>
      <w:r w:rsidR="00EF7120">
        <w:rPr>
          <w:rFonts w:eastAsia="MS Mincho"/>
        </w:rPr>
        <w:t xml:space="preserve">. La </w:t>
      </w:r>
      <w:r w:rsidR="00EF7120" w:rsidRPr="00EF7120">
        <w:rPr>
          <w:rFonts w:eastAsia="MS Mincho"/>
        </w:rPr>
        <w:t>délégation</w:t>
      </w:r>
      <w:r w:rsidR="003E44CD">
        <w:rPr>
          <w:rFonts w:eastAsia="MS Mincho"/>
        </w:rPr>
        <w:t xml:space="preserve"> a expliqué qu</w:t>
      </w:r>
      <w:r w:rsidR="00346F1B">
        <w:rPr>
          <w:rFonts w:eastAsia="MS Mincho"/>
        </w:rPr>
        <w:t>’</w:t>
      </w:r>
      <w:r w:rsidR="00EF7120">
        <w:rPr>
          <w:rFonts w:eastAsia="MS Mincho"/>
        </w:rPr>
        <w:t>en ce qui concerne sa pratique, le taht</w:t>
      </w:r>
      <w:r w:rsidR="006C38B4">
        <w:rPr>
          <w:rFonts w:eastAsia="MS Mincho"/>
        </w:rPr>
        <w:t xml:space="preserve">eeb était </w:t>
      </w:r>
      <w:r w:rsidR="003E44CD">
        <w:rPr>
          <w:rFonts w:eastAsia="MS Mincho"/>
        </w:rPr>
        <w:t>un triangle. L</w:t>
      </w:r>
      <w:r w:rsidR="00346F1B">
        <w:rPr>
          <w:rFonts w:eastAsia="MS Mincho"/>
        </w:rPr>
        <w:t>’</w:t>
      </w:r>
      <w:r w:rsidR="003E44CD">
        <w:rPr>
          <w:rFonts w:eastAsia="MS Mincho"/>
        </w:rPr>
        <w:t>un</w:t>
      </w:r>
      <w:r w:rsidR="006C38B4">
        <w:rPr>
          <w:rFonts w:eastAsia="MS Mincho"/>
        </w:rPr>
        <w:t xml:space="preserve"> des trois </w:t>
      </w:r>
      <w:r w:rsidR="003E44CD">
        <w:rPr>
          <w:rFonts w:eastAsia="MS Mincho"/>
        </w:rPr>
        <w:t>angles était le bâton, le</w:t>
      </w:r>
      <w:r w:rsidR="006C38B4">
        <w:rPr>
          <w:rFonts w:eastAsia="MS Mincho"/>
        </w:rPr>
        <w:t xml:space="preserve"> deuxiè</w:t>
      </w:r>
      <w:r w:rsidR="003E44CD">
        <w:rPr>
          <w:rFonts w:eastAsia="MS Mincho"/>
        </w:rPr>
        <w:t>me était la représentation et le</w:t>
      </w:r>
      <w:r w:rsidR="006C38B4">
        <w:rPr>
          <w:rFonts w:eastAsia="MS Mincho"/>
        </w:rPr>
        <w:t xml:space="preserve"> troisième était le public. En effet, de nombreuses femmes présentes dans le public participaient à l</w:t>
      </w:r>
      <w:r w:rsidR="00346F1B">
        <w:rPr>
          <w:rFonts w:eastAsia="MS Mincho"/>
        </w:rPr>
        <w:t>’</w:t>
      </w:r>
      <w:r w:rsidR="006C38B4">
        <w:rPr>
          <w:rFonts w:eastAsia="MS Mincho"/>
        </w:rPr>
        <w:t xml:space="preserve">élément en tant que spectatrices. Les femmes jouaient également un rôle important dans la </w:t>
      </w:r>
      <w:r w:rsidR="003E44CD">
        <w:rPr>
          <w:rFonts w:eastAsia="MS Mincho"/>
        </w:rPr>
        <w:t>transmission</w:t>
      </w:r>
      <w:r w:rsidR="006C38B4">
        <w:rPr>
          <w:rFonts w:eastAsia="MS Mincho"/>
        </w:rPr>
        <w:t xml:space="preserve"> intergénérationnelle de cette tradition. </w:t>
      </w:r>
      <w:r w:rsidR="001027B5">
        <w:rPr>
          <w:rFonts w:eastAsia="MS Mincho"/>
        </w:rPr>
        <w:t>De nos jours, l</w:t>
      </w:r>
      <w:r w:rsidR="006C38B4">
        <w:rPr>
          <w:rFonts w:eastAsia="MS Mincho"/>
        </w:rPr>
        <w:t xml:space="preserve">orsque le tahteeb était pratiqué en ville, les femmes participaient de plus en plus à la pratique elle-même de ce sport, et les restrictions </w:t>
      </w:r>
      <w:r w:rsidR="001027B5">
        <w:rPr>
          <w:rFonts w:eastAsia="MS Mincho"/>
        </w:rPr>
        <w:t>à</w:t>
      </w:r>
      <w:r w:rsidR="001027B5" w:rsidRPr="001027B5">
        <w:rPr>
          <w:rFonts w:eastAsia="MS Mincho"/>
        </w:rPr>
        <w:t xml:space="preserve"> </w:t>
      </w:r>
      <w:r w:rsidR="001027B5">
        <w:rPr>
          <w:rFonts w:eastAsia="MS Mincho"/>
        </w:rPr>
        <w:t xml:space="preserve">la </w:t>
      </w:r>
      <w:r w:rsidR="001027B5" w:rsidRPr="006C38B4">
        <w:rPr>
          <w:rFonts w:eastAsia="MS Mincho"/>
        </w:rPr>
        <w:t>participation</w:t>
      </w:r>
      <w:r w:rsidR="001027B5">
        <w:rPr>
          <w:rFonts w:eastAsia="MS Mincho"/>
        </w:rPr>
        <w:t xml:space="preserve"> des femmes auparavant observées dans les zones rurales </w:t>
      </w:r>
      <w:r w:rsidR="006C38B4">
        <w:rPr>
          <w:rFonts w:eastAsia="MS Mincho"/>
        </w:rPr>
        <w:t>n</w:t>
      </w:r>
      <w:r w:rsidR="00346F1B">
        <w:rPr>
          <w:rFonts w:eastAsia="MS Mincho"/>
        </w:rPr>
        <w:t>’</w:t>
      </w:r>
      <w:r w:rsidR="006C38B4">
        <w:rPr>
          <w:rFonts w:eastAsia="MS Mincho"/>
        </w:rPr>
        <w:t>existaient plus. S</w:t>
      </w:r>
      <w:r w:rsidR="00346F1B">
        <w:rPr>
          <w:rFonts w:eastAsia="MS Mincho"/>
        </w:rPr>
        <w:t>’</w:t>
      </w:r>
      <w:r w:rsidR="006C38B4">
        <w:rPr>
          <w:rFonts w:eastAsia="MS Mincho"/>
        </w:rPr>
        <w:t>agissant de la question de l</w:t>
      </w:r>
      <w:r w:rsidR="00346F1B">
        <w:rPr>
          <w:rFonts w:eastAsia="MS Mincho"/>
        </w:rPr>
        <w:t>’</w:t>
      </w:r>
      <w:r w:rsidR="006C38B4">
        <w:rPr>
          <w:rFonts w:eastAsia="MS Mincho"/>
        </w:rPr>
        <w:t xml:space="preserve">Inde, la </w:t>
      </w:r>
      <w:r w:rsidR="006C38B4" w:rsidRPr="006C38B4">
        <w:rPr>
          <w:rFonts w:eastAsia="MS Mincho"/>
        </w:rPr>
        <w:t>délégation</w:t>
      </w:r>
      <w:r w:rsidR="006C38B4">
        <w:rPr>
          <w:rFonts w:eastAsia="MS Mincho"/>
        </w:rPr>
        <w:t xml:space="preserve"> a précisé que ce n</w:t>
      </w:r>
      <w:r w:rsidR="00346F1B">
        <w:rPr>
          <w:rFonts w:eastAsia="MS Mincho"/>
        </w:rPr>
        <w:t>’</w:t>
      </w:r>
      <w:r w:rsidR="006C38B4">
        <w:rPr>
          <w:rFonts w:eastAsia="MS Mincho"/>
        </w:rPr>
        <w:t xml:space="preserve">était pas la première fois que cette </w:t>
      </w:r>
      <w:r w:rsidR="006C38B4" w:rsidRPr="006C38B4">
        <w:rPr>
          <w:rFonts w:eastAsia="MS Mincho"/>
        </w:rPr>
        <w:t>candidature</w:t>
      </w:r>
      <w:r w:rsidR="001027B5">
        <w:rPr>
          <w:rFonts w:eastAsia="MS Mincho"/>
        </w:rPr>
        <w:t xml:space="preserve"> était présentée, elle </w:t>
      </w:r>
      <w:r w:rsidR="006C38B4">
        <w:rPr>
          <w:rFonts w:eastAsia="MS Mincho"/>
        </w:rPr>
        <w:t xml:space="preserve">avait </w:t>
      </w:r>
      <w:r w:rsidR="003E44CD">
        <w:rPr>
          <w:rFonts w:eastAsia="MS Mincho"/>
        </w:rPr>
        <w:t xml:space="preserve">en effet </w:t>
      </w:r>
      <w:r w:rsidR="006C38B4">
        <w:rPr>
          <w:rFonts w:eastAsia="MS Mincho"/>
        </w:rPr>
        <w:t xml:space="preserve">déjà été </w:t>
      </w:r>
      <w:r w:rsidR="001027B5">
        <w:rPr>
          <w:rFonts w:eastAsia="MS Mincho"/>
        </w:rPr>
        <w:t xml:space="preserve">soumise </w:t>
      </w:r>
      <w:r w:rsidR="006C38B4">
        <w:rPr>
          <w:rFonts w:eastAsia="MS Mincho"/>
        </w:rPr>
        <w:t xml:space="preserve">en 2014 lors de la neuvième session du Comité. La </w:t>
      </w:r>
      <w:r w:rsidR="003E44CD" w:rsidRPr="003E44CD">
        <w:rPr>
          <w:rFonts w:eastAsia="MS Mincho"/>
        </w:rPr>
        <w:t>délégation</w:t>
      </w:r>
      <w:r w:rsidR="003E44CD">
        <w:rPr>
          <w:rFonts w:eastAsia="MS Mincho"/>
        </w:rPr>
        <w:t xml:space="preserve"> a soul</w:t>
      </w:r>
      <w:r w:rsidR="001027B5">
        <w:rPr>
          <w:rFonts w:eastAsia="MS Mincho"/>
        </w:rPr>
        <w:t xml:space="preserve">igné que dans sa décision 9.COM </w:t>
      </w:r>
      <w:r w:rsidR="003E44CD">
        <w:rPr>
          <w:rFonts w:eastAsia="MS Mincho"/>
        </w:rPr>
        <w:t>15, le Comité</w:t>
      </w:r>
      <w:r w:rsidR="001027B5">
        <w:rPr>
          <w:rFonts w:eastAsia="MS Mincho"/>
        </w:rPr>
        <w:t xml:space="preserve"> </w:t>
      </w:r>
      <w:r w:rsidR="003E44CD">
        <w:rPr>
          <w:rFonts w:eastAsia="MS Mincho"/>
        </w:rPr>
        <w:t xml:space="preserve">avait estimé que, selon les </w:t>
      </w:r>
      <w:r w:rsidR="003E44CD" w:rsidRPr="003E44CD">
        <w:rPr>
          <w:rFonts w:eastAsia="MS Mincho"/>
        </w:rPr>
        <w:t>informations</w:t>
      </w:r>
      <w:r w:rsidR="003E44CD">
        <w:rPr>
          <w:rFonts w:eastAsia="MS Mincho"/>
        </w:rPr>
        <w:t xml:space="preserve"> incluses dans le dossier, la </w:t>
      </w:r>
      <w:r w:rsidR="003E44CD" w:rsidRPr="003E44CD">
        <w:rPr>
          <w:rFonts w:eastAsia="MS Mincho"/>
        </w:rPr>
        <w:t>candidature</w:t>
      </w:r>
      <w:r w:rsidR="003E44CD">
        <w:rPr>
          <w:rFonts w:eastAsia="MS Mincho"/>
        </w:rPr>
        <w:t xml:space="preserve"> satisfaisait </w:t>
      </w:r>
      <w:r w:rsidR="001027B5">
        <w:rPr>
          <w:rFonts w:eastAsia="MS Mincho"/>
        </w:rPr>
        <w:t>ce critère pour l</w:t>
      </w:r>
      <w:r w:rsidR="00346F1B">
        <w:rPr>
          <w:rFonts w:eastAsia="MS Mincho"/>
        </w:rPr>
        <w:t>’</w:t>
      </w:r>
      <w:r w:rsidR="001027B5" w:rsidRPr="001027B5">
        <w:rPr>
          <w:rFonts w:eastAsia="MS Mincho"/>
        </w:rPr>
        <w:t>inscription</w:t>
      </w:r>
      <w:r w:rsidR="001027B5">
        <w:rPr>
          <w:rFonts w:eastAsia="MS Mincho"/>
        </w:rPr>
        <w:t xml:space="preserve"> sur la Liste représentative. Le tahteeb avait été inscrit à l</w:t>
      </w:r>
      <w:r w:rsidR="00346F1B">
        <w:rPr>
          <w:rFonts w:eastAsia="MS Mincho"/>
        </w:rPr>
        <w:t>’</w:t>
      </w:r>
      <w:r w:rsidR="001027B5" w:rsidRPr="001027B5">
        <w:rPr>
          <w:rFonts w:eastAsia="MS Mincho"/>
        </w:rPr>
        <w:t>inventaire</w:t>
      </w:r>
      <w:r w:rsidR="001027B5">
        <w:rPr>
          <w:rFonts w:eastAsia="MS Mincho"/>
        </w:rPr>
        <w:t xml:space="preserve"> en 2013.</w:t>
      </w:r>
    </w:p>
    <w:p w14:paraId="2BA2A6A6" w14:textId="356F0437" w:rsidR="001027B5" w:rsidRDefault="001027B5" w:rsidP="00DE5C80">
      <w:pPr>
        <w:pStyle w:val="Orateurengris"/>
        <w:spacing w:before="120"/>
        <w:ind w:left="709" w:hanging="709"/>
      </w:pPr>
      <w:r>
        <w:t xml:space="preserve">Le </w:t>
      </w:r>
      <w:r w:rsidRPr="001027B5">
        <w:rPr>
          <w:b/>
        </w:rPr>
        <w:t>Président</w:t>
      </w:r>
      <w:r>
        <w:t xml:space="preserve"> a demandé à l</w:t>
      </w:r>
      <w:r w:rsidR="00346F1B">
        <w:t>’</w:t>
      </w:r>
      <w:r>
        <w:t>Égypte qu</w:t>
      </w:r>
      <w:r w:rsidR="00346F1B">
        <w:t>’</w:t>
      </w:r>
      <w:r>
        <w:t xml:space="preserve">elle apporte une </w:t>
      </w:r>
      <w:r w:rsidR="0068180E">
        <w:t>réponse complète à la question.</w:t>
      </w:r>
    </w:p>
    <w:p w14:paraId="0B319FD7" w14:textId="76726A95" w:rsidR="001027B5" w:rsidRPr="001027B5" w:rsidRDefault="001027B5" w:rsidP="00DE5C80">
      <w:pPr>
        <w:pStyle w:val="Orateurengris"/>
        <w:spacing w:before="120"/>
        <w:ind w:left="709" w:hanging="709"/>
      </w:pPr>
      <w:r w:rsidRPr="001027B5">
        <w:t>La délégation</w:t>
      </w:r>
      <w:r>
        <w:t xml:space="preserve"> d</w:t>
      </w:r>
      <w:r w:rsidRPr="001027B5">
        <w:t>e</w:t>
      </w:r>
      <w:r>
        <w:t xml:space="preserve"> </w:t>
      </w:r>
      <w:r w:rsidR="00C7584D">
        <w:t>l</w:t>
      </w:r>
      <w:r w:rsidR="00346F1B">
        <w:t>’</w:t>
      </w:r>
      <w:r w:rsidRPr="00C7584D">
        <w:rPr>
          <w:b/>
        </w:rPr>
        <w:t>Égypte</w:t>
      </w:r>
      <w:r w:rsidRPr="001027B5">
        <w:t xml:space="preserve"> a</w:t>
      </w:r>
      <w:r w:rsidR="00C7584D">
        <w:t xml:space="preserve"> réitéré qu</w:t>
      </w:r>
      <w:r w:rsidR="00346F1B">
        <w:t>’</w:t>
      </w:r>
      <w:r w:rsidR="00C7584D">
        <w:t>en</w:t>
      </w:r>
      <w:r w:rsidR="007B1A51">
        <w:t xml:space="preserve"> </w:t>
      </w:r>
      <w:r w:rsidR="00C7584D">
        <w:t xml:space="preserve">2014, </w:t>
      </w:r>
      <w:r w:rsidR="007B1A51">
        <w:t xml:space="preserve">le Secrétariat avait été satisfait </w:t>
      </w:r>
      <w:r w:rsidR="00C7584D">
        <w:t>de la situation, comme le reflétait la décision. L</w:t>
      </w:r>
      <w:r w:rsidR="00346F1B">
        <w:t>’</w:t>
      </w:r>
      <w:r w:rsidR="00C7584D">
        <w:t>élément avait été inscrit à l</w:t>
      </w:r>
      <w:r w:rsidR="00346F1B">
        <w:t>’</w:t>
      </w:r>
      <w:r w:rsidR="00C7584D">
        <w:t>inventaire avec l</w:t>
      </w:r>
      <w:r w:rsidR="00346F1B">
        <w:t>’</w:t>
      </w:r>
      <w:r w:rsidR="00C7584D">
        <w:t>aide de la Commission nationale de l</w:t>
      </w:r>
      <w:r w:rsidR="00346F1B">
        <w:t>’</w:t>
      </w:r>
      <w:r w:rsidR="00C7584D">
        <w:t>UNESCO à laquelle participaient</w:t>
      </w:r>
      <w:r w:rsidR="00C7584D" w:rsidRPr="00C7584D">
        <w:t xml:space="preserve"> </w:t>
      </w:r>
      <w:r w:rsidR="00C7584D">
        <w:t>les communautés. Un groupe d</w:t>
      </w:r>
      <w:r w:rsidR="00346F1B">
        <w:t>’</w:t>
      </w:r>
      <w:r w:rsidR="00C7584D">
        <w:t>experts avait été établi, il était composé de praticiens du jeu qui avaient pleinement pris part aux activités. L</w:t>
      </w:r>
      <w:r w:rsidR="00346F1B">
        <w:t>’</w:t>
      </w:r>
      <w:r w:rsidR="00C7584D">
        <w:t>inventaire était mis à jour par une ONG accréditée par l</w:t>
      </w:r>
      <w:r w:rsidR="00346F1B">
        <w:t>’</w:t>
      </w:r>
      <w:r w:rsidR="00C7584D">
        <w:t>UNESCO, qui était ég</w:t>
      </w:r>
      <w:r w:rsidR="0068180E">
        <w:t>alement composée de praticiens.</w:t>
      </w:r>
    </w:p>
    <w:p w14:paraId="1574CB1F" w14:textId="76BFEB7B" w:rsidR="00C7584D" w:rsidRDefault="00C7584D" w:rsidP="00DE5C80">
      <w:pPr>
        <w:pStyle w:val="Orateurengris"/>
        <w:spacing w:before="120"/>
        <w:ind w:left="709" w:hanging="709"/>
      </w:pPr>
      <w:r>
        <w:t xml:space="preserve">Le </w:t>
      </w:r>
      <w:r w:rsidRPr="00C7584D">
        <w:rPr>
          <w:b/>
        </w:rPr>
        <w:t>Président</w:t>
      </w:r>
      <w:r>
        <w:t xml:space="preserve"> a remercié l</w:t>
      </w:r>
      <w:r w:rsidR="00346F1B">
        <w:t>’</w:t>
      </w:r>
      <w:r>
        <w:t>Égypte de sa réponse complète aux questions.</w:t>
      </w:r>
    </w:p>
    <w:p w14:paraId="25DB91C0" w14:textId="430B51CD" w:rsidR="00C7584D" w:rsidRDefault="00C7584D"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D91C1D">
        <w:rPr>
          <w:b/>
        </w:rPr>
        <w:t>Bulgarie</w:t>
      </w:r>
      <w:r>
        <w:t xml:space="preserve"> </w:t>
      </w:r>
      <w:r w:rsidR="00D91C1D">
        <w:t>reconnaissait les mérites du jeu et de la tradition du tahteeb qui remontait à plus de 5</w:t>
      </w:r>
      <w:r w:rsidR="00346F1B">
        <w:t> 000</w:t>
      </w:r>
      <w:r w:rsidR="00D91C1D">
        <w:t xml:space="preserve"> ans, comme précisé dans la candidature. Le dossier présentait également un grand nombre d</w:t>
      </w:r>
      <w:r w:rsidR="00346F1B">
        <w:t>’</w:t>
      </w:r>
      <w:r w:rsidR="00D91C1D">
        <w:t>informations sur les pratiques et la transmission de l</w:t>
      </w:r>
      <w:r w:rsidR="00346F1B">
        <w:t>’</w:t>
      </w:r>
      <w:r w:rsidR="00D91C1D">
        <w:t>élément dans l</w:t>
      </w:r>
      <w:r w:rsidR="00346F1B">
        <w:t>’</w:t>
      </w:r>
      <w:r w:rsidR="00D91C1D">
        <w:t>Égypte contemporaine. S</w:t>
      </w:r>
      <w:r w:rsidR="00346F1B">
        <w:t>’</w:t>
      </w:r>
      <w:r w:rsidR="00D91C1D">
        <w:t>agissant</w:t>
      </w:r>
      <w:r w:rsidR="00BD7E7E">
        <w:t xml:space="preserve"> du critère R.2, la délégation souhaitait</w:t>
      </w:r>
      <w:r w:rsidR="00D91C1D">
        <w:t xml:space="preserve"> savoir de quelle façon l</w:t>
      </w:r>
      <w:r w:rsidR="00346F1B">
        <w:t>’</w:t>
      </w:r>
      <w:r w:rsidR="00D91C1D">
        <w:t>inscription permettrait de mieux faire connaître l</w:t>
      </w:r>
      <w:r w:rsidR="00346F1B">
        <w:t>’</w:t>
      </w:r>
      <w:r w:rsidR="0068180E">
        <w:t>élément en particulier.</w:t>
      </w:r>
    </w:p>
    <w:p w14:paraId="68EDFE4F" w14:textId="5D33D60E" w:rsidR="00F65668" w:rsidRDefault="00F65668" w:rsidP="002B4948">
      <w:pPr>
        <w:pStyle w:val="Orateurengris"/>
        <w:tabs>
          <w:tab w:val="clear" w:pos="709"/>
          <w:tab w:val="clear" w:pos="1418"/>
          <w:tab w:val="clear" w:pos="2126"/>
          <w:tab w:val="clear" w:pos="2694"/>
          <w:tab w:val="clear" w:pos="2835"/>
          <w:tab w:val="clear" w:pos="3686"/>
        </w:tabs>
        <w:spacing w:before="120"/>
        <w:ind w:left="709" w:hanging="709"/>
      </w:pPr>
      <w:r>
        <w:t>La délégation de l</w:t>
      </w:r>
      <w:r w:rsidR="00346F1B">
        <w:t>’</w:t>
      </w:r>
      <w:r w:rsidRPr="00BD4E28">
        <w:rPr>
          <w:b/>
        </w:rPr>
        <w:t>Arménie</w:t>
      </w:r>
      <w:r w:rsidR="00BD7E7E">
        <w:t xml:space="preserve"> souhaitait</w:t>
      </w:r>
      <w:r>
        <w:t xml:space="preserve"> entendre l</w:t>
      </w:r>
      <w:r w:rsidR="00346F1B">
        <w:t>’</w:t>
      </w:r>
      <w:r w:rsidR="00BD4E28">
        <w:t>Égypte sur la façon dont l</w:t>
      </w:r>
      <w:r w:rsidR="00346F1B">
        <w:t>’</w:t>
      </w:r>
      <w:r w:rsidR="00BD4E28">
        <w:t>inscription permettrait de mieux faire connaître l</w:t>
      </w:r>
      <w:r w:rsidR="00346F1B">
        <w:t>’</w:t>
      </w:r>
      <w:r w:rsidR="00BD4E28">
        <w:t>UNE</w:t>
      </w:r>
      <w:r w:rsidR="00BD7E7E">
        <w:t>SCO, le PCI et l</w:t>
      </w:r>
      <w:r w:rsidR="00346F1B">
        <w:t>’</w:t>
      </w:r>
      <w:r w:rsidR="00BD7E7E">
        <w:t>élément. Elle souhaitait</w:t>
      </w:r>
      <w:r w:rsidR="00BD4E28">
        <w:t xml:space="preserve"> également avoir des éclaircissements quant à la transmission de génération en génération et les mesure</w:t>
      </w:r>
      <w:r w:rsidR="0068180E">
        <w:t>s prises à cette fin en Égypte.</w:t>
      </w:r>
    </w:p>
    <w:p w14:paraId="28B39051" w14:textId="25B830CF" w:rsidR="00BD4E28" w:rsidRDefault="00BD4E28" w:rsidP="002B4948">
      <w:pPr>
        <w:pStyle w:val="Orateurengris"/>
        <w:tabs>
          <w:tab w:val="clear" w:pos="709"/>
          <w:tab w:val="clear" w:pos="1418"/>
          <w:tab w:val="clear" w:pos="2126"/>
          <w:tab w:val="clear" w:pos="2694"/>
          <w:tab w:val="clear" w:pos="2835"/>
          <w:tab w:val="clear" w:pos="3686"/>
        </w:tabs>
        <w:spacing w:before="120"/>
        <w:ind w:left="709" w:hanging="709"/>
      </w:pPr>
      <w:r>
        <w:t>La délégation de l</w:t>
      </w:r>
      <w:r w:rsidR="00346F1B">
        <w:t>’</w:t>
      </w:r>
      <w:r w:rsidRPr="00BD4E28">
        <w:rPr>
          <w:b/>
        </w:rPr>
        <w:t>Algérie</w:t>
      </w:r>
      <w:r>
        <w:t xml:space="preserve"> a remercié l</w:t>
      </w:r>
      <w:r w:rsidR="00346F1B">
        <w:t>’</w:t>
      </w:r>
      <w:r>
        <w:t>Organe d</w:t>
      </w:r>
      <w:r w:rsidR="00346F1B">
        <w:t>’</w:t>
      </w:r>
      <w:r>
        <w:t>évaluation pour ses observations très pertinentes, et l</w:t>
      </w:r>
      <w:r w:rsidR="00346F1B">
        <w:t>’</w:t>
      </w:r>
      <w:r>
        <w:t>Égypte pour ses réponses très détaillées. La délégation a souligné que le tahteeb était un élément très important de la culture égyptienne et que le Comité devrait œuvrer à la protection de ses p</w:t>
      </w:r>
      <w:r w:rsidR="00D52FDB">
        <w:t>articularités, ajoutant que le G</w:t>
      </w:r>
      <w:r>
        <w:t>ouvernement égyptien faisait tout pour sauvegarder l</w:t>
      </w:r>
      <w:r w:rsidR="00346F1B">
        <w:t>’</w:t>
      </w:r>
      <w:r>
        <w:t>élément. L</w:t>
      </w:r>
      <w:r w:rsidR="00346F1B">
        <w:t>’</w:t>
      </w:r>
      <w:r>
        <w:t>inscription sur la Liste représentative</w:t>
      </w:r>
      <w:r w:rsidR="0041195D">
        <w:t xml:space="preserve"> ferait du tahteeb un élément du patrimoine mondial, universel. C</w:t>
      </w:r>
      <w:r w:rsidR="00346F1B">
        <w:t>’</w:t>
      </w:r>
      <w:r w:rsidR="0041195D">
        <w:t>était la raison pour laquelle la déléga</w:t>
      </w:r>
      <w:r w:rsidR="0068180E">
        <w:t>tion soutenait son inscription.</w:t>
      </w:r>
    </w:p>
    <w:p w14:paraId="0E95B4BF" w14:textId="6462B89B" w:rsidR="0041195D" w:rsidRDefault="0041195D"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41195D">
        <w:rPr>
          <w:b/>
        </w:rPr>
        <w:t>Président</w:t>
      </w:r>
      <w:r>
        <w:t xml:space="preserve"> a pris note d</w:t>
      </w:r>
      <w:r w:rsidR="00346F1B">
        <w:t>’</w:t>
      </w:r>
      <w:r>
        <w:t>une autre demande de la part de l</w:t>
      </w:r>
      <w:r w:rsidR="00346F1B">
        <w:t>’</w:t>
      </w:r>
      <w:r>
        <w:t>Égypte afin d</w:t>
      </w:r>
      <w:r w:rsidR="00346F1B">
        <w:t>’</w:t>
      </w:r>
      <w:r w:rsidR="0068180E">
        <w:t>apporter des éclaircissements.</w:t>
      </w:r>
    </w:p>
    <w:p w14:paraId="74008121" w14:textId="639C4361" w:rsidR="0041195D" w:rsidRDefault="0041195D" w:rsidP="002B4948">
      <w:pPr>
        <w:pStyle w:val="Orateurengris"/>
        <w:tabs>
          <w:tab w:val="clear" w:pos="709"/>
          <w:tab w:val="clear" w:pos="1418"/>
          <w:tab w:val="clear" w:pos="2126"/>
          <w:tab w:val="clear" w:pos="2694"/>
          <w:tab w:val="clear" w:pos="2835"/>
          <w:tab w:val="clear" w:pos="3686"/>
        </w:tabs>
        <w:spacing w:before="120"/>
        <w:ind w:left="709" w:hanging="709"/>
      </w:pPr>
      <w:r>
        <w:t>S</w:t>
      </w:r>
      <w:r w:rsidR="00346F1B">
        <w:t>’</w:t>
      </w:r>
      <w:r>
        <w:t>agissant de la question sur le critère R.2, la délégation de l</w:t>
      </w:r>
      <w:r w:rsidR="00346F1B">
        <w:t>’</w:t>
      </w:r>
      <w:r w:rsidRPr="0041195D">
        <w:rPr>
          <w:b/>
        </w:rPr>
        <w:t>Égypte</w:t>
      </w:r>
      <w:r>
        <w:t xml:space="preserve"> a pr</w:t>
      </w:r>
      <w:r w:rsidR="00FC6CAF">
        <w:t>écisé que le tahteeb incarnait</w:t>
      </w:r>
      <w:r>
        <w:t xml:space="preserve"> des valeurs telles que la fierté, l</w:t>
      </w:r>
      <w:r w:rsidR="00346F1B">
        <w:t>’</w:t>
      </w:r>
      <w:r>
        <w:t>amitié, le courage et le respect. Son origine remontait à l</w:t>
      </w:r>
      <w:r w:rsidR="00346F1B">
        <w:t>’</w:t>
      </w:r>
      <w:r>
        <w:t>Égypte ancienne et sa présence demeurait forte dans la so</w:t>
      </w:r>
      <w:r w:rsidR="00B413C4">
        <w:t xml:space="preserve">ciété égyptienne, ayant évolué </w:t>
      </w:r>
      <w:r>
        <w:t>au cours des années pour devenir un jeu festif accompagné par de la musique et pratiqué lors de nombreux événements de la vie sociale et religieuse. Dans ce contexte, l</w:t>
      </w:r>
      <w:r w:rsidR="00346F1B">
        <w:t>’</w:t>
      </w:r>
      <w:r>
        <w:t>inscription du tahteeb permettrait d</w:t>
      </w:r>
      <w:r w:rsidR="00346F1B">
        <w:t>’</w:t>
      </w:r>
      <w:r>
        <w:t>accroitre la connaissance et la visibilité du PCI en géné</w:t>
      </w:r>
      <w:r w:rsidR="00B413C4">
        <w:t xml:space="preserve">ral, </w:t>
      </w:r>
      <w:r>
        <w:t xml:space="preserve">en favorisant les valeurs essentielles communes à toute la société. </w:t>
      </w:r>
      <w:r w:rsidR="00B413C4">
        <w:t>Elle permettrait également de sauvegarder de nombreux éléments culturels directement associés à ce patrimoine. Il convenait également de noter que le tahteeb venait d</w:t>
      </w:r>
      <w:r w:rsidR="00346F1B">
        <w:t>’</w:t>
      </w:r>
      <w:r w:rsidR="00B413C4">
        <w:t xml:space="preserve">être inscrit au programme scolaire de nombreux établissements, </w:t>
      </w:r>
      <w:r w:rsidR="00593024">
        <w:t>en tant qu</w:t>
      </w:r>
      <w:r w:rsidR="00346F1B">
        <w:t>’</w:t>
      </w:r>
      <w:r w:rsidR="00593024">
        <w:t>activité d</w:t>
      </w:r>
      <w:r w:rsidR="00346F1B">
        <w:t>’</w:t>
      </w:r>
      <w:r w:rsidR="00593024">
        <w:t xml:space="preserve">éducation </w:t>
      </w:r>
      <w:r w:rsidR="00B413C4">
        <w:t>physique, afin de promouvoir, par le patrimoine immatériel, les valeurs essentielles de la vie en sociét</w:t>
      </w:r>
      <w:r w:rsidR="0068180E">
        <w:t>é parmi les jeunes générations.</w:t>
      </w:r>
    </w:p>
    <w:p w14:paraId="2249A5A0" w14:textId="3ED670F4" w:rsidR="00B413C4" w:rsidRDefault="00B413C4"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B413C4">
        <w:rPr>
          <w:b/>
        </w:rPr>
        <w:t>Président</w:t>
      </w:r>
      <w:r>
        <w:t xml:space="preserve"> a reco</w:t>
      </w:r>
      <w:r w:rsidR="0068180E">
        <w:t>mmandé de passer aux décisions.</w:t>
      </w:r>
    </w:p>
    <w:p w14:paraId="63999993" w14:textId="0616B24E" w:rsidR="00B413C4" w:rsidRDefault="00B413C4"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B413C4">
        <w:rPr>
          <w:b/>
        </w:rPr>
        <w:t>Turquie</w:t>
      </w:r>
      <w:r>
        <w:t xml:space="preserve"> a remercié l</w:t>
      </w:r>
      <w:r w:rsidR="00346F1B">
        <w:t>’</w:t>
      </w:r>
      <w:r>
        <w:t xml:space="preserve">Égypte pour les éclaircissements apportés. Elle pensait également que le tahteeb incarnait les valeurs essentielles de la société. Il était pratiqué lors de nombreux événements de la vie sociale et religieuse en lien direct avec la culture de la société égyptienne et les différents aspects de la vie. Son inscription permettrait donc de promouvoir ces valeurs </w:t>
      </w:r>
      <w:r w:rsidR="00C1447A">
        <w:t xml:space="preserve">sociétales </w:t>
      </w:r>
      <w:r>
        <w:t xml:space="preserve">communes </w:t>
      </w:r>
      <w:r w:rsidR="00C1447A">
        <w:t>et d</w:t>
      </w:r>
      <w:r w:rsidR="00346F1B">
        <w:t>’</w:t>
      </w:r>
      <w:r w:rsidR="00C1447A">
        <w:t>accroitre la visibilité du patrimoine culturel immatériel en général, et pas uniquement de l</w:t>
      </w:r>
      <w:r w:rsidR="00346F1B">
        <w:t>’</w:t>
      </w:r>
      <w:r w:rsidR="00C1447A">
        <w:t xml:space="preserve">élément lui-même. La délégation a également souligné que le tahteeb jouait un rôle fondamental pour favoriser le dialogue entre les populations urbaines et rurales. La délégation estimait donc que </w:t>
      </w:r>
      <w:r w:rsidR="0068180E">
        <w:t>le critère R.2 était satisfait.</w:t>
      </w:r>
    </w:p>
    <w:p w14:paraId="2476EAEC" w14:textId="3C96767D" w:rsidR="003666CD" w:rsidRDefault="003666CD"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3666CD">
        <w:rPr>
          <w:b/>
        </w:rPr>
        <w:t>Président</w:t>
      </w:r>
      <w:r>
        <w:t xml:space="preserve"> est passé au projet de décision paragraphe par paragraphe. En l</w:t>
      </w:r>
      <w:r w:rsidR="00346F1B">
        <w:t>’</w:t>
      </w:r>
      <w:r>
        <w:t>absence d</w:t>
      </w:r>
      <w:r w:rsidR="00346F1B">
        <w:t>’</w:t>
      </w:r>
      <w:r>
        <w:t xml:space="preserve">autres commentaires ou objections, le paragraphe 1 et </w:t>
      </w:r>
      <w:r w:rsidR="0068180E">
        <w:t>les paragraphes</w:t>
      </w:r>
      <w:r w:rsidR="00236513">
        <w:t xml:space="preserve"> sur les </w:t>
      </w:r>
      <w:r>
        <w:t>critères R.1 et R.4 du paragraphe 2 ont été adoptés. Le Président est passé aux amendements, et à celui sur le critère R.2 proposé par l</w:t>
      </w:r>
      <w:r w:rsidR="00346F1B">
        <w:t>’</w:t>
      </w:r>
      <w:r w:rsidR="0068180E">
        <w:t>Arménie.</w:t>
      </w:r>
    </w:p>
    <w:p w14:paraId="30A48C8C" w14:textId="202199F1" w:rsidR="00C1447A" w:rsidRDefault="00C1447A" w:rsidP="002B4948">
      <w:pPr>
        <w:pStyle w:val="Orateurengris"/>
        <w:tabs>
          <w:tab w:val="clear" w:pos="709"/>
          <w:tab w:val="clear" w:pos="1418"/>
          <w:tab w:val="clear" w:pos="2126"/>
          <w:tab w:val="clear" w:pos="2694"/>
          <w:tab w:val="clear" w:pos="2835"/>
          <w:tab w:val="clear" w:pos="3686"/>
        </w:tabs>
        <w:spacing w:before="120"/>
        <w:ind w:left="709" w:hanging="709"/>
      </w:pPr>
      <w:r>
        <w:t>La délégation de l</w:t>
      </w:r>
      <w:r w:rsidR="00346F1B">
        <w:t>’</w:t>
      </w:r>
      <w:r w:rsidRPr="00C1447A">
        <w:rPr>
          <w:b/>
        </w:rPr>
        <w:t>Éthiopie</w:t>
      </w:r>
      <w:r>
        <w:t xml:space="preserve"> pensait que le dossier de candidature établissait clairement la preuve du soutien des autorités égyptiennes et la participation activ</w:t>
      </w:r>
      <w:r w:rsidR="003666CD">
        <w:t>e des ONG à la procédure. Elle soutenait</w:t>
      </w:r>
      <w:r>
        <w:t xml:space="preserve"> donc les amendements proposés par l</w:t>
      </w:r>
      <w:r w:rsidR="00346F1B">
        <w:t>’</w:t>
      </w:r>
      <w:r>
        <w:t>Algérie et l</w:t>
      </w:r>
      <w:r w:rsidR="00346F1B">
        <w:t>’</w:t>
      </w:r>
      <w:r>
        <w:t>Arménie.</w:t>
      </w:r>
    </w:p>
    <w:p w14:paraId="46FA4113" w14:textId="6A6DE1E0" w:rsidR="00C1447A" w:rsidRDefault="00C1447A"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C1447A">
        <w:rPr>
          <w:b/>
        </w:rPr>
        <w:t>Palestine</w:t>
      </w:r>
      <w:r w:rsidR="00236513">
        <w:t xml:space="preserve"> a rappelé</w:t>
      </w:r>
      <w:r>
        <w:t xml:space="preserve"> l</w:t>
      </w:r>
      <w:r w:rsidR="00346F1B">
        <w:t>’</w:t>
      </w:r>
      <w:r>
        <w:t>importan</w:t>
      </w:r>
      <w:r w:rsidR="00236513">
        <w:t xml:space="preserve">ce de cet élément. Elle </w:t>
      </w:r>
      <w:r w:rsidR="003666CD">
        <w:t>s</w:t>
      </w:r>
      <w:r w:rsidR="00346F1B">
        <w:t>’</w:t>
      </w:r>
      <w:r w:rsidR="003666CD">
        <w:t xml:space="preserve">est </w:t>
      </w:r>
      <w:r w:rsidR="00236513">
        <w:t xml:space="preserve">par ailleurs </w:t>
      </w:r>
      <w:r w:rsidR="003666CD">
        <w:t>porté</w:t>
      </w:r>
      <w:r w:rsidR="00E96F2F">
        <w:t>e</w:t>
      </w:r>
      <w:r w:rsidR="003666CD">
        <w:t xml:space="preserve"> </w:t>
      </w:r>
      <w:r>
        <w:t>coauteur des deux amendements proposés par l</w:t>
      </w:r>
      <w:r w:rsidR="00346F1B">
        <w:t>’</w:t>
      </w:r>
      <w:r>
        <w:t>Algérie et l</w:t>
      </w:r>
      <w:r w:rsidR="00346F1B">
        <w:t>’</w:t>
      </w:r>
      <w:r>
        <w:t>Arménie.</w:t>
      </w:r>
    </w:p>
    <w:p w14:paraId="41AA2168" w14:textId="72275EBF" w:rsidR="003666CD" w:rsidRDefault="003666CD"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3666CD">
        <w:rPr>
          <w:b/>
        </w:rPr>
        <w:t>Turquie</w:t>
      </w:r>
      <w:r>
        <w:t xml:space="preserve"> soutenait l</w:t>
      </w:r>
      <w:r w:rsidR="00346F1B">
        <w:t>’</w:t>
      </w:r>
      <w:r>
        <w:t>amendement sur le critère R.2.</w:t>
      </w:r>
    </w:p>
    <w:p w14:paraId="2EE007CE" w14:textId="5833014F" w:rsidR="003666CD" w:rsidRDefault="003666CD"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du </w:t>
      </w:r>
      <w:r w:rsidRPr="003666CD">
        <w:rPr>
          <w:b/>
        </w:rPr>
        <w:t>Liban</w:t>
      </w:r>
      <w:r>
        <w:t xml:space="preserve"> soutenait les amendements proposés par l</w:t>
      </w:r>
      <w:r w:rsidR="00346F1B">
        <w:t>’</w:t>
      </w:r>
      <w:r w:rsidR="0068180E">
        <w:t>Arménie et la Palestine.</w:t>
      </w:r>
    </w:p>
    <w:p w14:paraId="2A647138" w14:textId="4327C2A2" w:rsidR="003666CD" w:rsidRDefault="003666CD" w:rsidP="002B4948">
      <w:pPr>
        <w:pStyle w:val="Orateurengris"/>
        <w:tabs>
          <w:tab w:val="clear" w:pos="709"/>
          <w:tab w:val="clear" w:pos="1418"/>
          <w:tab w:val="clear" w:pos="2126"/>
          <w:tab w:val="clear" w:pos="2694"/>
          <w:tab w:val="clear" w:pos="2835"/>
          <w:tab w:val="clear" w:pos="3686"/>
        </w:tabs>
        <w:spacing w:before="120"/>
        <w:ind w:left="709" w:hanging="709"/>
      </w:pPr>
      <w:r>
        <w:t xml:space="preserve">Les délégations de </w:t>
      </w:r>
      <w:r w:rsidRPr="003666CD">
        <w:rPr>
          <w:b/>
        </w:rPr>
        <w:t>Zambie</w:t>
      </w:r>
      <w:r>
        <w:t xml:space="preserve">, de </w:t>
      </w:r>
      <w:r w:rsidRPr="003666CD">
        <w:t>l</w:t>
      </w:r>
      <w:r w:rsidR="00346F1B">
        <w:t>’</w:t>
      </w:r>
      <w:r w:rsidRPr="003666CD">
        <w:rPr>
          <w:b/>
        </w:rPr>
        <w:t>Inde</w:t>
      </w:r>
      <w:r>
        <w:t xml:space="preserve"> et du </w:t>
      </w:r>
      <w:r w:rsidRPr="003666CD">
        <w:rPr>
          <w:b/>
        </w:rPr>
        <w:t>Guatemala</w:t>
      </w:r>
      <w:r>
        <w:t xml:space="preserve"> soutenaient l</w:t>
      </w:r>
      <w:r w:rsidR="00346F1B">
        <w:t>’</w:t>
      </w:r>
      <w:r w:rsidR="0068180E">
        <w:t>amendement au critère R.2.</w:t>
      </w:r>
    </w:p>
    <w:p w14:paraId="25F4A26E" w14:textId="30ADEF88" w:rsidR="003666CD" w:rsidRDefault="003666CD"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3666CD">
        <w:rPr>
          <w:b/>
        </w:rPr>
        <w:t>Hongrie</w:t>
      </w:r>
      <w:r>
        <w:t xml:space="preserve"> soutenait l</w:t>
      </w:r>
      <w:r w:rsidR="00346F1B">
        <w:t>’</w:t>
      </w:r>
      <w:r>
        <w:t>amendement ma</w:t>
      </w:r>
      <w:r w:rsidR="00593024">
        <w:t>is avec une légère modification au tex</w:t>
      </w:r>
      <w:r w:rsidR="009D0355">
        <w:t>te qui disait : « […] et transmettra</w:t>
      </w:r>
      <w:r w:rsidR="00593024">
        <w:t xml:space="preserve"> les valeurs de l</w:t>
      </w:r>
      <w:r w:rsidR="00346F1B">
        <w:t>’</w:t>
      </w:r>
      <w:r w:rsidR="00593024">
        <w:t xml:space="preserve">UNESCO et du </w:t>
      </w:r>
      <w:r w:rsidR="009D0355">
        <w:t>PCI […]</w:t>
      </w:r>
      <w:r w:rsidR="00593024">
        <w:t> », ajoutant que cette formulation était vague et qu</w:t>
      </w:r>
      <w:r w:rsidR="00346F1B">
        <w:t>’</w:t>
      </w:r>
      <w:r w:rsidR="00593024">
        <w:t>il éta</w:t>
      </w:r>
      <w:r w:rsidR="009D0355">
        <w:t>it préférable de déclarer « […] et transmettra les</w:t>
      </w:r>
      <w:r w:rsidR="00593024">
        <w:t xml:space="preserve"> valeurs </w:t>
      </w:r>
      <w:r w:rsidR="009D0355">
        <w:t>du patrimoine culturel immatériel auprès des</w:t>
      </w:r>
      <w:r w:rsidR="00593024">
        <w:t xml:space="preserve"> jeune</w:t>
      </w:r>
      <w:r w:rsidR="009D0355">
        <w:t>s</w:t>
      </w:r>
      <w:r w:rsidR="00593024">
        <w:t xml:space="preserve"> génération</w:t>
      </w:r>
      <w:r w:rsidR="009D0355">
        <w:t>s. »</w:t>
      </w:r>
      <w:r w:rsidR="00593024">
        <w:t>. La délégation a par ailleurs demandé à être ajoutée au nombre des coauteurs de l</w:t>
      </w:r>
      <w:r w:rsidR="00346F1B">
        <w:t>’</w:t>
      </w:r>
      <w:r w:rsidR="00593024">
        <w:t>amendement.</w:t>
      </w:r>
    </w:p>
    <w:p w14:paraId="400CB799" w14:textId="7713C7BB" w:rsidR="00593024" w:rsidRDefault="00593024" w:rsidP="002B4948">
      <w:pPr>
        <w:pStyle w:val="Orateurengris"/>
        <w:tabs>
          <w:tab w:val="clear" w:pos="709"/>
          <w:tab w:val="clear" w:pos="1418"/>
          <w:tab w:val="clear" w:pos="2126"/>
          <w:tab w:val="clear" w:pos="2694"/>
          <w:tab w:val="clear" w:pos="2835"/>
          <w:tab w:val="clear" w:pos="3686"/>
        </w:tabs>
        <w:spacing w:before="120"/>
        <w:ind w:left="709" w:hanging="709"/>
      </w:pPr>
      <w:r>
        <w:t xml:space="preserve">Les délégations de </w:t>
      </w:r>
      <w:r w:rsidRPr="00593024">
        <w:rPr>
          <w:b/>
        </w:rPr>
        <w:t>Cuba</w:t>
      </w:r>
      <w:r>
        <w:t xml:space="preserve">, de </w:t>
      </w:r>
      <w:r w:rsidRPr="00593024">
        <w:rPr>
          <w:b/>
        </w:rPr>
        <w:t>Sainte-Lucie</w:t>
      </w:r>
      <w:r>
        <w:t xml:space="preserve">, de la </w:t>
      </w:r>
      <w:r w:rsidRPr="00593024">
        <w:rPr>
          <w:b/>
        </w:rPr>
        <w:t>Mongolie</w:t>
      </w:r>
      <w:r>
        <w:t xml:space="preserve">, de la </w:t>
      </w:r>
      <w:r w:rsidRPr="00593024">
        <w:rPr>
          <w:b/>
        </w:rPr>
        <w:t>Bulgarie</w:t>
      </w:r>
      <w:r>
        <w:t xml:space="preserve">, de </w:t>
      </w:r>
      <w:r w:rsidRPr="00593024">
        <w:rPr>
          <w:b/>
        </w:rPr>
        <w:t xml:space="preserve">Maurice </w:t>
      </w:r>
      <w:r>
        <w:t>et de l</w:t>
      </w:r>
      <w:r w:rsidR="00346F1B">
        <w:t>’</w:t>
      </w:r>
      <w:r w:rsidRPr="00593024">
        <w:rPr>
          <w:b/>
        </w:rPr>
        <w:t>Afghanistan</w:t>
      </w:r>
      <w:r>
        <w:t xml:space="preserve"> soutenaient l</w:t>
      </w:r>
      <w:r w:rsidR="00346F1B">
        <w:t>’</w:t>
      </w:r>
      <w:r>
        <w:t>amendement au critère R.2.</w:t>
      </w:r>
    </w:p>
    <w:p w14:paraId="02933B7C" w14:textId="1FF68CFC" w:rsidR="009D0355" w:rsidRDefault="009D0355" w:rsidP="002B4948">
      <w:pPr>
        <w:pStyle w:val="Orateurengris"/>
        <w:tabs>
          <w:tab w:val="clear" w:pos="709"/>
          <w:tab w:val="clear" w:pos="1418"/>
          <w:tab w:val="clear" w:pos="2126"/>
          <w:tab w:val="clear" w:pos="2694"/>
          <w:tab w:val="clear" w:pos="2835"/>
          <w:tab w:val="clear" w:pos="3686"/>
        </w:tabs>
        <w:spacing w:before="120"/>
        <w:ind w:left="709" w:hanging="709"/>
      </w:pPr>
      <w:r>
        <w:t xml:space="preserve">Prenant note du consensus, le </w:t>
      </w:r>
      <w:r w:rsidRPr="009D0355">
        <w:rPr>
          <w:b/>
        </w:rPr>
        <w:t>Président</w:t>
      </w:r>
      <w:r>
        <w:t xml:space="preserve"> a procédé à l</w:t>
      </w:r>
      <w:r w:rsidR="00346F1B">
        <w:t>’</w:t>
      </w:r>
      <w:r>
        <w:t>adoption du critère R.2.</w:t>
      </w:r>
    </w:p>
    <w:p w14:paraId="7DB77858" w14:textId="4DB57FE2" w:rsidR="009D0355" w:rsidRPr="009D0355" w:rsidRDefault="009D0355"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9D0355">
        <w:rPr>
          <w:b/>
        </w:rPr>
        <w:t>Turquie</w:t>
      </w:r>
      <w:r>
        <w:t xml:space="preserve"> a signalé une correction à apporter à la liste des soutiens afin d</w:t>
      </w:r>
      <w:r w:rsidR="00346F1B">
        <w:t>’</w:t>
      </w:r>
      <w:r w:rsidR="0068180E">
        <w:t>inclure Maurice.</w:t>
      </w:r>
    </w:p>
    <w:p w14:paraId="1AA09D37" w14:textId="3ED13158" w:rsidR="009D0355" w:rsidRDefault="009D0355"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9D0355">
        <w:rPr>
          <w:b/>
        </w:rPr>
        <w:t>Président</w:t>
      </w:r>
      <w:r>
        <w:t xml:space="preserve"> est rev</w:t>
      </w:r>
      <w:r w:rsidR="003B0208">
        <w:t>enu à l</w:t>
      </w:r>
      <w:r w:rsidR="00346F1B">
        <w:t>’</w:t>
      </w:r>
      <w:r w:rsidR="003B0208">
        <w:t>adoption du critère R.2</w:t>
      </w:r>
      <w:r>
        <w:t xml:space="preserve"> et</w:t>
      </w:r>
      <w:r w:rsidR="003B0208">
        <w:t>,</w:t>
      </w:r>
      <w:r>
        <w:t xml:space="preserve"> en l</w:t>
      </w:r>
      <w:r w:rsidR="00346F1B">
        <w:t>’</w:t>
      </w:r>
      <w:r>
        <w:t>absence d</w:t>
      </w:r>
      <w:r w:rsidR="00346F1B">
        <w:t>’</w:t>
      </w:r>
      <w:r>
        <w:t>objections, il a été déclaré adopté tel qu</w:t>
      </w:r>
      <w:r w:rsidR="00346F1B">
        <w:t>’</w:t>
      </w:r>
      <w:r>
        <w:t xml:space="preserve">amendé par la Hongrie. Le critère R.3 a également été </w:t>
      </w:r>
      <w:r w:rsidR="008052AC">
        <w:t>dûment</w:t>
      </w:r>
      <w:r>
        <w:t xml:space="preserve"> adopté. Le Président en passé au critère R.5.</w:t>
      </w:r>
    </w:p>
    <w:p w14:paraId="2BFD85C5" w14:textId="284EC71E" w:rsidR="003B0208" w:rsidRPr="003B0208" w:rsidRDefault="003B0208"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3B0208">
        <w:rPr>
          <w:b/>
        </w:rPr>
        <w:t>Mongolie</w:t>
      </w:r>
      <w:r>
        <w:t xml:space="preserve"> a fait remarquer que le critère R.5 avait déjà été satisfait dans la décision 9.COM 10.15, et elle souhaitait que cette décision soit maintenue. La délégation a expliqué que puisque le critère R.5 avait été accepté en 2014 puis rejeté par l</w:t>
      </w:r>
      <w:r w:rsidR="00346F1B">
        <w:t>’</w:t>
      </w:r>
      <w:r>
        <w:t>Organe d</w:t>
      </w:r>
      <w:r w:rsidR="00346F1B">
        <w:t>’</w:t>
      </w:r>
      <w:r>
        <w:t>évaluation en 2016, elle souhaitait revenir à la précédente décision.</w:t>
      </w:r>
    </w:p>
    <w:p w14:paraId="30D3B367" w14:textId="040ACB39" w:rsidR="003B0208" w:rsidRDefault="003B0208"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3B0208">
        <w:rPr>
          <w:b/>
        </w:rPr>
        <w:t>Secrétaire</w:t>
      </w:r>
      <w:r>
        <w:t xml:space="preserve"> a précisé que le dossier de candidature n</w:t>
      </w:r>
      <w:r w:rsidR="00346F1B">
        <w:t>’</w:t>
      </w:r>
      <w:r>
        <w:t>avait jamais été soumis au Comité en 2014 car l</w:t>
      </w:r>
      <w:r w:rsidR="00346F1B">
        <w:t>’</w:t>
      </w:r>
      <w:r>
        <w:t>Égypte avait retiré son dossier suite à la recommandation de l</w:t>
      </w:r>
      <w:r w:rsidR="00346F1B">
        <w:t>’</w:t>
      </w:r>
      <w:r>
        <w:t>Organe d</w:t>
      </w:r>
      <w:r w:rsidR="00346F1B">
        <w:t>’</w:t>
      </w:r>
      <w:r>
        <w:t>évaluation.</w:t>
      </w:r>
    </w:p>
    <w:p w14:paraId="59EC448D" w14:textId="3117F8E0" w:rsidR="003B0208" w:rsidRPr="003B0208" w:rsidRDefault="003B0208"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236513">
        <w:rPr>
          <w:b/>
        </w:rPr>
        <w:t>Mongolie</w:t>
      </w:r>
      <w:r>
        <w:t xml:space="preserve"> s</w:t>
      </w:r>
      <w:r w:rsidR="00346F1B">
        <w:t>’</w:t>
      </w:r>
      <w:r>
        <w:t>est excusée po</w:t>
      </w:r>
      <w:r w:rsidR="0068180E">
        <w:t>ur cette compréhension erronée.</w:t>
      </w:r>
    </w:p>
    <w:p w14:paraId="63771E0C" w14:textId="21B58993" w:rsidR="003B0208" w:rsidRDefault="003B0208"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du </w:t>
      </w:r>
      <w:r w:rsidRPr="003B0208">
        <w:rPr>
          <w:b/>
        </w:rPr>
        <w:t>Sénégal</w:t>
      </w:r>
      <w:r>
        <w:t xml:space="preserve"> a remarqué que les éclaircissements étaient tout à fait opportuns, ajoutant que dans sa recommandation, l</w:t>
      </w:r>
      <w:r w:rsidR="00346F1B">
        <w:t>’</w:t>
      </w:r>
      <w:r>
        <w:t>Organe d</w:t>
      </w:r>
      <w:r w:rsidR="00346F1B">
        <w:t>’</w:t>
      </w:r>
      <w:r>
        <w:t xml:space="preserve">évaluation avait estimé </w:t>
      </w:r>
      <w:r w:rsidR="00EE21C5">
        <w:t xml:space="preserve">que </w:t>
      </w:r>
      <w:r>
        <w:t>certains aspects de ce critère étaient satisfaits. Avec les éclaircissements apportés par l</w:t>
      </w:r>
      <w:r w:rsidR="00346F1B">
        <w:t>’</w:t>
      </w:r>
      <w:r>
        <w:t>Égypte, selon lesquels l</w:t>
      </w:r>
      <w:r w:rsidR="00346F1B">
        <w:t>’</w:t>
      </w:r>
      <w:r>
        <w:t>inventaire avait été dressé avec les communautés et également mis à jour, la délégation soutenait l</w:t>
      </w:r>
      <w:r w:rsidR="00346F1B">
        <w:t>’</w:t>
      </w:r>
      <w:r>
        <w:t>amendement de l</w:t>
      </w:r>
      <w:r w:rsidR="00346F1B">
        <w:t>’</w:t>
      </w:r>
      <w:r w:rsidR="0068180E">
        <w:t>Algérie.</w:t>
      </w:r>
    </w:p>
    <w:p w14:paraId="3EA1BB4D" w14:textId="530A2CED" w:rsidR="00EE21C5" w:rsidRDefault="00EE21C5"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EE21C5">
        <w:rPr>
          <w:b/>
        </w:rPr>
        <w:t>Président</w:t>
      </w:r>
      <w:r>
        <w:t xml:space="preserve"> est passé à l</w:t>
      </w:r>
      <w:r w:rsidR="00346F1B">
        <w:t>’</w:t>
      </w:r>
      <w:r>
        <w:t>adoption du critère R.5. En l</w:t>
      </w:r>
      <w:r w:rsidR="00346F1B">
        <w:t>’</w:t>
      </w:r>
      <w:r>
        <w:t>absence d</w:t>
      </w:r>
      <w:r w:rsidR="00346F1B">
        <w:t>’</w:t>
      </w:r>
      <w:r>
        <w:t>objections, le critère R.5 a été adopté. Il est ensuite passé au paragraphe 4 du projet de décision [qui deviendrait le paragraphe 3 de la décision] tel que proposé par l</w:t>
      </w:r>
      <w:r w:rsidR="00346F1B">
        <w:t>’</w:t>
      </w:r>
      <w:r>
        <w:t>Algérie. En l</w:t>
      </w:r>
      <w:r w:rsidR="00346F1B">
        <w:t>’</w:t>
      </w:r>
      <w:r>
        <w:t>absence d</w:t>
      </w:r>
      <w:r w:rsidR="00346F1B">
        <w:t>’</w:t>
      </w:r>
      <w:r>
        <w:t xml:space="preserve">objections, il a été </w:t>
      </w:r>
      <w:r w:rsidR="008052AC">
        <w:t>dûment</w:t>
      </w:r>
      <w:r>
        <w:t xml:space="preserve"> adopté. Le Président est ensuite passé au paragraphe standard, comme convenu précédemment [qui a été adapté à cette candidature] et, en l</w:t>
      </w:r>
      <w:r w:rsidR="00346F1B">
        <w:t>’</w:t>
      </w:r>
      <w:r>
        <w:t>absence d</w:t>
      </w:r>
      <w:r w:rsidR="00346F1B">
        <w:t>’</w:t>
      </w:r>
      <w:r>
        <w:t xml:space="preserve">objections, il a été </w:t>
      </w:r>
      <w:r w:rsidR="008052AC">
        <w:t>dûment</w:t>
      </w:r>
      <w:r>
        <w:t xml:space="preserve"> ad</w:t>
      </w:r>
      <w:r w:rsidR="0068180E">
        <w:t>opté.</w:t>
      </w:r>
    </w:p>
    <w:p w14:paraId="7B03E69A" w14:textId="3570422F" w:rsidR="00EE21C5" w:rsidRPr="00EE21C5" w:rsidRDefault="00EE21C5"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EE21C5">
        <w:rPr>
          <w:b/>
        </w:rPr>
        <w:t>Hongrie</w:t>
      </w:r>
      <w:r>
        <w:t xml:space="preserve"> est revenue sur la discussion à propos du critère R.5 et du paragraphe standard adopté pour la candidature de la République dominicaine, en expliquant que le critère R.5 avait trois aspects : i) l</w:t>
      </w:r>
      <w:r w:rsidR="00346F1B">
        <w:t>’</w:t>
      </w:r>
      <w:r>
        <w:t>élément était inscrit à un inventaire national ; ii) l</w:t>
      </w:r>
      <w:r w:rsidR="00346F1B">
        <w:t>’</w:t>
      </w:r>
      <w:r>
        <w:t>inventaire avait été dressé avec la participation des communautés ; et iii) l</w:t>
      </w:r>
      <w:r w:rsidR="00346F1B">
        <w:t>’</w:t>
      </w:r>
      <w:r>
        <w:t>inventaire était régulièrement mis à jour. Su</w:t>
      </w:r>
      <w:r w:rsidR="00685B6E">
        <w:t xml:space="preserve">r la base des informations communiquées par </w:t>
      </w:r>
      <w:r>
        <w:t>l</w:t>
      </w:r>
      <w:r w:rsidR="00346F1B">
        <w:t>’</w:t>
      </w:r>
      <w:r>
        <w:t>Égypte, ces</w:t>
      </w:r>
      <w:r w:rsidR="00685B6E">
        <w:t xml:space="preserve"> exigences étaient respectées donc le critère R.5 était satisfait. La même phrase que celle précédemment incluse pour la République dominicaine devrait être ajoutée dan</w:t>
      </w:r>
      <w:r w:rsidR="0068180E">
        <w:t>s le texte sur le critère R.5.</w:t>
      </w:r>
    </w:p>
    <w:p w14:paraId="78E1D7EC" w14:textId="791F88AD" w:rsidR="00685B6E" w:rsidRPr="00685B6E" w:rsidRDefault="00685B6E" w:rsidP="002B4948">
      <w:pPr>
        <w:pStyle w:val="Orateurengris"/>
        <w:tabs>
          <w:tab w:val="clear" w:pos="709"/>
          <w:tab w:val="clear" w:pos="1418"/>
          <w:tab w:val="clear" w:pos="2126"/>
          <w:tab w:val="clear" w:pos="2694"/>
          <w:tab w:val="clear" w:pos="2835"/>
          <w:tab w:val="clear" w:pos="3686"/>
        </w:tabs>
        <w:spacing w:before="120"/>
        <w:ind w:left="709" w:hanging="709"/>
      </w:pPr>
      <w:r w:rsidRPr="00685B6E">
        <w:t xml:space="preserve">Après avoir remercié la </w:t>
      </w:r>
      <w:r>
        <w:t xml:space="preserve">Hongrie pour ce commentaire </w:t>
      </w:r>
      <w:r w:rsidR="006E0D2E">
        <w:t xml:space="preserve">constructif, le </w:t>
      </w:r>
      <w:r w:rsidR="006E0D2E" w:rsidRPr="006E0D2E">
        <w:rPr>
          <w:b/>
        </w:rPr>
        <w:t>Président</w:t>
      </w:r>
      <w:r w:rsidR="006E0D2E">
        <w:t xml:space="preserve"> a demandé au Comité s</w:t>
      </w:r>
      <w:r w:rsidR="00346F1B">
        <w:t>’</w:t>
      </w:r>
      <w:r w:rsidR="006E0D2E">
        <w:t>il souscrivait à l</w:t>
      </w:r>
      <w:r w:rsidR="00346F1B">
        <w:t>’</w:t>
      </w:r>
      <w:r w:rsidR="006E0D2E">
        <w:t>ajout de cette phrase, en rappelant que seul le consensus lui permettrait de revenir au critère R.5 et de l</w:t>
      </w:r>
      <w:r w:rsidR="00346F1B">
        <w:t>’</w:t>
      </w:r>
      <w:r w:rsidR="006E0D2E">
        <w:t>adopter à nouveau. En l</w:t>
      </w:r>
      <w:r w:rsidR="00346F1B">
        <w:t>’</w:t>
      </w:r>
      <w:r w:rsidR="006E0D2E">
        <w:t>absence d</w:t>
      </w:r>
      <w:r w:rsidR="00346F1B">
        <w:t>’</w:t>
      </w:r>
      <w:r w:rsidR="006E0D2E">
        <w:t>objections, le Président a demandé à la Ho</w:t>
      </w:r>
      <w:r w:rsidR="0068180E">
        <w:t>ngrie de soumettre le libellé.</w:t>
      </w:r>
    </w:p>
    <w:p w14:paraId="30874687" w14:textId="49CB549A" w:rsidR="006E0D2E" w:rsidRDefault="006E0D2E"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6E0D2E">
        <w:rPr>
          <w:b/>
        </w:rPr>
        <w:t>Hongrie</w:t>
      </w:r>
      <w:r>
        <w:t xml:space="preserve"> a confirmé que la phrase devrait être identique à celle incluse dans la décision concernant la République dominicaine, à savoir « L</w:t>
      </w:r>
      <w:r w:rsidR="00346F1B">
        <w:t>’</w:t>
      </w:r>
      <w:r>
        <w:t>inventaire est dressé avec la participation des communautés et est régulièrement mis à jour. ».</w:t>
      </w:r>
    </w:p>
    <w:p w14:paraId="114875D4" w14:textId="18796640" w:rsidR="00BD4F68" w:rsidRDefault="00BD4F68" w:rsidP="002B4948">
      <w:pPr>
        <w:pStyle w:val="Orateurengris"/>
        <w:tabs>
          <w:tab w:val="clear" w:pos="709"/>
          <w:tab w:val="clear" w:pos="1418"/>
          <w:tab w:val="clear" w:pos="2126"/>
          <w:tab w:val="clear" w:pos="2694"/>
          <w:tab w:val="clear" w:pos="2835"/>
          <w:tab w:val="clear" w:pos="3686"/>
        </w:tabs>
        <w:spacing w:before="120"/>
        <w:ind w:left="709" w:hanging="709"/>
      </w:pPr>
      <w:r>
        <w:t>La délégation de l</w:t>
      </w:r>
      <w:r w:rsidR="00346F1B">
        <w:t>’</w:t>
      </w:r>
      <w:r w:rsidRPr="00BD4F68">
        <w:rPr>
          <w:b/>
        </w:rPr>
        <w:t>Autriche</w:t>
      </w:r>
      <w:r>
        <w:t xml:space="preserve"> a dit soutenir la proposition de l</w:t>
      </w:r>
      <w:r w:rsidR="00346F1B">
        <w:t>’</w:t>
      </w:r>
      <w:r>
        <w:t>Autriche, ajoutant qu</w:t>
      </w:r>
      <w:r w:rsidR="00346F1B">
        <w:t>’</w:t>
      </w:r>
      <w:r>
        <w:t>il était très important de souligner l</w:t>
      </w:r>
      <w:r w:rsidR="00346F1B">
        <w:t>’</w:t>
      </w:r>
      <w:r>
        <w:t>importance des inventaires. Elle a demandé s</w:t>
      </w:r>
      <w:r w:rsidR="00346F1B">
        <w:t>’</w:t>
      </w:r>
      <w:r>
        <w:t>il serait possible de lire à voix haute les nouveaux amendements afin de bien se familiariser avec eux avant leur adoption</w:t>
      </w:r>
      <w:r w:rsidR="0068180E">
        <w:t>.</w:t>
      </w:r>
    </w:p>
    <w:p w14:paraId="383D8F82" w14:textId="28A7CB87" w:rsidR="00BD4F68" w:rsidRDefault="00BD4F68"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274D6D">
        <w:rPr>
          <w:b/>
        </w:rPr>
        <w:t>Président</w:t>
      </w:r>
      <w:r w:rsidR="00274D6D">
        <w:t xml:space="preserve"> a lu à voix haute </w:t>
      </w:r>
      <w:r>
        <w:t>le nouvel amendement sur le critère R.5 ainsi rédigé : « </w:t>
      </w:r>
      <w:r w:rsidR="00274D6D">
        <w:t>Le tahteeb a été inventorié en 2013 par l</w:t>
      </w:r>
      <w:r w:rsidR="00346F1B">
        <w:t>’</w:t>
      </w:r>
      <w:r w:rsidR="00274D6D">
        <w:t>Association de la Haute-Égypte pour l</w:t>
      </w:r>
      <w:r w:rsidR="00346F1B">
        <w:t>’</w:t>
      </w:r>
      <w:r w:rsidR="00274D6D">
        <w:t>éducation et le développement et la Commission nationale égyptienne pour l</w:t>
      </w:r>
      <w:r w:rsidR="00346F1B">
        <w:t>’</w:t>
      </w:r>
      <w:r w:rsidR="00274D6D">
        <w:t>UNESCO (actuellement chargée de la liste d</w:t>
      </w:r>
      <w:r w:rsidR="00346F1B">
        <w:t>’</w:t>
      </w:r>
      <w:r w:rsidR="00274D6D">
        <w:t>inventaire du patrimoine culturel immatériel en Égypte). L</w:t>
      </w:r>
      <w:r w:rsidR="00346F1B">
        <w:t>’</w:t>
      </w:r>
      <w:r w:rsidR="00274D6D">
        <w:t>inventaire est dressé avec la participation des communautés et est régulièrement mis à jour. ». En l</w:t>
      </w:r>
      <w:r w:rsidR="00346F1B">
        <w:t>’</w:t>
      </w:r>
      <w:r w:rsidR="00274D6D">
        <w:t>absence d</w:t>
      </w:r>
      <w:r w:rsidR="00346F1B">
        <w:t>’</w:t>
      </w:r>
      <w:r w:rsidR="00274D6D">
        <w:t>autres commentaires ou objections, le critère R.5 a été adopté. Le Président est revenu sur le paragraphe 4.</w:t>
      </w:r>
    </w:p>
    <w:p w14:paraId="5E08C9FA" w14:textId="31CB9588" w:rsidR="00274D6D" w:rsidRPr="00274D6D" w:rsidRDefault="00274D6D" w:rsidP="002B4948">
      <w:pPr>
        <w:pStyle w:val="Orateurengris"/>
        <w:tabs>
          <w:tab w:val="clear" w:pos="709"/>
          <w:tab w:val="clear" w:pos="1418"/>
          <w:tab w:val="clear" w:pos="2126"/>
          <w:tab w:val="clear" w:pos="2694"/>
          <w:tab w:val="clear" w:pos="2835"/>
          <w:tab w:val="clear" w:pos="3686"/>
        </w:tabs>
        <w:spacing w:before="120"/>
        <w:ind w:left="709" w:hanging="709"/>
      </w:pPr>
      <w:r>
        <w:t xml:space="preserve">La délégation de la </w:t>
      </w:r>
      <w:r w:rsidRPr="00274D6D">
        <w:rPr>
          <w:b/>
        </w:rPr>
        <w:t>Palestine</w:t>
      </w:r>
      <w:r>
        <w:t xml:space="preserve"> avait une modification mineure à soumettre au libellé générique « remercie l</w:t>
      </w:r>
      <w:r w:rsidR="00346F1B">
        <w:t>’</w:t>
      </w:r>
      <w:r>
        <w:t>État soumissionnaire ». Elle préférerait que le nom de l</w:t>
      </w:r>
      <w:r w:rsidR="00346F1B">
        <w:t>’</w:t>
      </w:r>
      <w:r>
        <w:t>État soit précisé dan</w:t>
      </w:r>
      <w:r w:rsidR="0068180E">
        <w:t>s chaque décision.</w:t>
      </w:r>
    </w:p>
    <w:p w14:paraId="5D379BDF" w14:textId="3FDBABF5" w:rsidR="00274D6D" w:rsidRDefault="00274D6D"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274D6D">
        <w:rPr>
          <w:b/>
        </w:rPr>
        <w:t>Président</w:t>
      </w:r>
      <w:r>
        <w:t xml:space="preserve"> est revenu au paragraphe 4 et, en l</w:t>
      </w:r>
      <w:r w:rsidR="00346F1B">
        <w:t>’</w:t>
      </w:r>
      <w:r>
        <w:t>absence d</w:t>
      </w:r>
      <w:r w:rsidR="00346F1B">
        <w:t>’</w:t>
      </w:r>
      <w:r>
        <w:t>objections, il a été déclaré adopté tel qu</w:t>
      </w:r>
      <w:r w:rsidR="00346F1B">
        <w:t>’</w:t>
      </w:r>
      <w:r>
        <w:t>amendé. Puis, le Président est p</w:t>
      </w:r>
      <w:r w:rsidR="00423F4D">
        <w:t xml:space="preserve">assé </w:t>
      </w:r>
      <w:r>
        <w:t>à la décision dans son ensemble et, en l</w:t>
      </w:r>
      <w:r w:rsidR="00346F1B">
        <w:t>’</w:t>
      </w:r>
      <w:r>
        <w:t>absence d</w:t>
      </w:r>
      <w:r w:rsidR="00346F1B">
        <w:t>’</w:t>
      </w:r>
      <w:r>
        <w:t xml:space="preserve">autres commentaires ou objections, le </w:t>
      </w:r>
      <w:r w:rsidRPr="00423F4D">
        <w:rPr>
          <w:b/>
        </w:rPr>
        <w:t>Président a déclaré adoptée la décision 11.COM 10.b.10 d</w:t>
      </w:r>
      <w:r w:rsidR="00346F1B">
        <w:rPr>
          <w:b/>
        </w:rPr>
        <w:t>’</w:t>
      </w:r>
      <w:r w:rsidRPr="00423F4D">
        <w:rPr>
          <w:b/>
        </w:rPr>
        <w:t xml:space="preserve">inscrire le tahteeb, </w:t>
      </w:r>
      <w:r w:rsidR="00423F4D" w:rsidRPr="00423F4D">
        <w:rPr>
          <w:b/>
        </w:rPr>
        <w:t>jeu du bâton sur la Liste représentative du patrimoine culturel immatériel de l</w:t>
      </w:r>
      <w:r w:rsidR="00346F1B">
        <w:rPr>
          <w:b/>
        </w:rPr>
        <w:t>’</w:t>
      </w:r>
      <w:r w:rsidR="00423F4D" w:rsidRPr="00423F4D">
        <w:rPr>
          <w:b/>
        </w:rPr>
        <w:t>humanité</w:t>
      </w:r>
      <w:r w:rsidR="00423F4D">
        <w:t>.</w:t>
      </w:r>
    </w:p>
    <w:p w14:paraId="46A96F2A" w14:textId="712083F8" w:rsidR="00423F4D" w:rsidRPr="003241BC" w:rsidRDefault="003241BC" w:rsidP="002B4948">
      <w:pPr>
        <w:pStyle w:val="Orateurengris"/>
        <w:tabs>
          <w:tab w:val="clear" w:pos="709"/>
          <w:tab w:val="clear" w:pos="1418"/>
          <w:tab w:val="clear" w:pos="2126"/>
          <w:tab w:val="clear" w:pos="2694"/>
          <w:tab w:val="clear" w:pos="2835"/>
          <w:tab w:val="clear" w:pos="3686"/>
        </w:tabs>
        <w:spacing w:before="120"/>
        <w:ind w:left="709" w:hanging="709"/>
      </w:pPr>
      <w:r w:rsidRPr="003241BC">
        <w:t>La délégation de l</w:t>
      </w:r>
      <w:r w:rsidR="00346F1B">
        <w:t>’</w:t>
      </w:r>
      <w:r w:rsidRPr="003241BC">
        <w:rPr>
          <w:b/>
        </w:rPr>
        <w:t>Égypte</w:t>
      </w:r>
      <w:r>
        <w:t xml:space="preserve"> a exprimé sa</w:t>
      </w:r>
      <w:r w:rsidR="002567C8">
        <w:t xml:space="preserve"> profonde gratitude à tous les </w:t>
      </w:r>
      <w:r w:rsidR="00A46CAD">
        <w:t>membres du Comité</w:t>
      </w:r>
      <w:r>
        <w:t>, au Secrétariat et à l</w:t>
      </w:r>
      <w:r w:rsidR="00346F1B">
        <w:t>’</w:t>
      </w:r>
      <w:r>
        <w:t>Organe d</w:t>
      </w:r>
      <w:r w:rsidR="00346F1B">
        <w:t>’</w:t>
      </w:r>
      <w:r>
        <w:t>évaluation pour leur travail et les efforts déployés afin d</w:t>
      </w:r>
      <w:r w:rsidR="00346F1B">
        <w:t>’</w:t>
      </w:r>
      <w:r>
        <w:t>inscrire le tahteeb, jeu du bâton sur la Liste représentative. C</w:t>
      </w:r>
      <w:r w:rsidR="00346F1B">
        <w:t>’</w:t>
      </w:r>
      <w:r>
        <w:t xml:space="preserve">était la première candidature égyptienne couronnée de succès et la délégation </w:t>
      </w:r>
      <w:r w:rsidR="00E37B2A">
        <w:t xml:space="preserve">estimait </w:t>
      </w:r>
      <w:r>
        <w:t>que l</w:t>
      </w:r>
      <w:r w:rsidR="00346F1B">
        <w:t>’</w:t>
      </w:r>
      <w:r>
        <w:t>inscription de cet élément, avec son esprit festif et sa dimension artistique, était très importante pour l</w:t>
      </w:r>
      <w:r w:rsidR="00346F1B">
        <w:t>’</w:t>
      </w:r>
      <w:r>
        <w:t>Égypte dans le contexte d</w:t>
      </w:r>
      <w:r w:rsidR="00346F1B">
        <w:t>’</w:t>
      </w:r>
      <w:r>
        <w:t>alors.</w:t>
      </w:r>
      <w:r w:rsidR="00E37B2A">
        <w:t xml:space="preserve"> </w:t>
      </w:r>
      <w:r>
        <w:t xml:space="preserve">Elle </w:t>
      </w:r>
      <w:r w:rsidR="00E37B2A">
        <w:t xml:space="preserve">pensait </w:t>
      </w:r>
      <w:r>
        <w:t>également que l</w:t>
      </w:r>
      <w:r w:rsidR="00346F1B">
        <w:t>’</w:t>
      </w:r>
      <w:r>
        <w:t>inscription sur la Liste représentative de l</w:t>
      </w:r>
      <w:r w:rsidR="00346F1B">
        <w:t>’</w:t>
      </w:r>
      <w:r>
        <w:t xml:space="preserve">UNESCO, la plus grande organisation en matière de culture, </w:t>
      </w:r>
      <w:r w:rsidR="00E37B2A">
        <w:t>encouragerait le gouvernement et les communautés locales à travailler et à collaborer plus avant pour inscrire et sauvegarder de nouveaux éléments du patrimoine immatériel. La délégation a félicité les détenteurs traditionnels ainsi que les joueurs et entraineurs de tahteeb pour l</w:t>
      </w:r>
      <w:r w:rsidR="00346F1B">
        <w:t>’</w:t>
      </w:r>
      <w:r w:rsidR="00E37B2A">
        <w:t>inscription de cet élément du patrimoine qu</w:t>
      </w:r>
      <w:r w:rsidR="00346F1B">
        <w:t>’</w:t>
      </w:r>
      <w:r w:rsidR="00E37B2A">
        <w:t>ils transmettaient depuis près de 5</w:t>
      </w:r>
      <w:r w:rsidR="00346F1B">
        <w:t> 000</w:t>
      </w:r>
      <w:r w:rsidR="0068180E">
        <w:t xml:space="preserve"> ans.</w:t>
      </w:r>
    </w:p>
    <w:p w14:paraId="1C0B2625" w14:textId="7B13DD16" w:rsidR="00E37B2A" w:rsidRDefault="00E37B2A"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E37B2A">
        <w:rPr>
          <w:b/>
        </w:rPr>
        <w:t>Président</w:t>
      </w:r>
      <w:r>
        <w:t xml:space="preserve"> a félicité l</w:t>
      </w:r>
      <w:r w:rsidR="00346F1B">
        <w:t>’</w:t>
      </w:r>
      <w:r>
        <w:t>Égypte et, après avoir signalé que la prochaine candidature, le Gada, système sociopolitique démocratique autochtone des Oromo, était soumise par l</w:t>
      </w:r>
      <w:r w:rsidR="00346F1B">
        <w:t>’</w:t>
      </w:r>
      <w:r>
        <w:t xml:space="preserve">Éthiopie, il a cédé sa place au </w:t>
      </w:r>
      <w:r w:rsidR="00754EC3">
        <w:t>Vice-Président</w:t>
      </w:r>
      <w:r>
        <w:t>, la Bulgarie. Conformément à l</w:t>
      </w:r>
      <w:r w:rsidR="00346F1B">
        <w:t>’</w:t>
      </w:r>
      <w:r>
        <w:t>article 15 du Règlement intérieur, le Président devait s</w:t>
      </w:r>
      <w:r w:rsidR="00346F1B">
        <w:t>’</w:t>
      </w:r>
      <w:r>
        <w:t>abstenir d</w:t>
      </w:r>
      <w:r w:rsidR="00346F1B">
        <w:t>’</w:t>
      </w:r>
      <w:r>
        <w:t xml:space="preserve">exercer ses fonctions </w:t>
      </w:r>
      <w:r w:rsidR="00E66FB5">
        <w:t>pour toute question relative à un élément du PCI présent sur le</w:t>
      </w:r>
      <w:r w:rsidR="00236513">
        <w:t xml:space="preserve"> territoire de l</w:t>
      </w:r>
      <w:r w:rsidR="00346F1B">
        <w:t>’</w:t>
      </w:r>
      <w:r w:rsidR="00236513">
        <w:t>État dont il étai</w:t>
      </w:r>
      <w:r w:rsidR="0068180E">
        <w:t>t ressortissant.</w:t>
      </w:r>
    </w:p>
    <w:p w14:paraId="55A1794E" w14:textId="1C954725" w:rsidR="000928A6" w:rsidRPr="003241BC" w:rsidRDefault="00E66FB5" w:rsidP="002B4948">
      <w:pPr>
        <w:pStyle w:val="Orateurengris"/>
        <w:numPr>
          <w:ilvl w:val="0"/>
          <w:numId w:val="0"/>
        </w:numPr>
        <w:tabs>
          <w:tab w:val="left" w:pos="6379"/>
        </w:tabs>
        <w:spacing w:before="240" w:after="240"/>
        <w:ind w:left="709" w:hanging="709"/>
        <w:jc w:val="center"/>
        <w:rPr>
          <w:i/>
        </w:rPr>
      </w:pPr>
      <w:r>
        <w:rPr>
          <w:i/>
        </w:rPr>
        <w:t xml:space="preserve">[Le </w:t>
      </w:r>
      <w:r w:rsidR="00754EC3">
        <w:rPr>
          <w:i/>
        </w:rPr>
        <w:t>Vice-Président</w:t>
      </w:r>
      <w:r>
        <w:rPr>
          <w:i/>
        </w:rPr>
        <w:t xml:space="preserve"> du Comité, </w:t>
      </w:r>
      <w:r w:rsidR="001212D3">
        <w:rPr>
          <w:i/>
        </w:rPr>
        <w:t xml:space="preserve">membre de la </w:t>
      </w:r>
      <w:r w:rsidR="001212D3" w:rsidRPr="001212D3">
        <w:rPr>
          <w:i/>
        </w:rPr>
        <w:t>délégation</w:t>
      </w:r>
      <w:r w:rsidR="006F09EA">
        <w:rPr>
          <w:i/>
        </w:rPr>
        <w:t xml:space="preserve"> de </w:t>
      </w:r>
      <w:r>
        <w:rPr>
          <w:i/>
        </w:rPr>
        <w:t>la Bulgarie, a présidé cette séance</w:t>
      </w:r>
      <w:r w:rsidR="000928A6" w:rsidRPr="003241BC">
        <w:rPr>
          <w:i/>
        </w:rPr>
        <w:t>]</w:t>
      </w:r>
    </w:p>
    <w:p w14:paraId="131E4463" w14:textId="086BAF1F" w:rsidR="00E66FB5" w:rsidRDefault="00E66FB5" w:rsidP="00DE5C80">
      <w:pPr>
        <w:pStyle w:val="Orateurengris"/>
        <w:spacing w:before="120"/>
        <w:ind w:left="709" w:hanging="709"/>
      </w:pPr>
      <w:r>
        <w:t xml:space="preserve">Le </w:t>
      </w:r>
      <w:r w:rsidR="00754EC3">
        <w:rPr>
          <w:b/>
        </w:rPr>
        <w:t>Vice-Président</w:t>
      </w:r>
      <w:r>
        <w:t xml:space="preserve"> est passé à la candidature suivante, soumise par l</w:t>
      </w:r>
      <w:r w:rsidR="00346F1B">
        <w:t>’</w:t>
      </w:r>
      <w:r w:rsidR="0068180E">
        <w:t>Éthiopie.</w:t>
      </w:r>
    </w:p>
    <w:p w14:paraId="1E25C581" w14:textId="052E5A5C" w:rsidR="00FB13CD" w:rsidRPr="001156E7" w:rsidRDefault="00E66FB5" w:rsidP="00DE5C80">
      <w:pPr>
        <w:pStyle w:val="Orateurengris"/>
        <w:tabs>
          <w:tab w:val="left" w:pos="8789"/>
        </w:tabs>
        <w:spacing w:before="120"/>
        <w:ind w:left="709" w:hanging="709"/>
      </w:pPr>
      <w:r w:rsidRPr="001156E7">
        <w:t xml:space="preserve">Le </w:t>
      </w:r>
      <w:r w:rsidR="00754EC3">
        <w:rPr>
          <w:b/>
        </w:rPr>
        <w:t>Vice-Président</w:t>
      </w:r>
      <w:r w:rsidRPr="001156E7">
        <w:rPr>
          <w:b/>
        </w:rPr>
        <w:t xml:space="preserve"> de l</w:t>
      </w:r>
      <w:r w:rsidR="00346F1B">
        <w:rPr>
          <w:b/>
        </w:rPr>
        <w:t>’</w:t>
      </w:r>
      <w:r w:rsidRPr="001156E7">
        <w:rPr>
          <w:b/>
        </w:rPr>
        <w:t>Organe d</w:t>
      </w:r>
      <w:r w:rsidR="00346F1B">
        <w:rPr>
          <w:b/>
        </w:rPr>
        <w:t>’</w:t>
      </w:r>
      <w:r w:rsidRPr="001156E7">
        <w:rPr>
          <w:b/>
        </w:rPr>
        <w:t>évaluation</w:t>
      </w:r>
      <w:r w:rsidRPr="001156E7">
        <w:t xml:space="preserve"> est ensuite passé à la candidature suivante, </w:t>
      </w:r>
      <w:bookmarkStart w:id="29" w:name="Decision10b11"/>
      <w:r w:rsidRPr="001156E7">
        <w:rPr>
          <w:b/>
        </w:rPr>
        <w:t>le Gada, système sociopolitique démocratique autochtone des Oromo</w:t>
      </w:r>
      <w:r w:rsidRPr="001156E7">
        <w:t xml:space="preserve"> </w:t>
      </w:r>
      <w:bookmarkEnd w:id="29"/>
      <w:r w:rsidRPr="001156E7">
        <w:t>[projet de décision 11.COM 10.b.11], soumise par l</w:t>
      </w:r>
      <w:r w:rsidR="00346F1B">
        <w:t>’</w:t>
      </w:r>
      <w:r w:rsidRPr="001156E7">
        <w:t>Éthiopie. Le Gada était un système traditionnel de gouvernance</w:t>
      </w:r>
      <w:r w:rsidR="001156E7">
        <w:t>,</w:t>
      </w:r>
      <w:r w:rsidRPr="001156E7">
        <w:t xml:space="preserve"> utilisé par les </w:t>
      </w:r>
      <w:r w:rsidR="00FB13CD" w:rsidRPr="001156E7">
        <w:t>populations o</w:t>
      </w:r>
      <w:r w:rsidRPr="001156E7">
        <w:t>romo d</w:t>
      </w:r>
      <w:r w:rsidR="00346F1B">
        <w:t>’</w:t>
      </w:r>
      <w:r w:rsidRPr="001156E7">
        <w:t>Éthiopie</w:t>
      </w:r>
      <w:r w:rsidR="001156E7">
        <w:t>,</w:t>
      </w:r>
      <w:r w:rsidR="00FB13CD" w:rsidRPr="001156E7">
        <w:t xml:space="preserve"> qui s</w:t>
      </w:r>
      <w:r w:rsidR="00346F1B">
        <w:t>’</w:t>
      </w:r>
      <w:r w:rsidR="00FB13CD" w:rsidRPr="001156E7">
        <w:t>était développé grâce aux connaissances acqu</w:t>
      </w:r>
      <w:r w:rsidR="001156E7">
        <w:t xml:space="preserve">ises sur plusieurs générations. </w:t>
      </w:r>
      <w:r w:rsidR="00FB13CD" w:rsidRPr="001156E7">
        <w:t>Il réglementait l</w:t>
      </w:r>
      <w:r w:rsidR="00346F1B">
        <w:t>’</w:t>
      </w:r>
      <w:r w:rsidR="00FB13CD" w:rsidRPr="001156E7">
        <w:t>activité politique, économique, sociale et religieuse tout en permettant d</w:t>
      </w:r>
      <w:r w:rsidR="00346F1B">
        <w:t>’</w:t>
      </w:r>
      <w:r w:rsidR="00FB13CD" w:rsidRPr="001156E7">
        <w:t xml:space="preserve">assurer une conduite morale, de renforcer la cohésion </w:t>
      </w:r>
      <w:r w:rsidR="00C36325" w:rsidRPr="001156E7">
        <w:t>et d</w:t>
      </w:r>
      <w:r w:rsidR="00346F1B">
        <w:t>’</w:t>
      </w:r>
      <w:r w:rsidR="00C36325" w:rsidRPr="001156E7">
        <w:t>exprimer la</w:t>
      </w:r>
      <w:r w:rsidR="00FB13CD" w:rsidRPr="001156E7">
        <w:t xml:space="preserve"> culture</w:t>
      </w:r>
      <w:r w:rsidR="00C36325" w:rsidRPr="001156E7">
        <w:t xml:space="preserve"> de la communauté. Le Gada, qui était enseigné par des spécialistes de l</w:t>
      </w:r>
      <w:r w:rsidR="00346F1B">
        <w:t>’</w:t>
      </w:r>
      <w:r w:rsidR="00C36325" w:rsidRPr="001156E7">
        <w:t>histoire orale, reposait sur cinq classes, chacune évoluant sur plusieurs échelons avant d</w:t>
      </w:r>
      <w:r w:rsidR="00346F1B">
        <w:t>’</w:t>
      </w:r>
      <w:r w:rsidR="00C36325" w:rsidRPr="001156E7">
        <w:t xml:space="preserve">accéder au pouvoir. Les hommes, dont les pères avaient été </w:t>
      </w:r>
      <w:r w:rsidR="00A46CAD">
        <w:t>membres</w:t>
      </w:r>
      <w:r w:rsidR="00C36325" w:rsidRPr="001156E7">
        <w:t>, y participaient. Le système se transmettait au sein des familles et à l</w:t>
      </w:r>
      <w:r w:rsidR="00346F1B">
        <w:t>’</w:t>
      </w:r>
      <w:r w:rsidR="00C36325" w:rsidRPr="001156E7">
        <w:t>école. L</w:t>
      </w:r>
      <w:r w:rsidR="00346F1B">
        <w:t>’</w:t>
      </w:r>
      <w:r w:rsidR="00C36325" w:rsidRPr="001156E7">
        <w:t>Organe d</w:t>
      </w:r>
      <w:r w:rsidR="00346F1B">
        <w:t>’</w:t>
      </w:r>
      <w:r w:rsidR="00C36325" w:rsidRPr="001156E7">
        <w:t>évaluation avait décidé que, d</w:t>
      </w:r>
      <w:r w:rsidR="00346F1B">
        <w:t>’</w:t>
      </w:r>
      <w:r w:rsidR="00C36325" w:rsidRPr="001156E7">
        <w:t>après les informations présentées dans le dossier,</w:t>
      </w:r>
      <w:r w:rsidR="00236513">
        <w:t xml:space="preserve"> la candidature satisfaisait les</w:t>
      </w:r>
      <w:r w:rsidR="00C36325" w:rsidRPr="001156E7">
        <w:t xml:space="preserve"> critères R.1, R.2, R.4 et R.5. L</w:t>
      </w:r>
      <w:r w:rsidR="00346F1B">
        <w:t>’</w:t>
      </w:r>
      <w:r w:rsidR="00C36325" w:rsidRPr="001156E7">
        <w:t>Organe d</w:t>
      </w:r>
      <w:r w:rsidR="00346F1B">
        <w:t>’</w:t>
      </w:r>
      <w:r w:rsidR="00C36325" w:rsidRPr="001156E7">
        <w:t>évaluation avait toutefois décidé que les informations contenues dans le dossier n</w:t>
      </w:r>
      <w:r w:rsidR="00346F1B">
        <w:t>’</w:t>
      </w:r>
      <w:r w:rsidR="00C36325" w:rsidRPr="001156E7">
        <w:t>étaient pas suffisantes pour permettre de déterminer si le critère R.3 était satisfait. Le dossier présentait les mesures de sauvegarde à venir (telles que la réalis</w:t>
      </w:r>
      <w:r w:rsidR="009F32D2" w:rsidRPr="001156E7">
        <w:t>ation d</w:t>
      </w:r>
      <w:r w:rsidR="00346F1B">
        <w:t>’</w:t>
      </w:r>
      <w:r w:rsidR="009F32D2" w:rsidRPr="001156E7">
        <w:t>un film, la publication</w:t>
      </w:r>
      <w:r w:rsidR="00C36325" w:rsidRPr="001156E7">
        <w:t xml:space="preserve"> d</w:t>
      </w:r>
      <w:r w:rsidR="00346F1B">
        <w:t>’</w:t>
      </w:r>
      <w:r w:rsidR="00C36325" w:rsidRPr="001156E7">
        <w:t>ouvrages, des sessions de formation</w:t>
      </w:r>
      <w:r w:rsidR="009F32D2" w:rsidRPr="001156E7">
        <w:t xml:space="preserve"> et des travaux de recherche) mais des informations complémentaires auraient été nécessaires sur le rôle des communautés dans leur mise en œuvre. Le dossier soulignait </w:t>
      </w:r>
      <w:r w:rsidR="00236513">
        <w:t xml:space="preserve">certes </w:t>
      </w:r>
      <w:r w:rsidR="009F32D2" w:rsidRPr="001156E7">
        <w:t>que la plus grande attention serait accordée à la protection de l</w:t>
      </w:r>
      <w:r w:rsidR="00346F1B">
        <w:t>’</w:t>
      </w:r>
      <w:r w:rsidR="009F32D2" w:rsidRPr="001156E7">
        <w:t xml:space="preserve">élément contre les menaces liées au tourisme, </w:t>
      </w:r>
      <w:r w:rsidR="00236513">
        <w:t xml:space="preserve">mais </w:t>
      </w:r>
      <w:r w:rsidR="009F32D2" w:rsidRPr="001156E7">
        <w:t>des détails sur les mesures à prendre à cet égard auraient été bienvenues. En outre, le dossier précisait que « Ceux qui s</w:t>
      </w:r>
      <w:r w:rsidR="00346F1B">
        <w:t>’</w:t>
      </w:r>
      <w:r w:rsidR="009F32D2" w:rsidRPr="001156E7">
        <w:t>abstiendront de mettre en œuvre les mesures de sauvegarde seront juridiquement comptables en vertu des lois nationales ». Cette mesure était contraire à l</w:t>
      </w:r>
      <w:r w:rsidR="00346F1B">
        <w:t>’</w:t>
      </w:r>
      <w:r w:rsidR="009F32D2" w:rsidRPr="001156E7">
        <w:t>avis du Comité</w:t>
      </w:r>
      <w:r w:rsidR="001156E7">
        <w:t xml:space="preserve"> selon lequel les mesures de sauvegarde </w:t>
      </w:r>
      <w:r w:rsidR="009F32D2" w:rsidRPr="001156E7">
        <w:t>ne dev</w:t>
      </w:r>
      <w:r w:rsidR="001156E7" w:rsidRPr="001156E7">
        <w:t>r</w:t>
      </w:r>
      <w:r w:rsidR="009F32D2" w:rsidRPr="001156E7">
        <w:t>ai</w:t>
      </w:r>
      <w:r w:rsidR="001156E7">
        <w:t>en</w:t>
      </w:r>
      <w:r w:rsidR="009F32D2" w:rsidRPr="001156E7">
        <w:t>t pas fair</w:t>
      </w:r>
      <w:r w:rsidR="001156E7" w:rsidRPr="001156E7">
        <w:t>e l</w:t>
      </w:r>
      <w:r w:rsidR="00346F1B">
        <w:t>’</w:t>
      </w:r>
      <w:r w:rsidR="001156E7" w:rsidRPr="001156E7">
        <w:t>objet de contrainte (</w:t>
      </w:r>
      <w:hyperlink r:id="rId42" w:history="1">
        <w:r w:rsidR="001156E7" w:rsidRPr="001156E7">
          <w:rPr>
            <w:rStyle w:val="Hyperlink"/>
            <w:rFonts w:cstheme="majorHAnsi"/>
          </w:rPr>
          <w:t>décision 8.COM 7.a.6</w:t>
        </w:r>
      </w:hyperlink>
      <w:r w:rsidR="001156E7" w:rsidRPr="001156E7">
        <w:t>) et qu</w:t>
      </w:r>
      <w:r w:rsidR="00346F1B">
        <w:t>’</w:t>
      </w:r>
      <w:r w:rsidR="001156E7" w:rsidRPr="001156E7">
        <w:t>il était impératif d</w:t>
      </w:r>
      <w:r w:rsidR="00346F1B">
        <w:t>’</w:t>
      </w:r>
      <w:r w:rsidR="001156E7" w:rsidRPr="001156E7">
        <w:t>éviter d</w:t>
      </w:r>
      <w:r w:rsidR="00346F1B">
        <w:t>’</w:t>
      </w:r>
      <w:r w:rsidR="001156E7" w:rsidRPr="001156E7">
        <w:t xml:space="preserve">avoir recours à des mesures coercitives pour sauvegarder le PCI. </w:t>
      </w:r>
      <w:r w:rsidR="001156E7">
        <w:t>L</w:t>
      </w:r>
      <w:r w:rsidR="00346F1B">
        <w:t>’</w:t>
      </w:r>
      <w:r w:rsidR="001156E7">
        <w:t>Organe d</w:t>
      </w:r>
      <w:r w:rsidR="00346F1B">
        <w:t>’</w:t>
      </w:r>
      <w:r w:rsidR="001156E7">
        <w:t xml:space="preserve">évaluation avait décidé de recommander le renvoi du </w:t>
      </w:r>
      <w:r w:rsidR="001156E7" w:rsidRPr="001156E7">
        <w:t>Gada, système sociopolitique démocratique autochtone des Oromo</w:t>
      </w:r>
      <w:r w:rsidR="001156E7">
        <w:t xml:space="preserve"> à l</w:t>
      </w:r>
      <w:r w:rsidR="00346F1B">
        <w:t>’</w:t>
      </w:r>
      <w:r w:rsidR="001156E7">
        <w:t>État soumissionnair</w:t>
      </w:r>
      <w:r w:rsidR="007B503E">
        <w:t>e pour complément d</w:t>
      </w:r>
      <w:r w:rsidR="00346F1B">
        <w:t>’</w:t>
      </w:r>
      <w:r w:rsidR="007B503E">
        <w:t>information</w:t>
      </w:r>
      <w:r w:rsidR="0068180E">
        <w:t>.</w:t>
      </w:r>
    </w:p>
    <w:p w14:paraId="1CE1593A" w14:textId="011295D6" w:rsidR="00C57809" w:rsidRDefault="00BC0557" w:rsidP="00DE5C80">
      <w:pPr>
        <w:pStyle w:val="Orateurengris"/>
        <w:spacing w:before="120"/>
        <w:ind w:left="709" w:hanging="709"/>
      </w:pPr>
      <w:r>
        <w:t xml:space="preserve">Le </w:t>
      </w:r>
      <w:r w:rsidR="00754EC3">
        <w:rPr>
          <w:b/>
        </w:rPr>
        <w:t>Vice-Président</w:t>
      </w:r>
      <w:r>
        <w:t xml:space="preserve"> a pris note d</w:t>
      </w:r>
      <w:r w:rsidR="00346F1B">
        <w:t>’</w:t>
      </w:r>
      <w:r>
        <w:t>un amendement de l</w:t>
      </w:r>
      <w:r w:rsidR="00346F1B">
        <w:t>’</w:t>
      </w:r>
      <w:r w:rsidR="0068180E">
        <w:t>Inde.</w:t>
      </w:r>
    </w:p>
    <w:p w14:paraId="15A27C16" w14:textId="3A03BACA" w:rsidR="003D16FC" w:rsidRPr="003D16FC" w:rsidRDefault="00BC0557" w:rsidP="00DE5C80">
      <w:pPr>
        <w:pStyle w:val="Orateurengris"/>
        <w:spacing w:before="120"/>
        <w:ind w:left="709" w:hanging="709"/>
      </w:pPr>
      <w:r w:rsidRPr="003D16FC">
        <w:rPr>
          <w:rFonts w:cs="Times New Roman"/>
          <w:szCs w:val="24"/>
        </w:rPr>
        <w:t>La délégation de l</w:t>
      </w:r>
      <w:r w:rsidR="00346F1B">
        <w:rPr>
          <w:rFonts w:cs="Times New Roman"/>
          <w:szCs w:val="24"/>
        </w:rPr>
        <w:t>’</w:t>
      </w:r>
      <w:r w:rsidRPr="003D16FC">
        <w:rPr>
          <w:rFonts w:cs="Times New Roman"/>
          <w:b/>
          <w:szCs w:val="24"/>
        </w:rPr>
        <w:t>Inde</w:t>
      </w:r>
      <w:r w:rsidRPr="003D16FC">
        <w:rPr>
          <w:rFonts w:cs="Times New Roman"/>
          <w:szCs w:val="24"/>
        </w:rPr>
        <w:t xml:space="preserve"> a exprimé sa sincère </w:t>
      </w:r>
      <w:r w:rsidR="00D52FDB">
        <w:rPr>
          <w:rFonts w:cs="Times New Roman"/>
          <w:szCs w:val="24"/>
        </w:rPr>
        <w:t>reconnaissance au peuple et au G</w:t>
      </w:r>
      <w:r w:rsidRPr="003D16FC">
        <w:rPr>
          <w:rFonts w:cs="Times New Roman"/>
          <w:szCs w:val="24"/>
        </w:rPr>
        <w:t>ouvernement de l</w:t>
      </w:r>
      <w:r w:rsidR="00346F1B">
        <w:rPr>
          <w:rFonts w:cs="Times New Roman"/>
          <w:szCs w:val="24"/>
        </w:rPr>
        <w:t>’</w:t>
      </w:r>
      <w:r w:rsidRPr="003D16FC">
        <w:t>Éthiopie</w:t>
      </w:r>
      <w:r w:rsidRPr="003D16FC">
        <w:rPr>
          <w:rFonts w:cs="Times New Roman"/>
          <w:szCs w:val="24"/>
        </w:rPr>
        <w:t xml:space="preserve"> pour leur chaleureux accueil et leur généreuse hospitalité. Elle a rappelé que l</w:t>
      </w:r>
      <w:r w:rsidR="00346F1B">
        <w:rPr>
          <w:rFonts w:cs="Times New Roman"/>
          <w:szCs w:val="24"/>
        </w:rPr>
        <w:t>’</w:t>
      </w:r>
      <w:r w:rsidRPr="003D16FC">
        <w:t>Éthiopie</w:t>
      </w:r>
      <w:r w:rsidRPr="003D16FC">
        <w:rPr>
          <w:rFonts w:cs="Times New Roman"/>
          <w:szCs w:val="24"/>
        </w:rPr>
        <w:t xml:space="preserve"> avait déjà soumis l</w:t>
      </w:r>
      <w:r w:rsidR="00346F1B">
        <w:rPr>
          <w:rFonts w:cs="Times New Roman"/>
          <w:szCs w:val="24"/>
        </w:rPr>
        <w:t>’</w:t>
      </w:r>
      <w:r w:rsidRPr="003D16FC">
        <w:rPr>
          <w:rFonts w:cs="Times New Roman"/>
          <w:szCs w:val="24"/>
        </w:rPr>
        <w:t>élément pour inscription en février 2015 et que le dossier de candidature faisait de nombreuses références à l</w:t>
      </w:r>
      <w:r w:rsidR="00346F1B">
        <w:rPr>
          <w:rFonts w:cs="Times New Roman"/>
          <w:szCs w:val="24"/>
        </w:rPr>
        <w:t>’</w:t>
      </w:r>
      <w:r w:rsidRPr="003D16FC">
        <w:rPr>
          <w:rFonts w:cs="Times New Roman"/>
          <w:szCs w:val="24"/>
        </w:rPr>
        <w:t>imp</w:t>
      </w:r>
      <w:r w:rsidR="00C57809" w:rsidRPr="003D16FC">
        <w:rPr>
          <w:rFonts w:cs="Times New Roman"/>
          <w:szCs w:val="24"/>
        </w:rPr>
        <w:t>ortance des espac</w:t>
      </w:r>
      <w:r w:rsidR="007420F3" w:rsidRPr="003D16FC">
        <w:rPr>
          <w:rFonts w:cs="Times New Roman"/>
          <w:szCs w:val="24"/>
        </w:rPr>
        <w:t xml:space="preserve">es culturels pour le système </w:t>
      </w:r>
      <w:r w:rsidR="00C57809" w:rsidRPr="003D16FC">
        <w:rPr>
          <w:rFonts w:cs="Times New Roman"/>
          <w:szCs w:val="24"/>
        </w:rPr>
        <w:t xml:space="preserve">Gada. Le dossier de candidature précisait </w:t>
      </w:r>
      <w:r w:rsidR="00A806BC" w:rsidRPr="003D16FC">
        <w:rPr>
          <w:rFonts w:cs="Times New Roman"/>
          <w:szCs w:val="24"/>
        </w:rPr>
        <w:t xml:space="preserve">également </w:t>
      </w:r>
      <w:r w:rsidR="00C57809" w:rsidRPr="003D16FC">
        <w:rPr>
          <w:rFonts w:cs="Times New Roman"/>
          <w:szCs w:val="24"/>
        </w:rPr>
        <w:t>que le plus grand so</w:t>
      </w:r>
      <w:r w:rsidR="00A806BC" w:rsidRPr="003D16FC">
        <w:rPr>
          <w:rFonts w:cs="Times New Roman"/>
          <w:szCs w:val="24"/>
        </w:rPr>
        <w:t>in serait accordé à la préservation de</w:t>
      </w:r>
      <w:r w:rsidR="00C57809" w:rsidRPr="003D16FC">
        <w:rPr>
          <w:rFonts w:cs="Times New Roman"/>
          <w:szCs w:val="24"/>
        </w:rPr>
        <w:t xml:space="preserve">s espaces culturels et </w:t>
      </w:r>
      <w:r w:rsidR="00DC5A65" w:rsidRPr="003D16FC">
        <w:rPr>
          <w:rFonts w:cs="Times New Roman"/>
          <w:szCs w:val="24"/>
        </w:rPr>
        <w:t xml:space="preserve">de </w:t>
      </w:r>
      <w:r w:rsidR="00C57809" w:rsidRPr="003D16FC">
        <w:rPr>
          <w:rFonts w:cs="Times New Roman"/>
          <w:szCs w:val="24"/>
        </w:rPr>
        <w:t>l</w:t>
      </w:r>
      <w:r w:rsidR="00346F1B">
        <w:rPr>
          <w:rFonts w:cs="Times New Roman"/>
          <w:szCs w:val="24"/>
        </w:rPr>
        <w:t>’</w:t>
      </w:r>
      <w:r w:rsidR="00C57809" w:rsidRPr="003D16FC">
        <w:rPr>
          <w:rFonts w:cs="Times New Roman"/>
          <w:szCs w:val="24"/>
        </w:rPr>
        <w:t xml:space="preserve">assemblée traditionnelle du Gada. Le dossier soulignait </w:t>
      </w:r>
      <w:r w:rsidR="00DC5A65" w:rsidRPr="003D16FC">
        <w:rPr>
          <w:rFonts w:cs="Times New Roman"/>
          <w:szCs w:val="24"/>
        </w:rPr>
        <w:t xml:space="preserve">en outre </w:t>
      </w:r>
      <w:r w:rsidR="00C57809" w:rsidRPr="003D16FC">
        <w:rPr>
          <w:rFonts w:cs="Times New Roman"/>
          <w:szCs w:val="24"/>
        </w:rPr>
        <w:t xml:space="preserve">la nécessité de sauvegarder le symbolisme culturel et le caractère sacré des pratiques rituelles et des lieux culturels du patrimoine </w:t>
      </w:r>
      <w:r w:rsidR="00C57809" w:rsidRPr="003D16FC">
        <w:t xml:space="preserve">immatériel du Gada. </w:t>
      </w:r>
      <w:r w:rsidR="00DC5A65" w:rsidRPr="003D16FC">
        <w:t xml:space="preserve">De plus, </w:t>
      </w:r>
      <w:r w:rsidR="00C57809" w:rsidRPr="003D16FC">
        <w:t>le dossier de candidature proposait une mesure de sauvegarde par laquelle on sensibiliserait le public à une plus grande vigilance à l</w:t>
      </w:r>
      <w:r w:rsidR="00346F1B">
        <w:t>’</w:t>
      </w:r>
      <w:r w:rsidR="00C57809" w:rsidRPr="003D16FC">
        <w:t>égard de la protection des espaces et des objets culturels</w:t>
      </w:r>
      <w:r w:rsidR="007420F3" w:rsidRPr="003D16FC">
        <w:t xml:space="preserve"> associés</w:t>
      </w:r>
      <w:r w:rsidR="00C57809" w:rsidRPr="003D16FC">
        <w:t xml:space="preserve">. </w:t>
      </w:r>
      <w:r w:rsidR="007420F3" w:rsidRPr="003D16FC">
        <w:t>La portée géographique de cette mesure incluait l</w:t>
      </w:r>
      <w:r w:rsidR="00346F1B">
        <w:t>’</w:t>
      </w:r>
      <w:r w:rsidR="007420F3" w:rsidRPr="003D16FC">
        <w:t xml:space="preserve">Oda, le sycomore qui était considéré comme </w:t>
      </w:r>
      <w:r w:rsidR="00DC5A65" w:rsidRPr="003D16FC">
        <w:t xml:space="preserve">étant </w:t>
      </w:r>
      <w:r w:rsidR="007420F3" w:rsidRPr="003D16FC">
        <w:t>le symbole du système Gada. L</w:t>
      </w:r>
      <w:r w:rsidR="00346F1B">
        <w:t>’</w:t>
      </w:r>
      <w:r w:rsidR="007420F3" w:rsidRPr="003D16FC">
        <w:t xml:space="preserve">application de la mesure se limitait à la protection des espaces culturels et de la pratique du système Gada. Une telle protection était exigée par les pratiques coutumières du système du Gada et par les lois protégeant ces biens matériels de la destruction et de la désacralisation. </w:t>
      </w:r>
      <w:r w:rsidR="00DC5A65" w:rsidRPr="003D16FC">
        <w:t>À la lecture du dossier, l</w:t>
      </w:r>
      <w:r w:rsidR="007420F3" w:rsidRPr="003D16FC">
        <w:t xml:space="preserve">a délégation avait également </w:t>
      </w:r>
      <w:r w:rsidR="002268ED" w:rsidRPr="003D16FC">
        <w:t xml:space="preserve">réalisé </w:t>
      </w:r>
      <w:r w:rsidR="007420F3" w:rsidRPr="003D16FC">
        <w:t>que le soutien de l</w:t>
      </w:r>
      <w:r w:rsidR="00346F1B">
        <w:t>’</w:t>
      </w:r>
      <w:r w:rsidR="007420F3" w:rsidRPr="003D16FC">
        <w:t xml:space="preserve">État soumissionnaire à la mise en œuvre des mesures de sauvegarde </w:t>
      </w:r>
      <w:r w:rsidR="002268ED" w:rsidRPr="003D16FC">
        <w:t>était assorti</w:t>
      </w:r>
      <w:r w:rsidR="00DC5A65" w:rsidRPr="003D16FC">
        <w:t>e</w:t>
      </w:r>
      <w:r w:rsidR="002268ED" w:rsidRPr="003D16FC">
        <w:t xml:space="preserve"> de nombreuses propositions qui ne relevaient aucunement de</w:t>
      </w:r>
      <w:r w:rsidR="00DC5A65" w:rsidRPr="003D16FC">
        <w:t xml:space="preserve"> la contrainte</w:t>
      </w:r>
      <w:r w:rsidR="002268ED" w:rsidRPr="003D16FC">
        <w:t>. L</w:t>
      </w:r>
      <w:r w:rsidR="00346F1B">
        <w:t>’</w:t>
      </w:r>
      <w:r w:rsidR="002268ED" w:rsidRPr="003D16FC">
        <w:t>État soumissionnaire indiquait, par exemple, qu</w:t>
      </w:r>
      <w:r w:rsidR="00346F1B">
        <w:t>’</w:t>
      </w:r>
      <w:r w:rsidR="002268ED" w:rsidRPr="003D16FC">
        <w:t>il avait ratifié la Convention et adopté des programmes afin de créer un environnement favorable à la sauvegarde et la promotion de son PCI, y compris le système Gada. La candidature faisait également mention de l</w:t>
      </w:r>
      <w:r w:rsidR="00346F1B">
        <w:t>’</w:t>
      </w:r>
      <w:r w:rsidR="002268ED" w:rsidRPr="003D16FC">
        <w:t>engagement d</w:t>
      </w:r>
      <w:r w:rsidR="00DC5A65" w:rsidRPr="003D16FC">
        <w:t>e l</w:t>
      </w:r>
      <w:r w:rsidR="00346F1B">
        <w:t>’</w:t>
      </w:r>
      <w:r w:rsidR="00DC5A65" w:rsidRPr="003D16FC">
        <w:t>État partie à poursuivre le</w:t>
      </w:r>
      <w:r w:rsidR="002268ED" w:rsidRPr="003D16FC">
        <w:t xml:space="preserve"> soutien financier et organisationnel </w:t>
      </w:r>
      <w:r w:rsidR="00DC5A65" w:rsidRPr="003D16FC">
        <w:t xml:space="preserve">accordé </w:t>
      </w:r>
      <w:r w:rsidR="002268ED" w:rsidRPr="003D16FC">
        <w:t>à la mise en œuvre des mesures de sauvegarde proposées par l</w:t>
      </w:r>
      <w:r w:rsidR="00346F1B">
        <w:t>’</w:t>
      </w:r>
      <w:r w:rsidR="002268ED" w:rsidRPr="003D16FC">
        <w:t>éducation, la recherche et la participation des structures institutionnelles. S</w:t>
      </w:r>
      <w:r w:rsidR="00346F1B">
        <w:t>’</w:t>
      </w:r>
      <w:r w:rsidR="002268ED" w:rsidRPr="003D16FC">
        <w:t>agissant</w:t>
      </w:r>
      <w:r w:rsidR="00773B93" w:rsidRPr="003D16FC">
        <w:t xml:space="preserve"> de la volonté de rendre « </w:t>
      </w:r>
      <w:r w:rsidR="002268ED" w:rsidRPr="003D16FC">
        <w:t>juridiquement comptables</w:t>
      </w:r>
      <w:r w:rsidR="00773B93" w:rsidRPr="003D16FC">
        <w:t> » ceux qui s</w:t>
      </w:r>
      <w:r w:rsidR="00346F1B">
        <w:t>’</w:t>
      </w:r>
      <w:r w:rsidR="00773B93" w:rsidRPr="003D16FC">
        <w:t>abstiendraient de mettre en œuvre les mesures de sauvegarde, la délégation pensait que l</w:t>
      </w:r>
      <w:r w:rsidR="00346F1B">
        <w:t>’</w:t>
      </w:r>
      <w:r w:rsidR="00773B93" w:rsidRPr="003D16FC">
        <w:t>État partie avait indiqué que les mécanismes de sauvegarde juridiques et institutionnels étaient les lois coutumières déjà en vigueur dans le système Gada lui-même. La protection était principalement renforcée par la valeur suprême que les comm</w:t>
      </w:r>
      <w:r w:rsidR="00DC5A65" w:rsidRPr="003D16FC">
        <w:t>unautés attachaient au lieu et aux objets</w:t>
      </w:r>
      <w:r w:rsidR="00773B93" w:rsidRPr="003D16FC">
        <w:t>, une mesure de sauvegarde qui était à la fois durable et efficace et que l</w:t>
      </w:r>
      <w:r w:rsidR="00346F1B">
        <w:t>’</w:t>
      </w:r>
      <w:r w:rsidR="00773B93" w:rsidRPr="003D16FC">
        <w:t xml:space="preserve">État partie continuerait à encourager et à soutenir. La délégation estimait également que la protection de tous les aspects du Gada </w:t>
      </w:r>
      <w:r w:rsidR="00DC5A65" w:rsidRPr="003D16FC">
        <w:t xml:space="preserve">contre les dommages </w:t>
      </w:r>
      <w:r w:rsidR="00773B93" w:rsidRPr="003D16FC">
        <w:t xml:space="preserve">était un devoir </w:t>
      </w:r>
      <w:r w:rsidR="00DC5A65" w:rsidRPr="003D16FC">
        <w:t xml:space="preserve">de </w:t>
      </w:r>
      <w:r w:rsidR="00773B93" w:rsidRPr="003D16FC">
        <w:t>l</w:t>
      </w:r>
      <w:r w:rsidR="00346F1B">
        <w:t>’</w:t>
      </w:r>
      <w:r w:rsidR="00773B93" w:rsidRPr="003D16FC">
        <w:t>État partie envers l</w:t>
      </w:r>
      <w:r w:rsidR="00346F1B">
        <w:t>’</w:t>
      </w:r>
      <w:r w:rsidR="00773B93" w:rsidRPr="003D16FC">
        <w:t xml:space="preserve">Éthiopie et le monde entier. Elle appréciait également le haut niveau de participation des communautés à la mise en œuvre des mesures de sauvegarde, le dossier donnant </w:t>
      </w:r>
      <w:r w:rsidR="00A806BC" w:rsidRPr="003D16FC">
        <w:t>d</w:t>
      </w:r>
      <w:r w:rsidR="00346F1B">
        <w:t>’</w:t>
      </w:r>
      <w:r w:rsidR="00A806BC" w:rsidRPr="003D16FC">
        <w:t>ail</w:t>
      </w:r>
      <w:r w:rsidR="003D16FC" w:rsidRPr="003D16FC">
        <w:t>l</w:t>
      </w:r>
      <w:r w:rsidR="00A806BC" w:rsidRPr="003D16FC">
        <w:t xml:space="preserve">eurs </w:t>
      </w:r>
      <w:r w:rsidR="00773B93" w:rsidRPr="003D16FC">
        <w:t>de nombreux exemples de participation des détenteurs et des praticiens du système à la pratique, la promotion et la sauvegarde de l</w:t>
      </w:r>
      <w:r w:rsidR="00346F1B">
        <w:t>’</w:t>
      </w:r>
      <w:r w:rsidR="00773B93" w:rsidRPr="003D16FC">
        <w:t xml:space="preserve">élément. </w:t>
      </w:r>
      <w:r w:rsidR="00A806BC" w:rsidRPr="003D16FC">
        <w:t xml:space="preserve">Le dossier de candidature indiquait </w:t>
      </w:r>
      <w:r w:rsidR="003D16FC" w:rsidRPr="003D16FC">
        <w:t xml:space="preserve">en outre </w:t>
      </w:r>
      <w:r w:rsidR="00A806BC" w:rsidRPr="003D16FC">
        <w:t>que la communauté avait été constamment consultée pour l</w:t>
      </w:r>
      <w:r w:rsidR="00346F1B">
        <w:t>’</w:t>
      </w:r>
      <w:r w:rsidR="00A806BC" w:rsidRPr="003D16FC">
        <w:t>élaboration des mesures de sauvegarde. En ce qui concerne les menaces que le tourisme pourrait constituer</w:t>
      </w:r>
      <w:r w:rsidR="003D16FC" w:rsidRPr="003D16FC">
        <w:t xml:space="preserve"> pour l</w:t>
      </w:r>
      <w:r w:rsidR="00346F1B">
        <w:t>’</w:t>
      </w:r>
      <w:r w:rsidR="003D16FC" w:rsidRPr="003D16FC">
        <w:t>élément</w:t>
      </w:r>
      <w:r w:rsidR="00A806BC" w:rsidRPr="003D16FC">
        <w:t>, le dossier de candidature présentait de façon adéquate les mesures en vigueur et proposées permettant de garantir que de telles menaces seraient évitées ou minimisées. Ces mesures de sauvegarde étaient principalement mises en œuvre par les structures administratives en place ainsi que grâce à la vigilance de la communauté. La délégation a demandé que le Comité examine la décision telle qu</w:t>
      </w:r>
      <w:r w:rsidR="00346F1B">
        <w:t>’</w:t>
      </w:r>
      <w:r w:rsidR="00A806BC" w:rsidRPr="003D16FC">
        <w:t>amendé</w:t>
      </w:r>
      <w:r w:rsidR="003D16FC" w:rsidRPr="003D16FC">
        <w:t>e</w:t>
      </w:r>
      <w:r w:rsidR="00A806BC" w:rsidRPr="003D16FC">
        <w:t>, proposée par l</w:t>
      </w:r>
      <w:r w:rsidR="00346F1B">
        <w:t>’</w:t>
      </w:r>
      <w:r w:rsidR="00A806BC" w:rsidRPr="003D16FC">
        <w:t>Inde et 19 autres pays dont l</w:t>
      </w:r>
      <w:r w:rsidR="00346F1B">
        <w:t>’</w:t>
      </w:r>
      <w:r w:rsidR="00A806BC" w:rsidRPr="003D16FC">
        <w:t>Afghanistan, l</w:t>
      </w:r>
      <w:r w:rsidR="00346F1B">
        <w:t>’</w:t>
      </w:r>
      <w:r w:rsidR="00A806BC" w:rsidRPr="003D16FC">
        <w:t>Algérie, la Bulgarie, le Congo, la Côte d</w:t>
      </w:r>
      <w:r w:rsidR="00346F1B">
        <w:t>’</w:t>
      </w:r>
      <w:r w:rsidR="00A806BC" w:rsidRPr="003D16FC">
        <w:t>Ivoire, Chypre, le Guatemala, la Hongrie, le Liban, Mauric</w:t>
      </w:r>
      <w:r w:rsidR="003D16FC" w:rsidRPr="003D16FC">
        <w:t>e, la Mongolie, la Palestine, le</w:t>
      </w:r>
      <w:r w:rsidR="00A806BC" w:rsidRPr="003D16FC">
        <w:t>s Philippines, la République de Corée, Sainte-Lucie, le Sénégal, la Turquie et la Zambie.</w:t>
      </w:r>
    </w:p>
    <w:p w14:paraId="31C9DA4A" w14:textId="410ADBF4" w:rsidR="00C96125" w:rsidRDefault="003D16FC" w:rsidP="00DE5C80">
      <w:pPr>
        <w:pStyle w:val="Orateurengris"/>
        <w:spacing w:before="120"/>
        <w:ind w:left="709" w:hanging="709"/>
      </w:pPr>
      <w:r>
        <w:t xml:space="preserve">La délégation de la </w:t>
      </w:r>
      <w:r w:rsidRPr="003D16FC">
        <w:rPr>
          <w:b/>
        </w:rPr>
        <w:t>Palestine</w:t>
      </w:r>
      <w:r>
        <w:t xml:space="preserve"> a remercié l</w:t>
      </w:r>
      <w:r w:rsidR="00346F1B">
        <w:t>’</w:t>
      </w:r>
      <w:r>
        <w:t>Inde pour son intervention très claire. D</w:t>
      </w:r>
      <w:r w:rsidR="00346F1B">
        <w:t>’</w:t>
      </w:r>
      <w:r>
        <w:t>un</w:t>
      </w:r>
      <w:r w:rsidR="006B5434">
        <w:t xml:space="preserve"> </w:t>
      </w:r>
      <w:r>
        <w:t>point de vue technique, elle trouvait que les mesures de sauvegarde sur les mécanismes juridiques ou institutionnels faisaient référence aux aspects matériels de l</w:t>
      </w:r>
      <w:r w:rsidR="00346F1B">
        <w:t>’</w:t>
      </w:r>
      <w:r>
        <w:t xml:space="preserve">élément, ce qui pouvait engendrer une certaine confusion. Le dossier de candidature précisait également que la communauté avait participé à ces mesures et les mettait en œuvre en tant que lois coutumières, ce qui était très important à prendre en considération car cela signifiait que ces mesures faisaient </w:t>
      </w:r>
      <w:r w:rsidR="00FF3C0B">
        <w:t xml:space="preserve">désormais </w:t>
      </w:r>
      <w:r>
        <w:t xml:space="preserve">partie du système Gada lui-même. </w:t>
      </w:r>
      <w:r w:rsidR="00482B87">
        <w:t>La protection était renforcée par la valeur suprême que les communautés attachaient au lieu et aux objets qui étaient des aspects matériels du système Gada. Ces deux aspects – le matériel et l</w:t>
      </w:r>
      <w:r w:rsidR="00346F1B">
        <w:t>’</w:t>
      </w:r>
      <w:r w:rsidR="00482B87">
        <w:t>immatériel – renforçaient considérablement l</w:t>
      </w:r>
      <w:r w:rsidR="00346F1B">
        <w:t>’</w:t>
      </w:r>
      <w:r w:rsidR="00482B87">
        <w:t xml:space="preserve">importance des espaces culturels et des aspects matériels du système Gada. La délégation avait noté que la section 3.b.2 et la section d. du formulaire de candidature </w:t>
      </w:r>
      <w:r w:rsidR="00FF3C0B">
        <w:t xml:space="preserve">indiquaient </w:t>
      </w:r>
      <w:r w:rsidR="00482B87">
        <w:t>que le plus grand soin serait accordé à la sauvegarde des espaces culturels et des lieux d</w:t>
      </w:r>
      <w:r w:rsidR="00346F1B">
        <w:t>’</w:t>
      </w:r>
      <w:r w:rsidR="00482B87">
        <w:t>assemblée traditionnels du Gada établis autour de l</w:t>
      </w:r>
      <w:r w:rsidR="00346F1B">
        <w:t>’</w:t>
      </w:r>
      <w:r w:rsidR="00482B87">
        <w:t>Oda ; l</w:t>
      </w:r>
      <w:r w:rsidR="00346F1B">
        <w:t>’</w:t>
      </w:r>
      <w:r w:rsidR="00482B87">
        <w:t xml:space="preserve">Oda étant un arbre, un sycomore, </w:t>
      </w:r>
      <w:r w:rsidR="00FF3C0B">
        <w:t>autour duquel les lieux d</w:t>
      </w:r>
      <w:r w:rsidR="00346F1B">
        <w:t>’</w:t>
      </w:r>
      <w:r w:rsidR="00FF3C0B">
        <w:t>assemblée étaient toujours situés. Ces manifestations étaient des aspects matériels de l</w:t>
      </w:r>
      <w:r w:rsidR="00346F1B">
        <w:t>’</w:t>
      </w:r>
      <w:r w:rsidR="00FF3C0B">
        <w:t>élément. Après avoir pris en considération ces facteurs, la délégation appuyait l</w:t>
      </w:r>
      <w:r w:rsidR="00346F1B">
        <w:t>’</w:t>
      </w:r>
      <w:r w:rsidR="00FF3C0B">
        <w:t>amendement au projet de décision proposé par l</w:t>
      </w:r>
      <w:r w:rsidR="00346F1B">
        <w:t>’</w:t>
      </w:r>
      <w:r w:rsidR="00FF3C0B">
        <w:t>Inde, qui bénéficiait d</w:t>
      </w:r>
      <w:r w:rsidR="00346F1B">
        <w:t>’</w:t>
      </w:r>
      <w:r w:rsidR="00FF3C0B">
        <w:t>ailleurs d</w:t>
      </w:r>
      <w:r w:rsidR="00346F1B">
        <w:t>’</w:t>
      </w:r>
      <w:r w:rsidR="00FF3C0B">
        <w:t>un grand soutien.</w:t>
      </w:r>
    </w:p>
    <w:p w14:paraId="251900CD" w14:textId="4B740749" w:rsidR="00136EC5" w:rsidRDefault="006B5434" w:rsidP="00DE5C80">
      <w:pPr>
        <w:pStyle w:val="Orateurengris"/>
        <w:spacing w:before="120"/>
        <w:ind w:left="709" w:hanging="709"/>
      </w:pPr>
      <w:r w:rsidRPr="00C96125">
        <w:rPr>
          <w:rFonts w:cs="Times New Roman"/>
          <w:szCs w:val="24"/>
        </w:rPr>
        <w:t xml:space="preserve">La délégation du </w:t>
      </w:r>
      <w:r w:rsidRPr="00C96125">
        <w:rPr>
          <w:rFonts w:cs="Times New Roman"/>
          <w:b/>
          <w:szCs w:val="24"/>
        </w:rPr>
        <w:t>Sénégal</w:t>
      </w:r>
      <w:r w:rsidRPr="00C96125">
        <w:rPr>
          <w:rFonts w:cs="Times New Roman"/>
          <w:szCs w:val="24"/>
        </w:rPr>
        <w:t xml:space="preserve"> pensait que ce dossier offrait l</w:t>
      </w:r>
      <w:r w:rsidR="00346F1B">
        <w:rPr>
          <w:rFonts w:cs="Times New Roman"/>
          <w:szCs w:val="24"/>
        </w:rPr>
        <w:t>’</w:t>
      </w:r>
      <w:r w:rsidRPr="006B5434">
        <w:t>opportunité</w:t>
      </w:r>
      <w:r w:rsidRPr="00C96125">
        <w:rPr>
          <w:rFonts w:cs="Times New Roman"/>
          <w:szCs w:val="24"/>
        </w:rPr>
        <w:t xml:space="preserve"> de célébrer les valeurs d</w:t>
      </w:r>
      <w:r w:rsidR="00346F1B">
        <w:rPr>
          <w:rFonts w:cs="Times New Roman"/>
          <w:szCs w:val="24"/>
        </w:rPr>
        <w:t>’</w:t>
      </w:r>
      <w:r w:rsidRPr="00C96125">
        <w:rPr>
          <w:rFonts w:cs="Times New Roman"/>
          <w:szCs w:val="24"/>
        </w:rPr>
        <w:t>un système sociopolitique traditionnel africain, un instru</w:t>
      </w:r>
      <w:r w:rsidR="00826B85" w:rsidRPr="00C96125">
        <w:rPr>
          <w:rFonts w:cs="Times New Roman"/>
          <w:szCs w:val="24"/>
        </w:rPr>
        <w:t>ment de cohésion sociale qui prô</w:t>
      </w:r>
      <w:r w:rsidR="00C96125">
        <w:rPr>
          <w:rFonts w:cs="Times New Roman"/>
          <w:szCs w:val="24"/>
        </w:rPr>
        <w:t>nai</w:t>
      </w:r>
      <w:r w:rsidRPr="00C96125">
        <w:rPr>
          <w:rFonts w:cs="Times New Roman"/>
          <w:szCs w:val="24"/>
        </w:rPr>
        <w:t xml:space="preserve">t </w:t>
      </w:r>
      <w:r w:rsidR="00826B85" w:rsidRPr="00C96125">
        <w:rPr>
          <w:rFonts w:cs="Times New Roman"/>
          <w:szCs w:val="24"/>
        </w:rPr>
        <w:t>des valeurs de liberté, d</w:t>
      </w:r>
      <w:r w:rsidR="00346F1B">
        <w:rPr>
          <w:rFonts w:cs="Times New Roman"/>
          <w:szCs w:val="24"/>
        </w:rPr>
        <w:t>’</w:t>
      </w:r>
      <w:r w:rsidR="00826B85" w:rsidRPr="00C96125">
        <w:rPr>
          <w:rFonts w:cs="Times New Roman"/>
          <w:szCs w:val="24"/>
        </w:rPr>
        <w:t xml:space="preserve">égalité et de démocratie </w:t>
      </w:r>
      <w:r w:rsidR="00136EC5">
        <w:rPr>
          <w:rFonts w:cs="Times New Roman"/>
          <w:szCs w:val="24"/>
        </w:rPr>
        <w:t>qu</w:t>
      </w:r>
      <w:r w:rsidR="00346F1B">
        <w:rPr>
          <w:rFonts w:cs="Times New Roman"/>
          <w:szCs w:val="24"/>
        </w:rPr>
        <w:t>’</w:t>
      </w:r>
      <w:r w:rsidR="00136EC5">
        <w:rPr>
          <w:rFonts w:cs="Times New Roman"/>
          <w:szCs w:val="24"/>
        </w:rPr>
        <w:t xml:space="preserve">on déniait souvent aux </w:t>
      </w:r>
      <w:r w:rsidR="00826B85" w:rsidRPr="00C96125">
        <w:rPr>
          <w:rFonts w:cs="Times New Roman"/>
          <w:szCs w:val="24"/>
        </w:rPr>
        <w:t>systèmes traditionnels africains. Ce symbolisme était extrêmement important pour l</w:t>
      </w:r>
      <w:r w:rsidR="00346F1B">
        <w:rPr>
          <w:rFonts w:cs="Times New Roman"/>
          <w:szCs w:val="24"/>
        </w:rPr>
        <w:t>’</w:t>
      </w:r>
      <w:r w:rsidR="00826B85" w:rsidRPr="00826B85">
        <w:t>Éthiopie</w:t>
      </w:r>
      <w:r w:rsidR="00826B85" w:rsidRPr="00C96125">
        <w:rPr>
          <w:rFonts w:cs="Times New Roman"/>
          <w:szCs w:val="24"/>
        </w:rPr>
        <w:t xml:space="preserve"> et l</w:t>
      </w:r>
      <w:r w:rsidR="00346F1B">
        <w:rPr>
          <w:rFonts w:cs="Times New Roman"/>
          <w:szCs w:val="24"/>
        </w:rPr>
        <w:t>’</w:t>
      </w:r>
      <w:r w:rsidR="00826B85" w:rsidRPr="00C96125">
        <w:rPr>
          <w:rFonts w:cs="Times New Roman"/>
          <w:szCs w:val="24"/>
        </w:rPr>
        <w:t>Afrique, et surtout pour le patrimoine culturel qui jouait le rôle de régulateur des inégalités et des injustices qu</w:t>
      </w:r>
      <w:r w:rsidR="00346F1B">
        <w:rPr>
          <w:rFonts w:cs="Times New Roman"/>
          <w:szCs w:val="24"/>
        </w:rPr>
        <w:t>’</w:t>
      </w:r>
      <w:r w:rsidR="00826B85" w:rsidRPr="00C96125">
        <w:rPr>
          <w:rFonts w:cs="Times New Roman"/>
          <w:szCs w:val="24"/>
        </w:rPr>
        <w:t>incarnait l</w:t>
      </w:r>
      <w:r w:rsidR="00346F1B">
        <w:rPr>
          <w:rFonts w:cs="Times New Roman"/>
          <w:szCs w:val="24"/>
        </w:rPr>
        <w:t>’</w:t>
      </w:r>
      <w:r w:rsidR="00826B85" w:rsidRPr="00C96125">
        <w:rPr>
          <w:rFonts w:cs="Times New Roman"/>
          <w:szCs w:val="24"/>
        </w:rPr>
        <w:t>UNESCO. Pour ces raisons, la délégation partageait le point de vue si brillamment défendu par l</w:t>
      </w:r>
      <w:r w:rsidR="00346F1B">
        <w:rPr>
          <w:rFonts w:cs="Times New Roman"/>
          <w:szCs w:val="24"/>
        </w:rPr>
        <w:t>’</w:t>
      </w:r>
      <w:r w:rsidR="00826B85" w:rsidRPr="00C96125">
        <w:rPr>
          <w:rFonts w:cs="Times New Roman"/>
          <w:szCs w:val="24"/>
        </w:rPr>
        <w:t xml:space="preserve">Inde. La délégation a ajouté que ce système traditionnel avait ses propres règles de fonctionnement </w:t>
      </w:r>
      <w:r w:rsidR="000D6D32" w:rsidRPr="00C96125">
        <w:rPr>
          <w:rFonts w:cs="Times New Roman"/>
          <w:szCs w:val="24"/>
        </w:rPr>
        <w:t>qui réclamaient certes beaucoup de précautions mais qui avaient aussi permis à ce patrimoine de survivre. Même si le système traditionnel se protégeait déjà lui-même, l</w:t>
      </w:r>
      <w:r w:rsidR="00346F1B">
        <w:rPr>
          <w:rFonts w:cs="Times New Roman"/>
          <w:szCs w:val="24"/>
        </w:rPr>
        <w:t>’</w:t>
      </w:r>
      <w:r w:rsidR="000D6D32" w:rsidRPr="00C96125">
        <w:rPr>
          <w:rFonts w:cs="Times New Roman"/>
          <w:szCs w:val="24"/>
        </w:rPr>
        <w:t>État soumissionnaire devait aider à bien protéger ce qui existait déjà. La délégation a dit parfaitement comprendre l</w:t>
      </w:r>
      <w:r w:rsidR="00346F1B">
        <w:rPr>
          <w:rFonts w:cs="Times New Roman"/>
          <w:szCs w:val="24"/>
        </w:rPr>
        <w:t>’</w:t>
      </w:r>
      <w:r w:rsidR="000D6D32" w:rsidRPr="00C96125">
        <w:rPr>
          <w:rFonts w:cs="Times New Roman"/>
          <w:szCs w:val="24"/>
        </w:rPr>
        <w:t>Organe d</w:t>
      </w:r>
      <w:r w:rsidR="00346F1B">
        <w:rPr>
          <w:rFonts w:cs="Times New Roman"/>
          <w:szCs w:val="24"/>
        </w:rPr>
        <w:t>’</w:t>
      </w:r>
      <w:r w:rsidR="000D6D32" w:rsidRPr="00C96125">
        <w:rPr>
          <w:rFonts w:cs="Times New Roman"/>
          <w:szCs w:val="24"/>
        </w:rPr>
        <w:t>évaluation</w:t>
      </w:r>
      <w:r w:rsidR="00C96125" w:rsidRPr="00C96125">
        <w:rPr>
          <w:rFonts w:cs="Times New Roman"/>
          <w:szCs w:val="24"/>
        </w:rPr>
        <w:t xml:space="preserve"> dans son interprétation de la cohésion. Toutefois, dans ce système traditionnel, les interdits qui existaient étaient dans l</w:t>
      </w:r>
      <w:r w:rsidR="00346F1B">
        <w:rPr>
          <w:rFonts w:cs="Times New Roman"/>
          <w:szCs w:val="24"/>
        </w:rPr>
        <w:t>’</w:t>
      </w:r>
      <w:r w:rsidR="00C96125" w:rsidRPr="00C96125">
        <w:rPr>
          <w:rFonts w:cs="Times New Roman"/>
          <w:szCs w:val="24"/>
        </w:rPr>
        <w:t>intérêt des populations et de la communauté. L</w:t>
      </w:r>
      <w:r w:rsidR="00346F1B">
        <w:rPr>
          <w:rFonts w:cs="Times New Roman"/>
          <w:szCs w:val="24"/>
        </w:rPr>
        <w:t>’</w:t>
      </w:r>
      <w:r w:rsidR="00C96125" w:rsidRPr="00C96125">
        <w:rPr>
          <w:rFonts w:cs="Times New Roman"/>
          <w:szCs w:val="24"/>
        </w:rPr>
        <w:t>État partie ne saurait être ni réprimandé ni puni à cet égard. La délégation souhaitait remercier l</w:t>
      </w:r>
      <w:r w:rsidR="00346F1B">
        <w:rPr>
          <w:rFonts w:cs="Times New Roman"/>
          <w:szCs w:val="24"/>
        </w:rPr>
        <w:t>’</w:t>
      </w:r>
      <w:r w:rsidR="00C96125" w:rsidRPr="00C96125">
        <w:rPr>
          <w:rFonts w:cs="Times New Roman"/>
          <w:szCs w:val="24"/>
        </w:rPr>
        <w:t xml:space="preserve">État soumissionnaire pour tous les </w:t>
      </w:r>
      <w:r w:rsidR="00C96125">
        <w:rPr>
          <w:rFonts w:cs="Times New Roman"/>
          <w:szCs w:val="24"/>
        </w:rPr>
        <w:t xml:space="preserve">mécanismes et mesures mis </w:t>
      </w:r>
      <w:r w:rsidR="00C96125" w:rsidRPr="00C96125">
        <w:rPr>
          <w:rFonts w:cs="Times New Roman"/>
          <w:szCs w:val="24"/>
        </w:rPr>
        <w:t>en place afin d</w:t>
      </w:r>
      <w:r w:rsidR="00346F1B">
        <w:rPr>
          <w:rFonts w:cs="Times New Roman"/>
          <w:szCs w:val="24"/>
        </w:rPr>
        <w:t>’</w:t>
      </w:r>
      <w:r w:rsidR="00C96125">
        <w:rPr>
          <w:rFonts w:cs="Times New Roman"/>
          <w:szCs w:val="24"/>
        </w:rPr>
        <w:t>impliquer la société civile, les ONG et autres structures de l</w:t>
      </w:r>
      <w:r w:rsidR="00346F1B">
        <w:rPr>
          <w:rFonts w:cs="Times New Roman"/>
          <w:szCs w:val="24"/>
        </w:rPr>
        <w:t>’</w:t>
      </w:r>
      <w:r w:rsidR="00C96125">
        <w:rPr>
          <w:rFonts w:cs="Times New Roman"/>
          <w:szCs w:val="24"/>
        </w:rPr>
        <w:t xml:space="preserve">État. Elle souhaitait </w:t>
      </w:r>
      <w:r w:rsidR="00C96125" w:rsidRPr="00C96125">
        <w:rPr>
          <w:rFonts w:cs="Times New Roman"/>
          <w:szCs w:val="24"/>
        </w:rPr>
        <w:t>également</w:t>
      </w:r>
      <w:r w:rsidR="00C96125">
        <w:rPr>
          <w:rFonts w:cs="Times New Roman"/>
          <w:szCs w:val="24"/>
        </w:rPr>
        <w:t xml:space="preserve"> remercier les communautés pour leur </w:t>
      </w:r>
      <w:r w:rsidR="00C96125" w:rsidRPr="00C96125">
        <w:rPr>
          <w:rFonts w:cs="Times New Roman"/>
          <w:szCs w:val="24"/>
        </w:rPr>
        <w:t>participation</w:t>
      </w:r>
      <w:r w:rsidR="00C96125">
        <w:rPr>
          <w:rFonts w:cs="Times New Roman"/>
          <w:szCs w:val="24"/>
        </w:rPr>
        <w:t xml:space="preserve"> à la promotion de la </w:t>
      </w:r>
      <w:r w:rsidR="00C96125" w:rsidRPr="00C96125">
        <w:rPr>
          <w:rFonts w:cs="Times New Roman"/>
          <w:szCs w:val="24"/>
        </w:rPr>
        <w:t>recherche</w:t>
      </w:r>
      <w:r w:rsidR="00C96125">
        <w:rPr>
          <w:rFonts w:cs="Times New Roman"/>
          <w:szCs w:val="24"/>
        </w:rPr>
        <w:t>, l</w:t>
      </w:r>
      <w:r w:rsidR="00346F1B">
        <w:rPr>
          <w:rFonts w:cs="Times New Roman"/>
          <w:szCs w:val="24"/>
        </w:rPr>
        <w:t>’</w:t>
      </w:r>
      <w:r w:rsidR="00C96125" w:rsidRPr="00C96125">
        <w:rPr>
          <w:rFonts w:cs="Times New Roman"/>
          <w:szCs w:val="24"/>
        </w:rPr>
        <w:t>éducation</w:t>
      </w:r>
      <w:r w:rsidR="00C96125">
        <w:rPr>
          <w:rFonts w:cs="Times New Roman"/>
          <w:szCs w:val="24"/>
        </w:rPr>
        <w:t xml:space="preserve"> et la transmission de ces valeurs qui étaient partagées en Afrique et dans le monde entier. Pour </w:t>
      </w:r>
      <w:r w:rsidR="00604FD3">
        <w:rPr>
          <w:rFonts w:cs="Times New Roman"/>
          <w:szCs w:val="24"/>
        </w:rPr>
        <w:t xml:space="preserve">toutes </w:t>
      </w:r>
      <w:r w:rsidR="00C96125">
        <w:rPr>
          <w:rFonts w:cs="Times New Roman"/>
          <w:szCs w:val="24"/>
        </w:rPr>
        <w:t xml:space="preserve">ces raisons, la </w:t>
      </w:r>
      <w:r w:rsidR="00C96125" w:rsidRPr="00C96125">
        <w:rPr>
          <w:rFonts w:cs="Times New Roman"/>
          <w:szCs w:val="24"/>
        </w:rPr>
        <w:t>délégation</w:t>
      </w:r>
      <w:r w:rsidR="00C96125">
        <w:rPr>
          <w:rFonts w:cs="Times New Roman"/>
          <w:szCs w:val="24"/>
        </w:rPr>
        <w:t xml:space="preserve"> soutenait l</w:t>
      </w:r>
      <w:r w:rsidR="00346F1B">
        <w:rPr>
          <w:rFonts w:cs="Times New Roman"/>
          <w:szCs w:val="24"/>
        </w:rPr>
        <w:t>’</w:t>
      </w:r>
      <w:r w:rsidR="00C96125" w:rsidRPr="00C96125">
        <w:rPr>
          <w:rFonts w:cs="Times New Roman"/>
          <w:szCs w:val="24"/>
        </w:rPr>
        <w:t>amendement</w:t>
      </w:r>
      <w:r w:rsidR="00C96125">
        <w:rPr>
          <w:rFonts w:cs="Times New Roman"/>
          <w:szCs w:val="24"/>
        </w:rPr>
        <w:t xml:space="preserve"> de l</w:t>
      </w:r>
      <w:r w:rsidR="00346F1B">
        <w:rPr>
          <w:rFonts w:cs="Times New Roman"/>
          <w:szCs w:val="24"/>
        </w:rPr>
        <w:t>’</w:t>
      </w:r>
      <w:r w:rsidR="0068180E">
        <w:rPr>
          <w:rFonts w:cs="Times New Roman"/>
          <w:szCs w:val="24"/>
        </w:rPr>
        <w:t>Inde.</w:t>
      </w:r>
    </w:p>
    <w:p w14:paraId="06F4DBD8" w14:textId="1BDCD223" w:rsidR="00136EC5" w:rsidRDefault="00D56C5F" w:rsidP="00DE5C80">
      <w:pPr>
        <w:pStyle w:val="Orateurengris"/>
        <w:spacing w:before="120"/>
        <w:ind w:left="709" w:hanging="709"/>
      </w:pPr>
      <w:r>
        <w:t xml:space="preserve">La délégation de la </w:t>
      </w:r>
      <w:r w:rsidRPr="00D56C5F">
        <w:rPr>
          <w:b/>
        </w:rPr>
        <w:t>Côte d</w:t>
      </w:r>
      <w:r w:rsidR="00346F1B">
        <w:rPr>
          <w:b/>
        </w:rPr>
        <w:t>’</w:t>
      </w:r>
      <w:r w:rsidRPr="00D56C5F">
        <w:rPr>
          <w:b/>
        </w:rPr>
        <w:t>Ivoire</w:t>
      </w:r>
      <w:r>
        <w:t xml:space="preserve"> a souligné le bon travail </w:t>
      </w:r>
      <w:r w:rsidR="001B7B5D">
        <w:t xml:space="preserve">réalisé </w:t>
      </w:r>
      <w:r>
        <w:t>par l</w:t>
      </w:r>
      <w:r w:rsidR="00346F1B">
        <w:t>’</w:t>
      </w:r>
      <w:r>
        <w:t>Organe d</w:t>
      </w:r>
      <w:r w:rsidR="00346F1B">
        <w:t>’</w:t>
      </w:r>
      <w:r>
        <w:t>évaluation et a dit comprendre les préoccupations soulevées en ce qui concerne la participation des communautés. Toutefois, la délégation pensait que le dossier de candidature</w:t>
      </w:r>
      <w:r w:rsidR="001841A0">
        <w:t xml:space="preserve"> présentai</w:t>
      </w:r>
      <w:r>
        <w:t xml:space="preserve">t de nombreuses justifications de la </w:t>
      </w:r>
      <w:r w:rsidR="001B7B5D">
        <w:t xml:space="preserve">manière </w:t>
      </w:r>
      <w:r>
        <w:t>dont les détenteurs et praticiens du Gada participaient pleinement à la pratique, la promotion et la sauvegarde de l</w:t>
      </w:r>
      <w:r w:rsidR="00346F1B">
        <w:t>’</w:t>
      </w:r>
      <w:r>
        <w:t>élément. Il était, par exemple, clairement dit, dans la section 3.b, que la communauté avait été systématiquement consultée lors de la ph</w:t>
      </w:r>
      <w:r w:rsidR="001841A0">
        <w:t>a</w:t>
      </w:r>
      <w:r>
        <w:t>se d</w:t>
      </w:r>
      <w:r w:rsidR="00346F1B">
        <w:t>’</w:t>
      </w:r>
      <w:r>
        <w:t>élaboration des mesures de sauvegarde afin de s</w:t>
      </w:r>
      <w:r w:rsidR="00346F1B">
        <w:t>’</w:t>
      </w:r>
      <w:r>
        <w:t xml:space="preserve">assurer que la pratique de sauvegarde était bien participative. La délégation souhaitait donc </w:t>
      </w:r>
      <w:r w:rsidR="001841A0">
        <w:t>des informations complémentaires de la part de l</w:t>
      </w:r>
      <w:r w:rsidR="00346F1B">
        <w:t>’</w:t>
      </w:r>
      <w:r w:rsidR="0068180E">
        <w:t>État soumissionnaire.</w:t>
      </w:r>
    </w:p>
    <w:p w14:paraId="41D835AC" w14:textId="40ED2283" w:rsidR="001B7B5D" w:rsidRPr="001B7B5D" w:rsidRDefault="001B7B5D"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00754EC3">
        <w:rPr>
          <w:rFonts w:cs="Times New Roman"/>
          <w:b/>
          <w:szCs w:val="24"/>
        </w:rPr>
        <w:t>Vice-Président</w:t>
      </w:r>
      <w:r>
        <w:rPr>
          <w:rFonts w:cs="Times New Roman"/>
          <w:szCs w:val="24"/>
        </w:rPr>
        <w:t xml:space="preserve"> a demandé </w:t>
      </w:r>
      <w:r w:rsidR="00A774B0">
        <w:rPr>
          <w:rFonts w:cs="Times New Roman"/>
          <w:szCs w:val="24"/>
        </w:rPr>
        <w:t xml:space="preserve">à </w:t>
      </w:r>
      <w:r>
        <w:rPr>
          <w:rFonts w:cs="Times New Roman"/>
          <w:szCs w:val="24"/>
        </w:rPr>
        <w:t xml:space="preserve">la </w:t>
      </w:r>
      <w:r w:rsidRPr="001B7B5D">
        <w:rPr>
          <w:rFonts w:cs="Times New Roman"/>
          <w:szCs w:val="24"/>
        </w:rPr>
        <w:t>délégation</w:t>
      </w:r>
      <w:r>
        <w:rPr>
          <w:rFonts w:cs="Times New Roman"/>
          <w:szCs w:val="24"/>
        </w:rPr>
        <w:t xml:space="preserve"> </w:t>
      </w:r>
      <w:r w:rsidR="00A774B0">
        <w:rPr>
          <w:rFonts w:cs="Times New Roman"/>
          <w:szCs w:val="24"/>
        </w:rPr>
        <w:t xml:space="preserve">si elle </w:t>
      </w:r>
      <w:r>
        <w:rPr>
          <w:rFonts w:cs="Times New Roman"/>
          <w:szCs w:val="24"/>
        </w:rPr>
        <w:t xml:space="preserve">avait une question spécifique </w:t>
      </w:r>
      <w:r w:rsidR="00A774B0">
        <w:rPr>
          <w:rFonts w:cs="Times New Roman"/>
          <w:szCs w:val="24"/>
        </w:rPr>
        <w:t>à pose à l</w:t>
      </w:r>
      <w:r w:rsidR="00346F1B">
        <w:rPr>
          <w:rFonts w:cs="Times New Roman"/>
          <w:szCs w:val="24"/>
        </w:rPr>
        <w:t>’</w:t>
      </w:r>
      <w:r w:rsidR="00A774B0" w:rsidRPr="00A774B0">
        <w:t>Éthiopie</w:t>
      </w:r>
      <w:r w:rsidR="006639DE">
        <w:t>.</w:t>
      </w:r>
    </w:p>
    <w:p w14:paraId="13F788B6" w14:textId="3A9ACA39" w:rsidR="00A774B0" w:rsidRPr="00A774B0" w:rsidRDefault="00A774B0"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Suite aux préoccupations soulevées par l</w:t>
      </w:r>
      <w:r w:rsidR="00346F1B">
        <w:rPr>
          <w:rFonts w:cs="Times New Roman"/>
          <w:szCs w:val="24"/>
        </w:rPr>
        <w:t>’</w:t>
      </w:r>
      <w:r>
        <w:rPr>
          <w:rFonts w:cs="Times New Roman"/>
          <w:szCs w:val="24"/>
        </w:rPr>
        <w:t>Organe d</w:t>
      </w:r>
      <w:r w:rsidR="00346F1B">
        <w:rPr>
          <w:rFonts w:cs="Times New Roman"/>
          <w:szCs w:val="24"/>
        </w:rPr>
        <w:t>’</w:t>
      </w:r>
      <w:r>
        <w:rPr>
          <w:rFonts w:cs="Times New Roman"/>
          <w:szCs w:val="24"/>
        </w:rPr>
        <w:t xml:space="preserve">évaluation, la </w:t>
      </w:r>
      <w:r w:rsidRPr="00A774B0">
        <w:rPr>
          <w:rFonts w:cs="Times New Roman"/>
          <w:szCs w:val="24"/>
        </w:rPr>
        <w:t>délégation</w:t>
      </w:r>
      <w:r>
        <w:rPr>
          <w:rFonts w:cs="Times New Roman"/>
          <w:szCs w:val="24"/>
        </w:rPr>
        <w:t xml:space="preserve"> de la </w:t>
      </w:r>
      <w:r w:rsidRPr="00A774B0">
        <w:rPr>
          <w:rFonts w:cs="Times New Roman"/>
          <w:b/>
          <w:szCs w:val="24"/>
        </w:rPr>
        <w:t>Côte d</w:t>
      </w:r>
      <w:r w:rsidR="00346F1B">
        <w:rPr>
          <w:rFonts w:cs="Times New Roman"/>
          <w:b/>
          <w:szCs w:val="24"/>
        </w:rPr>
        <w:t>’</w:t>
      </w:r>
      <w:r w:rsidRPr="00A774B0">
        <w:rPr>
          <w:rFonts w:cs="Times New Roman"/>
          <w:b/>
          <w:szCs w:val="24"/>
        </w:rPr>
        <w:t>Ivoire</w:t>
      </w:r>
      <w:r>
        <w:rPr>
          <w:rFonts w:cs="Times New Roman"/>
          <w:szCs w:val="24"/>
        </w:rPr>
        <w:t xml:space="preserve"> souhaitait des </w:t>
      </w:r>
      <w:r>
        <w:t>éclaircissements sur la participation des communautés et sur la manière dont les communautés avaient participé à la prépara</w:t>
      </w:r>
      <w:r w:rsidR="0068180E">
        <w:t>tion du dossier de candidature.</w:t>
      </w:r>
    </w:p>
    <w:p w14:paraId="75D59A25" w14:textId="1D012650" w:rsidR="00A774B0" w:rsidRPr="00A774B0" w:rsidRDefault="00A774B0"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00754EC3">
        <w:rPr>
          <w:rFonts w:cs="Times New Roman"/>
          <w:b/>
          <w:szCs w:val="24"/>
        </w:rPr>
        <w:t>Vice-Président</w:t>
      </w:r>
      <w:r>
        <w:rPr>
          <w:rFonts w:cs="Times New Roman"/>
          <w:szCs w:val="24"/>
        </w:rPr>
        <w:t xml:space="preserve"> a donné la parole à l</w:t>
      </w:r>
      <w:r w:rsidR="00346F1B">
        <w:rPr>
          <w:rFonts w:cs="Times New Roman"/>
          <w:szCs w:val="24"/>
        </w:rPr>
        <w:t>’</w:t>
      </w:r>
      <w:r w:rsidRPr="00A774B0">
        <w:t>Éthiopie</w:t>
      </w:r>
      <w:r>
        <w:rPr>
          <w:rFonts w:cs="Times New Roman"/>
          <w:szCs w:val="24"/>
        </w:rPr>
        <w:t xml:space="preserve"> afin qu</w:t>
      </w:r>
      <w:r w:rsidR="00346F1B">
        <w:rPr>
          <w:rFonts w:cs="Times New Roman"/>
          <w:szCs w:val="24"/>
        </w:rPr>
        <w:t>’</w:t>
      </w:r>
      <w:r w:rsidR="0068180E">
        <w:rPr>
          <w:rFonts w:cs="Times New Roman"/>
          <w:szCs w:val="24"/>
        </w:rPr>
        <w:t>elle réponde.</w:t>
      </w:r>
    </w:p>
    <w:p w14:paraId="7345D2EA" w14:textId="16E07DCA" w:rsidR="00A774B0" w:rsidRDefault="00A774B0" w:rsidP="00AE07E0">
      <w:pPr>
        <w:pStyle w:val="Orateurengris"/>
        <w:keepNext/>
        <w:tabs>
          <w:tab w:val="clear" w:pos="709"/>
          <w:tab w:val="clear" w:pos="1418"/>
          <w:tab w:val="clear" w:pos="2126"/>
          <w:tab w:val="clear" w:pos="2835"/>
          <w:tab w:val="clear" w:pos="3686"/>
        </w:tabs>
        <w:spacing w:before="120"/>
        <w:ind w:left="709" w:hanging="709"/>
      </w:pPr>
      <w:r>
        <w:t>S</w:t>
      </w:r>
      <w:r w:rsidR="00346F1B">
        <w:t>’</w:t>
      </w:r>
      <w:r>
        <w:t>agissant des mesures de sauvegarde, la délégation de l</w:t>
      </w:r>
      <w:r w:rsidR="00346F1B">
        <w:t>’</w:t>
      </w:r>
      <w:r w:rsidRPr="00A774B0">
        <w:rPr>
          <w:b/>
        </w:rPr>
        <w:t>Éthiopie</w:t>
      </w:r>
      <w:r>
        <w:t xml:space="preserve"> avait le sentiment que le dossier de candidature</w:t>
      </w:r>
      <w:r w:rsidR="00326C5F">
        <w:t xml:space="preserve"> était explicite</w:t>
      </w:r>
      <w:r>
        <w:t xml:space="preserve">. Dans la section du dossier consacrée à la sauvegarde, il était fait référence aux mécanismes </w:t>
      </w:r>
      <w:r w:rsidR="00DD2E90">
        <w:t xml:space="preserve">législatif et institutionnel </w:t>
      </w:r>
      <w:r w:rsidR="00552277">
        <w:t xml:space="preserve">de sauvegarde </w:t>
      </w:r>
      <w:r w:rsidR="00DD2E90">
        <w:t>conçus pour les aspects matériels de l</w:t>
      </w:r>
      <w:r w:rsidR="00346F1B">
        <w:t>’</w:t>
      </w:r>
      <w:r w:rsidR="00DD2E90">
        <w:t xml:space="preserve">élément associés aux centres </w:t>
      </w:r>
      <w:r w:rsidR="00E218C0">
        <w:t>traditionnels du</w:t>
      </w:r>
      <w:r w:rsidR="00DD2E90">
        <w:t xml:space="preserve"> Gada situés autour de l</w:t>
      </w:r>
      <w:r w:rsidR="00346F1B">
        <w:t>’</w:t>
      </w:r>
      <w:r w:rsidR="00DD2E90">
        <w:t xml:space="preserve">Oda, le sycomore. </w:t>
      </w:r>
      <w:r w:rsidR="00E218C0">
        <w:t>La communauté appliquait ces mesures comme des lois coutumières dans le cadre du système traditionnel de Gada lui-même. La protection de l</w:t>
      </w:r>
      <w:r w:rsidR="00346F1B">
        <w:t>’</w:t>
      </w:r>
      <w:r w:rsidR="00E218C0">
        <w:t>élément était renforcée par la valeur suprême que les communautés attachaient au lieu et aux objets qui étaient des aspects matériels du système du Gada. Cette protection était envisagée en se fondant sur la pratique coutumière du système du Gada ainsi que sur les lois en charge de protéger de tels biens matériels contre les éventuelles pressions exercées par le développement et l</w:t>
      </w:r>
      <w:r w:rsidR="00346F1B">
        <w:t>’</w:t>
      </w:r>
      <w:r w:rsidR="00E218C0">
        <w:t xml:space="preserve">aménagement, et ce, afin de sauvegarder durablement le système du Gada. </w:t>
      </w:r>
      <w:r w:rsidR="00D26850">
        <w:t>La délégation a déclaré que, dans les mesures de sauvegarde proposées, aucune contrainte n</w:t>
      </w:r>
      <w:r w:rsidR="00346F1B">
        <w:t>’</w:t>
      </w:r>
      <w:r w:rsidR="00D26850">
        <w:t>accompagnait leur application à la pratique de l</w:t>
      </w:r>
      <w:r w:rsidR="00346F1B">
        <w:t>’</w:t>
      </w:r>
      <w:r w:rsidR="00D26850">
        <w:t>élément mais uniquement à ses aspects matériels. Pour conclure, la délégation a souligné que le Comité avait reconnu les ef</w:t>
      </w:r>
      <w:r w:rsidR="00942412">
        <w:t>forts extraordinaires entrepris pour soumettre et présenter le système du Gada, qui en faisaient un élément dign</w:t>
      </w:r>
      <w:r w:rsidR="00326C5F">
        <w:t>e d</w:t>
      </w:r>
      <w:r w:rsidR="00346F1B">
        <w:t>’</w:t>
      </w:r>
      <w:r w:rsidR="0068180E">
        <w:t>être inscrit.</w:t>
      </w:r>
    </w:p>
    <w:p w14:paraId="3476BDB4" w14:textId="5207F0DE" w:rsidR="005E1E26" w:rsidRDefault="002569C6" w:rsidP="00AE07E0">
      <w:pPr>
        <w:pStyle w:val="Orateurengris"/>
        <w:keepNext/>
        <w:tabs>
          <w:tab w:val="clear" w:pos="709"/>
          <w:tab w:val="clear" w:pos="1418"/>
          <w:tab w:val="clear" w:pos="2126"/>
          <w:tab w:val="clear" w:pos="2835"/>
          <w:tab w:val="clear" w:pos="3686"/>
        </w:tabs>
        <w:spacing w:before="120"/>
        <w:ind w:left="709" w:hanging="709"/>
      </w:pPr>
      <w:r>
        <w:t xml:space="preserve">La délégation de la </w:t>
      </w:r>
      <w:r w:rsidRPr="002569C6">
        <w:rPr>
          <w:b/>
        </w:rPr>
        <w:t>Turquie</w:t>
      </w:r>
      <w:r>
        <w:t xml:space="preserve"> a félicité l</w:t>
      </w:r>
      <w:r w:rsidR="00346F1B">
        <w:t>’</w:t>
      </w:r>
      <w:r>
        <w:t xml:space="preserve">État soumissionnaire pour sa candidature et a exprimé son soutien </w:t>
      </w:r>
      <w:r w:rsidR="005E1E26">
        <w:t>sans réserve en faveur de l</w:t>
      </w:r>
      <w:r w:rsidR="00346F1B">
        <w:t>’</w:t>
      </w:r>
      <w:r w:rsidR="005E1E26">
        <w:t>inscription. Elle souhaitait également s</w:t>
      </w:r>
      <w:r w:rsidR="00346F1B">
        <w:t>’</w:t>
      </w:r>
      <w:r w:rsidR="005E1E26">
        <w:t xml:space="preserve">associer à </w:t>
      </w:r>
      <w:r w:rsidR="009438D5">
        <w:t>la déclaration de l</w:t>
      </w:r>
      <w:r w:rsidR="00346F1B">
        <w:t>’</w:t>
      </w:r>
      <w:r w:rsidR="009438D5">
        <w:t>Inde. [A</w:t>
      </w:r>
      <w:r w:rsidR="005E1E26">
        <w:t xml:space="preserve">utre intervenant] Le </w:t>
      </w:r>
      <w:r w:rsidR="005E1E26" w:rsidRPr="005E1E26">
        <w:rPr>
          <w:b/>
        </w:rPr>
        <w:t>Président de la commission nationale de l</w:t>
      </w:r>
      <w:r w:rsidR="00346F1B">
        <w:rPr>
          <w:b/>
        </w:rPr>
        <w:t>’</w:t>
      </w:r>
      <w:r w:rsidR="005E1E26" w:rsidRPr="005E1E26">
        <w:rPr>
          <w:b/>
        </w:rPr>
        <w:t>UNESCO</w:t>
      </w:r>
      <w:r w:rsidR="005E1E26">
        <w:t xml:space="preserve"> a fait remarquer que le système sociopolitique traditionnel du Gada perdurait sans compromettre sa fonctionnalité au sein de la communauté Oromo. Comme précisé dans le dossier, le système </w:t>
      </w:r>
      <w:r w:rsidR="009438D5">
        <w:t>était</w:t>
      </w:r>
      <w:r w:rsidR="00E75105">
        <w:t xml:space="preserve"> mis en œuvre</w:t>
      </w:r>
      <w:r w:rsidR="009438D5">
        <w:t xml:space="preserve"> avec une</w:t>
      </w:r>
      <w:r w:rsidR="00E75105">
        <w:t xml:space="preserve"> très </w:t>
      </w:r>
      <w:r w:rsidR="009438D5">
        <w:t xml:space="preserve">vaste </w:t>
      </w:r>
      <w:r w:rsidR="00E75105">
        <w:t>participation comm</w:t>
      </w:r>
      <w:r w:rsidR="009438D5">
        <w:t>unautaire et son application était</w:t>
      </w:r>
      <w:r w:rsidR="00E75105">
        <w:t xml:space="preserve"> exemplaire. La transmission du Gada de génération en génération était très efficace, tant dans la vie quotidienne que dans le cadre du système éducatif. L</w:t>
      </w:r>
      <w:r w:rsidR="00346F1B">
        <w:t>’</w:t>
      </w:r>
      <w:r w:rsidR="00E75105">
        <w:t>État soumissionnaire avait confirmé la mise en œuvre de réformes législatives afin de sauvegarder l</w:t>
      </w:r>
      <w:r w:rsidR="00346F1B">
        <w:t>’</w:t>
      </w:r>
      <w:r w:rsidR="00E75105">
        <w:t>élément en question. Le dossier présentait suffisamment d</w:t>
      </w:r>
      <w:r w:rsidR="00346F1B">
        <w:t>’</w:t>
      </w:r>
      <w:r w:rsidR="00E75105">
        <w:t>informations sur la préservation, la prévention et les mesures de sauvegarde prévues à l</w:t>
      </w:r>
      <w:r w:rsidR="00346F1B">
        <w:t>’</w:t>
      </w:r>
      <w:r w:rsidR="00E75105">
        <w:t>avenir, telles que la publication d</w:t>
      </w:r>
      <w:r w:rsidR="00346F1B">
        <w:t>’</w:t>
      </w:r>
      <w:r w:rsidR="00E75105">
        <w:t>ouvrages, l</w:t>
      </w:r>
      <w:r w:rsidR="00346F1B">
        <w:t>’</w:t>
      </w:r>
      <w:r w:rsidR="00E75105">
        <w:t>éducation et la recherche. Les experts de la délégation avaient estim</w:t>
      </w:r>
      <w:r w:rsidR="009438D5">
        <w:t xml:space="preserve">é que le dossier satisfaisait </w:t>
      </w:r>
      <w:r w:rsidR="00604FD3">
        <w:t xml:space="preserve">le </w:t>
      </w:r>
      <w:r w:rsidR="009438D5">
        <w:t>critère R.3. La délégation était convaincue que la communauté Oromo était très attachée à cet élément transmis de génération en génération, constituant une partie indissociable de leur identité culturelle, comme l</w:t>
      </w:r>
      <w:r w:rsidR="00346F1B">
        <w:t>’</w:t>
      </w:r>
      <w:r w:rsidR="009438D5">
        <w:t>avait souligné l</w:t>
      </w:r>
      <w:r w:rsidR="00346F1B">
        <w:t>’</w:t>
      </w:r>
      <w:r w:rsidR="009438D5">
        <w:t>Organe [subsidiaire] dans sa décision 8.COM 7.a.6, qui mettait plus l</w:t>
      </w:r>
      <w:r w:rsidR="00346F1B">
        <w:t>’</w:t>
      </w:r>
      <w:r w:rsidR="009438D5">
        <w:t>accent sur les lois relatives aux politiques culturelles que sur l</w:t>
      </w:r>
      <w:r w:rsidR="00346F1B">
        <w:t>’</w:t>
      </w:r>
      <w:r w:rsidR="009438D5">
        <w:t>élément lui-même. La délégation a invité l</w:t>
      </w:r>
      <w:r w:rsidR="00346F1B">
        <w:t>’</w:t>
      </w:r>
      <w:r w:rsidR="009438D5">
        <w:t xml:space="preserve">État soumissionnaire à </w:t>
      </w:r>
      <w:r w:rsidR="0068180E">
        <w:t>expliquer cet aspect au Comité.</w:t>
      </w:r>
    </w:p>
    <w:p w14:paraId="59301D8D" w14:textId="2769A6F7" w:rsidR="009438D5" w:rsidRPr="009438D5" w:rsidRDefault="009438D5" w:rsidP="00AE07E0">
      <w:pPr>
        <w:pStyle w:val="Orateurengris"/>
        <w:keepNext/>
        <w:tabs>
          <w:tab w:val="clear" w:pos="709"/>
          <w:tab w:val="clear" w:pos="1418"/>
          <w:tab w:val="clear" w:pos="2126"/>
          <w:tab w:val="clear" w:pos="2835"/>
          <w:tab w:val="clear" w:pos="3686"/>
        </w:tabs>
        <w:spacing w:before="120"/>
        <w:ind w:left="709" w:hanging="709"/>
      </w:pPr>
      <w:r w:rsidRPr="009438D5">
        <w:t>La délégation</w:t>
      </w:r>
      <w:r>
        <w:t xml:space="preserve"> de la </w:t>
      </w:r>
      <w:r w:rsidRPr="009438D5">
        <w:rPr>
          <w:b/>
        </w:rPr>
        <w:t>Zambie</w:t>
      </w:r>
      <w:r>
        <w:t xml:space="preserve"> était d</w:t>
      </w:r>
      <w:r w:rsidR="00346F1B">
        <w:t>’</w:t>
      </w:r>
      <w:r>
        <w:t xml:space="preserve">avis que le dossier de candidature était très explicite quant aux mesures de sauvegarde. </w:t>
      </w:r>
      <w:r w:rsidR="004F39D6">
        <w:t>Le dossier proposait des mesures de sauvegarde légales qui prenaient en considération le symbolisme culturel et le caractère sacré des différents objets et aspects matériels de l</w:t>
      </w:r>
      <w:r w:rsidR="00346F1B">
        <w:t>’</w:t>
      </w:r>
      <w:r w:rsidR="004F39D6">
        <w:t>élément, et on sensibilisait la communauté afin qu</w:t>
      </w:r>
      <w:r w:rsidR="00346F1B">
        <w:t>’</w:t>
      </w:r>
      <w:r w:rsidR="004F39D6">
        <w:t>elle fasse preuve d</w:t>
      </w:r>
      <w:r w:rsidR="00346F1B">
        <w:t>’</w:t>
      </w:r>
      <w:r w:rsidR="004F39D6">
        <w:t>une vigilance accrue. Il conv</w:t>
      </w:r>
      <w:r w:rsidR="00F31051">
        <w:t>enait que la protection s</w:t>
      </w:r>
      <w:r w:rsidR="00346F1B">
        <w:t>’</w:t>
      </w:r>
      <w:r w:rsidR="00F31051">
        <w:t>exerçait</w:t>
      </w:r>
      <w:r w:rsidR="004F39D6">
        <w:t xml:space="preserve"> par les pratiques coutumi</w:t>
      </w:r>
      <w:r w:rsidR="00545A3C">
        <w:t>ères ainsi que dans le cadre de</w:t>
      </w:r>
      <w:r w:rsidR="004F39D6">
        <w:t xml:space="preserve"> lois protégeant de tels biens matériels de la destruction. </w:t>
      </w:r>
      <w:r w:rsidR="00545A3C">
        <w:t>Compte tenu de ces éléments, la délégation soutenait l</w:t>
      </w:r>
      <w:r w:rsidR="00346F1B">
        <w:t>’</w:t>
      </w:r>
      <w:r w:rsidR="00545A3C">
        <w:t>amendement de l</w:t>
      </w:r>
      <w:r w:rsidR="00346F1B">
        <w:t>’</w:t>
      </w:r>
      <w:r w:rsidR="0068180E">
        <w:t>Inde.</w:t>
      </w:r>
    </w:p>
    <w:p w14:paraId="73F5757F" w14:textId="2A0605F6" w:rsidR="00545A3C" w:rsidRDefault="00545A3C" w:rsidP="00AE07E0">
      <w:pPr>
        <w:pStyle w:val="Orateurengris"/>
        <w:keepNext/>
        <w:tabs>
          <w:tab w:val="clear" w:pos="709"/>
          <w:tab w:val="clear" w:pos="1418"/>
          <w:tab w:val="clear" w:pos="2126"/>
          <w:tab w:val="clear" w:pos="2835"/>
          <w:tab w:val="clear" w:pos="3686"/>
        </w:tabs>
        <w:spacing w:before="120"/>
        <w:ind w:left="709" w:hanging="709"/>
      </w:pPr>
      <w:r>
        <w:t xml:space="preserve">La délégation de </w:t>
      </w:r>
      <w:r w:rsidRPr="00545A3C">
        <w:rPr>
          <w:b/>
        </w:rPr>
        <w:t>Maurice</w:t>
      </w:r>
      <w:r>
        <w:t xml:space="preserve"> estimait que dans la section 3.b, l</w:t>
      </w:r>
      <w:r w:rsidR="00346F1B">
        <w:t>’</w:t>
      </w:r>
      <w:r>
        <w:t>Éthiopie faisait clairement montre de son soutien financier et organisationnel continu à la mise en œuvre des mesures de sauvegarde existantes et prévues, un soutien qui se concrétisait par l</w:t>
      </w:r>
      <w:r w:rsidR="00346F1B">
        <w:t>’</w:t>
      </w:r>
      <w:r>
        <w:t>éducation et la recherche, et la participation des structures institutionnelles, tant gouvernementales que non gouvernementales. La délégation soutenait donc l</w:t>
      </w:r>
      <w:r w:rsidR="00346F1B">
        <w:t>’</w:t>
      </w:r>
      <w:r>
        <w:t>amendement de l</w:t>
      </w:r>
      <w:r w:rsidR="00346F1B">
        <w:t>’</w:t>
      </w:r>
      <w:r w:rsidR="0068180E">
        <w:t>Inde.</w:t>
      </w:r>
    </w:p>
    <w:p w14:paraId="7DA5A36A" w14:textId="0532938A" w:rsidR="008D177B" w:rsidRDefault="00545A3C"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545A3C">
        <w:rPr>
          <w:rFonts w:cs="Times New Roman"/>
          <w:szCs w:val="24"/>
        </w:rPr>
        <w:t>délégation</w:t>
      </w:r>
      <w:r>
        <w:rPr>
          <w:rFonts w:cs="Times New Roman"/>
          <w:szCs w:val="24"/>
        </w:rPr>
        <w:t xml:space="preserve"> de l</w:t>
      </w:r>
      <w:r w:rsidR="00346F1B">
        <w:rPr>
          <w:rFonts w:cs="Times New Roman"/>
          <w:szCs w:val="24"/>
        </w:rPr>
        <w:t>’</w:t>
      </w:r>
      <w:r w:rsidRPr="00545A3C">
        <w:rPr>
          <w:rFonts w:cs="Times New Roman"/>
          <w:b/>
          <w:szCs w:val="24"/>
        </w:rPr>
        <w:t>Algérie</w:t>
      </w:r>
      <w:r>
        <w:rPr>
          <w:rFonts w:cs="Times New Roman"/>
          <w:szCs w:val="24"/>
        </w:rPr>
        <w:t xml:space="preserve"> a remercié l</w:t>
      </w:r>
      <w:r w:rsidR="00346F1B">
        <w:rPr>
          <w:rFonts w:cs="Times New Roman"/>
          <w:szCs w:val="24"/>
        </w:rPr>
        <w:t>’</w:t>
      </w:r>
      <w:r>
        <w:rPr>
          <w:rFonts w:cs="Times New Roman"/>
          <w:szCs w:val="24"/>
        </w:rPr>
        <w:t>État soumissionnaire pour son accueil chaleureux et l</w:t>
      </w:r>
      <w:r w:rsidR="00346F1B">
        <w:rPr>
          <w:rFonts w:cs="Times New Roman"/>
          <w:szCs w:val="24"/>
        </w:rPr>
        <w:t>’</w:t>
      </w:r>
      <w:r>
        <w:rPr>
          <w:rFonts w:cs="Times New Roman"/>
          <w:szCs w:val="24"/>
        </w:rPr>
        <w:t xml:space="preserve">impeccable </w:t>
      </w:r>
      <w:r w:rsidRPr="00545A3C">
        <w:rPr>
          <w:rFonts w:cs="Times New Roman"/>
          <w:szCs w:val="24"/>
        </w:rPr>
        <w:t>organisation</w:t>
      </w:r>
      <w:r>
        <w:rPr>
          <w:rFonts w:cs="Times New Roman"/>
          <w:szCs w:val="24"/>
        </w:rPr>
        <w:t xml:space="preserve"> de cette réunion. S</w:t>
      </w:r>
      <w:r w:rsidR="00346F1B">
        <w:rPr>
          <w:rFonts w:cs="Times New Roman"/>
          <w:szCs w:val="24"/>
        </w:rPr>
        <w:t>’</w:t>
      </w:r>
      <w:r>
        <w:rPr>
          <w:rFonts w:cs="Times New Roman"/>
          <w:szCs w:val="24"/>
        </w:rPr>
        <w:t>agissant des préoccupations soulevées par l</w:t>
      </w:r>
      <w:r w:rsidR="00346F1B">
        <w:rPr>
          <w:rFonts w:cs="Times New Roman"/>
          <w:szCs w:val="24"/>
        </w:rPr>
        <w:t>’</w:t>
      </w:r>
      <w:r>
        <w:rPr>
          <w:rFonts w:cs="Times New Roman"/>
          <w:szCs w:val="24"/>
        </w:rPr>
        <w:t>Organe d</w:t>
      </w:r>
      <w:r w:rsidR="00346F1B">
        <w:rPr>
          <w:rFonts w:cs="Times New Roman"/>
          <w:szCs w:val="24"/>
        </w:rPr>
        <w:t>’</w:t>
      </w:r>
      <w:r>
        <w:rPr>
          <w:rFonts w:cs="Times New Roman"/>
          <w:szCs w:val="24"/>
        </w:rPr>
        <w:t xml:space="preserve">évaluation quant à la </w:t>
      </w:r>
      <w:r w:rsidRPr="00545A3C">
        <w:rPr>
          <w:rFonts w:cs="Times New Roman"/>
          <w:szCs w:val="24"/>
        </w:rPr>
        <w:t>participation</w:t>
      </w:r>
      <w:r>
        <w:rPr>
          <w:rFonts w:cs="Times New Roman"/>
          <w:szCs w:val="24"/>
        </w:rPr>
        <w:t xml:space="preserve"> de la </w:t>
      </w:r>
      <w:r w:rsidRPr="00545A3C">
        <w:rPr>
          <w:rFonts w:cs="Times New Roman"/>
          <w:szCs w:val="24"/>
        </w:rPr>
        <w:t>communauté</w:t>
      </w:r>
      <w:r>
        <w:rPr>
          <w:rFonts w:cs="Times New Roman"/>
          <w:szCs w:val="24"/>
        </w:rPr>
        <w:t xml:space="preserve"> à la </w:t>
      </w:r>
      <w:r w:rsidRPr="00545A3C">
        <w:rPr>
          <w:rFonts w:cs="Times New Roman"/>
          <w:szCs w:val="24"/>
        </w:rPr>
        <w:t>préparation</w:t>
      </w:r>
      <w:r>
        <w:rPr>
          <w:rFonts w:cs="Times New Roman"/>
          <w:szCs w:val="24"/>
        </w:rPr>
        <w:t xml:space="preserve"> du dossier, la </w:t>
      </w:r>
      <w:r w:rsidRPr="00545A3C">
        <w:rPr>
          <w:rFonts w:cs="Times New Roman"/>
          <w:szCs w:val="24"/>
        </w:rPr>
        <w:t>délégation</w:t>
      </w:r>
      <w:r>
        <w:rPr>
          <w:rFonts w:cs="Times New Roman"/>
          <w:szCs w:val="24"/>
        </w:rPr>
        <w:t xml:space="preserve"> </w:t>
      </w:r>
      <w:r w:rsidR="00F31051">
        <w:rPr>
          <w:rFonts w:cs="Times New Roman"/>
          <w:szCs w:val="24"/>
        </w:rPr>
        <w:t>estimait</w:t>
      </w:r>
      <w:r w:rsidR="008D177B">
        <w:rPr>
          <w:rFonts w:cs="Times New Roman"/>
          <w:szCs w:val="24"/>
        </w:rPr>
        <w:t xml:space="preserve"> </w:t>
      </w:r>
      <w:r>
        <w:rPr>
          <w:rFonts w:cs="Times New Roman"/>
          <w:szCs w:val="24"/>
        </w:rPr>
        <w:t>que le dossier</w:t>
      </w:r>
      <w:r w:rsidR="008D177B">
        <w:rPr>
          <w:rFonts w:cs="Times New Roman"/>
          <w:szCs w:val="24"/>
        </w:rPr>
        <w:t xml:space="preserve"> présentait de nombreux exemples </w:t>
      </w:r>
      <w:r>
        <w:rPr>
          <w:rFonts w:cs="Times New Roman"/>
          <w:szCs w:val="24"/>
        </w:rPr>
        <w:t xml:space="preserve">de la participation pleine et entière des </w:t>
      </w:r>
      <w:r w:rsidRPr="00545A3C">
        <w:rPr>
          <w:rFonts w:cs="Times New Roman"/>
          <w:szCs w:val="24"/>
        </w:rPr>
        <w:t>détenteurs</w:t>
      </w:r>
      <w:r>
        <w:rPr>
          <w:rFonts w:cs="Times New Roman"/>
          <w:szCs w:val="24"/>
        </w:rPr>
        <w:t xml:space="preserve"> et des praticiens du système du Gada</w:t>
      </w:r>
      <w:r w:rsidR="008D177B">
        <w:rPr>
          <w:rFonts w:cs="Times New Roman"/>
          <w:szCs w:val="24"/>
        </w:rPr>
        <w:t xml:space="preserve"> à cette démarche</w:t>
      </w:r>
      <w:r>
        <w:rPr>
          <w:rFonts w:cs="Times New Roman"/>
          <w:szCs w:val="24"/>
        </w:rPr>
        <w:t xml:space="preserve">, comme </w:t>
      </w:r>
      <w:r w:rsidR="008D177B">
        <w:rPr>
          <w:rFonts w:cs="Times New Roman"/>
          <w:szCs w:val="24"/>
        </w:rPr>
        <w:t xml:space="preserve">le décrivaient les sections 3.b et 4, ainsi que de leur implication dans les actions visant à garantir la </w:t>
      </w:r>
      <w:r w:rsidR="008D177B" w:rsidRPr="008D177B">
        <w:rPr>
          <w:rFonts w:cs="Times New Roman"/>
          <w:szCs w:val="24"/>
        </w:rPr>
        <w:t>viabilité</w:t>
      </w:r>
      <w:r w:rsidR="008D177B">
        <w:rPr>
          <w:rFonts w:cs="Times New Roman"/>
          <w:szCs w:val="24"/>
        </w:rPr>
        <w:t xml:space="preserve"> de l</w:t>
      </w:r>
      <w:r w:rsidR="00346F1B">
        <w:rPr>
          <w:rFonts w:cs="Times New Roman"/>
          <w:szCs w:val="24"/>
        </w:rPr>
        <w:t>’</w:t>
      </w:r>
      <w:r w:rsidR="008D177B" w:rsidRPr="008D177B">
        <w:rPr>
          <w:rFonts w:cs="Times New Roman"/>
          <w:szCs w:val="24"/>
        </w:rPr>
        <w:t>élément</w:t>
      </w:r>
      <w:r w:rsidR="008D177B">
        <w:rPr>
          <w:rFonts w:cs="Times New Roman"/>
          <w:szCs w:val="24"/>
        </w:rPr>
        <w:t xml:space="preserve">. La </w:t>
      </w:r>
      <w:r w:rsidR="008D177B" w:rsidRPr="008D177B">
        <w:rPr>
          <w:rFonts w:cs="Times New Roman"/>
          <w:szCs w:val="24"/>
        </w:rPr>
        <w:t>délégation</w:t>
      </w:r>
      <w:r w:rsidR="008D177B">
        <w:rPr>
          <w:rFonts w:cs="Times New Roman"/>
          <w:szCs w:val="24"/>
        </w:rPr>
        <w:t xml:space="preserve"> </w:t>
      </w:r>
      <w:r w:rsidR="00F31051">
        <w:rPr>
          <w:rFonts w:cs="Times New Roman"/>
          <w:szCs w:val="24"/>
        </w:rPr>
        <w:t>a donc exprimé</w:t>
      </w:r>
      <w:r w:rsidR="008D177B">
        <w:rPr>
          <w:rFonts w:cs="Times New Roman"/>
          <w:szCs w:val="24"/>
        </w:rPr>
        <w:t xml:space="preserve"> donc son soutien à l</w:t>
      </w:r>
      <w:r w:rsidR="00346F1B">
        <w:rPr>
          <w:rFonts w:cs="Times New Roman"/>
          <w:szCs w:val="24"/>
        </w:rPr>
        <w:t>’</w:t>
      </w:r>
      <w:r w:rsidR="008D177B" w:rsidRPr="008D177B">
        <w:rPr>
          <w:rFonts w:cs="Times New Roman"/>
          <w:szCs w:val="24"/>
        </w:rPr>
        <w:t>amendement</w:t>
      </w:r>
      <w:r w:rsidR="008D177B">
        <w:rPr>
          <w:rFonts w:cs="Times New Roman"/>
          <w:szCs w:val="24"/>
        </w:rPr>
        <w:t xml:space="preserve"> de l</w:t>
      </w:r>
      <w:r w:rsidR="00346F1B">
        <w:rPr>
          <w:rFonts w:cs="Times New Roman"/>
          <w:szCs w:val="24"/>
        </w:rPr>
        <w:t>’</w:t>
      </w:r>
      <w:r w:rsidR="0068180E">
        <w:rPr>
          <w:rFonts w:cs="Times New Roman"/>
          <w:szCs w:val="24"/>
        </w:rPr>
        <w:t>Inde.</w:t>
      </w:r>
    </w:p>
    <w:p w14:paraId="7302D89B" w14:textId="0148ECF9" w:rsidR="008D177B" w:rsidRPr="008D177B" w:rsidRDefault="008D177B"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Compte tenu de l</w:t>
      </w:r>
      <w:r w:rsidR="00346F1B">
        <w:rPr>
          <w:rFonts w:cs="Times New Roman"/>
          <w:szCs w:val="24"/>
        </w:rPr>
        <w:t>’</w:t>
      </w:r>
      <w:r w:rsidRPr="008D177B">
        <w:rPr>
          <w:rFonts w:cs="Times New Roman"/>
          <w:szCs w:val="24"/>
        </w:rPr>
        <w:t xml:space="preserve">explication très détaillée du dossier </w:t>
      </w:r>
      <w:r>
        <w:rPr>
          <w:rFonts w:cs="Times New Roman"/>
          <w:szCs w:val="24"/>
        </w:rPr>
        <w:t xml:space="preserve">donnée </w:t>
      </w:r>
      <w:r w:rsidRPr="008D177B">
        <w:rPr>
          <w:rFonts w:cs="Times New Roman"/>
          <w:szCs w:val="24"/>
        </w:rPr>
        <w:t>par l</w:t>
      </w:r>
      <w:r w:rsidR="00346F1B">
        <w:rPr>
          <w:rFonts w:cs="Times New Roman"/>
          <w:szCs w:val="24"/>
        </w:rPr>
        <w:t>’</w:t>
      </w:r>
      <w:r w:rsidRPr="008D177B">
        <w:rPr>
          <w:rFonts w:cs="Times New Roman"/>
          <w:szCs w:val="24"/>
        </w:rPr>
        <w:t xml:space="preserve">Inde et des </w:t>
      </w:r>
      <w:r>
        <w:t>éclaircissements apportés par l</w:t>
      </w:r>
      <w:r w:rsidR="00346F1B">
        <w:t>’</w:t>
      </w:r>
      <w:r>
        <w:t xml:space="preserve">Éthiopie, </w:t>
      </w:r>
      <w:r w:rsidRPr="008D177B">
        <w:rPr>
          <w:rFonts w:cs="Times New Roman"/>
          <w:szCs w:val="24"/>
        </w:rPr>
        <w:t xml:space="preserve">la délégation de </w:t>
      </w:r>
      <w:r w:rsidRPr="008D177B">
        <w:rPr>
          <w:rFonts w:cs="Times New Roman"/>
          <w:b/>
          <w:szCs w:val="24"/>
        </w:rPr>
        <w:t>Chypre</w:t>
      </w:r>
      <w:r w:rsidRPr="008D177B">
        <w:rPr>
          <w:rFonts w:cs="Times New Roman"/>
          <w:szCs w:val="24"/>
        </w:rPr>
        <w:t xml:space="preserve"> a demandé que l</w:t>
      </w:r>
      <w:r w:rsidR="00346F1B">
        <w:rPr>
          <w:rFonts w:cs="Times New Roman"/>
          <w:szCs w:val="24"/>
        </w:rPr>
        <w:t>’</w:t>
      </w:r>
      <w:r w:rsidRPr="008D177B">
        <w:rPr>
          <w:rFonts w:cs="Times New Roman"/>
          <w:szCs w:val="24"/>
        </w:rPr>
        <w:t xml:space="preserve">on avance </w:t>
      </w:r>
      <w:r w:rsidR="0068180E">
        <w:rPr>
          <w:rFonts w:cs="Times New Roman"/>
          <w:szCs w:val="24"/>
        </w:rPr>
        <w:t>dans la réunion.</w:t>
      </w:r>
    </w:p>
    <w:p w14:paraId="11FAA626" w14:textId="522BF7D2" w:rsidR="008D177B" w:rsidRPr="008D177B" w:rsidRDefault="008D177B"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Après avoir remercié Chypre pour sa </w:t>
      </w:r>
      <w:r w:rsidRPr="008D177B">
        <w:rPr>
          <w:rFonts w:cs="Times New Roman"/>
          <w:szCs w:val="24"/>
        </w:rPr>
        <w:t xml:space="preserve">proposition </w:t>
      </w:r>
      <w:r>
        <w:rPr>
          <w:rFonts w:cs="Times New Roman"/>
          <w:szCs w:val="24"/>
        </w:rPr>
        <w:t xml:space="preserve">très constructive, le </w:t>
      </w:r>
      <w:r w:rsidR="00754EC3">
        <w:rPr>
          <w:rFonts w:cs="Times New Roman"/>
          <w:b/>
          <w:szCs w:val="24"/>
        </w:rPr>
        <w:t>Vice-Président</w:t>
      </w:r>
      <w:r>
        <w:rPr>
          <w:rFonts w:cs="Times New Roman"/>
          <w:szCs w:val="24"/>
        </w:rPr>
        <w:t xml:space="preserve"> a proposé que l</w:t>
      </w:r>
      <w:r w:rsidR="00346F1B">
        <w:rPr>
          <w:rFonts w:cs="Times New Roman"/>
          <w:szCs w:val="24"/>
        </w:rPr>
        <w:t>’</w:t>
      </w:r>
      <w:r w:rsidR="0068180E">
        <w:rPr>
          <w:rFonts w:cs="Times New Roman"/>
          <w:szCs w:val="24"/>
        </w:rPr>
        <w:t>on avance dans les débats.</w:t>
      </w:r>
    </w:p>
    <w:p w14:paraId="31A17A55" w14:textId="25D71037" w:rsidR="00761E05" w:rsidRPr="00761E05" w:rsidRDefault="008D177B"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8D177B">
        <w:rPr>
          <w:rFonts w:cs="Times New Roman"/>
          <w:szCs w:val="24"/>
        </w:rPr>
        <w:t>délégation</w:t>
      </w:r>
      <w:r>
        <w:rPr>
          <w:rFonts w:cs="Times New Roman"/>
          <w:szCs w:val="24"/>
        </w:rPr>
        <w:t xml:space="preserve"> de </w:t>
      </w:r>
      <w:r w:rsidRPr="008D177B">
        <w:rPr>
          <w:rFonts w:cs="Times New Roman"/>
          <w:b/>
          <w:szCs w:val="24"/>
        </w:rPr>
        <w:t>Sainte-Lucie</w:t>
      </w:r>
      <w:r>
        <w:rPr>
          <w:rFonts w:cs="Times New Roman"/>
          <w:szCs w:val="24"/>
        </w:rPr>
        <w:t xml:space="preserve"> souhaitait apporter un </w:t>
      </w:r>
      <w:r w:rsidR="00EC5C3D">
        <w:rPr>
          <w:rFonts w:cs="Times New Roman"/>
          <w:szCs w:val="24"/>
        </w:rPr>
        <w:t xml:space="preserve">réel </w:t>
      </w:r>
      <w:r>
        <w:rPr>
          <w:rFonts w:cs="Times New Roman"/>
          <w:szCs w:val="24"/>
        </w:rPr>
        <w:t>soutien</w:t>
      </w:r>
      <w:r w:rsidR="00EC5C3D">
        <w:rPr>
          <w:rFonts w:cs="Times New Roman"/>
          <w:szCs w:val="24"/>
        </w:rPr>
        <w:t>, tant</w:t>
      </w:r>
      <w:r>
        <w:rPr>
          <w:rFonts w:cs="Times New Roman"/>
          <w:szCs w:val="24"/>
        </w:rPr>
        <w:t xml:space="preserve"> émotionnel </w:t>
      </w:r>
      <w:r w:rsidR="00EC5C3D">
        <w:rPr>
          <w:rFonts w:cs="Times New Roman"/>
          <w:szCs w:val="24"/>
        </w:rPr>
        <w:t xml:space="preserve">que spirituel, </w:t>
      </w:r>
      <w:r>
        <w:rPr>
          <w:rFonts w:cs="Times New Roman"/>
          <w:szCs w:val="24"/>
        </w:rPr>
        <w:t>à l</w:t>
      </w:r>
      <w:r w:rsidR="00346F1B">
        <w:rPr>
          <w:rFonts w:cs="Times New Roman"/>
          <w:szCs w:val="24"/>
        </w:rPr>
        <w:t>’</w:t>
      </w:r>
      <w:r w:rsidRPr="008D177B">
        <w:rPr>
          <w:rFonts w:cs="Times New Roman"/>
          <w:szCs w:val="24"/>
        </w:rPr>
        <w:t>amendement</w:t>
      </w:r>
      <w:r>
        <w:rPr>
          <w:rFonts w:cs="Times New Roman"/>
          <w:szCs w:val="24"/>
        </w:rPr>
        <w:t xml:space="preserve"> proposé. </w:t>
      </w:r>
      <w:r w:rsidR="00EC5C3D">
        <w:rPr>
          <w:rFonts w:cs="Times New Roman"/>
          <w:szCs w:val="24"/>
        </w:rPr>
        <w:t xml:space="preserve">La </w:t>
      </w:r>
      <w:r w:rsidR="00EC5C3D" w:rsidRPr="00EC5C3D">
        <w:rPr>
          <w:rFonts w:cs="Times New Roman"/>
          <w:szCs w:val="24"/>
        </w:rPr>
        <w:t>délégation</w:t>
      </w:r>
      <w:r w:rsidR="00EC5C3D">
        <w:rPr>
          <w:rFonts w:cs="Times New Roman"/>
          <w:szCs w:val="24"/>
        </w:rPr>
        <w:t xml:space="preserve"> a évoqué le </w:t>
      </w:r>
      <w:r w:rsidR="00EC5C3D" w:rsidRPr="00EC5C3D">
        <w:rPr>
          <w:rFonts w:cs="Times New Roman"/>
          <w:szCs w:val="24"/>
        </w:rPr>
        <w:t>patrimoine</w:t>
      </w:r>
      <w:r w:rsidR="00EC5C3D">
        <w:rPr>
          <w:rFonts w:cs="Times New Roman"/>
          <w:szCs w:val="24"/>
        </w:rPr>
        <w:t xml:space="preserve"> tr</w:t>
      </w:r>
      <w:r w:rsidR="0095115E">
        <w:rPr>
          <w:rFonts w:cs="Times New Roman"/>
          <w:szCs w:val="24"/>
        </w:rPr>
        <w:t>ès riche que Sainte-Lucie et la Caraïbe</w:t>
      </w:r>
      <w:r w:rsidR="00EC5C3D">
        <w:rPr>
          <w:rFonts w:cs="Times New Roman"/>
          <w:szCs w:val="24"/>
        </w:rPr>
        <w:t xml:space="preserve"> </w:t>
      </w:r>
      <w:r w:rsidR="00A3716B">
        <w:rPr>
          <w:rFonts w:cs="Times New Roman"/>
          <w:szCs w:val="24"/>
        </w:rPr>
        <w:t xml:space="preserve">partageaient </w:t>
      </w:r>
      <w:r w:rsidR="00EC5C3D">
        <w:rPr>
          <w:rFonts w:cs="Times New Roman"/>
          <w:szCs w:val="24"/>
        </w:rPr>
        <w:t>avec l</w:t>
      </w:r>
      <w:r w:rsidR="00346F1B">
        <w:rPr>
          <w:rFonts w:cs="Times New Roman"/>
          <w:szCs w:val="24"/>
        </w:rPr>
        <w:t>’</w:t>
      </w:r>
      <w:r w:rsidR="00EC5C3D">
        <w:rPr>
          <w:rFonts w:cs="Times New Roman"/>
          <w:szCs w:val="24"/>
        </w:rPr>
        <w:t xml:space="preserve">Afrique, et </w:t>
      </w:r>
      <w:r w:rsidR="00EC5C3D" w:rsidRPr="00EC5C3D">
        <w:rPr>
          <w:szCs w:val="24"/>
        </w:rPr>
        <w:t>en particulier</w:t>
      </w:r>
      <w:r w:rsidR="00EC5C3D">
        <w:rPr>
          <w:rFonts w:cs="Times New Roman"/>
          <w:szCs w:val="24"/>
        </w:rPr>
        <w:t xml:space="preserve"> avec l</w:t>
      </w:r>
      <w:r w:rsidR="00346F1B">
        <w:rPr>
          <w:rFonts w:cs="Times New Roman"/>
          <w:szCs w:val="24"/>
        </w:rPr>
        <w:t>’</w:t>
      </w:r>
      <w:r w:rsidR="00EC5C3D" w:rsidRPr="00EC5C3D">
        <w:t>Éthiopie</w:t>
      </w:r>
      <w:r w:rsidR="00EC5C3D">
        <w:rPr>
          <w:rFonts w:cs="Times New Roman"/>
          <w:szCs w:val="24"/>
        </w:rPr>
        <w:t xml:space="preserve">, de nombreuses communautés caribéennes faisant de ce pays leur foyer spirituel. Elle avait </w:t>
      </w:r>
      <w:r w:rsidR="00A3716B" w:rsidRPr="00A3716B">
        <w:rPr>
          <w:rFonts w:cs="Times New Roman"/>
          <w:szCs w:val="24"/>
        </w:rPr>
        <w:t>également</w:t>
      </w:r>
      <w:r w:rsidR="00A3716B">
        <w:rPr>
          <w:rFonts w:cs="Times New Roman"/>
          <w:szCs w:val="24"/>
        </w:rPr>
        <w:t xml:space="preserve"> </w:t>
      </w:r>
      <w:r w:rsidR="00EC5C3D">
        <w:rPr>
          <w:rFonts w:cs="Times New Roman"/>
          <w:szCs w:val="24"/>
        </w:rPr>
        <w:t xml:space="preserve">apprécié la </w:t>
      </w:r>
      <w:r w:rsidR="00EC5C3D" w:rsidRPr="00EC5C3D">
        <w:rPr>
          <w:rFonts w:cs="Times New Roman"/>
        </w:rPr>
        <w:t xml:space="preserve">contribution </w:t>
      </w:r>
      <w:r w:rsidR="00EC5C3D">
        <w:rPr>
          <w:rFonts w:cs="Times New Roman"/>
          <w:szCs w:val="24"/>
        </w:rPr>
        <w:t>du Sénégal qui invitait à une approche prudente lorsqu</w:t>
      </w:r>
      <w:r w:rsidR="003A6355">
        <w:rPr>
          <w:rFonts w:cs="Times New Roman"/>
          <w:szCs w:val="24"/>
        </w:rPr>
        <w:t>e l</w:t>
      </w:r>
      <w:r w:rsidR="00346F1B">
        <w:rPr>
          <w:rFonts w:cs="Times New Roman"/>
          <w:szCs w:val="24"/>
        </w:rPr>
        <w:t>’</w:t>
      </w:r>
      <w:r w:rsidR="00EC5C3D">
        <w:rPr>
          <w:rFonts w:cs="Times New Roman"/>
          <w:szCs w:val="24"/>
        </w:rPr>
        <w:t xml:space="preserve">on abordait les pratiques </w:t>
      </w:r>
      <w:r w:rsidR="00A3716B">
        <w:rPr>
          <w:rFonts w:cs="Times New Roman"/>
          <w:szCs w:val="24"/>
        </w:rPr>
        <w:t xml:space="preserve">traditionnelles </w:t>
      </w:r>
      <w:r w:rsidR="00EC5C3D">
        <w:rPr>
          <w:rFonts w:cs="Times New Roman"/>
          <w:szCs w:val="24"/>
        </w:rPr>
        <w:t>et les questions telles que la contrainte et la coercition, ajoutant que de n</w:t>
      </w:r>
      <w:r w:rsidR="00A3716B">
        <w:rPr>
          <w:rFonts w:cs="Times New Roman"/>
          <w:szCs w:val="24"/>
        </w:rPr>
        <w:t>ombreux éléments matériels éta</w:t>
      </w:r>
      <w:r w:rsidR="00EC5C3D">
        <w:rPr>
          <w:rFonts w:cs="Times New Roman"/>
          <w:szCs w:val="24"/>
        </w:rPr>
        <w:t xml:space="preserve">nt en fait indissociables du </w:t>
      </w:r>
      <w:r w:rsidR="00EC5C3D" w:rsidRPr="00EC5C3D">
        <w:rPr>
          <w:rFonts w:cs="Times New Roman"/>
          <w:szCs w:val="24"/>
        </w:rPr>
        <w:t>patrimoine</w:t>
      </w:r>
      <w:r w:rsidR="00EC5C3D">
        <w:rPr>
          <w:rFonts w:cs="Times New Roman"/>
          <w:szCs w:val="24"/>
        </w:rPr>
        <w:t xml:space="preserve"> </w:t>
      </w:r>
      <w:r w:rsidR="00EC5C3D" w:rsidRPr="00EC5C3D">
        <w:rPr>
          <w:rFonts w:cs="Times New Roman"/>
          <w:szCs w:val="24"/>
        </w:rPr>
        <w:t>immatériel</w:t>
      </w:r>
      <w:r w:rsidR="00A3716B">
        <w:rPr>
          <w:rFonts w:cs="Times New Roman"/>
          <w:szCs w:val="24"/>
        </w:rPr>
        <w:t xml:space="preserve">, les graves menaces pesant sur les éléments rendaient nécessaire une </w:t>
      </w:r>
      <w:r w:rsidR="00A3716B" w:rsidRPr="00A3716B">
        <w:rPr>
          <w:rFonts w:cs="Times New Roman"/>
          <w:szCs w:val="24"/>
        </w:rPr>
        <w:t>protection</w:t>
      </w:r>
      <w:r w:rsidR="00A3716B">
        <w:rPr>
          <w:rFonts w:cs="Times New Roman"/>
          <w:szCs w:val="24"/>
        </w:rPr>
        <w:t xml:space="preserve"> juridique. La </w:t>
      </w:r>
      <w:r w:rsidR="00A3716B" w:rsidRPr="00A3716B">
        <w:rPr>
          <w:rFonts w:cs="Times New Roman"/>
          <w:szCs w:val="24"/>
        </w:rPr>
        <w:t>délégation</w:t>
      </w:r>
      <w:r w:rsidR="00A3716B">
        <w:rPr>
          <w:rFonts w:cs="Times New Roman"/>
          <w:szCs w:val="24"/>
        </w:rPr>
        <w:t xml:space="preserve"> a donné l</w:t>
      </w:r>
      <w:r w:rsidR="00346F1B">
        <w:rPr>
          <w:rFonts w:cs="Times New Roman"/>
          <w:szCs w:val="24"/>
        </w:rPr>
        <w:t>’</w:t>
      </w:r>
      <w:r w:rsidR="00A3716B">
        <w:rPr>
          <w:rFonts w:cs="Times New Roman"/>
          <w:szCs w:val="24"/>
        </w:rPr>
        <w:t>exemple des rituels sacrés associés à des terres sacrées, et lorsque des personnes venues de l</w:t>
      </w:r>
      <w:r w:rsidR="00346F1B">
        <w:rPr>
          <w:rFonts w:cs="Times New Roman"/>
          <w:szCs w:val="24"/>
        </w:rPr>
        <w:t>’</w:t>
      </w:r>
      <w:r w:rsidR="00A3716B">
        <w:rPr>
          <w:rFonts w:cs="Times New Roman"/>
          <w:szCs w:val="24"/>
        </w:rPr>
        <w:t xml:space="preserve">extérieur, </w:t>
      </w:r>
      <w:r w:rsidR="00A3716B" w:rsidRPr="00A3716B">
        <w:rPr>
          <w:szCs w:val="24"/>
        </w:rPr>
        <w:t>en particulier</w:t>
      </w:r>
      <w:r w:rsidR="00A3716B">
        <w:rPr>
          <w:rFonts w:cs="Times New Roman"/>
          <w:szCs w:val="24"/>
        </w:rPr>
        <w:t xml:space="preserve"> des touristes, devenaient des </w:t>
      </w:r>
      <w:r w:rsidR="00A3716B" w:rsidRPr="00A3716B">
        <w:rPr>
          <w:szCs w:val="24"/>
        </w:rPr>
        <w:t>parties prenantes</w:t>
      </w:r>
      <w:r w:rsidR="00A3716B">
        <w:rPr>
          <w:rFonts w:cs="Times New Roman"/>
          <w:szCs w:val="24"/>
        </w:rPr>
        <w:t xml:space="preserve"> de ce </w:t>
      </w:r>
      <w:r w:rsidR="00A3716B" w:rsidRPr="00A3716B">
        <w:rPr>
          <w:rFonts w:cs="Times New Roman"/>
          <w:szCs w:val="24"/>
        </w:rPr>
        <w:t>patrimoine</w:t>
      </w:r>
      <w:r w:rsidR="00A3716B">
        <w:rPr>
          <w:rFonts w:cs="Times New Roman"/>
          <w:szCs w:val="24"/>
        </w:rPr>
        <w:t xml:space="preserve"> matériel. Le </w:t>
      </w:r>
      <w:r w:rsidR="00A3716B" w:rsidRPr="00A3716B">
        <w:rPr>
          <w:rFonts w:cs="Times New Roman"/>
          <w:szCs w:val="24"/>
        </w:rPr>
        <w:t>patrimoine</w:t>
      </w:r>
      <w:r w:rsidR="00A3716B">
        <w:rPr>
          <w:rFonts w:cs="Times New Roman"/>
          <w:szCs w:val="24"/>
        </w:rPr>
        <w:t xml:space="preserve"> matériel était tellement indissociable </w:t>
      </w:r>
      <w:r w:rsidR="00761E05">
        <w:rPr>
          <w:rFonts w:cs="Times New Roman"/>
          <w:szCs w:val="24"/>
        </w:rPr>
        <w:t xml:space="preserve">du </w:t>
      </w:r>
      <w:r w:rsidR="00761E05" w:rsidRPr="00761E05">
        <w:rPr>
          <w:rFonts w:cs="Times New Roman"/>
          <w:szCs w:val="24"/>
        </w:rPr>
        <w:t>patrimoine</w:t>
      </w:r>
      <w:r w:rsidR="00761E05">
        <w:rPr>
          <w:rFonts w:cs="Times New Roman"/>
          <w:szCs w:val="24"/>
        </w:rPr>
        <w:t xml:space="preserve"> </w:t>
      </w:r>
      <w:r w:rsidR="00761E05" w:rsidRPr="00761E05">
        <w:rPr>
          <w:rFonts w:cs="Times New Roman"/>
          <w:szCs w:val="24"/>
        </w:rPr>
        <w:t>immatériel</w:t>
      </w:r>
      <w:r w:rsidR="00761E05">
        <w:rPr>
          <w:rFonts w:cs="Times New Roman"/>
          <w:szCs w:val="24"/>
        </w:rPr>
        <w:t xml:space="preserve"> que les </w:t>
      </w:r>
      <w:r w:rsidR="00761E05" w:rsidRPr="00761E05">
        <w:rPr>
          <w:rFonts w:cs="Times New Roman"/>
          <w:szCs w:val="24"/>
        </w:rPr>
        <w:t>détenteurs</w:t>
      </w:r>
      <w:r w:rsidR="00761E05">
        <w:rPr>
          <w:rFonts w:cs="Times New Roman"/>
          <w:szCs w:val="24"/>
        </w:rPr>
        <w:t xml:space="preserve"> devenaient les acteurs de la survie et de la permanence du </w:t>
      </w:r>
      <w:r w:rsidR="00761E05" w:rsidRPr="00761E05">
        <w:rPr>
          <w:rFonts w:cs="Times New Roman"/>
          <w:szCs w:val="24"/>
        </w:rPr>
        <w:t>patrimoine</w:t>
      </w:r>
      <w:r w:rsidR="00761E05">
        <w:rPr>
          <w:rFonts w:cs="Times New Roman"/>
          <w:szCs w:val="24"/>
        </w:rPr>
        <w:t xml:space="preserve"> </w:t>
      </w:r>
      <w:r w:rsidR="00761E05" w:rsidRPr="00761E05">
        <w:rPr>
          <w:rFonts w:cs="Times New Roman"/>
          <w:szCs w:val="24"/>
        </w:rPr>
        <w:t>immatériel</w:t>
      </w:r>
      <w:r w:rsidR="005B79E2">
        <w:rPr>
          <w:rFonts w:cs="Times New Roman"/>
          <w:szCs w:val="24"/>
        </w:rPr>
        <w:t>. Certaines de ces</w:t>
      </w:r>
      <w:r w:rsidR="00761E05">
        <w:rPr>
          <w:rFonts w:cs="Times New Roman"/>
          <w:szCs w:val="24"/>
        </w:rPr>
        <w:t xml:space="preserve"> personnes venues de l</w:t>
      </w:r>
      <w:r w:rsidR="00346F1B">
        <w:rPr>
          <w:rFonts w:cs="Times New Roman"/>
          <w:szCs w:val="24"/>
        </w:rPr>
        <w:t>’</w:t>
      </w:r>
      <w:r w:rsidR="00761E05">
        <w:rPr>
          <w:rFonts w:cs="Times New Roman"/>
          <w:szCs w:val="24"/>
        </w:rPr>
        <w:t xml:space="preserve">extérieur venaient avec leurs valeurs et leur vision du monde qui </w:t>
      </w:r>
      <w:r w:rsidR="005B79E2">
        <w:rPr>
          <w:rFonts w:cs="Times New Roman"/>
          <w:szCs w:val="24"/>
        </w:rPr>
        <w:t>ne correspondaient pas à</w:t>
      </w:r>
      <w:r w:rsidR="00761E05">
        <w:rPr>
          <w:rFonts w:cs="Times New Roman"/>
          <w:szCs w:val="24"/>
        </w:rPr>
        <w:t xml:space="preserve"> celles des </w:t>
      </w:r>
      <w:r w:rsidR="00761E05" w:rsidRPr="00761E05">
        <w:rPr>
          <w:rFonts w:cs="Times New Roman"/>
          <w:szCs w:val="24"/>
        </w:rPr>
        <w:t>détenteurs</w:t>
      </w:r>
      <w:r w:rsidR="00761E05">
        <w:rPr>
          <w:rFonts w:cs="Times New Roman"/>
          <w:szCs w:val="24"/>
        </w:rPr>
        <w:t>, il était donc essentiel qu</w:t>
      </w:r>
      <w:r w:rsidR="00346F1B">
        <w:rPr>
          <w:rFonts w:cs="Times New Roman"/>
          <w:szCs w:val="24"/>
        </w:rPr>
        <w:t>’</w:t>
      </w:r>
      <w:r w:rsidR="00761E05">
        <w:rPr>
          <w:rFonts w:cs="Times New Roman"/>
          <w:szCs w:val="24"/>
        </w:rPr>
        <w:t>une certaine coercition s</w:t>
      </w:r>
      <w:r w:rsidR="00346F1B">
        <w:rPr>
          <w:rFonts w:cs="Times New Roman"/>
          <w:szCs w:val="24"/>
        </w:rPr>
        <w:t>’</w:t>
      </w:r>
      <w:r w:rsidR="00761E05">
        <w:rPr>
          <w:rFonts w:cs="Times New Roman"/>
          <w:szCs w:val="24"/>
        </w:rPr>
        <w:t xml:space="preserve">exerce afin de protéger le </w:t>
      </w:r>
      <w:r w:rsidR="00761E05" w:rsidRPr="00761E05">
        <w:rPr>
          <w:rFonts w:cs="Times New Roman"/>
          <w:szCs w:val="24"/>
        </w:rPr>
        <w:t>patrimoine</w:t>
      </w:r>
      <w:r w:rsidR="00761E05">
        <w:rPr>
          <w:rFonts w:cs="Times New Roman"/>
          <w:szCs w:val="24"/>
        </w:rPr>
        <w:t xml:space="preserve"> </w:t>
      </w:r>
      <w:r w:rsidR="00761E05" w:rsidRPr="00761E05">
        <w:rPr>
          <w:rFonts w:cs="Times New Roman"/>
          <w:szCs w:val="24"/>
        </w:rPr>
        <w:t>immatériel</w:t>
      </w:r>
      <w:r w:rsidR="00761E05">
        <w:rPr>
          <w:rFonts w:cs="Times New Roman"/>
          <w:szCs w:val="24"/>
        </w:rPr>
        <w:t xml:space="preserve">. La </w:t>
      </w:r>
      <w:r w:rsidR="00761E05" w:rsidRPr="00761E05">
        <w:rPr>
          <w:rFonts w:cs="Times New Roman"/>
          <w:szCs w:val="24"/>
        </w:rPr>
        <w:t>délégation</w:t>
      </w:r>
      <w:r w:rsidR="00761E05">
        <w:rPr>
          <w:rFonts w:cs="Times New Roman"/>
          <w:szCs w:val="24"/>
        </w:rPr>
        <w:t xml:space="preserve"> a conclu son </w:t>
      </w:r>
      <w:r w:rsidR="00761E05" w:rsidRPr="00761E05">
        <w:rPr>
          <w:rFonts w:cs="Times New Roman"/>
          <w:szCs w:val="24"/>
        </w:rPr>
        <w:t>intervention</w:t>
      </w:r>
      <w:r w:rsidR="00761E05">
        <w:rPr>
          <w:rFonts w:cs="Times New Roman"/>
          <w:szCs w:val="24"/>
        </w:rPr>
        <w:t xml:space="preserve"> en décla</w:t>
      </w:r>
      <w:r w:rsidR="005B79E2">
        <w:rPr>
          <w:rFonts w:cs="Times New Roman"/>
          <w:szCs w:val="24"/>
        </w:rPr>
        <w:t xml:space="preserve">rant que, compte tenu de la grande confusion qui régnait dans les politiques contemporaines, </w:t>
      </w:r>
      <w:r w:rsidR="00761E05">
        <w:rPr>
          <w:rFonts w:cs="Times New Roman"/>
          <w:szCs w:val="24"/>
        </w:rPr>
        <w:t>le monde devrait accorder une attention accrue aux pratiques politiq</w:t>
      </w:r>
      <w:r w:rsidR="0095115E">
        <w:rPr>
          <w:rFonts w:cs="Times New Roman"/>
          <w:szCs w:val="24"/>
        </w:rPr>
        <w:t>ues traditionnelles comme celle</w:t>
      </w:r>
      <w:r w:rsidR="00761E05">
        <w:rPr>
          <w:rFonts w:cs="Times New Roman"/>
          <w:szCs w:val="24"/>
        </w:rPr>
        <w:t>-ci et aux valeurs qu</w:t>
      </w:r>
      <w:r w:rsidR="00346F1B">
        <w:rPr>
          <w:rFonts w:cs="Times New Roman"/>
          <w:szCs w:val="24"/>
        </w:rPr>
        <w:t>’</w:t>
      </w:r>
      <w:r w:rsidR="00761E05">
        <w:rPr>
          <w:rFonts w:cs="Times New Roman"/>
          <w:szCs w:val="24"/>
        </w:rPr>
        <w:t>elle</w:t>
      </w:r>
      <w:r w:rsidR="005B79E2">
        <w:rPr>
          <w:rFonts w:cs="Times New Roman"/>
          <w:szCs w:val="24"/>
        </w:rPr>
        <w:t>s</w:t>
      </w:r>
      <w:r w:rsidR="00761E05">
        <w:rPr>
          <w:rFonts w:cs="Times New Roman"/>
          <w:szCs w:val="24"/>
        </w:rPr>
        <w:t xml:space="preserve"> </w:t>
      </w:r>
      <w:r w:rsidR="0068180E">
        <w:rPr>
          <w:rFonts w:cs="Times New Roman"/>
          <w:szCs w:val="24"/>
        </w:rPr>
        <w:t>transmettaient.</w:t>
      </w:r>
    </w:p>
    <w:p w14:paraId="59D66353" w14:textId="3747F198" w:rsidR="005B79E2" w:rsidRPr="005B79E2" w:rsidRDefault="005B79E2"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00754EC3">
        <w:rPr>
          <w:rFonts w:cs="Times New Roman"/>
          <w:b/>
          <w:szCs w:val="24"/>
        </w:rPr>
        <w:t>Vice-Président</w:t>
      </w:r>
      <w:r>
        <w:rPr>
          <w:rFonts w:cs="Times New Roman"/>
          <w:szCs w:val="24"/>
        </w:rPr>
        <w:t xml:space="preserve"> a remercié Sainte-Lucie pour son intervention </w:t>
      </w:r>
      <w:r w:rsidR="0095115E">
        <w:rPr>
          <w:rFonts w:cs="Times New Roman"/>
          <w:szCs w:val="24"/>
        </w:rPr>
        <w:t>pleine d</w:t>
      </w:r>
      <w:r w:rsidR="00346F1B">
        <w:rPr>
          <w:rFonts w:cs="Times New Roman"/>
          <w:szCs w:val="24"/>
        </w:rPr>
        <w:t>’</w:t>
      </w:r>
      <w:r w:rsidR="0068180E">
        <w:rPr>
          <w:rFonts w:cs="Times New Roman"/>
          <w:szCs w:val="24"/>
        </w:rPr>
        <w:t>allant.</w:t>
      </w:r>
    </w:p>
    <w:p w14:paraId="6986F833" w14:textId="15977861" w:rsidR="00273B69" w:rsidRPr="00273B69" w:rsidRDefault="0095115E"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95115E">
        <w:rPr>
          <w:rFonts w:cs="Times New Roman"/>
          <w:szCs w:val="24"/>
        </w:rPr>
        <w:t>délégation</w:t>
      </w:r>
      <w:r>
        <w:rPr>
          <w:rFonts w:cs="Times New Roman"/>
          <w:szCs w:val="24"/>
        </w:rPr>
        <w:t xml:space="preserve"> de la </w:t>
      </w:r>
      <w:r w:rsidRPr="0095115E">
        <w:rPr>
          <w:rFonts w:cs="Times New Roman"/>
          <w:b/>
          <w:szCs w:val="24"/>
        </w:rPr>
        <w:t>Hongrie</w:t>
      </w:r>
      <w:r>
        <w:rPr>
          <w:rFonts w:cs="Times New Roman"/>
          <w:szCs w:val="24"/>
        </w:rPr>
        <w:t xml:space="preserve"> a déclaré soutenir l</w:t>
      </w:r>
      <w:r w:rsidR="00346F1B">
        <w:rPr>
          <w:rFonts w:cs="Times New Roman"/>
          <w:szCs w:val="24"/>
        </w:rPr>
        <w:t>’</w:t>
      </w:r>
      <w:r w:rsidRPr="0095115E">
        <w:rPr>
          <w:rFonts w:cs="Times New Roman"/>
          <w:szCs w:val="24"/>
        </w:rPr>
        <w:t>inscription</w:t>
      </w:r>
      <w:r>
        <w:rPr>
          <w:rFonts w:cs="Times New Roman"/>
          <w:szCs w:val="24"/>
        </w:rPr>
        <w:t xml:space="preserve"> de la </w:t>
      </w:r>
      <w:r w:rsidRPr="0095115E">
        <w:rPr>
          <w:rFonts w:cs="Times New Roman"/>
          <w:szCs w:val="24"/>
        </w:rPr>
        <w:t>candidature</w:t>
      </w:r>
      <w:r>
        <w:rPr>
          <w:rFonts w:cs="Times New Roman"/>
          <w:szCs w:val="24"/>
        </w:rPr>
        <w:t>, ajoutant que le Gada était un élément rare et qu</w:t>
      </w:r>
      <w:r w:rsidR="00346F1B">
        <w:rPr>
          <w:rFonts w:cs="Times New Roman"/>
          <w:szCs w:val="24"/>
        </w:rPr>
        <w:t>’</w:t>
      </w:r>
      <w:r>
        <w:rPr>
          <w:rFonts w:cs="Times New Roman"/>
          <w:szCs w:val="24"/>
        </w:rPr>
        <w:t xml:space="preserve">un système sociopolitique et démocratique si ingénieux ne saurait être aisément décrit et interprété du point de vue de la </w:t>
      </w:r>
      <w:r w:rsidRPr="0095115E">
        <w:rPr>
          <w:rFonts w:cs="Times New Roman"/>
          <w:szCs w:val="24"/>
        </w:rPr>
        <w:t>sauvegarde</w:t>
      </w:r>
      <w:r>
        <w:rPr>
          <w:rFonts w:cs="Times New Roman"/>
          <w:szCs w:val="24"/>
        </w:rPr>
        <w:t xml:space="preserve">. Elle était convaincue que la </w:t>
      </w:r>
      <w:r w:rsidRPr="0095115E">
        <w:rPr>
          <w:rFonts w:cs="Times New Roman"/>
          <w:szCs w:val="24"/>
        </w:rPr>
        <w:t>candidature</w:t>
      </w:r>
      <w:r>
        <w:rPr>
          <w:rFonts w:cs="Times New Roman"/>
          <w:szCs w:val="24"/>
        </w:rPr>
        <w:t xml:space="preserve"> avait </w:t>
      </w:r>
      <w:r w:rsidR="00273B69">
        <w:rPr>
          <w:rFonts w:cs="Times New Roman"/>
          <w:szCs w:val="24"/>
        </w:rPr>
        <w:t xml:space="preserve">sa </w:t>
      </w:r>
      <w:r>
        <w:rPr>
          <w:rFonts w:cs="Times New Roman"/>
          <w:szCs w:val="24"/>
        </w:rPr>
        <w:t>place à part entière sur la Liste représentative, car elle mettait en évidence l</w:t>
      </w:r>
      <w:r w:rsidR="00346F1B">
        <w:rPr>
          <w:rFonts w:cs="Times New Roman"/>
          <w:szCs w:val="24"/>
        </w:rPr>
        <w:t>’</w:t>
      </w:r>
      <w:r>
        <w:rPr>
          <w:rFonts w:cs="Times New Roman"/>
          <w:szCs w:val="24"/>
        </w:rPr>
        <w:t xml:space="preserve">importance de </w:t>
      </w:r>
      <w:r w:rsidR="00273B69">
        <w:rPr>
          <w:rFonts w:cs="Times New Roman"/>
          <w:szCs w:val="24"/>
        </w:rPr>
        <w:t>la création d</w:t>
      </w:r>
      <w:r w:rsidR="00346F1B">
        <w:rPr>
          <w:rFonts w:cs="Times New Roman"/>
          <w:szCs w:val="24"/>
        </w:rPr>
        <w:t>’</w:t>
      </w:r>
      <w:r>
        <w:rPr>
          <w:rFonts w:cs="Times New Roman"/>
          <w:szCs w:val="24"/>
        </w:rPr>
        <w:t>un dialogue social tant au niveau local que national. L</w:t>
      </w:r>
      <w:r w:rsidR="00346F1B">
        <w:rPr>
          <w:rFonts w:cs="Times New Roman"/>
          <w:szCs w:val="24"/>
        </w:rPr>
        <w:t>’</w:t>
      </w:r>
      <w:r w:rsidRPr="0095115E">
        <w:rPr>
          <w:rFonts w:cs="Times New Roman"/>
          <w:szCs w:val="24"/>
        </w:rPr>
        <w:t>élément</w:t>
      </w:r>
      <w:r>
        <w:rPr>
          <w:rFonts w:cs="Times New Roman"/>
          <w:szCs w:val="24"/>
        </w:rPr>
        <w:t xml:space="preserve"> représentait la diversité culturelle</w:t>
      </w:r>
      <w:r w:rsidR="00273B69">
        <w:rPr>
          <w:rFonts w:cs="Times New Roman"/>
          <w:szCs w:val="24"/>
        </w:rPr>
        <w:t>, qui était soutenue par l</w:t>
      </w:r>
      <w:r w:rsidR="00346F1B">
        <w:rPr>
          <w:rFonts w:cs="Times New Roman"/>
          <w:szCs w:val="24"/>
        </w:rPr>
        <w:t>’</w:t>
      </w:r>
      <w:r w:rsidR="00273B69" w:rsidRPr="00273B69">
        <w:t>Éthiopie</w:t>
      </w:r>
      <w:r w:rsidR="00273B69">
        <w:rPr>
          <w:rFonts w:cs="Times New Roman"/>
          <w:szCs w:val="24"/>
        </w:rPr>
        <w:t xml:space="preserve"> au moyen de nombreuses mesures qui protégeaient les valeurs cultu</w:t>
      </w:r>
      <w:r w:rsidR="0068180E">
        <w:rPr>
          <w:rFonts w:cs="Times New Roman"/>
          <w:szCs w:val="24"/>
        </w:rPr>
        <w:t>relles des minorités ethniques.</w:t>
      </w:r>
    </w:p>
    <w:p w14:paraId="50DE7A43" w14:textId="3FDF4F5B" w:rsidR="00CB4A6E" w:rsidRPr="00CB4A6E" w:rsidRDefault="00CB4A6E"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00754EC3">
        <w:rPr>
          <w:rFonts w:cs="Times New Roman"/>
          <w:b/>
          <w:szCs w:val="24"/>
        </w:rPr>
        <w:t>Vice-Président</w:t>
      </w:r>
      <w:r w:rsidR="00D301C4">
        <w:rPr>
          <w:rFonts w:cs="Times New Roman"/>
          <w:szCs w:val="24"/>
        </w:rPr>
        <w:t xml:space="preserve"> souhaitait</w:t>
      </w:r>
      <w:r>
        <w:rPr>
          <w:rFonts w:cs="Times New Roman"/>
          <w:szCs w:val="24"/>
        </w:rPr>
        <w:t xml:space="preserve"> que l</w:t>
      </w:r>
      <w:r w:rsidR="00346F1B">
        <w:rPr>
          <w:rFonts w:cs="Times New Roman"/>
          <w:szCs w:val="24"/>
        </w:rPr>
        <w:t>’</w:t>
      </w:r>
      <w:r>
        <w:rPr>
          <w:rFonts w:cs="Times New Roman"/>
          <w:szCs w:val="24"/>
        </w:rPr>
        <w:t>on procède à l</w:t>
      </w:r>
      <w:r w:rsidR="00346F1B">
        <w:rPr>
          <w:rFonts w:cs="Times New Roman"/>
          <w:szCs w:val="24"/>
        </w:rPr>
        <w:t>’</w:t>
      </w:r>
      <w:r>
        <w:rPr>
          <w:rFonts w:cs="Times New Roman"/>
          <w:szCs w:val="24"/>
        </w:rPr>
        <w:t>adoption du projet de décision.</w:t>
      </w:r>
    </w:p>
    <w:p w14:paraId="4A22F46B" w14:textId="52BE9102" w:rsidR="00CB4A6E" w:rsidRDefault="00CB4A6E" w:rsidP="00AE07E0">
      <w:pPr>
        <w:pStyle w:val="Orateurengris"/>
        <w:keepNext/>
        <w:tabs>
          <w:tab w:val="clear" w:pos="709"/>
          <w:tab w:val="clear" w:pos="1418"/>
          <w:tab w:val="clear" w:pos="2126"/>
          <w:tab w:val="clear" w:pos="2835"/>
          <w:tab w:val="clear" w:pos="3686"/>
        </w:tabs>
        <w:spacing w:before="120"/>
        <w:ind w:left="709" w:hanging="709"/>
      </w:pPr>
      <w:r>
        <w:t xml:space="preserve">La délégation du </w:t>
      </w:r>
      <w:r w:rsidRPr="00CB4A6E">
        <w:rPr>
          <w:b/>
        </w:rPr>
        <w:t>Congo</w:t>
      </w:r>
      <w:r>
        <w:t xml:space="preserve"> soutenait l</w:t>
      </w:r>
      <w:r w:rsidR="00346F1B">
        <w:t>’</w:t>
      </w:r>
      <w:r>
        <w:t>amendement de l</w:t>
      </w:r>
      <w:r w:rsidR="00346F1B">
        <w:t>’</w:t>
      </w:r>
      <w:r>
        <w:t>Inde et les remarques du Sénégal en faveur de l</w:t>
      </w:r>
      <w:r w:rsidR="00346F1B">
        <w:t>’</w:t>
      </w:r>
      <w:r>
        <w:t>inscription de l</w:t>
      </w:r>
      <w:r w:rsidR="00346F1B">
        <w:t>’</w:t>
      </w:r>
      <w:r w:rsidR="0068180E">
        <w:t>élément.</w:t>
      </w:r>
    </w:p>
    <w:p w14:paraId="5F888535" w14:textId="3B3727F8" w:rsidR="00CB4A6E" w:rsidRPr="00CB4A6E" w:rsidRDefault="00CB4A6E"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CB4A6E">
        <w:rPr>
          <w:rFonts w:cs="Times New Roman"/>
          <w:szCs w:val="24"/>
        </w:rPr>
        <w:t>délégation</w:t>
      </w:r>
      <w:r>
        <w:rPr>
          <w:rFonts w:cs="Times New Roman"/>
          <w:szCs w:val="24"/>
        </w:rPr>
        <w:t xml:space="preserve"> de l</w:t>
      </w:r>
      <w:r w:rsidR="00346F1B">
        <w:rPr>
          <w:rFonts w:cs="Times New Roman"/>
          <w:szCs w:val="24"/>
        </w:rPr>
        <w:t>’</w:t>
      </w:r>
      <w:r w:rsidRPr="00CB4A6E">
        <w:rPr>
          <w:rFonts w:cs="Times New Roman"/>
          <w:b/>
          <w:szCs w:val="24"/>
        </w:rPr>
        <w:t>Autriche</w:t>
      </w:r>
      <w:r>
        <w:rPr>
          <w:rFonts w:cs="Times New Roman"/>
          <w:szCs w:val="24"/>
        </w:rPr>
        <w:t xml:space="preserve"> a félicité l</w:t>
      </w:r>
      <w:r w:rsidR="00346F1B">
        <w:rPr>
          <w:rFonts w:cs="Times New Roman"/>
          <w:szCs w:val="24"/>
        </w:rPr>
        <w:t>’</w:t>
      </w:r>
      <w:r w:rsidRPr="00CB4A6E">
        <w:t>Éthiopie</w:t>
      </w:r>
      <w:r>
        <w:rPr>
          <w:rFonts w:cs="Times New Roman"/>
          <w:szCs w:val="24"/>
        </w:rPr>
        <w:t xml:space="preserve"> d</w:t>
      </w:r>
      <w:r w:rsidR="00346F1B">
        <w:rPr>
          <w:rFonts w:cs="Times New Roman"/>
          <w:szCs w:val="24"/>
        </w:rPr>
        <w:t>’</w:t>
      </w:r>
      <w:r>
        <w:rPr>
          <w:rFonts w:cs="Times New Roman"/>
          <w:szCs w:val="24"/>
        </w:rPr>
        <w:t>avoir soumis cet élément d</w:t>
      </w:r>
      <w:r w:rsidR="00346F1B">
        <w:rPr>
          <w:rFonts w:cs="Times New Roman"/>
          <w:szCs w:val="24"/>
        </w:rPr>
        <w:t>’</w:t>
      </w:r>
      <w:r>
        <w:rPr>
          <w:rFonts w:cs="Times New Roman"/>
          <w:szCs w:val="24"/>
        </w:rPr>
        <w:t>un très grand intérêt, un système trad</w:t>
      </w:r>
      <w:r w:rsidR="00F31051">
        <w:rPr>
          <w:rFonts w:cs="Times New Roman"/>
          <w:szCs w:val="24"/>
        </w:rPr>
        <w:t>itionnel de gouvernance. Elle estimait</w:t>
      </w:r>
      <w:r>
        <w:rPr>
          <w:rFonts w:cs="Times New Roman"/>
          <w:szCs w:val="24"/>
        </w:rPr>
        <w:t xml:space="preserve"> que cela ajoutait une nouvelle dimension à la grande diversité des éléments du PCI inscrits sur la Liste représentative. Elle soutenait donc résolument l</w:t>
      </w:r>
      <w:r w:rsidR="00346F1B">
        <w:rPr>
          <w:rFonts w:cs="Times New Roman"/>
          <w:szCs w:val="24"/>
        </w:rPr>
        <w:t>’</w:t>
      </w:r>
      <w:r w:rsidRPr="00CB4A6E">
        <w:rPr>
          <w:rFonts w:cs="Times New Roman"/>
          <w:szCs w:val="24"/>
        </w:rPr>
        <w:t>amendement</w:t>
      </w:r>
      <w:r>
        <w:rPr>
          <w:rFonts w:cs="Times New Roman"/>
          <w:szCs w:val="24"/>
        </w:rPr>
        <w:t xml:space="preserve"> de l</w:t>
      </w:r>
      <w:r w:rsidR="00346F1B">
        <w:rPr>
          <w:rFonts w:cs="Times New Roman"/>
          <w:szCs w:val="24"/>
        </w:rPr>
        <w:t>’</w:t>
      </w:r>
      <w:r w:rsidR="0068180E">
        <w:rPr>
          <w:rFonts w:cs="Times New Roman"/>
          <w:szCs w:val="24"/>
        </w:rPr>
        <w:t>Inde.</w:t>
      </w:r>
    </w:p>
    <w:p w14:paraId="6F3CDBC4" w14:textId="353FF705" w:rsidR="00CB4A6E" w:rsidRPr="00CB4A6E" w:rsidRDefault="00CB4A6E"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CB4A6E">
        <w:rPr>
          <w:rFonts w:cs="Times New Roman"/>
          <w:szCs w:val="24"/>
        </w:rPr>
        <w:t>délégation</w:t>
      </w:r>
      <w:r>
        <w:rPr>
          <w:rFonts w:cs="Times New Roman"/>
          <w:szCs w:val="24"/>
        </w:rPr>
        <w:t xml:space="preserve"> de la </w:t>
      </w:r>
      <w:r w:rsidRPr="00291637">
        <w:rPr>
          <w:rFonts w:cs="Times New Roman"/>
          <w:b/>
          <w:szCs w:val="24"/>
        </w:rPr>
        <w:t>République de Corée</w:t>
      </w:r>
      <w:r>
        <w:rPr>
          <w:rFonts w:cs="Times New Roman"/>
          <w:szCs w:val="24"/>
        </w:rPr>
        <w:t xml:space="preserve"> soutenait </w:t>
      </w:r>
      <w:r w:rsidRPr="00CB4A6E">
        <w:rPr>
          <w:rFonts w:cs="Times New Roman"/>
          <w:szCs w:val="24"/>
        </w:rPr>
        <w:t>également</w:t>
      </w:r>
      <w:r>
        <w:rPr>
          <w:rFonts w:cs="Times New Roman"/>
          <w:szCs w:val="24"/>
        </w:rPr>
        <w:t xml:space="preserve"> résolument le système du Gada, elle avait d</w:t>
      </w:r>
      <w:r w:rsidR="00346F1B">
        <w:rPr>
          <w:rFonts w:cs="Times New Roman"/>
          <w:szCs w:val="24"/>
        </w:rPr>
        <w:t>’</w:t>
      </w:r>
      <w:r>
        <w:rPr>
          <w:rFonts w:cs="Times New Roman"/>
          <w:szCs w:val="24"/>
        </w:rPr>
        <w:t>ailleurs rejoint le groupe des coauteurs de l</w:t>
      </w:r>
      <w:r w:rsidR="00346F1B">
        <w:rPr>
          <w:rFonts w:cs="Times New Roman"/>
          <w:szCs w:val="24"/>
        </w:rPr>
        <w:t>’</w:t>
      </w:r>
      <w:r w:rsidRPr="00CB4A6E">
        <w:rPr>
          <w:rFonts w:cs="Times New Roman"/>
          <w:szCs w:val="24"/>
        </w:rPr>
        <w:t>amendement</w:t>
      </w:r>
      <w:r>
        <w:rPr>
          <w:rFonts w:cs="Times New Roman"/>
          <w:szCs w:val="24"/>
        </w:rPr>
        <w:t xml:space="preserve"> proposé. Le peuple coréen se joignait à la </w:t>
      </w:r>
      <w:r w:rsidRPr="00CB4A6E">
        <w:rPr>
          <w:rFonts w:cs="Times New Roman"/>
          <w:szCs w:val="24"/>
        </w:rPr>
        <w:t>délégation</w:t>
      </w:r>
      <w:r>
        <w:rPr>
          <w:rFonts w:cs="Times New Roman"/>
          <w:szCs w:val="24"/>
        </w:rPr>
        <w:t xml:space="preserve"> pour exprimer sa solidarité et son soutien à l</w:t>
      </w:r>
      <w:r w:rsidR="00346F1B">
        <w:rPr>
          <w:rFonts w:cs="Times New Roman"/>
          <w:szCs w:val="24"/>
        </w:rPr>
        <w:t>’</w:t>
      </w:r>
      <w:r w:rsidRPr="00CB4A6E">
        <w:rPr>
          <w:rFonts w:cs="Times New Roman"/>
          <w:szCs w:val="24"/>
        </w:rPr>
        <w:t>inscription</w:t>
      </w:r>
      <w:r w:rsidR="0068180E">
        <w:rPr>
          <w:rFonts w:cs="Times New Roman"/>
          <w:szCs w:val="24"/>
        </w:rPr>
        <w:t>.</w:t>
      </w:r>
    </w:p>
    <w:p w14:paraId="71F866DA" w14:textId="4194EE6A" w:rsidR="00291637" w:rsidRPr="00291637" w:rsidRDefault="00291637"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291637">
        <w:rPr>
          <w:rFonts w:cs="Times New Roman"/>
          <w:szCs w:val="24"/>
        </w:rPr>
        <w:t>délégation</w:t>
      </w:r>
      <w:r>
        <w:rPr>
          <w:rFonts w:cs="Times New Roman"/>
          <w:szCs w:val="24"/>
        </w:rPr>
        <w:t xml:space="preserve"> de l</w:t>
      </w:r>
      <w:r w:rsidR="00346F1B">
        <w:rPr>
          <w:rFonts w:cs="Times New Roman"/>
          <w:szCs w:val="24"/>
        </w:rPr>
        <w:t>’</w:t>
      </w:r>
      <w:r w:rsidRPr="00291637">
        <w:rPr>
          <w:rFonts w:cs="Times New Roman"/>
          <w:b/>
          <w:szCs w:val="24"/>
        </w:rPr>
        <w:t>Arménie</w:t>
      </w:r>
      <w:r>
        <w:rPr>
          <w:rFonts w:cs="Times New Roman"/>
          <w:szCs w:val="24"/>
        </w:rPr>
        <w:t xml:space="preserve"> a évoqué la joie ressentie à la lecture de ce genre de </w:t>
      </w:r>
      <w:r w:rsidRPr="00291637">
        <w:rPr>
          <w:rFonts w:cs="Times New Roman"/>
          <w:szCs w:val="24"/>
        </w:rPr>
        <w:t>candidature</w:t>
      </w:r>
      <w:r>
        <w:rPr>
          <w:rFonts w:cs="Times New Roman"/>
          <w:szCs w:val="24"/>
        </w:rPr>
        <w:t xml:space="preserve"> d</w:t>
      </w:r>
      <w:r w:rsidR="00346F1B">
        <w:rPr>
          <w:rFonts w:cs="Times New Roman"/>
          <w:szCs w:val="24"/>
        </w:rPr>
        <w:t>’</w:t>
      </w:r>
      <w:r>
        <w:rPr>
          <w:rFonts w:cs="Times New Roman"/>
          <w:szCs w:val="24"/>
        </w:rPr>
        <w:t xml:space="preserve">un grand intérêt et à la découverte de quelque chose de nouveau qui permettait à la </w:t>
      </w:r>
      <w:r w:rsidRPr="00291637">
        <w:rPr>
          <w:rFonts w:cs="Times New Roman"/>
          <w:szCs w:val="24"/>
        </w:rPr>
        <w:t>Convention</w:t>
      </w:r>
      <w:r>
        <w:rPr>
          <w:rFonts w:cs="Times New Roman"/>
          <w:szCs w:val="24"/>
        </w:rPr>
        <w:t xml:space="preserve"> et à la Liste représentative d</w:t>
      </w:r>
      <w:r w:rsidR="00346F1B">
        <w:rPr>
          <w:rFonts w:cs="Times New Roman"/>
          <w:szCs w:val="24"/>
        </w:rPr>
        <w:t>’</w:t>
      </w:r>
      <w:r>
        <w:rPr>
          <w:rFonts w:cs="Times New Roman"/>
          <w:szCs w:val="24"/>
        </w:rPr>
        <w:t xml:space="preserve">intégrer </w:t>
      </w:r>
      <w:r w:rsidR="009612D3">
        <w:rPr>
          <w:rFonts w:cs="Times New Roman"/>
          <w:szCs w:val="24"/>
        </w:rPr>
        <w:t xml:space="preserve">des éléments et des </w:t>
      </w:r>
      <w:r>
        <w:rPr>
          <w:rFonts w:cs="Times New Roman"/>
          <w:szCs w:val="24"/>
        </w:rPr>
        <w:t>traditions</w:t>
      </w:r>
      <w:r w:rsidR="009612D3">
        <w:rPr>
          <w:rFonts w:cs="Times New Roman"/>
          <w:szCs w:val="24"/>
        </w:rPr>
        <w:t xml:space="preserve"> d</w:t>
      </w:r>
      <w:r w:rsidR="00346F1B">
        <w:rPr>
          <w:rFonts w:cs="Times New Roman"/>
          <w:szCs w:val="24"/>
        </w:rPr>
        <w:t>’</w:t>
      </w:r>
      <w:r w:rsidR="009612D3">
        <w:rPr>
          <w:rFonts w:cs="Times New Roman"/>
          <w:szCs w:val="24"/>
        </w:rPr>
        <w:t>un type nouveau</w:t>
      </w:r>
      <w:r>
        <w:rPr>
          <w:rFonts w:cs="Times New Roman"/>
          <w:szCs w:val="24"/>
        </w:rPr>
        <w:t>. Elle a remercié l</w:t>
      </w:r>
      <w:r w:rsidR="00346F1B">
        <w:rPr>
          <w:rFonts w:cs="Times New Roman"/>
          <w:szCs w:val="24"/>
        </w:rPr>
        <w:t>’</w:t>
      </w:r>
      <w:r>
        <w:rPr>
          <w:rFonts w:cs="Times New Roman"/>
          <w:szCs w:val="24"/>
        </w:rPr>
        <w:t>Inde d</w:t>
      </w:r>
      <w:r w:rsidR="00346F1B">
        <w:rPr>
          <w:rFonts w:cs="Times New Roman"/>
          <w:szCs w:val="24"/>
        </w:rPr>
        <w:t>’</w:t>
      </w:r>
      <w:r>
        <w:rPr>
          <w:rFonts w:cs="Times New Roman"/>
          <w:szCs w:val="24"/>
        </w:rPr>
        <w:t>avoir exprimé avec une grande éloquence ce qui était dans l</w:t>
      </w:r>
      <w:r w:rsidR="00346F1B">
        <w:rPr>
          <w:rFonts w:cs="Times New Roman"/>
          <w:szCs w:val="24"/>
        </w:rPr>
        <w:t>’</w:t>
      </w:r>
      <w:r>
        <w:rPr>
          <w:rFonts w:cs="Times New Roman"/>
          <w:szCs w:val="24"/>
        </w:rPr>
        <w:t xml:space="preserve">esprit de </w:t>
      </w:r>
      <w:r w:rsidRPr="00291637">
        <w:rPr>
          <w:rFonts w:cs="Times New Roman"/>
          <w:szCs w:val="24"/>
        </w:rPr>
        <w:t>la plupart des</w:t>
      </w:r>
      <w:r w:rsidR="002567C8">
        <w:rPr>
          <w:rFonts w:cs="Times New Roman"/>
          <w:szCs w:val="24"/>
        </w:rPr>
        <w:t xml:space="preserve"> </w:t>
      </w:r>
      <w:r w:rsidR="00A46CAD">
        <w:rPr>
          <w:rFonts w:cs="Times New Roman"/>
          <w:szCs w:val="24"/>
        </w:rPr>
        <w:t>membres</w:t>
      </w:r>
      <w:r>
        <w:rPr>
          <w:rFonts w:cs="Times New Roman"/>
          <w:szCs w:val="24"/>
        </w:rPr>
        <w:t>. Elle soutenait donc l</w:t>
      </w:r>
      <w:r w:rsidR="00346F1B">
        <w:rPr>
          <w:rFonts w:cs="Times New Roman"/>
          <w:szCs w:val="24"/>
        </w:rPr>
        <w:t>’</w:t>
      </w:r>
      <w:r w:rsidRPr="00291637">
        <w:rPr>
          <w:rFonts w:cs="Times New Roman"/>
          <w:szCs w:val="24"/>
        </w:rPr>
        <w:t>amendement</w:t>
      </w:r>
      <w:r>
        <w:rPr>
          <w:rFonts w:cs="Times New Roman"/>
          <w:szCs w:val="24"/>
        </w:rPr>
        <w:t xml:space="preserve"> présenté et l</w:t>
      </w:r>
      <w:r w:rsidR="00346F1B">
        <w:rPr>
          <w:rFonts w:cs="Times New Roman"/>
          <w:szCs w:val="24"/>
        </w:rPr>
        <w:t>’</w:t>
      </w:r>
      <w:r w:rsidRPr="00291637">
        <w:rPr>
          <w:rFonts w:cs="Times New Roman"/>
          <w:szCs w:val="24"/>
        </w:rPr>
        <w:t>inscription</w:t>
      </w:r>
      <w:r>
        <w:rPr>
          <w:rFonts w:cs="Times New Roman"/>
          <w:szCs w:val="24"/>
        </w:rPr>
        <w:t xml:space="preserve"> de l</w:t>
      </w:r>
      <w:r w:rsidR="00346F1B">
        <w:rPr>
          <w:rFonts w:cs="Times New Roman"/>
          <w:szCs w:val="24"/>
        </w:rPr>
        <w:t>’</w:t>
      </w:r>
      <w:r w:rsidRPr="00291637">
        <w:rPr>
          <w:rFonts w:cs="Times New Roman"/>
          <w:szCs w:val="24"/>
        </w:rPr>
        <w:t>élément</w:t>
      </w:r>
      <w:r w:rsidR="0068180E">
        <w:rPr>
          <w:rFonts w:cs="Times New Roman"/>
          <w:szCs w:val="24"/>
        </w:rPr>
        <w:t>.</w:t>
      </w:r>
    </w:p>
    <w:p w14:paraId="4D31C6F9" w14:textId="3DCC3E59" w:rsidR="009612D3" w:rsidRPr="009612D3" w:rsidRDefault="009612D3"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sidRPr="009612D3">
        <w:rPr>
          <w:rFonts w:cs="Times New Roman"/>
          <w:szCs w:val="24"/>
        </w:rPr>
        <w:t>La délégation de</w:t>
      </w:r>
      <w:r>
        <w:rPr>
          <w:rFonts w:cs="Times New Roman"/>
          <w:szCs w:val="24"/>
        </w:rPr>
        <w:t xml:space="preserve"> la </w:t>
      </w:r>
      <w:r w:rsidRPr="009612D3">
        <w:rPr>
          <w:rFonts w:cs="Times New Roman"/>
          <w:b/>
          <w:szCs w:val="24"/>
        </w:rPr>
        <w:t>Colombie</w:t>
      </w:r>
      <w:r>
        <w:rPr>
          <w:rFonts w:cs="Times New Roman"/>
          <w:szCs w:val="24"/>
        </w:rPr>
        <w:t>, qui soutenait l</w:t>
      </w:r>
      <w:r w:rsidR="00346F1B">
        <w:rPr>
          <w:rFonts w:cs="Times New Roman"/>
          <w:szCs w:val="24"/>
        </w:rPr>
        <w:t>’</w:t>
      </w:r>
      <w:r w:rsidRPr="009612D3">
        <w:rPr>
          <w:rFonts w:cs="Times New Roman"/>
          <w:szCs w:val="24"/>
        </w:rPr>
        <w:t>amendement</w:t>
      </w:r>
      <w:r>
        <w:rPr>
          <w:rFonts w:cs="Times New Roman"/>
          <w:szCs w:val="24"/>
        </w:rPr>
        <w:t>, a évoqué la très grande population d</w:t>
      </w:r>
      <w:r w:rsidR="00346F1B">
        <w:rPr>
          <w:rFonts w:cs="Times New Roman"/>
          <w:szCs w:val="24"/>
        </w:rPr>
        <w:t>’</w:t>
      </w:r>
      <w:r>
        <w:rPr>
          <w:rFonts w:cs="Times New Roman"/>
          <w:szCs w:val="24"/>
        </w:rPr>
        <w:t>origine africaine de son pays, et a déclaré appuyer la volonté de l</w:t>
      </w:r>
      <w:r w:rsidR="00346F1B">
        <w:rPr>
          <w:rFonts w:cs="Times New Roman"/>
          <w:szCs w:val="24"/>
        </w:rPr>
        <w:t>’</w:t>
      </w:r>
      <w:r w:rsidRPr="009612D3">
        <w:t>Éthiopie</w:t>
      </w:r>
      <w:r>
        <w:rPr>
          <w:rFonts w:cs="Times New Roman"/>
          <w:szCs w:val="24"/>
        </w:rPr>
        <w:t xml:space="preserve"> d</w:t>
      </w:r>
      <w:r w:rsidR="00346F1B">
        <w:rPr>
          <w:rFonts w:cs="Times New Roman"/>
          <w:szCs w:val="24"/>
        </w:rPr>
        <w:t>’</w:t>
      </w:r>
      <w:r>
        <w:rPr>
          <w:rFonts w:cs="Times New Roman"/>
          <w:szCs w:val="24"/>
        </w:rPr>
        <w:t>inscrire l</w:t>
      </w:r>
      <w:r w:rsidR="00346F1B">
        <w:rPr>
          <w:rFonts w:cs="Times New Roman"/>
          <w:szCs w:val="24"/>
        </w:rPr>
        <w:t>’</w:t>
      </w:r>
      <w:r>
        <w:rPr>
          <w:rFonts w:cs="Times New Roman"/>
          <w:szCs w:val="24"/>
        </w:rPr>
        <w:t xml:space="preserve">élément qui était </w:t>
      </w:r>
      <w:r w:rsidRPr="009612D3">
        <w:rPr>
          <w:rFonts w:cs="Times New Roman"/>
          <w:szCs w:val="24"/>
        </w:rPr>
        <w:t>extrêmement</w:t>
      </w:r>
      <w:r>
        <w:rPr>
          <w:rFonts w:cs="Times New Roman"/>
          <w:szCs w:val="24"/>
        </w:rPr>
        <w:t xml:space="preserve"> important pour un important groupe ethnique d</w:t>
      </w:r>
      <w:r w:rsidR="00346F1B">
        <w:rPr>
          <w:rFonts w:cs="Times New Roman"/>
          <w:szCs w:val="24"/>
        </w:rPr>
        <w:t>’</w:t>
      </w:r>
      <w:r w:rsidRPr="009612D3">
        <w:t>Éthiopie</w:t>
      </w:r>
      <w:r w:rsidR="0068180E">
        <w:rPr>
          <w:rFonts w:cs="Times New Roman"/>
          <w:szCs w:val="24"/>
        </w:rPr>
        <w:t>.</w:t>
      </w:r>
    </w:p>
    <w:p w14:paraId="08A96E08" w14:textId="5F80A922" w:rsidR="009612D3" w:rsidRPr="009612D3" w:rsidRDefault="009612D3" w:rsidP="002B4948">
      <w:pPr>
        <w:pStyle w:val="Orateurengris"/>
        <w:keepNext/>
        <w:tabs>
          <w:tab w:val="clear" w:pos="709"/>
          <w:tab w:val="clear" w:pos="1418"/>
          <w:tab w:val="clear" w:pos="2126"/>
          <w:tab w:val="clear" w:pos="2835"/>
          <w:tab w:val="clear" w:pos="3686"/>
        </w:tabs>
        <w:spacing w:before="120"/>
        <w:ind w:left="709" w:hanging="709"/>
      </w:pPr>
      <w:r>
        <w:t xml:space="preserve">Le </w:t>
      </w:r>
      <w:r w:rsidR="00754EC3">
        <w:rPr>
          <w:b/>
        </w:rPr>
        <w:t>Vice-Président</w:t>
      </w:r>
      <w:r>
        <w:t xml:space="preserve"> est passé à l</w:t>
      </w:r>
      <w:r w:rsidR="00346F1B">
        <w:t>’</w:t>
      </w:r>
      <w:r>
        <w:t>adoption du projet de décision paragraphe par paragraphe. En l</w:t>
      </w:r>
      <w:r w:rsidR="00346F1B">
        <w:t>’</w:t>
      </w:r>
      <w:r>
        <w:t>absence d</w:t>
      </w:r>
      <w:r w:rsidR="00346F1B">
        <w:t>’</w:t>
      </w:r>
      <w:r>
        <w:t>autres commentaires ou objections, les paragraphe</w:t>
      </w:r>
      <w:r w:rsidR="00F31051">
        <w:t>s</w:t>
      </w:r>
      <w:r>
        <w:t xml:space="preserve"> 1 à 4 ont été adoptés. Puis, passant à l</w:t>
      </w:r>
      <w:r w:rsidR="00346F1B">
        <w:t>’</w:t>
      </w:r>
      <w:r>
        <w:t xml:space="preserve">adoption de la décision dans son ensemble, le </w:t>
      </w:r>
      <w:r w:rsidR="00754EC3">
        <w:rPr>
          <w:b/>
        </w:rPr>
        <w:t>Vice-Président</w:t>
      </w:r>
      <w:r w:rsidRPr="00EC044C">
        <w:rPr>
          <w:b/>
        </w:rPr>
        <w:t xml:space="preserve"> a déclaré adoptée la décision 11.COM 10.b.11 d</w:t>
      </w:r>
      <w:r w:rsidR="00346F1B">
        <w:rPr>
          <w:b/>
        </w:rPr>
        <w:t>’</w:t>
      </w:r>
      <w:r w:rsidRPr="00EC044C">
        <w:rPr>
          <w:b/>
        </w:rPr>
        <w:t>inscrire le Gada, système</w:t>
      </w:r>
      <w:r w:rsidRPr="001156E7">
        <w:rPr>
          <w:b/>
        </w:rPr>
        <w:t xml:space="preserve"> sociopolitique démocratique autochtone des Oromo</w:t>
      </w:r>
      <w:r w:rsidR="00EC044C">
        <w:rPr>
          <w:b/>
        </w:rPr>
        <w:t xml:space="preserve"> sur la Liste représentative du patrimoine culturel immatériel de l</w:t>
      </w:r>
      <w:r w:rsidR="00346F1B">
        <w:rPr>
          <w:b/>
        </w:rPr>
        <w:t>’</w:t>
      </w:r>
      <w:r w:rsidR="00EC044C" w:rsidRPr="00EC044C">
        <w:rPr>
          <w:b/>
        </w:rPr>
        <w:t>humanité</w:t>
      </w:r>
      <w:r w:rsidR="00EC044C" w:rsidRPr="00EC044C">
        <w:t>.</w:t>
      </w:r>
    </w:p>
    <w:p w14:paraId="372FAD1B" w14:textId="4695C32E" w:rsidR="00F07BD0" w:rsidRPr="009612D3" w:rsidRDefault="00EC044C" w:rsidP="002B4948">
      <w:pPr>
        <w:pStyle w:val="Orateurengris"/>
        <w:keepNext/>
        <w:numPr>
          <w:ilvl w:val="0"/>
          <w:numId w:val="0"/>
        </w:numPr>
        <w:tabs>
          <w:tab w:val="clear" w:pos="709"/>
          <w:tab w:val="clear" w:pos="1418"/>
          <w:tab w:val="clear" w:pos="2126"/>
          <w:tab w:val="clear" w:pos="2835"/>
        </w:tabs>
        <w:spacing w:before="240" w:after="240"/>
        <w:ind w:left="709" w:hanging="709"/>
        <w:jc w:val="center"/>
        <w:rPr>
          <w:i/>
        </w:rPr>
      </w:pPr>
      <w:r>
        <w:rPr>
          <w:rFonts w:ascii="Helvetica" w:eastAsiaTheme="minorEastAsia" w:hAnsi="Helvetica" w:cs="Helvetica"/>
          <w:bCs/>
          <w:i/>
          <w:color w:val="353535"/>
          <w:lang w:eastAsia="ja-JP"/>
        </w:rPr>
        <w:t>[Chants de célébration par l</w:t>
      </w:r>
      <w:r w:rsidR="00346F1B">
        <w:rPr>
          <w:rFonts w:ascii="Helvetica" w:eastAsiaTheme="minorEastAsia" w:hAnsi="Helvetica" w:cs="Helvetica"/>
          <w:bCs/>
          <w:i/>
          <w:color w:val="353535"/>
          <w:lang w:eastAsia="ja-JP"/>
        </w:rPr>
        <w:t>’</w:t>
      </w:r>
      <w:r w:rsidRPr="00EC044C">
        <w:rPr>
          <w:rFonts w:eastAsiaTheme="minorEastAsia"/>
          <w:bCs/>
          <w:i/>
          <w:color w:val="353535"/>
          <w:lang w:eastAsia="ja-JP"/>
        </w:rPr>
        <w:t>Éthiopie</w:t>
      </w:r>
      <w:r w:rsidR="00F07BD0" w:rsidRPr="009612D3">
        <w:rPr>
          <w:rFonts w:ascii="Helvetica" w:eastAsiaTheme="minorEastAsia" w:hAnsi="Helvetica" w:cs="Helvetica"/>
          <w:bCs/>
          <w:i/>
          <w:color w:val="353535"/>
          <w:lang w:eastAsia="ja-JP"/>
        </w:rPr>
        <w:t>]</w:t>
      </w:r>
    </w:p>
    <w:p w14:paraId="1BA483BF" w14:textId="2B5A1872" w:rsidR="00982033" w:rsidRPr="00982033" w:rsidRDefault="00EC044C"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EC044C">
        <w:rPr>
          <w:rFonts w:cs="Times New Roman"/>
          <w:szCs w:val="24"/>
        </w:rPr>
        <w:t>délégation</w:t>
      </w:r>
      <w:r>
        <w:rPr>
          <w:rFonts w:cs="Times New Roman"/>
          <w:szCs w:val="24"/>
        </w:rPr>
        <w:t xml:space="preserve"> de l</w:t>
      </w:r>
      <w:r w:rsidR="00346F1B">
        <w:rPr>
          <w:rFonts w:cs="Times New Roman"/>
          <w:szCs w:val="24"/>
        </w:rPr>
        <w:t>’</w:t>
      </w:r>
      <w:r w:rsidRPr="00EC044C">
        <w:rPr>
          <w:b/>
        </w:rPr>
        <w:t>Éthiopie</w:t>
      </w:r>
      <w:r>
        <w:rPr>
          <w:rFonts w:cs="Times New Roman"/>
          <w:szCs w:val="24"/>
        </w:rPr>
        <w:t xml:space="preserve"> a évoqué l</w:t>
      </w:r>
      <w:r w:rsidR="00346F1B">
        <w:rPr>
          <w:rFonts w:cs="Times New Roman"/>
          <w:szCs w:val="24"/>
        </w:rPr>
        <w:t>’</w:t>
      </w:r>
      <w:r w:rsidR="00982033">
        <w:rPr>
          <w:rFonts w:cs="Times New Roman"/>
          <w:szCs w:val="24"/>
        </w:rPr>
        <w:t>honneur qu</w:t>
      </w:r>
      <w:r w:rsidR="00346F1B">
        <w:rPr>
          <w:rFonts w:cs="Times New Roman"/>
          <w:szCs w:val="24"/>
        </w:rPr>
        <w:t>’</w:t>
      </w:r>
      <w:r w:rsidR="00982033">
        <w:rPr>
          <w:rFonts w:cs="Times New Roman"/>
          <w:szCs w:val="24"/>
        </w:rPr>
        <w:t>elle ressentait</w:t>
      </w:r>
      <w:r w:rsidR="00F31051">
        <w:rPr>
          <w:rFonts w:cs="Times New Roman"/>
          <w:szCs w:val="24"/>
        </w:rPr>
        <w:t>,</w:t>
      </w:r>
      <w:r w:rsidR="00982033">
        <w:rPr>
          <w:rFonts w:cs="Times New Roman"/>
          <w:szCs w:val="24"/>
        </w:rPr>
        <w:t xml:space="preserve"> et s</w:t>
      </w:r>
      <w:r>
        <w:rPr>
          <w:rFonts w:cs="Times New Roman"/>
          <w:szCs w:val="24"/>
        </w:rPr>
        <w:t xml:space="preserve">a gratitude </w:t>
      </w:r>
      <w:r w:rsidR="00F31051">
        <w:rPr>
          <w:rFonts w:cs="Times New Roman"/>
          <w:szCs w:val="24"/>
        </w:rPr>
        <w:t xml:space="preserve">envers le </w:t>
      </w:r>
      <w:r>
        <w:rPr>
          <w:rFonts w:cs="Times New Roman"/>
          <w:szCs w:val="24"/>
        </w:rPr>
        <w:t>Comité pour sa décision démocratique et pleine de sagesse par laquelle il reconnaissait le grand système du Gada du peuple Oromo d</w:t>
      </w:r>
      <w:r w:rsidR="00346F1B">
        <w:rPr>
          <w:rFonts w:cs="Times New Roman"/>
          <w:szCs w:val="24"/>
        </w:rPr>
        <w:t>’</w:t>
      </w:r>
      <w:r w:rsidRPr="00EC044C">
        <w:t>Éthiopie</w:t>
      </w:r>
      <w:r>
        <w:rPr>
          <w:rFonts w:cs="Times New Roman"/>
          <w:szCs w:val="24"/>
        </w:rPr>
        <w:t xml:space="preserve"> comme faisant partie du patrimoine culturel immatériel de l</w:t>
      </w:r>
      <w:r w:rsidR="00346F1B">
        <w:rPr>
          <w:rFonts w:cs="Times New Roman"/>
          <w:szCs w:val="24"/>
        </w:rPr>
        <w:t>’</w:t>
      </w:r>
      <w:r w:rsidRPr="00EC044C">
        <w:rPr>
          <w:rFonts w:cs="Times New Roman"/>
          <w:szCs w:val="24"/>
        </w:rPr>
        <w:t>humanité</w:t>
      </w:r>
      <w:r>
        <w:rPr>
          <w:rFonts w:cs="Times New Roman"/>
          <w:szCs w:val="24"/>
        </w:rPr>
        <w:t xml:space="preserve">. La </w:t>
      </w:r>
      <w:r w:rsidRPr="00EC044C">
        <w:rPr>
          <w:rFonts w:cs="Times New Roman"/>
          <w:szCs w:val="24"/>
        </w:rPr>
        <w:t>délégation</w:t>
      </w:r>
      <w:r>
        <w:rPr>
          <w:rFonts w:cs="Times New Roman"/>
          <w:szCs w:val="24"/>
        </w:rPr>
        <w:t xml:space="preserve"> était </w:t>
      </w:r>
      <w:r w:rsidRPr="00EC044C">
        <w:rPr>
          <w:rFonts w:cs="Times New Roman"/>
          <w:szCs w:val="24"/>
        </w:rPr>
        <w:t>également</w:t>
      </w:r>
      <w:r>
        <w:rPr>
          <w:rFonts w:cs="Times New Roman"/>
          <w:szCs w:val="24"/>
        </w:rPr>
        <w:t xml:space="preserve"> enchantée parce que la </w:t>
      </w:r>
      <w:r w:rsidRPr="00EC044C">
        <w:rPr>
          <w:rFonts w:cs="Times New Roman"/>
          <w:szCs w:val="24"/>
        </w:rPr>
        <w:t>décision</w:t>
      </w:r>
      <w:r>
        <w:rPr>
          <w:rFonts w:cs="Times New Roman"/>
          <w:szCs w:val="24"/>
        </w:rPr>
        <w:t xml:space="preserve"> </w:t>
      </w:r>
      <w:r w:rsidR="000D01DB">
        <w:rPr>
          <w:rFonts w:cs="Times New Roman"/>
          <w:szCs w:val="24"/>
        </w:rPr>
        <w:t>avait apporté la preuve de l</w:t>
      </w:r>
      <w:r w:rsidR="00346F1B">
        <w:rPr>
          <w:rFonts w:cs="Times New Roman"/>
          <w:szCs w:val="24"/>
        </w:rPr>
        <w:t>’</w:t>
      </w:r>
      <w:r w:rsidR="000D01DB" w:rsidRPr="000D01DB">
        <w:rPr>
          <w:rFonts w:cs="Times New Roman"/>
          <w:szCs w:val="24"/>
        </w:rPr>
        <w:t>authenticité</w:t>
      </w:r>
      <w:r w:rsidR="000D01DB">
        <w:rPr>
          <w:rFonts w:cs="Times New Roman"/>
          <w:szCs w:val="24"/>
        </w:rPr>
        <w:t xml:space="preserve"> et de l</w:t>
      </w:r>
      <w:r w:rsidR="00346F1B">
        <w:rPr>
          <w:rFonts w:cs="Times New Roman"/>
          <w:szCs w:val="24"/>
        </w:rPr>
        <w:t>’</w:t>
      </w:r>
      <w:r w:rsidR="000D01DB">
        <w:rPr>
          <w:rFonts w:cs="Times New Roman"/>
          <w:szCs w:val="24"/>
        </w:rPr>
        <w:t>originalité des grandes valeurs qui avaient contribué depuis si longtemps à la société Oromo. Les valeurs reflétées par le grand système sociopolitique du Gada incluaient la coexistence pacifique, le respect de tous, la démocratie, la transmission sans heurts du pouvoir, et l</w:t>
      </w:r>
      <w:r w:rsidR="00346F1B">
        <w:rPr>
          <w:rFonts w:cs="Times New Roman"/>
          <w:szCs w:val="24"/>
        </w:rPr>
        <w:t>’</w:t>
      </w:r>
      <w:r w:rsidR="000D01DB">
        <w:rPr>
          <w:rFonts w:cs="Times New Roman"/>
          <w:szCs w:val="24"/>
        </w:rPr>
        <w:t xml:space="preserve">intégration de tous les </w:t>
      </w:r>
      <w:r w:rsidR="00A46CAD">
        <w:rPr>
          <w:rFonts w:cs="Times New Roman"/>
          <w:szCs w:val="24"/>
        </w:rPr>
        <w:t>membres</w:t>
      </w:r>
      <w:r w:rsidR="000D01DB">
        <w:rPr>
          <w:rFonts w:cs="Times New Roman"/>
          <w:szCs w:val="24"/>
        </w:rPr>
        <w:t xml:space="preserve"> de la société, jeunes et vieux, hommes et femmes et bien plus. La </w:t>
      </w:r>
      <w:r w:rsidR="000D01DB" w:rsidRPr="000D01DB">
        <w:rPr>
          <w:rFonts w:cs="Times New Roman"/>
          <w:szCs w:val="24"/>
        </w:rPr>
        <w:t>délégation</w:t>
      </w:r>
      <w:r w:rsidR="000D01DB">
        <w:rPr>
          <w:rFonts w:cs="Times New Roman"/>
          <w:szCs w:val="24"/>
        </w:rPr>
        <w:t xml:space="preserve"> pensait que les valeurs liées au système du Gada méritaient d</w:t>
      </w:r>
      <w:r w:rsidR="00346F1B">
        <w:rPr>
          <w:rFonts w:cs="Times New Roman"/>
          <w:szCs w:val="24"/>
        </w:rPr>
        <w:t>’</w:t>
      </w:r>
      <w:r w:rsidR="000D01DB">
        <w:rPr>
          <w:rFonts w:cs="Times New Roman"/>
          <w:szCs w:val="24"/>
        </w:rPr>
        <w:t xml:space="preserve">être sauvegardées, soutenues, partagées et largement diffusées. Désormais, le système </w:t>
      </w:r>
      <w:r w:rsidR="00450DD0">
        <w:rPr>
          <w:rFonts w:cs="Times New Roman"/>
          <w:szCs w:val="24"/>
        </w:rPr>
        <w:t xml:space="preserve">séculaire </w:t>
      </w:r>
      <w:r w:rsidR="000D01DB">
        <w:rPr>
          <w:rFonts w:cs="Times New Roman"/>
          <w:szCs w:val="24"/>
        </w:rPr>
        <w:t>du Gada n</w:t>
      </w:r>
      <w:r w:rsidR="00346F1B">
        <w:rPr>
          <w:rFonts w:cs="Times New Roman"/>
          <w:szCs w:val="24"/>
        </w:rPr>
        <w:t>’</w:t>
      </w:r>
      <w:r w:rsidR="000D01DB">
        <w:rPr>
          <w:rFonts w:cs="Times New Roman"/>
          <w:szCs w:val="24"/>
        </w:rPr>
        <w:t>était plus uniquement l</w:t>
      </w:r>
      <w:r w:rsidR="00346F1B">
        <w:rPr>
          <w:rFonts w:cs="Times New Roman"/>
          <w:szCs w:val="24"/>
        </w:rPr>
        <w:t>’</w:t>
      </w:r>
      <w:r w:rsidR="000D01DB">
        <w:rPr>
          <w:rFonts w:cs="Times New Roman"/>
          <w:szCs w:val="24"/>
        </w:rPr>
        <w:t xml:space="preserve">apanage des Oromo </w:t>
      </w:r>
      <w:r w:rsidR="00982033">
        <w:rPr>
          <w:rFonts w:cs="Times New Roman"/>
          <w:szCs w:val="24"/>
        </w:rPr>
        <w:t>mais le précieux héritage de toute l</w:t>
      </w:r>
      <w:r w:rsidR="00346F1B">
        <w:rPr>
          <w:rFonts w:cs="Times New Roman"/>
          <w:szCs w:val="24"/>
        </w:rPr>
        <w:t>’</w:t>
      </w:r>
      <w:r w:rsidR="00982033" w:rsidRPr="00982033">
        <w:rPr>
          <w:rFonts w:cs="Times New Roman"/>
          <w:szCs w:val="24"/>
        </w:rPr>
        <w:t>humanité</w:t>
      </w:r>
      <w:r w:rsidR="00982033">
        <w:rPr>
          <w:rFonts w:cs="Times New Roman"/>
          <w:szCs w:val="24"/>
        </w:rPr>
        <w:t xml:space="preserve">. La </w:t>
      </w:r>
      <w:r w:rsidR="00982033" w:rsidRPr="00982033">
        <w:rPr>
          <w:rFonts w:cs="Times New Roman"/>
          <w:szCs w:val="24"/>
        </w:rPr>
        <w:t>délégation</w:t>
      </w:r>
      <w:r w:rsidR="00982033">
        <w:rPr>
          <w:rFonts w:cs="Times New Roman"/>
          <w:szCs w:val="24"/>
        </w:rPr>
        <w:t xml:space="preserve"> pensait que l</w:t>
      </w:r>
      <w:r w:rsidR="00346F1B">
        <w:rPr>
          <w:rFonts w:cs="Times New Roman"/>
          <w:szCs w:val="24"/>
        </w:rPr>
        <w:t>’</w:t>
      </w:r>
      <w:r w:rsidR="00982033" w:rsidRPr="00982033">
        <w:t>Éthiopie</w:t>
      </w:r>
      <w:r w:rsidR="00982033">
        <w:rPr>
          <w:rFonts w:cs="Times New Roman"/>
          <w:szCs w:val="24"/>
        </w:rPr>
        <w:t>, un pays doté de nombreuses richesses culturelles et fier d</w:t>
      </w:r>
      <w:r w:rsidR="00346F1B">
        <w:rPr>
          <w:rFonts w:cs="Times New Roman"/>
          <w:szCs w:val="24"/>
        </w:rPr>
        <w:t>’</w:t>
      </w:r>
      <w:r w:rsidR="00982033">
        <w:rPr>
          <w:rFonts w:cs="Times New Roman"/>
          <w:szCs w:val="24"/>
        </w:rPr>
        <w:t>une glorieuse histoire d</w:t>
      </w:r>
      <w:r w:rsidR="00346F1B">
        <w:rPr>
          <w:rFonts w:cs="Times New Roman"/>
          <w:szCs w:val="24"/>
        </w:rPr>
        <w:t>’</w:t>
      </w:r>
      <w:r w:rsidR="00982033">
        <w:rPr>
          <w:rFonts w:cs="Times New Roman"/>
          <w:szCs w:val="24"/>
        </w:rPr>
        <w:t>indépendance, avait bien plus à offrir au reste du monde. L</w:t>
      </w:r>
      <w:r w:rsidR="00346F1B">
        <w:rPr>
          <w:rFonts w:cs="Times New Roman"/>
          <w:szCs w:val="24"/>
        </w:rPr>
        <w:t>’</w:t>
      </w:r>
      <w:r w:rsidR="00982033" w:rsidRPr="00982033">
        <w:t>Éthiopie</w:t>
      </w:r>
      <w:r w:rsidR="00982033">
        <w:rPr>
          <w:rFonts w:cs="Times New Roman"/>
          <w:szCs w:val="24"/>
        </w:rPr>
        <w:t xml:space="preserve"> était un foyer de diversité et une mosaïque de multiples expressions culturelles qui méritaient d</w:t>
      </w:r>
      <w:r w:rsidR="00346F1B">
        <w:rPr>
          <w:rFonts w:cs="Times New Roman"/>
          <w:szCs w:val="24"/>
        </w:rPr>
        <w:t>’</w:t>
      </w:r>
      <w:r w:rsidR="00982033">
        <w:rPr>
          <w:rFonts w:cs="Times New Roman"/>
          <w:szCs w:val="24"/>
        </w:rPr>
        <w:t xml:space="preserve">être reconnus, une </w:t>
      </w:r>
      <w:r w:rsidR="00982033" w:rsidRPr="00982033">
        <w:rPr>
          <w:rFonts w:cs="Times New Roman"/>
          <w:szCs w:val="24"/>
        </w:rPr>
        <w:t>reconnaissance</w:t>
      </w:r>
      <w:r w:rsidR="00982033">
        <w:rPr>
          <w:rFonts w:cs="Times New Roman"/>
          <w:szCs w:val="24"/>
        </w:rPr>
        <w:t xml:space="preserve"> qui allait </w:t>
      </w:r>
      <w:r w:rsidR="00450DD0">
        <w:rPr>
          <w:rFonts w:cs="Times New Roman"/>
          <w:szCs w:val="24"/>
        </w:rPr>
        <w:t xml:space="preserve">de pair </w:t>
      </w:r>
      <w:r w:rsidR="00982033">
        <w:rPr>
          <w:rFonts w:cs="Times New Roman"/>
          <w:szCs w:val="24"/>
        </w:rPr>
        <w:t xml:space="preserve">avec la nouvelle </w:t>
      </w:r>
      <w:r w:rsidR="00982033" w:rsidRPr="00982033">
        <w:t>Éthiopie</w:t>
      </w:r>
      <w:r w:rsidR="001C2026">
        <w:rPr>
          <w:rFonts w:cs="Times New Roman"/>
          <w:szCs w:val="24"/>
        </w:rPr>
        <w:t xml:space="preserve">, la terre </w:t>
      </w:r>
      <w:r w:rsidR="00982033">
        <w:rPr>
          <w:rFonts w:cs="Times New Roman"/>
          <w:szCs w:val="24"/>
        </w:rPr>
        <w:t xml:space="preserve">des origines. La </w:t>
      </w:r>
      <w:r w:rsidR="00982033" w:rsidRPr="00982033">
        <w:rPr>
          <w:rFonts w:cs="Times New Roman"/>
          <w:szCs w:val="24"/>
        </w:rPr>
        <w:t>délégation</w:t>
      </w:r>
      <w:r w:rsidR="00982033">
        <w:rPr>
          <w:rFonts w:cs="Times New Roman"/>
          <w:szCs w:val="24"/>
        </w:rPr>
        <w:t xml:space="preserve"> a salué tous ceux qui avaient soutenu l</w:t>
      </w:r>
      <w:r w:rsidR="00346F1B">
        <w:rPr>
          <w:rFonts w:cs="Times New Roman"/>
          <w:szCs w:val="24"/>
        </w:rPr>
        <w:t>’</w:t>
      </w:r>
      <w:r w:rsidR="00982033" w:rsidRPr="00982033">
        <w:rPr>
          <w:rFonts w:cs="Times New Roman"/>
          <w:szCs w:val="24"/>
        </w:rPr>
        <w:t>élément</w:t>
      </w:r>
      <w:r w:rsidR="00982033">
        <w:rPr>
          <w:rFonts w:cs="Times New Roman"/>
          <w:szCs w:val="24"/>
        </w:rPr>
        <w:t>. En guise de conclusion, elle a adressé ses sincères remerciements à l</w:t>
      </w:r>
      <w:r w:rsidR="00346F1B">
        <w:rPr>
          <w:rFonts w:cs="Times New Roman"/>
          <w:szCs w:val="24"/>
        </w:rPr>
        <w:t>’</w:t>
      </w:r>
      <w:r w:rsidR="00982033">
        <w:rPr>
          <w:rFonts w:cs="Times New Roman"/>
          <w:szCs w:val="24"/>
        </w:rPr>
        <w:t xml:space="preserve">Autorité pour la </w:t>
      </w:r>
      <w:r w:rsidR="00982033" w:rsidRPr="00982033">
        <w:rPr>
          <w:rFonts w:cs="Times New Roman"/>
          <w:szCs w:val="24"/>
        </w:rPr>
        <w:t>recherche</w:t>
      </w:r>
      <w:r w:rsidR="00982033">
        <w:rPr>
          <w:rFonts w:cs="Times New Roman"/>
          <w:szCs w:val="24"/>
        </w:rPr>
        <w:t xml:space="preserve"> et la </w:t>
      </w:r>
      <w:r w:rsidR="00982033" w:rsidRPr="00982033">
        <w:rPr>
          <w:rFonts w:cs="Times New Roman"/>
          <w:szCs w:val="24"/>
        </w:rPr>
        <w:t>conservation</w:t>
      </w:r>
      <w:r w:rsidR="00982033">
        <w:rPr>
          <w:rFonts w:cs="Times New Roman"/>
          <w:szCs w:val="24"/>
        </w:rPr>
        <w:t xml:space="preserve"> du </w:t>
      </w:r>
      <w:r w:rsidR="00982033" w:rsidRPr="00982033">
        <w:rPr>
          <w:rFonts w:cs="Times New Roman"/>
          <w:szCs w:val="24"/>
        </w:rPr>
        <w:t>patrimoine</w:t>
      </w:r>
      <w:r w:rsidR="00982033">
        <w:rPr>
          <w:rFonts w:cs="Times New Roman"/>
          <w:szCs w:val="24"/>
        </w:rPr>
        <w:t xml:space="preserve"> </w:t>
      </w:r>
      <w:r w:rsidR="00982033" w:rsidRPr="00982033">
        <w:rPr>
          <w:rFonts w:cs="Times New Roman"/>
          <w:szCs w:val="24"/>
        </w:rPr>
        <w:t>culturel</w:t>
      </w:r>
      <w:r w:rsidR="00982033">
        <w:rPr>
          <w:rFonts w:cs="Times New Roman"/>
          <w:szCs w:val="24"/>
        </w:rPr>
        <w:t>, basée à Paris</w:t>
      </w:r>
      <w:r w:rsidR="00450DD0">
        <w:rPr>
          <w:rFonts w:cs="Times New Roman"/>
          <w:szCs w:val="24"/>
        </w:rPr>
        <w:t>,</w:t>
      </w:r>
      <w:r w:rsidR="00982033">
        <w:rPr>
          <w:rFonts w:cs="Times New Roman"/>
          <w:szCs w:val="24"/>
        </w:rPr>
        <w:t xml:space="preserve"> et à tous les instituts, groupes et </w:t>
      </w:r>
      <w:r w:rsidR="00982033" w:rsidRPr="00982033">
        <w:rPr>
          <w:rFonts w:cs="Times New Roman"/>
          <w:szCs w:val="24"/>
        </w:rPr>
        <w:t>individus</w:t>
      </w:r>
      <w:r w:rsidR="00982033">
        <w:rPr>
          <w:rFonts w:cs="Times New Roman"/>
          <w:szCs w:val="24"/>
        </w:rPr>
        <w:t xml:space="preserve"> concernés qui avaient joué un rôle dans </w:t>
      </w:r>
      <w:r w:rsidR="00982033" w:rsidRPr="00982033">
        <w:rPr>
          <w:rFonts w:cs="Times New Roman"/>
          <w:szCs w:val="24"/>
        </w:rPr>
        <w:t>l</w:t>
      </w:r>
      <w:r w:rsidR="00346F1B">
        <w:rPr>
          <w:rFonts w:cs="Times New Roman"/>
          <w:szCs w:val="24"/>
        </w:rPr>
        <w:t>’</w:t>
      </w:r>
      <w:r w:rsidR="00982033" w:rsidRPr="00982033">
        <w:rPr>
          <w:rFonts w:cs="Times New Roman"/>
          <w:szCs w:val="24"/>
        </w:rPr>
        <w:t>élaboration</w:t>
      </w:r>
      <w:r w:rsidR="00982033">
        <w:rPr>
          <w:rFonts w:cs="Times New Roman"/>
          <w:szCs w:val="24"/>
        </w:rPr>
        <w:t xml:space="preserve"> du dossier de candidature. Elle a félicité la société Oromo et tous les </w:t>
      </w:r>
      <w:r w:rsidR="00982033">
        <w:t>Éthiopiens pour ce</w:t>
      </w:r>
      <w:r w:rsidR="0068180E">
        <w:t xml:space="preserve"> grand événement.</w:t>
      </w:r>
    </w:p>
    <w:p w14:paraId="3742E042" w14:textId="5DE10D85" w:rsidR="00450DD0" w:rsidRPr="00450DD0" w:rsidRDefault="00450DD0"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La </w:t>
      </w:r>
      <w:r w:rsidRPr="00450DD0">
        <w:rPr>
          <w:rFonts w:cs="Times New Roman"/>
          <w:szCs w:val="24"/>
        </w:rPr>
        <w:t>délégation</w:t>
      </w:r>
      <w:r>
        <w:rPr>
          <w:rFonts w:cs="Times New Roman"/>
          <w:szCs w:val="24"/>
        </w:rPr>
        <w:t xml:space="preserve"> de l</w:t>
      </w:r>
      <w:r w:rsidR="00346F1B">
        <w:rPr>
          <w:rFonts w:cs="Times New Roman"/>
          <w:szCs w:val="24"/>
        </w:rPr>
        <w:t>’</w:t>
      </w:r>
      <w:r w:rsidRPr="00450DD0">
        <w:rPr>
          <w:b/>
        </w:rPr>
        <w:t>Éthiopie</w:t>
      </w:r>
      <w:r>
        <w:rPr>
          <w:rFonts w:cs="Times New Roman"/>
          <w:szCs w:val="24"/>
        </w:rPr>
        <w:t xml:space="preserve"> a inclus le peuple Oromo dans l</w:t>
      </w:r>
      <w:r w:rsidR="00346F1B">
        <w:rPr>
          <w:rFonts w:cs="Times New Roman"/>
          <w:szCs w:val="24"/>
        </w:rPr>
        <w:t>’</w:t>
      </w:r>
      <w:r>
        <w:rPr>
          <w:rFonts w:cs="Times New Roman"/>
          <w:szCs w:val="24"/>
        </w:rPr>
        <w:t xml:space="preserve">expression de ses remerciements et de sa </w:t>
      </w:r>
      <w:r w:rsidRPr="00450DD0">
        <w:rPr>
          <w:rFonts w:cs="Times New Roman"/>
          <w:szCs w:val="24"/>
        </w:rPr>
        <w:t>reconnaissance</w:t>
      </w:r>
      <w:r w:rsidR="00A067E6">
        <w:rPr>
          <w:rFonts w:cs="Times New Roman"/>
          <w:szCs w:val="24"/>
        </w:rPr>
        <w:t>. L</w:t>
      </w:r>
      <w:r w:rsidR="00346F1B">
        <w:rPr>
          <w:rFonts w:cs="Times New Roman"/>
          <w:szCs w:val="24"/>
        </w:rPr>
        <w:t>’</w:t>
      </w:r>
      <w:r>
        <w:rPr>
          <w:rFonts w:cs="Times New Roman"/>
          <w:szCs w:val="24"/>
        </w:rPr>
        <w:t xml:space="preserve">histoire et la </w:t>
      </w:r>
      <w:r w:rsidRPr="00450DD0">
        <w:rPr>
          <w:rFonts w:cs="Times New Roman"/>
          <w:szCs w:val="24"/>
        </w:rPr>
        <w:t>recherche</w:t>
      </w:r>
      <w:r w:rsidR="00A067E6">
        <w:rPr>
          <w:rFonts w:cs="Times New Roman"/>
          <w:szCs w:val="24"/>
        </w:rPr>
        <w:t xml:space="preserve"> nous avaient appris que</w:t>
      </w:r>
      <w:r>
        <w:rPr>
          <w:rFonts w:cs="Times New Roman"/>
          <w:szCs w:val="24"/>
        </w:rPr>
        <w:t xml:space="preserve"> le Gada était le système politique socioéconomique </w:t>
      </w:r>
      <w:r w:rsidRPr="00450DD0">
        <w:rPr>
          <w:rFonts w:cs="Times New Roman"/>
          <w:szCs w:val="24"/>
        </w:rPr>
        <w:t>démocratique</w:t>
      </w:r>
      <w:r>
        <w:rPr>
          <w:rFonts w:cs="Times New Roman"/>
          <w:szCs w:val="24"/>
        </w:rPr>
        <w:t xml:space="preserve"> des Oromo, </w:t>
      </w:r>
      <w:r w:rsidR="00A067E6">
        <w:rPr>
          <w:rFonts w:cs="Times New Roman"/>
          <w:szCs w:val="24"/>
        </w:rPr>
        <w:t>et qu</w:t>
      </w:r>
      <w:r w:rsidR="00346F1B">
        <w:rPr>
          <w:rFonts w:cs="Times New Roman"/>
          <w:szCs w:val="24"/>
        </w:rPr>
        <w:t>’</w:t>
      </w:r>
      <w:r w:rsidR="00A067E6">
        <w:rPr>
          <w:rFonts w:cs="Times New Roman"/>
          <w:szCs w:val="24"/>
        </w:rPr>
        <w:t xml:space="preserve">il était </w:t>
      </w:r>
      <w:r>
        <w:rPr>
          <w:rFonts w:cs="Times New Roman"/>
          <w:szCs w:val="24"/>
        </w:rPr>
        <w:t>pratiqué depuis plusieurs siècles. Différentes traditions coexistaient au sein du système du Gada dont moggaasa (la naturalisation) et guddifacha (l</w:t>
      </w:r>
      <w:r w:rsidR="00346F1B">
        <w:rPr>
          <w:rFonts w:cs="Times New Roman"/>
          <w:szCs w:val="24"/>
        </w:rPr>
        <w:t>’</w:t>
      </w:r>
      <w:r>
        <w:rPr>
          <w:rFonts w:cs="Times New Roman"/>
          <w:szCs w:val="24"/>
        </w:rPr>
        <w:t xml:space="preserve">adoption) ainsi que la gouvernance </w:t>
      </w:r>
      <w:r w:rsidRPr="00450DD0">
        <w:rPr>
          <w:rFonts w:cs="Times New Roman"/>
          <w:szCs w:val="24"/>
        </w:rPr>
        <w:t>démocratique</w:t>
      </w:r>
      <w:r>
        <w:rPr>
          <w:rFonts w:cs="Times New Roman"/>
          <w:szCs w:val="24"/>
        </w:rPr>
        <w:t xml:space="preserve">. Le Gada suivait des procédures électorales </w:t>
      </w:r>
      <w:r w:rsidR="00A067E6">
        <w:rPr>
          <w:rFonts w:cs="Times New Roman"/>
          <w:szCs w:val="24"/>
        </w:rPr>
        <w:t>démocratiques telles que d</w:t>
      </w:r>
      <w:r>
        <w:rPr>
          <w:rFonts w:cs="Times New Roman"/>
          <w:szCs w:val="24"/>
        </w:rPr>
        <w:t>es élections régulières, qui se déroulaient tous les huit ans</w:t>
      </w:r>
      <w:r w:rsidR="00A067E6">
        <w:rPr>
          <w:rFonts w:cs="Times New Roman"/>
          <w:szCs w:val="24"/>
        </w:rPr>
        <w:t>,</w:t>
      </w:r>
      <w:r>
        <w:rPr>
          <w:rFonts w:cs="Times New Roman"/>
          <w:szCs w:val="24"/>
        </w:rPr>
        <w:t xml:space="preserve"> avec un syst</w:t>
      </w:r>
      <w:r w:rsidR="00A067E6">
        <w:rPr>
          <w:rFonts w:cs="Times New Roman"/>
          <w:szCs w:val="24"/>
        </w:rPr>
        <w:t>ème de transfert sans heurts du pouvoir</w:t>
      </w:r>
      <w:r>
        <w:rPr>
          <w:rFonts w:cs="Times New Roman"/>
          <w:szCs w:val="24"/>
        </w:rPr>
        <w:t xml:space="preserve">. </w:t>
      </w:r>
      <w:r w:rsidR="00636394">
        <w:rPr>
          <w:rFonts w:cs="Times New Roman"/>
          <w:szCs w:val="24"/>
        </w:rPr>
        <w:t xml:space="preserve">Le système </w:t>
      </w:r>
      <w:r w:rsidR="00A067E6">
        <w:rPr>
          <w:rFonts w:cs="Times New Roman"/>
          <w:szCs w:val="24"/>
        </w:rPr>
        <w:t xml:space="preserve">était </w:t>
      </w:r>
      <w:r w:rsidR="00636394" w:rsidRPr="00636394">
        <w:rPr>
          <w:rFonts w:cs="Times New Roman"/>
          <w:szCs w:val="24"/>
        </w:rPr>
        <w:t>également</w:t>
      </w:r>
      <w:r w:rsidR="00636394">
        <w:rPr>
          <w:rFonts w:cs="Times New Roman"/>
          <w:szCs w:val="24"/>
        </w:rPr>
        <w:t xml:space="preserve"> </w:t>
      </w:r>
      <w:r w:rsidR="00A067E6">
        <w:rPr>
          <w:rFonts w:cs="Times New Roman"/>
          <w:szCs w:val="24"/>
        </w:rPr>
        <w:t>porteur de</w:t>
      </w:r>
      <w:r w:rsidR="00636394">
        <w:rPr>
          <w:rFonts w:cs="Times New Roman"/>
          <w:szCs w:val="24"/>
        </w:rPr>
        <w:t xml:space="preserve"> valeurs essentielles : le respect des </w:t>
      </w:r>
      <w:r w:rsidR="00636394" w:rsidRPr="00636394">
        <w:rPr>
          <w:rFonts w:cs="Times New Roman"/>
          <w:szCs w:val="24"/>
        </w:rPr>
        <w:t>individus</w:t>
      </w:r>
      <w:r w:rsidR="00636394">
        <w:rPr>
          <w:rFonts w:cs="Times New Roman"/>
          <w:szCs w:val="24"/>
        </w:rPr>
        <w:t>, des droits individuels et des minori</w:t>
      </w:r>
      <w:r w:rsidR="004B6935">
        <w:rPr>
          <w:rFonts w:cs="Times New Roman"/>
          <w:szCs w:val="24"/>
        </w:rPr>
        <w:t xml:space="preserve">tés. Le niveau de complexité </w:t>
      </w:r>
      <w:r w:rsidR="00636394">
        <w:rPr>
          <w:rFonts w:cs="Times New Roman"/>
          <w:szCs w:val="24"/>
        </w:rPr>
        <w:t>du Gada des Oromo était des plus élevés, reflétant ainsi l</w:t>
      </w:r>
      <w:r w:rsidR="00346F1B">
        <w:rPr>
          <w:rFonts w:cs="Times New Roman"/>
          <w:szCs w:val="24"/>
        </w:rPr>
        <w:t>’</w:t>
      </w:r>
      <w:r w:rsidR="00B600B4">
        <w:rPr>
          <w:rFonts w:cs="Times New Roman"/>
          <w:szCs w:val="24"/>
        </w:rPr>
        <w:t>identité de</w:t>
      </w:r>
      <w:r w:rsidR="00636394">
        <w:rPr>
          <w:rFonts w:cs="Times New Roman"/>
          <w:szCs w:val="24"/>
        </w:rPr>
        <w:t xml:space="preserve"> ses valeurs essentielles. La </w:t>
      </w:r>
      <w:r w:rsidR="00636394" w:rsidRPr="00636394">
        <w:rPr>
          <w:rFonts w:cs="Times New Roman"/>
          <w:szCs w:val="24"/>
        </w:rPr>
        <w:t>délégation</w:t>
      </w:r>
      <w:r w:rsidR="00636394">
        <w:rPr>
          <w:rFonts w:cs="Times New Roman"/>
          <w:szCs w:val="24"/>
        </w:rPr>
        <w:t xml:space="preserve"> pensait que les populations pouvaient apprendre beaucoup du système du Gada et de ses valeurs qui </w:t>
      </w:r>
      <w:r w:rsidR="004B6935">
        <w:rPr>
          <w:rFonts w:cs="Times New Roman"/>
          <w:szCs w:val="24"/>
        </w:rPr>
        <w:t xml:space="preserve">avaient permis </w:t>
      </w:r>
      <w:r w:rsidR="00636394">
        <w:rPr>
          <w:rFonts w:cs="Times New Roman"/>
          <w:szCs w:val="24"/>
        </w:rPr>
        <w:t>d</w:t>
      </w:r>
      <w:r w:rsidR="00346F1B">
        <w:rPr>
          <w:rFonts w:cs="Times New Roman"/>
          <w:szCs w:val="24"/>
        </w:rPr>
        <w:t>’</w:t>
      </w:r>
      <w:r w:rsidR="00636394">
        <w:rPr>
          <w:rFonts w:cs="Times New Roman"/>
          <w:szCs w:val="24"/>
        </w:rPr>
        <w:t xml:space="preserve">élaborer des lois et de concevoir et développer une démocratie moderne. De nos jours, le système du Gada était encore actif et attractif pour le peuple Oromo. La </w:t>
      </w:r>
      <w:r w:rsidR="00636394" w:rsidRPr="00636394">
        <w:rPr>
          <w:rFonts w:cs="Times New Roman"/>
          <w:szCs w:val="24"/>
        </w:rPr>
        <w:t>décision</w:t>
      </w:r>
      <w:r w:rsidR="00636394">
        <w:rPr>
          <w:rFonts w:cs="Times New Roman"/>
          <w:szCs w:val="24"/>
        </w:rPr>
        <w:t xml:space="preserve"> d</w:t>
      </w:r>
      <w:r w:rsidR="00346F1B">
        <w:rPr>
          <w:rFonts w:cs="Times New Roman"/>
          <w:szCs w:val="24"/>
        </w:rPr>
        <w:t>’</w:t>
      </w:r>
      <w:r w:rsidR="00636394">
        <w:rPr>
          <w:rFonts w:cs="Times New Roman"/>
          <w:szCs w:val="24"/>
        </w:rPr>
        <w:t>inscrire le Gada sur la Liste représentative n</w:t>
      </w:r>
      <w:r w:rsidR="00346F1B">
        <w:rPr>
          <w:rFonts w:cs="Times New Roman"/>
          <w:szCs w:val="24"/>
        </w:rPr>
        <w:t>’</w:t>
      </w:r>
      <w:r w:rsidR="00636394">
        <w:rPr>
          <w:rFonts w:cs="Times New Roman"/>
          <w:szCs w:val="24"/>
        </w:rPr>
        <w:t xml:space="preserve">encourageait pas </w:t>
      </w:r>
      <w:r w:rsidR="004B6935">
        <w:rPr>
          <w:rFonts w:cs="Times New Roman"/>
          <w:szCs w:val="24"/>
        </w:rPr>
        <w:t xml:space="preserve">seulement </w:t>
      </w:r>
      <w:r w:rsidR="00636394">
        <w:rPr>
          <w:rFonts w:cs="Times New Roman"/>
          <w:szCs w:val="24"/>
        </w:rPr>
        <w:t>l</w:t>
      </w:r>
      <w:r w:rsidR="00346F1B">
        <w:rPr>
          <w:rFonts w:cs="Times New Roman"/>
          <w:szCs w:val="24"/>
        </w:rPr>
        <w:t>’</w:t>
      </w:r>
      <w:r w:rsidR="00636394" w:rsidRPr="00636394">
        <w:t>Éthiopie</w:t>
      </w:r>
      <w:r w:rsidR="00636394">
        <w:rPr>
          <w:rFonts w:cs="Times New Roman"/>
          <w:szCs w:val="24"/>
        </w:rPr>
        <w:t xml:space="preserve"> à être fière de ses valeurs matérielles et immatérielles mais elle attirait </w:t>
      </w:r>
      <w:r w:rsidR="00636394" w:rsidRPr="00636394">
        <w:rPr>
          <w:rFonts w:cs="Times New Roman"/>
          <w:szCs w:val="24"/>
        </w:rPr>
        <w:t>également</w:t>
      </w:r>
      <w:r w:rsidR="00636394">
        <w:rPr>
          <w:rFonts w:cs="Times New Roman"/>
          <w:szCs w:val="24"/>
        </w:rPr>
        <w:t xml:space="preserve"> une attention accrue sur la </w:t>
      </w:r>
      <w:r w:rsidR="00636394" w:rsidRPr="00636394">
        <w:rPr>
          <w:rFonts w:cs="Times New Roman"/>
          <w:szCs w:val="24"/>
        </w:rPr>
        <w:t>responsabilité</w:t>
      </w:r>
      <w:r w:rsidR="00636394">
        <w:rPr>
          <w:rFonts w:cs="Times New Roman"/>
          <w:szCs w:val="24"/>
        </w:rPr>
        <w:t xml:space="preserve"> qui lui incombait de sauvegarder et promouvoir les </w:t>
      </w:r>
      <w:r w:rsidR="004B6935">
        <w:rPr>
          <w:rFonts w:cs="Times New Roman"/>
          <w:szCs w:val="24"/>
        </w:rPr>
        <w:t xml:space="preserve">idées </w:t>
      </w:r>
      <w:r w:rsidR="00636394">
        <w:rPr>
          <w:rFonts w:cs="Times New Roman"/>
          <w:szCs w:val="24"/>
        </w:rPr>
        <w:t xml:space="preserve">de la </w:t>
      </w:r>
      <w:r w:rsidR="00636394" w:rsidRPr="00636394">
        <w:rPr>
          <w:rFonts w:cs="Times New Roman"/>
          <w:szCs w:val="24"/>
        </w:rPr>
        <w:t>Convention</w:t>
      </w:r>
      <w:r w:rsidR="00636394">
        <w:rPr>
          <w:rFonts w:cs="Times New Roman"/>
          <w:szCs w:val="24"/>
        </w:rPr>
        <w:t xml:space="preserve">. </w:t>
      </w:r>
      <w:r w:rsidR="00A067E6">
        <w:rPr>
          <w:rFonts w:cs="Times New Roman"/>
          <w:szCs w:val="24"/>
        </w:rPr>
        <w:t xml:space="preserve">La </w:t>
      </w:r>
      <w:r w:rsidR="00A067E6" w:rsidRPr="00A067E6">
        <w:rPr>
          <w:rFonts w:cs="Times New Roman"/>
          <w:szCs w:val="24"/>
        </w:rPr>
        <w:t>délégation</w:t>
      </w:r>
      <w:r w:rsidR="00A067E6">
        <w:rPr>
          <w:rFonts w:cs="Times New Roman"/>
          <w:szCs w:val="24"/>
        </w:rPr>
        <w:t xml:space="preserve"> a conclu son </w:t>
      </w:r>
      <w:r w:rsidR="00A067E6" w:rsidRPr="00A067E6">
        <w:rPr>
          <w:rFonts w:cs="Times New Roman"/>
          <w:szCs w:val="24"/>
        </w:rPr>
        <w:t>intervention</w:t>
      </w:r>
      <w:r w:rsidR="00A067E6">
        <w:rPr>
          <w:rFonts w:cs="Times New Roman"/>
          <w:szCs w:val="24"/>
        </w:rPr>
        <w:t xml:space="preserve"> en invitant les délégués à venir apprécier le système du Gada à l</w:t>
      </w:r>
      <w:r w:rsidR="00346F1B">
        <w:rPr>
          <w:rFonts w:cs="Times New Roman"/>
          <w:szCs w:val="24"/>
        </w:rPr>
        <w:t>’</w:t>
      </w:r>
      <w:r w:rsidR="00A067E6">
        <w:rPr>
          <w:rFonts w:cs="Times New Roman"/>
          <w:szCs w:val="24"/>
        </w:rPr>
        <w:t>ouest, au centre, à l</w:t>
      </w:r>
      <w:r w:rsidR="00346F1B">
        <w:rPr>
          <w:rFonts w:cs="Times New Roman"/>
          <w:szCs w:val="24"/>
        </w:rPr>
        <w:t>’</w:t>
      </w:r>
      <w:r w:rsidR="00A067E6">
        <w:rPr>
          <w:rFonts w:cs="Times New Roman"/>
          <w:szCs w:val="24"/>
        </w:rPr>
        <w:t>est et au sud de la région d</w:t>
      </w:r>
      <w:r w:rsidR="00346F1B">
        <w:rPr>
          <w:rFonts w:cs="Times New Roman"/>
          <w:szCs w:val="24"/>
        </w:rPr>
        <w:t>’</w:t>
      </w:r>
      <w:r w:rsidR="0068180E">
        <w:rPr>
          <w:rFonts w:cs="Times New Roman"/>
          <w:szCs w:val="24"/>
        </w:rPr>
        <w:t>Oromia.</w:t>
      </w:r>
    </w:p>
    <w:p w14:paraId="6A2BDEF3" w14:textId="5BE25A6A" w:rsidR="004B6935" w:rsidRPr="004B6935" w:rsidRDefault="004B6935" w:rsidP="00AE07E0">
      <w:pPr>
        <w:pStyle w:val="Orateurengris"/>
        <w:keepNext/>
        <w:tabs>
          <w:tab w:val="clear" w:pos="709"/>
          <w:tab w:val="clear" w:pos="1418"/>
          <w:tab w:val="clear" w:pos="2126"/>
          <w:tab w:val="clear" w:pos="2835"/>
          <w:tab w:val="clear" w:pos="3686"/>
        </w:tabs>
        <w:spacing w:before="120"/>
        <w:ind w:left="709" w:hanging="709"/>
        <w:rPr>
          <w:rFonts w:cs="Times New Roman"/>
          <w:szCs w:val="24"/>
        </w:rPr>
      </w:pPr>
      <w:r>
        <w:rPr>
          <w:rFonts w:cs="Times New Roman"/>
          <w:szCs w:val="24"/>
        </w:rPr>
        <w:t xml:space="preserve">Le </w:t>
      </w:r>
      <w:r w:rsidR="00754EC3">
        <w:rPr>
          <w:rFonts w:cs="Times New Roman"/>
          <w:b/>
          <w:szCs w:val="24"/>
        </w:rPr>
        <w:t>Vice-Président</w:t>
      </w:r>
      <w:r>
        <w:rPr>
          <w:rFonts w:cs="Times New Roman"/>
          <w:szCs w:val="24"/>
        </w:rPr>
        <w:t xml:space="preserve"> a félicité l</w:t>
      </w:r>
      <w:r w:rsidR="00346F1B">
        <w:rPr>
          <w:rFonts w:cs="Times New Roman"/>
          <w:szCs w:val="24"/>
        </w:rPr>
        <w:t>’</w:t>
      </w:r>
      <w:r w:rsidRPr="004B6935">
        <w:t>Éthiopie</w:t>
      </w:r>
      <w:r>
        <w:rPr>
          <w:rFonts w:cs="Times New Roman"/>
          <w:szCs w:val="24"/>
        </w:rPr>
        <w:t xml:space="preserve"> et a informé le Comité que ses travaux se poursuivraient lors d</w:t>
      </w:r>
      <w:r w:rsidR="00346F1B">
        <w:rPr>
          <w:rFonts w:cs="Times New Roman"/>
          <w:szCs w:val="24"/>
        </w:rPr>
        <w:t>’</w:t>
      </w:r>
      <w:r>
        <w:rPr>
          <w:rFonts w:cs="Times New Roman"/>
          <w:szCs w:val="24"/>
        </w:rPr>
        <w:t xml:space="preserve">une séance prolongée </w:t>
      </w:r>
      <w:r w:rsidR="0068180E">
        <w:rPr>
          <w:rFonts w:cs="Times New Roman"/>
          <w:szCs w:val="24"/>
        </w:rPr>
        <w:t>dans la soirée.</w:t>
      </w:r>
    </w:p>
    <w:p w14:paraId="27C5C448" w14:textId="7A6D9433" w:rsidR="00012ED3" w:rsidRPr="009612D3" w:rsidRDefault="004B6935" w:rsidP="002B4948">
      <w:pPr>
        <w:pStyle w:val="Orateurengris"/>
        <w:keepNext/>
        <w:numPr>
          <w:ilvl w:val="0"/>
          <w:numId w:val="0"/>
        </w:numPr>
        <w:tabs>
          <w:tab w:val="left" w:pos="567"/>
        </w:tabs>
        <w:spacing w:before="240"/>
        <w:ind w:left="709" w:hanging="709"/>
        <w:jc w:val="center"/>
        <w:rPr>
          <w:rFonts w:cs="Times New Roman"/>
          <w:i/>
          <w:szCs w:val="24"/>
        </w:rPr>
      </w:pPr>
      <w:r>
        <w:rPr>
          <w:bCs/>
          <w:i/>
        </w:rPr>
        <w:t>[P</w:t>
      </w:r>
      <w:r w:rsidR="00544685" w:rsidRPr="009612D3">
        <w:rPr>
          <w:bCs/>
          <w:i/>
        </w:rPr>
        <w:t>ause</w:t>
      </w:r>
      <w:r>
        <w:rPr>
          <w:bCs/>
          <w:i/>
        </w:rPr>
        <w:t xml:space="preserve"> de 30 minutes</w:t>
      </w:r>
      <w:r w:rsidR="00544685" w:rsidRPr="009612D3">
        <w:rPr>
          <w:bCs/>
          <w:i/>
        </w:rPr>
        <w:t>]</w:t>
      </w:r>
    </w:p>
    <w:p w14:paraId="67E22AB2" w14:textId="58DB5639" w:rsidR="00012ED3" w:rsidRPr="009612D3" w:rsidRDefault="004B6935" w:rsidP="002B4948">
      <w:pPr>
        <w:pStyle w:val="Orateurengris"/>
        <w:numPr>
          <w:ilvl w:val="0"/>
          <w:numId w:val="0"/>
        </w:numPr>
        <w:spacing w:before="120"/>
        <w:ind w:left="709" w:hanging="709"/>
        <w:jc w:val="center"/>
        <w:outlineLvl w:val="0"/>
        <w:rPr>
          <w:i/>
        </w:rPr>
      </w:pPr>
      <w:r>
        <w:rPr>
          <w:rFonts w:eastAsia="Cambria"/>
          <w:i/>
        </w:rPr>
        <w:t>[</w:t>
      </w:r>
      <w:r w:rsidR="00C62793">
        <w:rPr>
          <w:rFonts w:eastAsia="Cambria"/>
          <w:i/>
        </w:rPr>
        <w:t>Mercredi</w:t>
      </w:r>
      <w:r>
        <w:rPr>
          <w:rFonts w:eastAsia="Cambria"/>
          <w:i/>
        </w:rPr>
        <w:t xml:space="preserve"> 30 novembre, séance du soir</w:t>
      </w:r>
      <w:r w:rsidR="00012ED3" w:rsidRPr="009612D3">
        <w:rPr>
          <w:i/>
        </w:rPr>
        <w:t>]</w:t>
      </w:r>
    </w:p>
    <w:p w14:paraId="6907B4A0" w14:textId="5B687782" w:rsidR="00012ED3" w:rsidRPr="009612D3" w:rsidRDefault="004B6935" w:rsidP="002B4948">
      <w:pPr>
        <w:pStyle w:val="Orateurengris"/>
        <w:numPr>
          <w:ilvl w:val="0"/>
          <w:numId w:val="0"/>
        </w:numPr>
        <w:spacing w:before="120" w:after="240"/>
        <w:ind w:left="709" w:hanging="709"/>
        <w:jc w:val="center"/>
        <w:rPr>
          <w:i/>
        </w:rPr>
      </w:pPr>
      <w:r>
        <w:rPr>
          <w:i/>
        </w:rPr>
        <w:t>[Le Président a repris sa fonction</w:t>
      </w:r>
      <w:r w:rsidR="00916DF9" w:rsidRPr="009612D3">
        <w:rPr>
          <w:i/>
        </w:rPr>
        <w:t>]</w:t>
      </w:r>
    </w:p>
    <w:p w14:paraId="1C13DFF9" w14:textId="31DA4546" w:rsidR="00CC15D2" w:rsidRPr="00CC15D2" w:rsidRDefault="00CC15D2" w:rsidP="00DE5C80">
      <w:pPr>
        <w:pStyle w:val="Orateurengris"/>
        <w:spacing w:before="120"/>
        <w:ind w:left="709" w:hanging="709"/>
      </w:pPr>
      <w:r>
        <w:t xml:space="preserve">Le </w:t>
      </w:r>
      <w:r w:rsidRPr="00CC15D2">
        <w:rPr>
          <w:b/>
        </w:rPr>
        <w:t>Président</w:t>
      </w:r>
      <w:r>
        <w:t xml:space="preserve"> a remercié le Comité d</w:t>
      </w:r>
      <w:r w:rsidR="00346F1B">
        <w:t>’</w:t>
      </w:r>
      <w:r>
        <w:t>avoir accueilli la célébration par l</w:t>
      </w:r>
      <w:r w:rsidR="00346F1B">
        <w:t>’</w:t>
      </w:r>
      <w:r>
        <w:t>Éthiopie de son inscription, et est passé à l</w:t>
      </w:r>
      <w:r w:rsidR="00346F1B">
        <w:t>’</w:t>
      </w:r>
      <w:r>
        <w:t>examen des dossiers d</w:t>
      </w:r>
      <w:r w:rsidR="0068180E">
        <w:t>e candidature restants.</w:t>
      </w:r>
    </w:p>
    <w:p w14:paraId="7D79DB16" w14:textId="2E9347D1" w:rsidR="005F46FB" w:rsidRDefault="00305786" w:rsidP="00DE5C80">
      <w:pPr>
        <w:pStyle w:val="Orateurengris"/>
        <w:spacing w:before="120"/>
        <w:ind w:left="709" w:hanging="709"/>
      </w:pPr>
      <w:r>
        <w:t xml:space="preserve">Le </w:t>
      </w:r>
      <w:r w:rsidR="00754EC3">
        <w:rPr>
          <w:b/>
        </w:rPr>
        <w:t>Vice-Président</w:t>
      </w:r>
      <w:r w:rsidRPr="00305786">
        <w:rPr>
          <w:b/>
        </w:rPr>
        <w:t xml:space="preserve"> de l</w:t>
      </w:r>
      <w:r w:rsidR="00346F1B">
        <w:rPr>
          <w:b/>
        </w:rPr>
        <w:t>’</w:t>
      </w:r>
      <w:r w:rsidRPr="00305786">
        <w:rPr>
          <w:b/>
        </w:rPr>
        <w:t>Organe d</w:t>
      </w:r>
      <w:r w:rsidR="00346F1B">
        <w:rPr>
          <w:b/>
        </w:rPr>
        <w:t>’</w:t>
      </w:r>
      <w:r w:rsidRPr="00305786">
        <w:rPr>
          <w:b/>
        </w:rPr>
        <w:t>évaluation</w:t>
      </w:r>
      <w:r>
        <w:t xml:space="preserve"> est ensuite passé à </w:t>
      </w:r>
      <w:r w:rsidRPr="00305786">
        <w:t>la candidature suivante,</w:t>
      </w:r>
      <w:r w:rsidR="002E6626">
        <w:rPr>
          <w:b/>
        </w:rPr>
        <w:t xml:space="preserve"> </w:t>
      </w:r>
      <w:bookmarkStart w:id="30" w:name="Decision10b24"/>
      <w:r w:rsidR="002E6626">
        <w:rPr>
          <w:b/>
        </w:rPr>
        <w:t>la culture des haenyeo</w:t>
      </w:r>
      <w:r w:rsidRPr="00305786">
        <w:rPr>
          <w:b/>
        </w:rPr>
        <w:t xml:space="preserve"> (plongeuses) de l</w:t>
      </w:r>
      <w:r w:rsidR="00346F1B">
        <w:rPr>
          <w:b/>
        </w:rPr>
        <w:t>’</w:t>
      </w:r>
      <w:r w:rsidRPr="00305786">
        <w:rPr>
          <w:b/>
        </w:rPr>
        <w:t>île de Jeju</w:t>
      </w:r>
      <w:r>
        <w:t xml:space="preserve"> </w:t>
      </w:r>
      <w:bookmarkEnd w:id="30"/>
      <w:r>
        <w:t>[projet de décision 11.COM 10.b.24]</w:t>
      </w:r>
      <w:r w:rsidR="006F5E36">
        <w:t>, soumise par la République de Corée</w:t>
      </w:r>
      <w:r w:rsidR="002E6626">
        <w:t>. Sur l</w:t>
      </w:r>
      <w:r w:rsidR="00346F1B">
        <w:t>’</w:t>
      </w:r>
      <w:r w:rsidR="002E6626">
        <w:t>île de Jeju, une communauté de femmes, parfois octogénaires, gagnait sa vie en plongeant dans la mer</w:t>
      </w:r>
      <w:r w:rsidR="006F5E36">
        <w:t xml:space="preserve"> pour pêche</w:t>
      </w:r>
      <w:r w:rsidR="00D3615B">
        <w:t>r des fruits de mer. Les haenye</w:t>
      </w:r>
      <w:r w:rsidR="006F5E36">
        <w:t>o (plongeuses) de Jeju, pêchaient jusqu</w:t>
      </w:r>
      <w:r w:rsidR="00346F1B">
        <w:t>’</w:t>
      </w:r>
      <w:r w:rsidR="006F5E36">
        <w:t>à sept heures par jour, 90 jours par an en retenant leur souffle pour plonger jusqu</w:t>
      </w:r>
      <w:r w:rsidR="00346F1B">
        <w:t>’</w:t>
      </w:r>
      <w:r w:rsidR="006F5E36">
        <w:t>à 10 m. Avant de plonger, des prières étaient dites pour assurer la sécurité et une pêche abondante. La transmission se déroulait au sein des familles, dans les coopératives</w:t>
      </w:r>
      <w:r w:rsidR="00D3615B">
        <w:t xml:space="preserve"> de pêche et à l</w:t>
      </w:r>
      <w:r w:rsidR="00346F1B">
        <w:t>’</w:t>
      </w:r>
      <w:r w:rsidR="00D3615B">
        <w:t>école des haen</w:t>
      </w:r>
      <w:r w:rsidR="006F5E36">
        <w:t>yeo. Outre sa contribution à l</w:t>
      </w:r>
      <w:r w:rsidR="00346F1B">
        <w:t>’</w:t>
      </w:r>
      <w:r w:rsidR="006F5E36">
        <w:t>amélioration du statut des femmes de la communauté, la pratique traditionnelle représentait l</w:t>
      </w:r>
      <w:r w:rsidR="00346F1B">
        <w:t>’</w:t>
      </w:r>
      <w:r w:rsidR="006F5E36">
        <w:t>identité de l</w:t>
      </w:r>
      <w:r w:rsidR="00346F1B">
        <w:t>’</w:t>
      </w:r>
      <w:r w:rsidR="006F5E36">
        <w:t>île</w:t>
      </w:r>
      <w:r w:rsidR="005F46FB">
        <w:t xml:space="preserve"> et permettait de promouvoir la </w:t>
      </w:r>
      <w:r w:rsidR="006F5E36">
        <w:t>durabilité. L</w:t>
      </w:r>
      <w:r w:rsidR="00346F1B">
        <w:t>’</w:t>
      </w:r>
      <w:r w:rsidR="006F5E36">
        <w:t>Organe d</w:t>
      </w:r>
      <w:r w:rsidR="00346F1B">
        <w:t>’</w:t>
      </w:r>
      <w:r w:rsidR="006F5E36">
        <w:t>évaluation avait décidé que, d</w:t>
      </w:r>
      <w:r w:rsidR="00346F1B">
        <w:t>’</w:t>
      </w:r>
      <w:r w:rsidR="006F5E36">
        <w:t>après les informations contenues dans le dossie</w:t>
      </w:r>
      <w:r w:rsidR="00124F65">
        <w:t>r, la candidature satisfaisait</w:t>
      </w:r>
      <w:r w:rsidR="006F5E36">
        <w:t xml:space="preserve"> l</w:t>
      </w:r>
      <w:r w:rsidR="00346F1B">
        <w:t>’</w:t>
      </w:r>
      <w:r w:rsidR="006F5E36">
        <w:t xml:space="preserve">ensemble des cinq critères. Le dossier </w:t>
      </w:r>
      <w:r w:rsidR="005F46FB">
        <w:t>était parvenu à démontrer corre</w:t>
      </w:r>
      <w:r w:rsidR="00D3615B">
        <w:t>ctement que la plongée des haen</w:t>
      </w:r>
      <w:r w:rsidR="005F46FB">
        <w:t>yeo était respectueuse de l</w:t>
      </w:r>
      <w:r w:rsidR="00346F1B">
        <w:t>’</w:t>
      </w:r>
      <w:r w:rsidR="005F46FB">
        <w:t>écologie, compte tenu, entre autres, de l</w:t>
      </w:r>
      <w:r w:rsidR="00346F1B">
        <w:t>’</w:t>
      </w:r>
      <w:r w:rsidR="005F46FB">
        <w:t>interdiction des méthodes de pêche usant de technologies. La culture des plongeuses de Jeju contribuait également à la promotion des droits des femmes et à la reconnaissance de leur savoir-faire et de leur participation à l</w:t>
      </w:r>
      <w:r w:rsidR="00346F1B">
        <w:t>’</w:t>
      </w:r>
      <w:r w:rsidR="005F46FB">
        <w:t>économie du ménage. L</w:t>
      </w:r>
      <w:r w:rsidR="00346F1B">
        <w:t>’</w:t>
      </w:r>
      <w:r w:rsidR="005F46FB">
        <w:t>Organe d</w:t>
      </w:r>
      <w:r w:rsidR="00346F1B">
        <w:t>’</w:t>
      </w:r>
      <w:r w:rsidR="005F46FB">
        <w:t>évaluation recommandait donc l</w:t>
      </w:r>
      <w:r w:rsidR="00346F1B">
        <w:t>’</w:t>
      </w:r>
      <w:r w:rsidR="005F46FB">
        <w:t>inscription de la culture des haenyeo (plongeuses) de l</w:t>
      </w:r>
      <w:r w:rsidR="00346F1B">
        <w:t>’</w:t>
      </w:r>
      <w:r w:rsidR="005F46FB">
        <w:t>île de Je</w:t>
      </w:r>
      <w:r w:rsidR="0068180E">
        <w:t>ju sur la Liste représentative.</w:t>
      </w:r>
    </w:p>
    <w:p w14:paraId="7B26C342" w14:textId="4B9F82AA" w:rsidR="005F46FB" w:rsidRDefault="005F46FB" w:rsidP="00DE5C80">
      <w:pPr>
        <w:pStyle w:val="Orateurengris"/>
        <w:spacing w:before="120"/>
        <w:ind w:left="709" w:hanging="709"/>
      </w:pPr>
      <w:r>
        <w:t xml:space="preserve">Après avoir remercié le </w:t>
      </w:r>
      <w:r w:rsidR="00754EC3">
        <w:t>Vice-Président</w:t>
      </w:r>
      <w:r>
        <w:t xml:space="preserve">, le </w:t>
      </w:r>
      <w:r w:rsidRPr="005F46FB">
        <w:rPr>
          <w:b/>
        </w:rPr>
        <w:t>Président</w:t>
      </w:r>
      <w:r>
        <w:t xml:space="preserve"> a </w:t>
      </w:r>
      <w:r w:rsidR="00D3615B">
        <w:t xml:space="preserve">précisé </w:t>
      </w:r>
      <w:r>
        <w:t>qu</w:t>
      </w:r>
      <w:r w:rsidR="00346F1B">
        <w:t>’</w:t>
      </w:r>
      <w:r>
        <w:t>aucun amendement n</w:t>
      </w:r>
      <w:r w:rsidR="00346F1B">
        <w:t>’</w:t>
      </w:r>
      <w:r>
        <w:t>avait été présenté</w:t>
      </w:r>
      <w:r w:rsidR="00461362">
        <w:t>,</w:t>
      </w:r>
      <w:r>
        <w:t xml:space="preserve"> et a donc proposé d</w:t>
      </w:r>
      <w:r w:rsidR="00346F1B">
        <w:t>’</w:t>
      </w:r>
      <w:r>
        <w:t>adopter la décision dans son ensemble. En l</w:t>
      </w:r>
      <w:r w:rsidR="00346F1B">
        <w:t>’</w:t>
      </w:r>
      <w:r>
        <w:t>absence d</w:t>
      </w:r>
      <w:r w:rsidR="00346F1B">
        <w:t>’</w:t>
      </w:r>
      <w:r>
        <w:t xml:space="preserve">autres commentaires ou objections, le </w:t>
      </w:r>
      <w:r w:rsidRPr="00D3615B">
        <w:rPr>
          <w:b/>
        </w:rPr>
        <w:t xml:space="preserve">Président a déclaré adoptée la décision 11.COM </w:t>
      </w:r>
      <w:r w:rsidR="00D3615B" w:rsidRPr="00D3615B">
        <w:rPr>
          <w:b/>
        </w:rPr>
        <w:t>10.b.24 d</w:t>
      </w:r>
      <w:r w:rsidR="00346F1B">
        <w:rPr>
          <w:b/>
        </w:rPr>
        <w:t>’</w:t>
      </w:r>
      <w:r w:rsidR="00D3615B" w:rsidRPr="00D3615B">
        <w:rPr>
          <w:b/>
        </w:rPr>
        <w:t>inscrire la culture des haenyeo (plongeuses) de l</w:t>
      </w:r>
      <w:r w:rsidR="00346F1B">
        <w:rPr>
          <w:b/>
        </w:rPr>
        <w:t>’</w:t>
      </w:r>
      <w:r w:rsidR="00D3615B" w:rsidRPr="00D3615B">
        <w:rPr>
          <w:b/>
        </w:rPr>
        <w:t>île de Jeju sur la Liste représentative du patrimoine culturel immatériel de l</w:t>
      </w:r>
      <w:r w:rsidR="00346F1B">
        <w:rPr>
          <w:b/>
        </w:rPr>
        <w:t>’</w:t>
      </w:r>
      <w:r w:rsidR="00D3615B" w:rsidRPr="00D3615B">
        <w:rPr>
          <w:b/>
        </w:rPr>
        <w:t>humanité</w:t>
      </w:r>
      <w:r w:rsidR="00D3615B">
        <w:rPr>
          <w:b/>
        </w:rPr>
        <w:t>.</w:t>
      </w:r>
    </w:p>
    <w:p w14:paraId="6F584ECE" w14:textId="42E29B1B" w:rsidR="000F01E4" w:rsidRPr="00D3615B" w:rsidRDefault="00D3615B" w:rsidP="00DE5C80">
      <w:pPr>
        <w:pStyle w:val="Orateurengris"/>
        <w:spacing w:before="120"/>
        <w:ind w:left="709" w:hanging="709"/>
      </w:pPr>
      <w:r>
        <w:t xml:space="preserve">La délégation de la </w:t>
      </w:r>
      <w:r w:rsidRPr="00D3615B">
        <w:rPr>
          <w:b/>
        </w:rPr>
        <w:t>République de Corée</w:t>
      </w:r>
      <w:r>
        <w:t xml:space="preserve"> a déclaré que c</w:t>
      </w:r>
      <w:r w:rsidR="00346F1B">
        <w:t>’</w:t>
      </w:r>
      <w:r>
        <w:t>était un grand privilège d</w:t>
      </w:r>
      <w:r w:rsidR="00346F1B">
        <w:t>’</w:t>
      </w:r>
      <w:r>
        <w:t>être témoin de l</w:t>
      </w:r>
      <w:r w:rsidR="00346F1B">
        <w:t>’</w:t>
      </w:r>
      <w:r>
        <w:t>inscription de la culture des haenyeo de Jeju sur la Liste représentative. Elle a exprimé sa sincère gratitude au Secrétariat pour sa mise en œuvre de la Convention, en particulier à l</w:t>
      </w:r>
      <w:r w:rsidR="00346F1B">
        <w:t>’</w:t>
      </w:r>
      <w:r>
        <w:t>Organe d</w:t>
      </w:r>
      <w:r w:rsidR="00346F1B">
        <w:t>’</w:t>
      </w:r>
      <w:r>
        <w:t>évaluation pour s</w:t>
      </w:r>
      <w:r w:rsidR="002567C8">
        <w:t xml:space="preserve">on travail ardu, et à tous les </w:t>
      </w:r>
      <w:r w:rsidR="00A46CAD">
        <w:t>membres du Comité</w:t>
      </w:r>
      <w:r>
        <w:t xml:space="preserve"> pour les efforts déployés jusqu</w:t>
      </w:r>
      <w:r w:rsidR="00346F1B">
        <w:t>’</w:t>
      </w:r>
      <w:r>
        <w:t xml:space="preserve">alors. Les haenyeo de </w:t>
      </w:r>
      <w:r w:rsidR="000F01E4">
        <w:t xml:space="preserve">Jeju </w:t>
      </w:r>
      <w:r>
        <w:t xml:space="preserve">étaient emblématiques des </w:t>
      </w:r>
      <w:r w:rsidR="000F01E4">
        <w:t>femmes de Jeju, fortes et indépendantes qui vivaient avec la nature en considérant la mer comme leur maison. Détentrices de la sagesse traditionnelle associée à l</w:t>
      </w:r>
      <w:r w:rsidR="00346F1B">
        <w:t>’</w:t>
      </w:r>
      <w:r w:rsidR="000F01E4">
        <w:t>écologie marine, les haenyeo de Jeju et leur culture étaient les représentantes d</w:t>
      </w:r>
      <w:r w:rsidR="00346F1B">
        <w:t>’</w:t>
      </w:r>
      <w:r w:rsidR="000F01E4">
        <w:t>une histoire vénérable et d</w:t>
      </w:r>
      <w:r w:rsidR="00346F1B">
        <w:t>’</w:t>
      </w:r>
      <w:r w:rsidR="000F01E4">
        <w:t>un mode de vie propre à l</w:t>
      </w:r>
      <w:r w:rsidR="00346F1B">
        <w:t>’</w:t>
      </w:r>
      <w:r w:rsidR="000F01E4">
        <w:t>île de Jeju. Transmise d</w:t>
      </w:r>
      <w:r w:rsidR="00346F1B">
        <w:t>’</w:t>
      </w:r>
      <w:r w:rsidR="000F01E4">
        <w:t>une génération à une autre, cette culture était un symbole de l</w:t>
      </w:r>
      <w:r w:rsidR="00346F1B">
        <w:t>’</w:t>
      </w:r>
      <w:r w:rsidR="000F01E4">
        <w:t>égalité entre les hommes et les femmes et d</w:t>
      </w:r>
      <w:r w:rsidR="00346F1B">
        <w:t>’</w:t>
      </w:r>
      <w:r w:rsidR="000F01E4">
        <w:t>une approche écologique des écosystèmes et de la culture communautaire ; les haenyeo sauvegardaient et faisaient connaître</w:t>
      </w:r>
      <w:r w:rsidR="00190F68">
        <w:t xml:space="preserve"> </w:t>
      </w:r>
      <w:r w:rsidR="000F01E4">
        <w:t>cet important patrimoine culturel à toute l</w:t>
      </w:r>
      <w:r w:rsidR="00346F1B">
        <w:t>’</w:t>
      </w:r>
      <w:r w:rsidR="000F01E4">
        <w:t>humanité. L</w:t>
      </w:r>
      <w:r w:rsidR="00346F1B">
        <w:t>’</w:t>
      </w:r>
      <w:r w:rsidR="000F01E4">
        <w:t xml:space="preserve">inscription était </w:t>
      </w:r>
      <w:r w:rsidR="00190F68">
        <w:t>l</w:t>
      </w:r>
      <w:r w:rsidR="00346F1B">
        <w:t>’</w:t>
      </w:r>
      <w:r w:rsidR="000F01E4">
        <w:t>occasion pour la délégation de renouvele</w:t>
      </w:r>
      <w:r w:rsidR="000C4D2A">
        <w:t>r son engagement en faveur d</w:t>
      </w:r>
      <w:r w:rsidR="00346F1B">
        <w:t>’</w:t>
      </w:r>
      <w:r w:rsidR="000C4D2A">
        <w:t>une</w:t>
      </w:r>
      <w:r w:rsidR="000F01E4">
        <w:t xml:space="preserve"> sauvegarde de la culture des haenyeo de Jeju plu</w:t>
      </w:r>
      <w:r w:rsidR="00C75B12">
        <w:t>s systématique et plus durable.</w:t>
      </w:r>
    </w:p>
    <w:p w14:paraId="37CD156F" w14:textId="6939C39C" w:rsidR="000C4D2A" w:rsidRPr="000C4D2A" w:rsidRDefault="000C4D2A" w:rsidP="00DE5C80">
      <w:pPr>
        <w:pStyle w:val="Orateurengris"/>
        <w:spacing w:before="120"/>
        <w:ind w:left="709" w:hanging="709"/>
      </w:pPr>
      <w:r w:rsidRPr="000C4D2A">
        <w:t xml:space="preserve">Le </w:t>
      </w:r>
      <w:r w:rsidRPr="000C4D2A">
        <w:rPr>
          <w:b/>
        </w:rPr>
        <w:t>Président</w:t>
      </w:r>
      <w:r w:rsidRPr="000C4D2A">
        <w:t xml:space="preserve"> est passé au point suivant relatif au </w:t>
      </w:r>
      <w:r>
        <w:t>projet de décision 11.COM 10.b.2, qui avait été précédemment reporté. Il a informé le Comité qu</w:t>
      </w:r>
      <w:r w:rsidR="00346F1B">
        <w:t>’</w:t>
      </w:r>
      <w:r>
        <w:t>un consensus avait été obtenu sur le texte du projet de décision. Il a salué le texte du consensus qui avait été rédigé dans un esprit de compréhension et de dialogue. Il a ensuite demandé au Comité s</w:t>
      </w:r>
      <w:r w:rsidR="00346F1B">
        <w:t>’</w:t>
      </w:r>
      <w:r>
        <w:t>il était en mesure d</w:t>
      </w:r>
      <w:r w:rsidR="00346F1B">
        <w:t>’</w:t>
      </w:r>
      <w:r>
        <w:t>adopter la décision dans son ensemble. En l</w:t>
      </w:r>
      <w:r w:rsidR="00346F1B">
        <w:t>’</w:t>
      </w:r>
      <w:r>
        <w:t>absence d</w:t>
      </w:r>
      <w:r w:rsidR="00346F1B">
        <w:t>’</w:t>
      </w:r>
      <w:r>
        <w:t xml:space="preserve">objections, le </w:t>
      </w:r>
      <w:r w:rsidRPr="000C4D2A">
        <w:rPr>
          <w:b/>
        </w:rPr>
        <w:t>Président a déclaré adoptée la décision 11.COM 10.b.2 d</w:t>
      </w:r>
      <w:r w:rsidR="00346F1B">
        <w:rPr>
          <w:b/>
        </w:rPr>
        <w:t>’</w:t>
      </w:r>
      <w:r w:rsidRPr="000C4D2A">
        <w:rPr>
          <w:b/>
        </w:rPr>
        <w:t xml:space="preserve">inscrire la culture de la </w:t>
      </w:r>
      <w:r w:rsidRPr="00A8402B">
        <w:rPr>
          <w:b/>
        </w:rPr>
        <w:t xml:space="preserve">fabrication </w:t>
      </w:r>
      <w:r>
        <w:rPr>
          <w:b/>
        </w:rPr>
        <w:t xml:space="preserve">et du partage </w:t>
      </w:r>
      <w:r w:rsidRPr="00A8402B">
        <w:rPr>
          <w:b/>
        </w:rPr>
        <w:t>du pain plat : Lavash, Katyrma, Jupka</w:t>
      </w:r>
      <w:r>
        <w:rPr>
          <w:b/>
        </w:rPr>
        <w:t>,</w:t>
      </w:r>
      <w:r w:rsidRPr="00A8402B">
        <w:rPr>
          <w:b/>
        </w:rPr>
        <w:t xml:space="preserve"> Yufka</w:t>
      </w:r>
      <w:r>
        <w:rPr>
          <w:b/>
        </w:rPr>
        <w:t xml:space="preserve"> sur la Liste </w:t>
      </w:r>
      <w:r w:rsidR="00461362">
        <w:rPr>
          <w:b/>
        </w:rPr>
        <w:t xml:space="preserve">représentative </w:t>
      </w:r>
      <w:r>
        <w:rPr>
          <w:b/>
        </w:rPr>
        <w:t>du patrimoine culturel immatériel de l</w:t>
      </w:r>
      <w:r w:rsidR="00346F1B">
        <w:rPr>
          <w:b/>
        </w:rPr>
        <w:t>’</w:t>
      </w:r>
      <w:r w:rsidRPr="000C4D2A">
        <w:rPr>
          <w:b/>
        </w:rPr>
        <w:t>humanité</w:t>
      </w:r>
      <w:r w:rsidR="00C75B12">
        <w:rPr>
          <w:b/>
        </w:rPr>
        <w:t>.</w:t>
      </w:r>
    </w:p>
    <w:p w14:paraId="3CD804F6" w14:textId="1F1FEACD" w:rsidR="00C7474C" w:rsidRPr="00567381" w:rsidRDefault="00C7474C" w:rsidP="00DE5C80">
      <w:pPr>
        <w:pStyle w:val="Orateurengris"/>
        <w:spacing w:before="120"/>
        <w:ind w:left="709" w:hanging="709"/>
      </w:pPr>
      <w:r w:rsidRPr="00567381">
        <w:t xml:space="preserve">La délégation de </w:t>
      </w:r>
      <w:r w:rsidRPr="00567381">
        <w:rPr>
          <w:b/>
        </w:rPr>
        <w:t>Chypre</w:t>
      </w:r>
      <w:r w:rsidRPr="00567381">
        <w:t xml:space="preserve"> a fait remarquer qu</w:t>
      </w:r>
      <w:r w:rsidR="00346F1B">
        <w:t>’</w:t>
      </w:r>
      <w:r w:rsidRPr="00567381">
        <w:t>il était impossible de lire clairement le dernier p</w:t>
      </w:r>
      <w:r w:rsidR="00B8378E">
        <w:t xml:space="preserve">aragraphe additionnel. Celui-ci, ainsi rédigé </w:t>
      </w:r>
      <w:r w:rsidR="00567381" w:rsidRPr="00567381">
        <w:t xml:space="preserve">: </w:t>
      </w:r>
      <w:r w:rsidR="00461362">
        <w:t>« </w:t>
      </w:r>
      <w:r w:rsidR="00567381" w:rsidRPr="00567381">
        <w:t>Prend note que la culture de</w:t>
      </w:r>
      <w:r w:rsidR="00461362">
        <w:t xml:space="preserve"> la fabrication et du partage du</w:t>
      </w:r>
      <w:r w:rsidR="00567381" w:rsidRPr="00567381">
        <w:t xml:space="preserve"> pain plat est partagée par des communautés dans la région et </w:t>
      </w:r>
      <w:r w:rsidR="00B600B4" w:rsidRPr="00567381">
        <w:t>au-delà</w:t>
      </w:r>
      <w:r w:rsidR="00567381" w:rsidRPr="00567381">
        <w:t xml:space="preserve"> (</w:t>
      </w:r>
      <w:hyperlink r:id="rId43" w:history="1">
        <w:r w:rsidR="00567381" w:rsidRPr="00567381">
          <w:rPr>
            <w:rStyle w:val="Hyperlink"/>
          </w:rPr>
          <w:t>décision 9.COM 10.3</w:t>
        </w:r>
      </w:hyperlink>
      <w:r w:rsidR="00567381" w:rsidRPr="00567381">
        <w:rPr>
          <w:rStyle w:val="Hyperlink"/>
          <w:color w:val="auto"/>
          <w:u w:val="none"/>
        </w:rPr>
        <w:t>)</w:t>
      </w:r>
      <w:r w:rsidR="00461362">
        <w:rPr>
          <w:rStyle w:val="Hyperlink"/>
          <w:color w:val="auto"/>
          <w:u w:val="none"/>
        </w:rPr>
        <w:t> »</w:t>
      </w:r>
      <w:r w:rsidR="00B8378E">
        <w:rPr>
          <w:rStyle w:val="Hyperlink"/>
          <w:color w:val="auto"/>
          <w:u w:val="none"/>
        </w:rPr>
        <w:t xml:space="preserve">, </w:t>
      </w:r>
      <w:r w:rsidR="00B8378E" w:rsidRPr="00567381">
        <w:t>a été présenté sur l</w:t>
      </w:r>
      <w:r w:rsidR="00346F1B">
        <w:t>’</w:t>
      </w:r>
      <w:r w:rsidR="00B8378E" w:rsidRPr="00567381">
        <w:t>é</w:t>
      </w:r>
      <w:r w:rsidR="00B8378E">
        <w:t>cran.</w:t>
      </w:r>
    </w:p>
    <w:p w14:paraId="6DF67996" w14:textId="1C6F6FA3" w:rsidR="00487B50" w:rsidRDefault="00567381" w:rsidP="00DE5C80">
      <w:pPr>
        <w:pStyle w:val="Orateurengris"/>
        <w:spacing w:before="120"/>
        <w:ind w:left="709" w:hanging="709"/>
      </w:pPr>
      <w:r>
        <w:t>En tant que pays coordinateur de la candidature, la délégation de l</w:t>
      </w:r>
      <w:r w:rsidR="00346F1B">
        <w:t>’</w:t>
      </w:r>
      <w:r w:rsidRPr="00567381">
        <w:rPr>
          <w:b/>
        </w:rPr>
        <w:t>Azerbaïdjan</w:t>
      </w:r>
      <w:r>
        <w:t xml:space="preserve"> a évoqué le privilège et l</w:t>
      </w:r>
      <w:r w:rsidR="00346F1B">
        <w:t>’</w:t>
      </w:r>
      <w:r>
        <w:t>honneur qu</w:t>
      </w:r>
      <w:r w:rsidR="00346F1B">
        <w:t>’</w:t>
      </w:r>
      <w:r>
        <w:t>elle ressentait, et a remercié le Comité pour sa décision d</w:t>
      </w:r>
      <w:r w:rsidR="00346F1B">
        <w:t>’</w:t>
      </w:r>
      <w:r>
        <w:t>inscrire l</w:t>
      </w:r>
      <w:r w:rsidR="00346F1B">
        <w:t>’</w:t>
      </w:r>
      <w:r>
        <w:t>élé</w:t>
      </w:r>
      <w:r w:rsidR="00461362">
        <w:t xml:space="preserve">ment, </w:t>
      </w:r>
      <w:r>
        <w:t>et l</w:t>
      </w:r>
      <w:r w:rsidR="00346F1B">
        <w:t>’</w:t>
      </w:r>
      <w:r>
        <w:t>Organe d</w:t>
      </w:r>
      <w:r w:rsidR="00346F1B">
        <w:t>’</w:t>
      </w:r>
      <w:r>
        <w:t>évaluation pour son examen attentif et sa recomman</w:t>
      </w:r>
      <w:r w:rsidR="00487B50">
        <w:t>dation d</w:t>
      </w:r>
      <w:r w:rsidR="00346F1B">
        <w:t>’</w:t>
      </w:r>
      <w:r w:rsidR="00487B50">
        <w:t>inscrire l</w:t>
      </w:r>
      <w:r w:rsidR="00346F1B">
        <w:t>’</w:t>
      </w:r>
      <w:r w:rsidR="00487B50">
        <w:t>élément. Partagée par les communautés d</w:t>
      </w:r>
      <w:r w:rsidR="00346F1B">
        <w:t>’</w:t>
      </w:r>
      <w:r w:rsidR="00487B50">
        <w:t>Azerbaïdjan, de la République islamique d</w:t>
      </w:r>
      <w:r w:rsidR="00346F1B">
        <w:t>’</w:t>
      </w:r>
      <w:r w:rsidR="00487B50">
        <w:t xml:space="preserve">Iran, du Kazakhstan, du </w:t>
      </w:r>
      <w:r w:rsidR="00487B50" w:rsidRPr="00580F07">
        <w:rPr>
          <w:rFonts w:eastAsiaTheme="minorEastAsia"/>
          <w:color w:val="1A1A1A"/>
        </w:rPr>
        <w:t>Kirghizistan</w:t>
      </w:r>
      <w:r w:rsidR="00487B50">
        <w:t xml:space="preserve"> et de Turquie, la culture du pain plat était une pratique très répandue fondée sur les valeurs culturelles de ses populations. Ce n</w:t>
      </w:r>
      <w:r w:rsidR="00346F1B">
        <w:t>’</w:t>
      </w:r>
      <w:r w:rsidR="00487B50">
        <w:t>était pas seulement du pain, c</w:t>
      </w:r>
      <w:r w:rsidR="00346F1B">
        <w:t>’</w:t>
      </w:r>
      <w:r w:rsidR="00487B50">
        <w:t xml:space="preserve">était également un trésor </w:t>
      </w:r>
      <w:r w:rsidR="00B8378E">
        <w:t xml:space="preserve">riche </w:t>
      </w:r>
      <w:r w:rsidR="00487B50">
        <w:t>de valeurs, de principes et d</w:t>
      </w:r>
      <w:r w:rsidR="00346F1B">
        <w:t>’</w:t>
      </w:r>
      <w:r w:rsidR="00487B50">
        <w:t>une histoire commune. L</w:t>
      </w:r>
      <w:r w:rsidR="00346F1B">
        <w:t>’</w:t>
      </w:r>
      <w:r w:rsidR="00487B50">
        <w:t>inscription était le résultat d</w:t>
      </w:r>
      <w:r w:rsidR="00346F1B">
        <w:t>’</w:t>
      </w:r>
      <w:r w:rsidR="00487B50">
        <w:t xml:space="preserve">un travail </w:t>
      </w:r>
      <w:r w:rsidR="00461362">
        <w:t xml:space="preserve">acharné </w:t>
      </w:r>
      <w:r w:rsidR="00487B50">
        <w:t>et d</w:t>
      </w:r>
      <w:r w:rsidR="00346F1B">
        <w:t>’</w:t>
      </w:r>
      <w:r w:rsidR="00487B50">
        <w:t xml:space="preserve">une coopération entre les </w:t>
      </w:r>
      <w:r w:rsidR="00A46CAD">
        <w:t>membres</w:t>
      </w:r>
      <w:r w:rsidR="00487B50">
        <w:t xml:space="preserve"> d</w:t>
      </w:r>
      <w:r w:rsidR="00346F1B">
        <w:t>’</w:t>
      </w:r>
      <w:r w:rsidR="00487B50">
        <w:t>une excellente équipe d</w:t>
      </w:r>
      <w:r w:rsidR="00346F1B">
        <w:t>’</w:t>
      </w:r>
      <w:r w:rsidR="00487B50">
        <w:t>experts, elle encouragerait vivement les détenteurs à poursuivre la pratique en la transmettant aux générations futures. La délégation a félicité toutes les communautés des cinq pays pour cette réussite qui célébrait l</w:t>
      </w:r>
      <w:r w:rsidR="00346F1B">
        <w:t>’</w:t>
      </w:r>
      <w:r w:rsidR="00487B50">
        <w:t>unité et la diversité du patrimoine en faveur de la paix et du développement durable. Cette inscription démontrait également comment un seul élément transfrontalier du patrimoine immatériel pouvait permettre à des communautés d</w:t>
      </w:r>
      <w:r w:rsidR="00346F1B">
        <w:t>’</w:t>
      </w:r>
      <w:r w:rsidR="00487B50">
        <w:t>accepter les différences de chacun sans revendiquer l</w:t>
      </w:r>
      <w:r w:rsidR="00346F1B">
        <w:t>’</w:t>
      </w:r>
      <w:r w:rsidR="00487B50">
        <w:t>origine, l</w:t>
      </w:r>
      <w:r w:rsidR="00346F1B">
        <w:t>’</w:t>
      </w:r>
      <w:r w:rsidR="00487B50">
        <w:t>unicité ou l</w:t>
      </w:r>
      <w:r w:rsidR="00346F1B">
        <w:t>’</w:t>
      </w:r>
      <w:r w:rsidR="00487B50">
        <w:t>authenticité de sa propre forme de ce patrimoine partagé. Elle contribuait à l</w:t>
      </w:r>
      <w:r w:rsidR="00346F1B">
        <w:t>’</w:t>
      </w:r>
      <w:r w:rsidR="00487B50">
        <w:t>amélioration de la</w:t>
      </w:r>
      <w:r w:rsidR="00B8378E">
        <w:t xml:space="preserve"> coopération internationale, un</w:t>
      </w:r>
      <w:r w:rsidR="00487B50">
        <w:t xml:space="preserve"> des principes essentiels de la Convention.</w:t>
      </w:r>
      <w:r w:rsidR="0023413C">
        <w:t xml:space="preserve"> La délégation renforcerait les mesures destinées à sauvegarder le patrimoine immatériel et à soutenir la sensibilisation et la mise en œuvre de la Convention. C</w:t>
      </w:r>
      <w:r w:rsidR="00346F1B">
        <w:t>’</w:t>
      </w:r>
      <w:r w:rsidR="0023413C">
        <w:t>était un moment historique pour les praticiens du pain plat qui voyaient leur patrimoine reconnu au niveau international. L</w:t>
      </w:r>
      <w:r w:rsidR="00346F1B">
        <w:t>’</w:t>
      </w:r>
      <w:r w:rsidR="0023413C">
        <w:t>essence même de la Convention étant son caractère transfrontalier, la délégation pensait qu</w:t>
      </w:r>
      <w:r w:rsidR="00346F1B">
        <w:t>’</w:t>
      </w:r>
      <w:r w:rsidR="0023413C">
        <w:t xml:space="preserve">une plus grande attention devrait être accordée, voire la priorité donnée, aux candidatures multinationales. Enfin, </w:t>
      </w:r>
      <w:r w:rsidR="00B8378E">
        <w:t xml:space="preserve">dernier point mais non le moindre, </w:t>
      </w:r>
      <w:r w:rsidR="00461362">
        <w:t>le mot principal dans le</w:t>
      </w:r>
      <w:r w:rsidR="0023413C">
        <w:t xml:space="preserve"> </w:t>
      </w:r>
      <w:r w:rsidR="00461362">
        <w:t xml:space="preserve">nom </w:t>
      </w:r>
      <w:r w:rsidR="0023413C">
        <w:t>de la candidature était « partage », un terme qui était l</w:t>
      </w:r>
      <w:r w:rsidR="00346F1B">
        <w:t>’</w:t>
      </w:r>
      <w:r w:rsidR="0023413C">
        <w:t>essence même et le sens véritable de cette candidature. Tout commençait avec le partage du pain. Lorsque vous partagiez le pain, vous partagiez l</w:t>
      </w:r>
      <w:r w:rsidR="00346F1B">
        <w:t>’</w:t>
      </w:r>
      <w:r w:rsidR="0023413C">
        <w:t xml:space="preserve">amitié, vous partagiez le foyer. </w:t>
      </w:r>
      <w:r w:rsidR="00DB09C1">
        <w:t>Et l</w:t>
      </w:r>
      <w:r w:rsidR="0023413C">
        <w:t xml:space="preserve">orsque vous partagiez le foyer, vous partagiez </w:t>
      </w:r>
      <w:r w:rsidR="00C75B12">
        <w:t>la paix et la sécurité.</w:t>
      </w:r>
    </w:p>
    <w:p w14:paraId="36F20E88" w14:textId="6744B766" w:rsidR="00EC1C16" w:rsidRPr="00EC1C16" w:rsidRDefault="00EC1C16" w:rsidP="00DE5C80">
      <w:pPr>
        <w:pStyle w:val="Orateurengris"/>
        <w:spacing w:before="120"/>
        <w:ind w:left="709" w:hanging="709"/>
      </w:pPr>
      <w:r w:rsidRPr="00EC1C16">
        <w:t>La délégation</w:t>
      </w:r>
      <w:r>
        <w:t xml:space="preserve"> d</w:t>
      </w:r>
      <w:r w:rsidRPr="00EC1C16">
        <w:t>e</w:t>
      </w:r>
      <w:r>
        <w:t xml:space="preserve"> </w:t>
      </w:r>
      <w:r w:rsidRPr="00EC1C16">
        <w:t xml:space="preserve">la </w:t>
      </w:r>
      <w:r w:rsidRPr="00EC1C16">
        <w:rPr>
          <w:b/>
        </w:rPr>
        <w:t>République islamique d</w:t>
      </w:r>
      <w:r w:rsidR="00346F1B">
        <w:rPr>
          <w:b/>
        </w:rPr>
        <w:t>’</w:t>
      </w:r>
      <w:r w:rsidRPr="00EC1C16">
        <w:rPr>
          <w:b/>
        </w:rPr>
        <w:t>Iran</w:t>
      </w:r>
      <w:r>
        <w:t xml:space="preserve"> a cité un poème écrit il y a 1 </w:t>
      </w:r>
      <w:r w:rsidR="006F09EA">
        <w:t xml:space="preserve">100 ans par un mystique soufi, </w:t>
      </w:r>
      <w:r>
        <w:t>Abul-Hassan Kharaqāni : « Quiconque entre dans cette ma</w:t>
      </w:r>
      <w:r w:rsidR="006F09EA">
        <w:t>ison, donne-lui du pain, reçoit-le, respecte-</w:t>
      </w:r>
      <w:r>
        <w:t xml:space="preserve">le avec ce pain. Accueille-le et ne lui demande pas quelle est sa religion, son origine ethnique, sa </w:t>
      </w:r>
      <w:r w:rsidR="006F09EA">
        <w:t>tribu, sa foi ou sa race. Donne-</w:t>
      </w:r>
      <w:r>
        <w:t xml:space="preserve">lui du pain </w:t>
      </w:r>
      <w:r w:rsidR="006F09EA">
        <w:t>parce que chacun, chaque être humain qui mérite de recevoir la vie des mains de Dieu, mérite de recevoir du pain de nos mains. Recevoir le pain signifie respecter toute vie ». La délégation espérait que cette inscription pe</w:t>
      </w:r>
      <w:r w:rsidR="00C150E5">
        <w:t xml:space="preserve">rmettrait de diffuser ce point de vue </w:t>
      </w:r>
      <w:r w:rsidR="00C75B12">
        <w:t>auprès du plus grand nombre.</w:t>
      </w:r>
    </w:p>
    <w:p w14:paraId="1DF8271B" w14:textId="24AF9ABC" w:rsidR="003D14AA" w:rsidRPr="00EC1C16" w:rsidRDefault="006F09EA" w:rsidP="002B4948">
      <w:pPr>
        <w:pStyle w:val="Orateurengris"/>
        <w:numPr>
          <w:ilvl w:val="0"/>
          <w:numId w:val="0"/>
        </w:numPr>
        <w:spacing w:before="240" w:after="240"/>
        <w:ind w:left="709" w:hanging="709"/>
        <w:jc w:val="center"/>
        <w:rPr>
          <w:i/>
        </w:rPr>
      </w:pPr>
      <w:r>
        <w:rPr>
          <w:i/>
        </w:rPr>
        <w:t xml:space="preserve">[La </w:t>
      </w:r>
      <w:r w:rsidR="00754EC3">
        <w:rPr>
          <w:i/>
        </w:rPr>
        <w:t>Vice-Président</w:t>
      </w:r>
      <w:r>
        <w:rPr>
          <w:i/>
        </w:rPr>
        <w:t xml:space="preserve">e du Comité, </w:t>
      </w:r>
      <w:r w:rsidR="001212D3">
        <w:rPr>
          <w:i/>
        </w:rPr>
        <w:t xml:space="preserve">membre de la </w:t>
      </w:r>
      <w:r w:rsidR="001212D3" w:rsidRPr="001212D3">
        <w:rPr>
          <w:i/>
        </w:rPr>
        <w:t>délégation</w:t>
      </w:r>
      <w:r w:rsidR="001212D3">
        <w:rPr>
          <w:i/>
        </w:rPr>
        <w:t xml:space="preserve"> </w:t>
      </w:r>
      <w:r>
        <w:rPr>
          <w:i/>
        </w:rPr>
        <w:t>de la Turquie,</w:t>
      </w:r>
      <w:r w:rsidR="001212D3">
        <w:rPr>
          <w:i/>
        </w:rPr>
        <w:br/>
      </w:r>
      <w:r>
        <w:rPr>
          <w:i/>
        </w:rPr>
        <w:t xml:space="preserve"> a présidé cette séance</w:t>
      </w:r>
      <w:r w:rsidRPr="003241BC">
        <w:rPr>
          <w:i/>
        </w:rPr>
        <w:t>]</w:t>
      </w:r>
    </w:p>
    <w:p w14:paraId="7F8A3ACE" w14:textId="7B2EA41A" w:rsidR="001915B2" w:rsidRPr="001915B2" w:rsidRDefault="001915B2" w:rsidP="00DE5C80">
      <w:pPr>
        <w:pStyle w:val="Orateurengris"/>
        <w:spacing w:before="120"/>
        <w:ind w:left="709" w:hanging="709"/>
      </w:pPr>
      <w:r w:rsidRPr="001915B2">
        <w:t xml:space="preserve">La </w:t>
      </w:r>
      <w:r w:rsidRPr="001915B2">
        <w:rPr>
          <w:b/>
        </w:rPr>
        <w:t>Vice-Présidente</w:t>
      </w:r>
      <w:r>
        <w:t xml:space="preserve"> est passée au dossier de candidature </w:t>
      </w:r>
      <w:r w:rsidR="00C75B12">
        <w:t>suivant, soumis par la France.</w:t>
      </w:r>
    </w:p>
    <w:p w14:paraId="3314C38A" w14:textId="72590550" w:rsidR="001915B2" w:rsidRDefault="001915B2" w:rsidP="00DE5C80">
      <w:pPr>
        <w:pStyle w:val="Orateurengris"/>
        <w:spacing w:before="120"/>
        <w:ind w:left="709" w:hanging="709"/>
      </w:pPr>
      <w:r>
        <w:t>Reprenant l</w:t>
      </w:r>
      <w:r w:rsidR="00346F1B">
        <w:t>’</w:t>
      </w:r>
      <w:r>
        <w:t>ordre d</w:t>
      </w:r>
      <w:r w:rsidR="00346F1B">
        <w:t>’</w:t>
      </w:r>
      <w:r>
        <w:t xml:space="preserve">examen des dossiers, le </w:t>
      </w:r>
      <w:r w:rsidRPr="001915B2">
        <w:rPr>
          <w:b/>
        </w:rPr>
        <w:t>Vice-Président de l</w:t>
      </w:r>
      <w:r w:rsidR="00346F1B">
        <w:rPr>
          <w:b/>
        </w:rPr>
        <w:t>’</w:t>
      </w:r>
      <w:r w:rsidRPr="001915B2">
        <w:rPr>
          <w:b/>
        </w:rPr>
        <w:t>Organe d</w:t>
      </w:r>
      <w:r w:rsidR="00346F1B">
        <w:rPr>
          <w:b/>
        </w:rPr>
        <w:t>’</w:t>
      </w:r>
      <w:r w:rsidRPr="001915B2">
        <w:rPr>
          <w:b/>
        </w:rPr>
        <w:t>évaluation</w:t>
      </w:r>
      <w:r>
        <w:t xml:space="preserve"> est passé à la candidature suivante, </w:t>
      </w:r>
      <w:bookmarkStart w:id="31" w:name="Decision10b12"/>
      <w:r w:rsidRPr="001915B2">
        <w:rPr>
          <w:b/>
        </w:rPr>
        <w:t>le</w:t>
      </w:r>
      <w:r>
        <w:t xml:space="preserve"> </w:t>
      </w:r>
      <w:r w:rsidRPr="001915B2">
        <w:rPr>
          <w:b/>
        </w:rPr>
        <w:t>Carnaval de Granville</w:t>
      </w:r>
      <w:r>
        <w:t xml:space="preserve"> </w:t>
      </w:r>
      <w:bookmarkEnd w:id="31"/>
      <w:r>
        <w:t>(projet de décision 11.COM 10.b.12)</w:t>
      </w:r>
      <w:r w:rsidR="00DA661C">
        <w:t>, soumise par la France</w:t>
      </w:r>
      <w:r>
        <w:t>. Le carnava</w:t>
      </w:r>
      <w:r w:rsidR="004C4CE9">
        <w:t xml:space="preserve">l de Granville, </w:t>
      </w:r>
      <w:r>
        <w:t xml:space="preserve">une </w:t>
      </w:r>
      <w:r w:rsidR="004C4CE9">
        <w:t>fête de quatre jours précédant Mardi-Gras</w:t>
      </w:r>
      <w:r w:rsidR="00A31A47">
        <w:t>,</w:t>
      </w:r>
      <w:r w:rsidR="004C4CE9">
        <w:t xml:space="preserve"> à laquelle particip</w:t>
      </w:r>
      <w:r w:rsidR="00A31A47">
        <w:t>ai</w:t>
      </w:r>
      <w:r w:rsidR="004C4CE9">
        <w:t xml:space="preserve">ent les </w:t>
      </w:r>
      <w:r w:rsidR="00A46CAD">
        <w:t>membres</w:t>
      </w:r>
      <w:r w:rsidR="004C4CE9">
        <w:t xml:space="preserve"> de la communauté et habitants des communes voisines, </w:t>
      </w:r>
      <w:r w:rsidR="00A31A47">
        <w:t>était, entre autres, constitué d</w:t>
      </w:r>
      <w:r w:rsidR="00346F1B">
        <w:t>’</w:t>
      </w:r>
      <w:r w:rsidR="00A31A47">
        <w:t>une série de cavalcades de chars qui évoquaient avec humour les événem</w:t>
      </w:r>
      <w:r w:rsidR="00DA661C">
        <w:t>ents de l</w:t>
      </w:r>
      <w:r w:rsidR="00346F1B">
        <w:t>’</w:t>
      </w:r>
      <w:r w:rsidR="00DA661C">
        <w:t>actualité</w:t>
      </w:r>
      <w:r w:rsidR="00A31A47">
        <w:t>, la politique, et les personnes célèbres,</w:t>
      </w:r>
      <w:r w:rsidR="00DA661C">
        <w:t xml:space="preserve"> </w:t>
      </w:r>
      <w:r w:rsidR="00A31A47">
        <w:t xml:space="preserve">nécessitant le travail de 2 500 carnavaliers. En </w:t>
      </w:r>
      <w:r w:rsidR="00DA661C">
        <w:t xml:space="preserve">outre, des fanfares défilaient </w:t>
      </w:r>
      <w:r w:rsidR="00B7069B">
        <w:t xml:space="preserve">dans les rues, </w:t>
      </w:r>
      <w:r w:rsidR="00DA661C">
        <w:t xml:space="preserve">et </w:t>
      </w:r>
      <w:r w:rsidR="00A31A47">
        <w:t>des bal</w:t>
      </w:r>
      <w:r w:rsidR="00DA661C">
        <w:t>s pour différents groupes d</w:t>
      </w:r>
      <w:r w:rsidR="00346F1B">
        <w:t>’</w:t>
      </w:r>
      <w:r w:rsidR="00DA661C">
        <w:t>âge, une bataille de confetti et une « nuit d</w:t>
      </w:r>
      <w:r w:rsidR="00346F1B">
        <w:t>’</w:t>
      </w:r>
      <w:r w:rsidR="00DA661C">
        <w:t>intrigues », au cours de laquelle les participants se déguisaient, étaient organisés. Contribuant à l</w:t>
      </w:r>
      <w:r w:rsidR="00346F1B">
        <w:t>’</w:t>
      </w:r>
      <w:r w:rsidR="00DA661C">
        <w:t>unité de la communauté, la transmission de l</w:t>
      </w:r>
      <w:r w:rsidR="00346F1B">
        <w:t>’</w:t>
      </w:r>
      <w:r w:rsidR="00DA661C">
        <w:t>élément se déroulait au sein du cercle familial et des comités. L</w:t>
      </w:r>
      <w:r w:rsidR="00346F1B">
        <w:t>’</w:t>
      </w:r>
      <w:r w:rsidR="00DA661C">
        <w:t>Organe d</w:t>
      </w:r>
      <w:r w:rsidR="00346F1B">
        <w:t>’</w:t>
      </w:r>
      <w:r w:rsidR="00DA661C">
        <w:t>évaluation avait estimé que, selon les informations présentées dans le dossier,</w:t>
      </w:r>
      <w:r w:rsidR="00B7069B">
        <w:t xml:space="preserve"> la candidature satisfaisait </w:t>
      </w:r>
      <w:r w:rsidR="00D80C38">
        <w:t>l</w:t>
      </w:r>
      <w:r w:rsidR="00346F1B">
        <w:t>’</w:t>
      </w:r>
      <w:r w:rsidR="00D80C38">
        <w:t>ensemble des</w:t>
      </w:r>
      <w:r w:rsidR="00DA661C">
        <w:t xml:space="preserve"> cinq critères. Le Comité d</w:t>
      </w:r>
      <w:r w:rsidR="00346F1B">
        <w:t>’</w:t>
      </w:r>
      <w:r w:rsidR="00DA661C">
        <w:t>organisation, principal responsable de la viabilité de l</w:t>
      </w:r>
      <w:r w:rsidR="00346F1B">
        <w:t>’</w:t>
      </w:r>
      <w:r w:rsidR="00DA661C">
        <w:t>élément, avait lancé la procédure de candidature au nom de la communauté des carnavaliers. Le dossier apportait clairement la preuve de la participation active des détenteurs de l</w:t>
      </w:r>
      <w:r w:rsidR="00346F1B">
        <w:t>’</w:t>
      </w:r>
      <w:r w:rsidR="00DA661C">
        <w:t>élément à la préparation de la candidature, ainsi que de leur participation aux mesures de sauvegarde proposées. L</w:t>
      </w:r>
      <w:r w:rsidR="00346F1B">
        <w:t>’</w:t>
      </w:r>
      <w:r w:rsidR="00DA661C">
        <w:t>Organe d</w:t>
      </w:r>
      <w:r w:rsidR="00346F1B">
        <w:t>’</w:t>
      </w:r>
      <w:r w:rsidR="00DA661C">
        <w:t>évaluation avait décidé de recommander l</w:t>
      </w:r>
      <w:r w:rsidR="00346F1B">
        <w:t>’</w:t>
      </w:r>
      <w:r w:rsidR="00DA661C">
        <w:t>inscription du carnaval de Granvil</w:t>
      </w:r>
      <w:r w:rsidR="00C75B12">
        <w:t>le sur la Liste représentative.</w:t>
      </w:r>
    </w:p>
    <w:p w14:paraId="014C5431" w14:textId="60526649" w:rsidR="00D80C38" w:rsidRDefault="00D80C38" w:rsidP="00DE5C80">
      <w:pPr>
        <w:pStyle w:val="Orateurengris"/>
        <w:spacing w:before="120"/>
        <w:ind w:left="709" w:hanging="709"/>
      </w:pPr>
      <w:r>
        <w:t>Après avoir remercié le Vice-Président de l</w:t>
      </w:r>
      <w:r w:rsidR="00346F1B">
        <w:t>’</w:t>
      </w:r>
      <w:r>
        <w:t>Organe d</w:t>
      </w:r>
      <w:r w:rsidR="00346F1B">
        <w:t>’</w:t>
      </w:r>
      <w:r>
        <w:t xml:space="preserve">évaluation, la </w:t>
      </w:r>
      <w:r w:rsidRPr="00D80C38">
        <w:rPr>
          <w:b/>
        </w:rPr>
        <w:t>Vice-Présidente</w:t>
      </w:r>
      <w:r>
        <w:t>, prenant note de l</w:t>
      </w:r>
      <w:r w:rsidR="00346F1B">
        <w:t>’</w:t>
      </w:r>
      <w:r>
        <w:t>absence de propositions d</w:t>
      </w:r>
      <w:r w:rsidR="00346F1B">
        <w:t>’</w:t>
      </w:r>
      <w:r>
        <w:t>amendement, a proposé d</w:t>
      </w:r>
      <w:r w:rsidR="00346F1B">
        <w:t>’</w:t>
      </w:r>
      <w:r>
        <w:t>adopter la décision dans son ensemble. En l</w:t>
      </w:r>
      <w:r w:rsidR="00346F1B">
        <w:t>’</w:t>
      </w:r>
      <w:r>
        <w:t>absence de commentaires ou d</w:t>
      </w:r>
      <w:r w:rsidR="00346F1B">
        <w:t>’</w:t>
      </w:r>
      <w:r>
        <w:t xml:space="preserve">objections, </w:t>
      </w:r>
      <w:r w:rsidRPr="00D94CEA">
        <w:t>la</w:t>
      </w:r>
      <w:r w:rsidRPr="00D80C38">
        <w:rPr>
          <w:b/>
        </w:rPr>
        <w:t xml:space="preserve"> Vice-Présidente a déclaré adoptée la décision 11.COM 10.b.12 d</w:t>
      </w:r>
      <w:r w:rsidR="00346F1B">
        <w:rPr>
          <w:b/>
        </w:rPr>
        <w:t>’</w:t>
      </w:r>
      <w:r w:rsidRPr="00D80C38">
        <w:rPr>
          <w:b/>
        </w:rPr>
        <w:t>inscrire le carnaval de Granville sur la Liste représentative du patrimoine culturel immatériel de l</w:t>
      </w:r>
      <w:r w:rsidR="00346F1B">
        <w:rPr>
          <w:b/>
        </w:rPr>
        <w:t>’</w:t>
      </w:r>
      <w:r w:rsidRPr="00D80C38">
        <w:rPr>
          <w:b/>
        </w:rPr>
        <w:t>humanité</w:t>
      </w:r>
      <w:r w:rsidR="00C75B12">
        <w:t>.</w:t>
      </w:r>
    </w:p>
    <w:p w14:paraId="78C9983A" w14:textId="0B702AF3" w:rsidR="00D80C38" w:rsidRDefault="00D80C38" w:rsidP="00DE5C80">
      <w:pPr>
        <w:pStyle w:val="Orateurengris"/>
        <w:spacing w:before="120"/>
        <w:ind w:left="709" w:hanging="709"/>
      </w:pPr>
      <w:r>
        <w:t xml:space="preserve">La délégation de la </w:t>
      </w:r>
      <w:r w:rsidRPr="00D80C38">
        <w:rPr>
          <w:b/>
        </w:rPr>
        <w:t>France</w:t>
      </w:r>
      <w:r>
        <w:t xml:space="preserve"> s</w:t>
      </w:r>
      <w:r w:rsidR="00346F1B">
        <w:t>’</w:t>
      </w:r>
      <w:r>
        <w:t>est dite heureuse et fière de se joindre à l</w:t>
      </w:r>
      <w:r w:rsidR="00346F1B">
        <w:t>’</w:t>
      </w:r>
      <w:r>
        <w:t>inscription de l</w:t>
      </w:r>
      <w:r w:rsidR="00346F1B">
        <w:t>’</w:t>
      </w:r>
      <w:r>
        <w:t>élément sur la Liste représentative. Le carnaval de Granville était l</w:t>
      </w:r>
      <w:r w:rsidR="00346F1B">
        <w:t>’</w:t>
      </w:r>
      <w:r>
        <w:t>un des plus anciens carnavals en France. La délégation avait un</w:t>
      </w:r>
      <w:r w:rsidR="00F45427">
        <w:t xml:space="preserve">e pensée toute particulière pour tous ceux qui avaient </w:t>
      </w:r>
      <w:r w:rsidR="00DD6E85">
        <w:t>contribué au succès de cette inscription, au terme d</w:t>
      </w:r>
      <w:r w:rsidR="00346F1B">
        <w:t>’</w:t>
      </w:r>
      <w:r w:rsidR="00DD6E85">
        <w:t>une longue</w:t>
      </w:r>
      <w:r w:rsidR="00F45427">
        <w:t xml:space="preserve"> </w:t>
      </w:r>
      <w:r w:rsidR="00D94CEA">
        <w:t>procédure</w:t>
      </w:r>
      <w:r w:rsidR="00F45427">
        <w:t xml:space="preserve"> initiée par la communauté des carnavaliers plus de huit ans</w:t>
      </w:r>
      <w:r w:rsidR="00DD6E85">
        <w:t xml:space="preserve"> auparavant, avec le ministère de la Culture. Au cours de ces années, les organisateurs de l</w:t>
      </w:r>
      <w:r w:rsidR="00346F1B">
        <w:t>’</w:t>
      </w:r>
      <w:r w:rsidR="00DD6E85">
        <w:t>événement avaient su sensibiliser</w:t>
      </w:r>
      <w:r w:rsidR="00D94CEA">
        <w:t xml:space="preserve"> </w:t>
      </w:r>
      <w:r w:rsidR="00DD6E85">
        <w:t>la popu</w:t>
      </w:r>
      <w:r w:rsidR="00D94CEA">
        <w:t>lation au patrimoine immatériel à l</w:t>
      </w:r>
      <w:r w:rsidR="00346F1B">
        <w:t>’</w:t>
      </w:r>
      <w:r w:rsidR="00D94CEA">
        <w:t xml:space="preserve">occasion des différents carnavals, </w:t>
      </w:r>
      <w:r w:rsidR="00DD6E85">
        <w:t>et avaient mis en place des processus participatifs tout au long de l</w:t>
      </w:r>
      <w:r w:rsidR="00346F1B">
        <w:t>’</w:t>
      </w:r>
      <w:r w:rsidR="00DD6E85">
        <w:t>année pour recueillir les informations et documents présentés dans le dossier de candidature. La délégation a ajouté qu</w:t>
      </w:r>
      <w:r w:rsidR="00346F1B">
        <w:t>’</w:t>
      </w:r>
      <w:r w:rsidR="00DD6E85">
        <w:t xml:space="preserve">un comité serait bientôt établi pour veiller à ce que les </w:t>
      </w:r>
      <w:r w:rsidR="00A46CAD">
        <w:t>membres</w:t>
      </w:r>
      <w:r w:rsidR="00DD6E85">
        <w:t xml:space="preserve"> </w:t>
      </w:r>
      <w:r w:rsidR="00D94CEA">
        <w:t>de la communauté puissent faire un suivi de l</w:t>
      </w:r>
      <w:r w:rsidR="00346F1B">
        <w:t>’</w:t>
      </w:r>
      <w:r w:rsidR="00D94CEA">
        <w:t>inscription, en vue de préserver le carnaval pour les générations futures. Au nom de tous les carnavaliers, la délégation a remercié le Comité d</w:t>
      </w:r>
      <w:r w:rsidR="00346F1B">
        <w:t>’</w:t>
      </w:r>
      <w:r w:rsidR="00D94CEA">
        <w:t>avoir reconnu le travail et la participation des communautés de Granville, le carnaval devenant ainsi le quinzième élément inscrit, au nom de la France, sur la Liste représentative. La délégation a conclu son intervention en invitant les délégués à participer à la 143</w:t>
      </w:r>
      <w:r w:rsidR="00D94CEA" w:rsidRPr="00D94CEA">
        <w:rPr>
          <w:vertAlign w:val="superscript"/>
        </w:rPr>
        <w:t>e</w:t>
      </w:r>
      <w:r w:rsidR="00D94CEA">
        <w:t xml:space="preserve"> édition du carnaval qui se déroul</w:t>
      </w:r>
      <w:r w:rsidR="00C75B12">
        <w:t>erait du 24 au 28 février 2017.</w:t>
      </w:r>
    </w:p>
    <w:p w14:paraId="2445DFE9" w14:textId="67A7122B" w:rsidR="00D94CEA" w:rsidRDefault="00B7069B" w:rsidP="00DE5C80">
      <w:pPr>
        <w:pStyle w:val="Orateurengris"/>
        <w:spacing w:before="120"/>
        <w:ind w:left="709" w:hanging="709"/>
      </w:pPr>
      <w:r>
        <w:t>Après avoir remercié</w:t>
      </w:r>
      <w:r w:rsidR="00D94CEA">
        <w:t xml:space="preserve"> la délégation de la France, la </w:t>
      </w:r>
      <w:r w:rsidR="00D94CEA" w:rsidRPr="00D94CEA">
        <w:rPr>
          <w:b/>
        </w:rPr>
        <w:t>Vice-Présidente</w:t>
      </w:r>
      <w:r w:rsidR="00D94CEA">
        <w:t xml:space="preserve"> est passée à la candidature su</w:t>
      </w:r>
      <w:r w:rsidR="00C75B12">
        <w:t>ivante, soumise par la Géorgie.</w:t>
      </w:r>
    </w:p>
    <w:p w14:paraId="45BA1ACD" w14:textId="7B9C4947" w:rsidR="00127624" w:rsidRPr="00D94CEA" w:rsidRDefault="00556EEB" w:rsidP="00DE5C80">
      <w:pPr>
        <w:pStyle w:val="Orateurengris"/>
        <w:spacing w:before="120"/>
        <w:ind w:left="709" w:hanging="709"/>
      </w:pPr>
      <w:r>
        <w:t xml:space="preserve">Le </w:t>
      </w:r>
      <w:r w:rsidRPr="00796A0F">
        <w:rPr>
          <w:b/>
        </w:rPr>
        <w:t>Vice-Président de l</w:t>
      </w:r>
      <w:r w:rsidR="00346F1B">
        <w:rPr>
          <w:b/>
        </w:rPr>
        <w:t>’</w:t>
      </w:r>
      <w:r w:rsidRPr="00796A0F">
        <w:rPr>
          <w:b/>
        </w:rPr>
        <w:t>Organe d</w:t>
      </w:r>
      <w:r w:rsidR="00346F1B">
        <w:rPr>
          <w:b/>
        </w:rPr>
        <w:t>’</w:t>
      </w:r>
      <w:r w:rsidRPr="00796A0F">
        <w:rPr>
          <w:b/>
        </w:rPr>
        <w:t>évaluation</w:t>
      </w:r>
      <w:r>
        <w:t xml:space="preserve"> </w:t>
      </w:r>
      <w:r w:rsidR="00796A0F">
        <w:t xml:space="preserve">est passé à la candidature suivante, </w:t>
      </w:r>
      <w:bookmarkStart w:id="32" w:name="Decision10b13"/>
      <w:r w:rsidR="00796A0F">
        <w:rPr>
          <w:b/>
        </w:rPr>
        <w:t>la culture des troi</w:t>
      </w:r>
      <w:r w:rsidR="00796A0F" w:rsidRPr="00796A0F">
        <w:rPr>
          <w:b/>
        </w:rPr>
        <w:t>s systèmes d</w:t>
      </w:r>
      <w:r w:rsidR="00346F1B">
        <w:rPr>
          <w:b/>
        </w:rPr>
        <w:t>’</w:t>
      </w:r>
      <w:r w:rsidR="00796A0F" w:rsidRPr="00796A0F">
        <w:rPr>
          <w:b/>
        </w:rPr>
        <w:t>écriture de l</w:t>
      </w:r>
      <w:r w:rsidR="00346F1B">
        <w:rPr>
          <w:b/>
        </w:rPr>
        <w:t>’</w:t>
      </w:r>
      <w:r w:rsidR="00796A0F" w:rsidRPr="00796A0F">
        <w:rPr>
          <w:b/>
        </w:rPr>
        <w:t>alphabet géorgien</w:t>
      </w:r>
      <w:bookmarkEnd w:id="32"/>
      <w:r w:rsidR="00796A0F">
        <w:t xml:space="preserve"> [projet de décision 11.COM 10.b.13] soumise par la Géorgie. La langue écrite géorgienne a</w:t>
      </w:r>
      <w:r w:rsidR="00B7069B">
        <w:t>vait</w:t>
      </w:r>
      <w:r w:rsidR="00796A0F">
        <w:t xml:space="preserve"> produit trois alphabets – mrgvlovani, nuskhuri et mkhedruli – toujours en us</w:t>
      </w:r>
      <w:r w:rsidR="00127624">
        <w:t>age à l</w:t>
      </w:r>
      <w:r w:rsidR="00346F1B">
        <w:t>’</w:t>
      </w:r>
      <w:r w:rsidR="00127624">
        <w:t>époque contemporaine. Le</w:t>
      </w:r>
      <w:r w:rsidR="00796A0F">
        <w:t xml:space="preserve"> mrgvlovan</w:t>
      </w:r>
      <w:r w:rsidR="00B7069B">
        <w:t xml:space="preserve">i avait été le premier alphabet, </w:t>
      </w:r>
      <w:r w:rsidR="00796A0F">
        <w:t xml:space="preserve">le nuskhuri et le mkhedruli </w:t>
      </w:r>
      <w:r w:rsidR="00B7069B">
        <w:t xml:space="preserve">en </w:t>
      </w:r>
      <w:r w:rsidR="00796A0F">
        <w:t xml:space="preserve">avaient été tirés. Ils coexistaient grâce à leurs différentes fonctions, reflétant ainsi un aspect de </w:t>
      </w:r>
      <w:r w:rsidR="00127624">
        <w:t xml:space="preserve">la diversité de </w:t>
      </w:r>
      <w:r w:rsidR="00796A0F">
        <w:t>l</w:t>
      </w:r>
      <w:r w:rsidR="00346F1B">
        <w:t>’</w:t>
      </w:r>
      <w:r w:rsidR="00796A0F">
        <w:t xml:space="preserve">identité culturelle de la Géorgie. Le système éducatif </w:t>
      </w:r>
      <w:r w:rsidR="00127624">
        <w:t>était basé sur l</w:t>
      </w:r>
      <w:r w:rsidR="00346F1B">
        <w:t>’</w:t>
      </w:r>
      <w:r w:rsidR="00127624">
        <w:t>alphabet mrgvlovani, enseigné dans les écoles primaires et secondaires et à la maison tandis que le nuskhuri et le mkhedruli étaient principalement utilisés et enseignés par la communauté de l</w:t>
      </w:r>
      <w:r w:rsidR="00346F1B">
        <w:t>’</w:t>
      </w:r>
      <w:r w:rsidR="00127624">
        <w:t>Église orthodoxe autocéphale apostolique de Géorgie. L</w:t>
      </w:r>
      <w:r w:rsidR="00346F1B">
        <w:t>’</w:t>
      </w:r>
      <w:r w:rsidR="00127624">
        <w:t>Organe d</w:t>
      </w:r>
      <w:r w:rsidR="00346F1B">
        <w:t>’</w:t>
      </w:r>
      <w:r w:rsidR="00127624">
        <w:t>évaluation avait décidé que, selon les informations présentées dans le dossier,</w:t>
      </w:r>
      <w:r w:rsidR="00F978E2">
        <w:t xml:space="preserve"> la candidature satisfaisait les</w:t>
      </w:r>
      <w:r w:rsidR="00127624">
        <w:t xml:space="preserve"> critères R.1, R.2, R.3 et R.4. Il avait toutefois jugé que les informations incluses dans le dossier ne permettaient pas de déterminer si le critère R.5 était satisfait. Le dossier démontrait certes que le statut de « monument national » avait été attribué à l</w:t>
      </w:r>
      <w:r w:rsidR="00346F1B">
        <w:t>’</w:t>
      </w:r>
      <w:r w:rsidR="00127624">
        <w:t>élément en 2015 par l</w:t>
      </w:r>
      <w:r w:rsidR="00346F1B">
        <w:t>’</w:t>
      </w:r>
      <w:r w:rsidR="00127624">
        <w:t>État géorgien et l</w:t>
      </w:r>
      <w:r w:rsidR="00346F1B">
        <w:t>’</w:t>
      </w:r>
      <w:r w:rsidR="00127624">
        <w:t>Agence nationale pour la préservation du patrimoine culturel. Toutefois, le dossier de fournissait pas suffisamment d</w:t>
      </w:r>
      <w:r w:rsidR="00346F1B">
        <w:t>’</w:t>
      </w:r>
      <w:r w:rsidR="00127624">
        <w:t>informations sur la mise à jour de cette liste et n</w:t>
      </w:r>
      <w:r w:rsidR="00346F1B">
        <w:t>’</w:t>
      </w:r>
      <w:r w:rsidR="00127624">
        <w:t>expliquait pas comment les communautés avaient participé à la procédure d</w:t>
      </w:r>
      <w:r w:rsidR="00346F1B">
        <w:t>’</w:t>
      </w:r>
      <w:r w:rsidR="00127624">
        <w:t>inventaire. L</w:t>
      </w:r>
      <w:r w:rsidR="00346F1B">
        <w:t>’</w:t>
      </w:r>
      <w:r w:rsidR="00127624">
        <w:t>Organe d</w:t>
      </w:r>
      <w:r w:rsidR="00346F1B">
        <w:t>’</w:t>
      </w:r>
      <w:r w:rsidR="00127624">
        <w:t>évaluation recommandait donc le renvoi de la culture vivante des trois systèmes d</w:t>
      </w:r>
      <w:r w:rsidR="00346F1B">
        <w:t>’</w:t>
      </w:r>
      <w:r w:rsidR="00127624">
        <w:t>écritu</w:t>
      </w:r>
      <w:r w:rsidR="00831EE1">
        <w:t>r</w:t>
      </w:r>
      <w:r w:rsidR="00127624">
        <w:t xml:space="preserve">e </w:t>
      </w:r>
      <w:r w:rsidR="00831EE1">
        <w:t>de l</w:t>
      </w:r>
      <w:r w:rsidR="00346F1B">
        <w:t>’</w:t>
      </w:r>
      <w:r w:rsidR="00831EE1">
        <w:t>alphabet géorgien à l</w:t>
      </w:r>
      <w:r w:rsidR="00346F1B">
        <w:t>’</w:t>
      </w:r>
      <w:r w:rsidR="00831EE1">
        <w:t>État soumissionnair</w:t>
      </w:r>
      <w:r w:rsidR="007B503E">
        <w:t>e pour complément d</w:t>
      </w:r>
      <w:r w:rsidR="00346F1B">
        <w:t>’</w:t>
      </w:r>
      <w:r w:rsidR="007B503E">
        <w:t>information</w:t>
      </w:r>
      <w:r w:rsidR="00C75B12">
        <w:t>.</w:t>
      </w:r>
    </w:p>
    <w:p w14:paraId="72B4F047" w14:textId="5D13DF1B" w:rsidR="00831EE1" w:rsidRDefault="00831EE1" w:rsidP="00DE5C80">
      <w:pPr>
        <w:pStyle w:val="Orateurengris"/>
        <w:spacing w:before="120"/>
        <w:ind w:left="709" w:hanging="709"/>
      </w:pPr>
      <w:r>
        <w:t xml:space="preserve">Après avoir souligné que les critères R.1, R.2, R.3 et R.4 avaient été satisfaits mais que des préoccupations demeuraient quant au critère R.5, la délégation de la </w:t>
      </w:r>
      <w:r w:rsidRPr="00831EE1">
        <w:rPr>
          <w:b/>
        </w:rPr>
        <w:t>Hongrie</w:t>
      </w:r>
      <w:r>
        <w:t xml:space="preserve"> a félicité la Géorgie pour cette candidature intéressante. Elle a donc demandé à la Géorgie des éclaircissements à propos de la procédure de mise à jour de l</w:t>
      </w:r>
      <w:r w:rsidR="00346F1B">
        <w:t>’</w:t>
      </w:r>
      <w:r>
        <w:t>inventaire national et des modalités de participation des communautés à la procédure d</w:t>
      </w:r>
      <w:r w:rsidR="00346F1B">
        <w:t>’</w:t>
      </w:r>
      <w:r w:rsidR="00C75B12">
        <w:t>inventaire.</w:t>
      </w:r>
    </w:p>
    <w:p w14:paraId="1DFB1791" w14:textId="178BEB8D" w:rsidR="00396CB0" w:rsidRDefault="00831EE1" w:rsidP="00DE5C80">
      <w:pPr>
        <w:pStyle w:val="Orateurengris"/>
        <w:spacing w:before="120"/>
        <w:ind w:left="709" w:hanging="709"/>
      </w:pPr>
      <w:r>
        <w:t xml:space="preserve">La délégation de la </w:t>
      </w:r>
      <w:r w:rsidRPr="00831EE1">
        <w:rPr>
          <w:b/>
        </w:rPr>
        <w:t>Mongolie</w:t>
      </w:r>
      <w:r>
        <w:t xml:space="preserve"> a de nouveau adressé ses remerciements à l</w:t>
      </w:r>
      <w:r w:rsidR="00346F1B">
        <w:t>’</w:t>
      </w:r>
      <w:r>
        <w:t>O</w:t>
      </w:r>
      <w:r w:rsidR="00B7069B">
        <w:t>rgane d</w:t>
      </w:r>
      <w:r w:rsidR="00346F1B">
        <w:t>’</w:t>
      </w:r>
      <w:r w:rsidR="00B7069B">
        <w:t xml:space="preserve">évaluation. Elle soutenait </w:t>
      </w:r>
      <w:r>
        <w:t>les remarques formulées par l</w:t>
      </w:r>
      <w:r w:rsidR="00346F1B">
        <w:t>’</w:t>
      </w:r>
      <w:r>
        <w:t>Hongrie, se référant une fois de plus à l</w:t>
      </w:r>
      <w:r w:rsidR="00346F1B">
        <w:t>’</w:t>
      </w:r>
      <w:r>
        <w:t xml:space="preserve">article 12 de la Convention qui permettait aux États parties de dresser, de façon adaptée à leur situation, des inventaires. Elle avait également noté que </w:t>
      </w:r>
      <w:r w:rsidR="00396CB0">
        <w:t>le critère R.4 était satisfait grâce à une participation adéquate des communautés. La délégation avait le sentiment que les preuves de la participation de la communauté et de son implication dans la réalisation de l</w:t>
      </w:r>
      <w:r w:rsidR="00346F1B">
        <w:t>’</w:t>
      </w:r>
      <w:r w:rsidR="00396CB0">
        <w:t>inventaire avaient vraisemblablement été omises lors de la soumission. Elle avait néanmoins constaté dans le document de candidature que le registre national avait été établi entre 2011 et 2015 et qu</w:t>
      </w:r>
      <w:r w:rsidR="00346F1B">
        <w:t>’</w:t>
      </w:r>
      <w:r w:rsidR="00396CB0">
        <w:t>il était donc à jour. En conséquence, la délégation soutenait un amendement en faveur de l</w:t>
      </w:r>
      <w:r w:rsidR="00346F1B">
        <w:t>’</w:t>
      </w:r>
      <w:r w:rsidR="00396CB0">
        <w:t>inscription de l</w:t>
      </w:r>
      <w:r w:rsidR="00346F1B">
        <w:t>’</w:t>
      </w:r>
      <w:r w:rsidR="00C75B12">
        <w:t>élément.</w:t>
      </w:r>
    </w:p>
    <w:p w14:paraId="47BA5A98" w14:textId="1CB3EFA3" w:rsidR="00396CB0" w:rsidRDefault="00396CB0" w:rsidP="00DE5C80">
      <w:pPr>
        <w:pStyle w:val="Orateurengris"/>
        <w:spacing w:before="120"/>
        <w:ind w:left="709" w:hanging="709"/>
      </w:pPr>
      <w:r>
        <w:t>La délégation de l</w:t>
      </w:r>
      <w:r w:rsidR="00346F1B">
        <w:t>’</w:t>
      </w:r>
      <w:r w:rsidRPr="00396CB0">
        <w:rPr>
          <w:b/>
        </w:rPr>
        <w:t>Afghanistan</w:t>
      </w:r>
      <w:r>
        <w:t xml:space="preserve"> a félicité la Géorgie pour la soumission de ce dossier de candidature, et a fait référence à deux informations qu</w:t>
      </w:r>
      <w:r w:rsidR="00346F1B">
        <w:t>’</w:t>
      </w:r>
      <w:r>
        <w:t>elle avait trouvées dans le dossier</w:t>
      </w:r>
      <w:r w:rsidR="003304AD">
        <w:t xml:space="preserve"> : la procédure de participation des communautés était décrite dans le premier paragraphe de la section 4.e, il conviendrait donc que </w:t>
      </w:r>
      <w:r w:rsidR="00BD5D9C">
        <w:t>l</w:t>
      </w:r>
      <w:r w:rsidR="00346F1B">
        <w:t>’</w:t>
      </w:r>
      <w:r w:rsidR="00BD5D9C">
        <w:t xml:space="preserve">opportunité </w:t>
      </w:r>
      <w:r w:rsidR="003304AD">
        <w:t>soit donnée à la Géorgie de développer ce point ; et le document sur l</w:t>
      </w:r>
      <w:r w:rsidR="00346F1B">
        <w:t>’</w:t>
      </w:r>
      <w:r w:rsidR="003304AD">
        <w:t>inventaire national – le Registre national du patrimoine immatériel de Géorgie, consultable en ligne – démontrait clairement que l</w:t>
      </w:r>
      <w:r w:rsidR="00346F1B">
        <w:t>’</w:t>
      </w:r>
      <w:r w:rsidR="003304AD">
        <w:t>inventaire national était régulièrement mis à</w:t>
      </w:r>
      <w:r w:rsidR="00BD5D9C">
        <w:t xml:space="preserve"> jour (la dernière version datai</w:t>
      </w:r>
      <w:r w:rsidR="003304AD">
        <w:t>t d</w:t>
      </w:r>
      <w:r w:rsidR="00346F1B">
        <w:t>’</w:t>
      </w:r>
      <w:r w:rsidR="003304AD">
        <w:t>octobre 2016). Enfin, le rapport national sur la mise en œuvre de la Convention</w:t>
      </w:r>
      <w:r w:rsidR="00BD5D9C">
        <w:t>, data</w:t>
      </w:r>
      <w:r w:rsidR="003304AD">
        <w:t>nt de 2014 avec une mise à jour de 2015, fourni par l</w:t>
      </w:r>
      <w:r w:rsidR="00346F1B">
        <w:t>’</w:t>
      </w:r>
      <w:r w:rsidR="003304AD">
        <w:t>État partie, apportait également des preuves de l</w:t>
      </w:r>
      <w:r w:rsidR="00346F1B">
        <w:t>’</w:t>
      </w:r>
      <w:r w:rsidR="003304AD">
        <w:t>actualisation régulière de l</w:t>
      </w:r>
      <w:r w:rsidR="00346F1B">
        <w:t>’</w:t>
      </w:r>
      <w:r w:rsidR="00C75B12">
        <w:t>inventaire national.</w:t>
      </w:r>
    </w:p>
    <w:p w14:paraId="56FB949C" w14:textId="3863ED46" w:rsidR="00E63AC7" w:rsidRPr="00BD5D9C" w:rsidRDefault="00BD5D9C" w:rsidP="00DE5C80">
      <w:pPr>
        <w:pStyle w:val="Orateurengris"/>
        <w:spacing w:before="120"/>
        <w:ind w:left="709" w:hanging="709"/>
      </w:pPr>
      <w:r>
        <w:t xml:space="preserve">La délégation de la </w:t>
      </w:r>
      <w:r w:rsidRPr="009A3503">
        <w:rPr>
          <w:b/>
        </w:rPr>
        <w:t>Turquie</w:t>
      </w:r>
      <w:r>
        <w:t xml:space="preserve"> estimait que le dossier constituait </w:t>
      </w:r>
      <w:r w:rsidR="009A3503">
        <w:t xml:space="preserve">un bon exemple de transmission </w:t>
      </w:r>
      <w:r>
        <w:t>du patrimoine immatériel</w:t>
      </w:r>
      <w:r w:rsidR="009A3503">
        <w:t xml:space="preserve"> par une </w:t>
      </w:r>
      <w:r w:rsidR="00E63AC7">
        <w:t xml:space="preserve">diversité </w:t>
      </w:r>
      <w:r w:rsidR="009A3503">
        <w:t>de systèmes d</w:t>
      </w:r>
      <w:r w:rsidR="00346F1B">
        <w:t>’</w:t>
      </w:r>
      <w:r w:rsidR="009A3503">
        <w:t>écriture, ce qui était une preuve de créativité humaine contribuant à l</w:t>
      </w:r>
      <w:r w:rsidR="00346F1B">
        <w:t>’</w:t>
      </w:r>
      <w:r w:rsidR="009A3503">
        <w:t>identité culturelle du peuple géorgien. S</w:t>
      </w:r>
      <w:r w:rsidR="00346F1B">
        <w:t>’</w:t>
      </w:r>
      <w:r w:rsidR="009A3503">
        <w:t xml:space="preserve">agissant du critère R.5, la délégation </w:t>
      </w:r>
      <w:r w:rsidR="00E63AC7">
        <w:t xml:space="preserve">jugeait </w:t>
      </w:r>
      <w:r w:rsidR="009A3503">
        <w:t xml:space="preserve">que le dossier faisait </w:t>
      </w:r>
      <w:r w:rsidR="00E63AC7">
        <w:t xml:space="preserve">effectivement </w:t>
      </w:r>
      <w:r w:rsidR="009A3503">
        <w:t>état de la réalisation d</w:t>
      </w:r>
      <w:r w:rsidR="00346F1B">
        <w:t>’</w:t>
      </w:r>
      <w:r w:rsidR="009A3503">
        <w:t>un inventaire et des mécanismes de sa mise à jour, et présentait de</w:t>
      </w:r>
      <w:r w:rsidR="00E63AC7">
        <w:t xml:space="preserve">s informations suffisantes pour </w:t>
      </w:r>
      <w:r w:rsidR="009A3503">
        <w:t xml:space="preserve">expliquer les procédures. </w:t>
      </w:r>
      <w:r w:rsidR="00E63AC7">
        <w:t>Elle pensait don</w:t>
      </w:r>
      <w:r w:rsidR="00F978E2">
        <w:t>c que le dossier satisfaisait le</w:t>
      </w:r>
      <w:r w:rsidR="00E63AC7">
        <w:t xml:space="preserve"> critère R.5 et soutenait l</w:t>
      </w:r>
      <w:r w:rsidR="00346F1B">
        <w:t>’</w:t>
      </w:r>
      <w:r w:rsidR="00E63AC7">
        <w:t>amendement en faveur de l</w:t>
      </w:r>
      <w:r w:rsidR="00346F1B">
        <w:t>’</w:t>
      </w:r>
      <w:r w:rsidR="00E63AC7">
        <w:t>inscription de l</w:t>
      </w:r>
      <w:r w:rsidR="00346F1B">
        <w:t>’</w:t>
      </w:r>
      <w:r w:rsidR="00E63AC7">
        <w:t>élément. Elle souhaitait également que la Géorgie apporte des éclaircissements sur le critère R.5.</w:t>
      </w:r>
    </w:p>
    <w:p w14:paraId="47D73F1D" w14:textId="3005F1F8" w:rsidR="00EE6719" w:rsidRPr="00EE6719" w:rsidRDefault="00EE6719" w:rsidP="00DE5C80">
      <w:pPr>
        <w:pStyle w:val="Orateurengris"/>
        <w:spacing w:before="120"/>
        <w:ind w:left="709" w:hanging="709"/>
      </w:pPr>
      <w:r>
        <w:t>La délégation de l</w:t>
      </w:r>
      <w:r w:rsidR="00346F1B">
        <w:t>’</w:t>
      </w:r>
      <w:r w:rsidRPr="00EE6719">
        <w:rPr>
          <w:b/>
        </w:rPr>
        <w:t>Arménie</w:t>
      </w:r>
      <w:r>
        <w:t xml:space="preserve"> a signalé que, conformément aux exigences liées au critère R.5</w:t>
      </w:r>
      <w:r w:rsidR="005C7E18">
        <w:t>, l</w:t>
      </w:r>
      <w:r w:rsidR="00346F1B">
        <w:t>’</w:t>
      </w:r>
      <w:r w:rsidR="005C7E18">
        <w:t>élément était inscrit au</w:t>
      </w:r>
      <w:r>
        <w:t xml:space="preserve"> Registre du PCI de la Géorgie, et que, conformément à la législation nationale sur le patrimoine, le statut de patrimoine culturel immatériel avait été accordé à l</w:t>
      </w:r>
      <w:r w:rsidR="00346F1B">
        <w:t>’</w:t>
      </w:r>
      <w:r>
        <w:t>élément dans l</w:t>
      </w:r>
      <w:r w:rsidR="00346F1B">
        <w:t>’</w:t>
      </w:r>
      <w:r>
        <w:t>inventaire national. Parallèlement, on disposait d</w:t>
      </w:r>
      <w:r w:rsidR="00346F1B">
        <w:t>’</w:t>
      </w:r>
      <w:r>
        <w:t>informations détaillées sur les procédures d</w:t>
      </w:r>
      <w:r w:rsidR="00346F1B">
        <w:t>’</w:t>
      </w:r>
      <w:r>
        <w:t>inventaire au niveau national, comme celles présentées dans le rapport périodique national qui avait été examiné par l</w:t>
      </w:r>
      <w:r w:rsidR="00346F1B">
        <w:t>’</w:t>
      </w:r>
      <w:r>
        <w:t>Assemblée générale en 2016. En outre, l</w:t>
      </w:r>
      <w:r w:rsidR="00346F1B">
        <w:t>’</w:t>
      </w:r>
      <w:r>
        <w:t>Arménie, pays voisin disposant d</w:t>
      </w:r>
      <w:r w:rsidR="00346F1B">
        <w:t>’</w:t>
      </w:r>
      <w:r>
        <w:t>un alphabet datant de la même époque que l</w:t>
      </w:r>
      <w:r w:rsidR="00346F1B">
        <w:t>’</w:t>
      </w:r>
      <w:r>
        <w:t xml:space="preserve">alphabet mrgvlovani géorgien, soutenait </w:t>
      </w:r>
      <w:r w:rsidR="005C7E18">
        <w:t>plein</w:t>
      </w:r>
      <w:r w:rsidR="00B7069B">
        <w:t xml:space="preserve">ement cette candidature. Elle </w:t>
      </w:r>
      <w:r w:rsidR="005C7E18">
        <w:t>propo</w:t>
      </w:r>
      <w:r w:rsidR="00B7069B">
        <w:t>sait</w:t>
      </w:r>
      <w:r>
        <w:t xml:space="preserve"> que la Géorgie rép</w:t>
      </w:r>
      <w:r w:rsidR="00B7069B">
        <w:t>ond</w:t>
      </w:r>
      <w:r w:rsidR="00682572">
        <w:t>e aux questions suivantes : i) l</w:t>
      </w:r>
      <w:r>
        <w:t>a législa</w:t>
      </w:r>
      <w:r w:rsidR="00B7069B">
        <w:t>tion nationale géorgienne prévoyai</w:t>
      </w:r>
      <w:r>
        <w:t>t-elle une procédure ou une périodicité particulière pour la mise à jour de cet inventaire ?</w:t>
      </w:r>
      <w:r w:rsidR="00B7069B">
        <w:t xml:space="preserve"> ii)</w:t>
      </w:r>
      <w:r w:rsidR="00682572">
        <w:t xml:space="preserve"> q</w:t>
      </w:r>
      <w:r>
        <w:t xml:space="preserve">uelles </w:t>
      </w:r>
      <w:r w:rsidR="00B7069B">
        <w:t xml:space="preserve">étaient </w:t>
      </w:r>
      <w:r>
        <w:t xml:space="preserve">les procédures légales </w:t>
      </w:r>
      <w:r w:rsidR="005C7E18">
        <w:t>en cours pour la mise à jour de l</w:t>
      </w:r>
      <w:r w:rsidR="00346F1B">
        <w:t>’</w:t>
      </w:r>
      <w:r w:rsidR="005C7E18">
        <w:t xml:space="preserve">inventaire national ? </w:t>
      </w:r>
      <w:r w:rsidR="00682572">
        <w:t>et iii) l</w:t>
      </w:r>
      <w:r w:rsidR="005C7E18">
        <w:t>e pays envisage</w:t>
      </w:r>
      <w:r w:rsidR="00B7069B">
        <w:t>ai</w:t>
      </w:r>
      <w:r w:rsidR="005C7E18">
        <w:t>t-il de mettre en œuvre des actions afin d</w:t>
      </w:r>
      <w:r w:rsidR="00346F1B">
        <w:t>’</w:t>
      </w:r>
      <w:r w:rsidR="005C7E18">
        <w:t>améliorer sa législation nationale dans ce domaine ? La délégation a demandé au Secrétariat de présenter le projet de décision avec les amendements. Elle soutenait l</w:t>
      </w:r>
      <w:r w:rsidR="00346F1B">
        <w:t>’</w:t>
      </w:r>
      <w:r w:rsidR="005C7E18">
        <w:t>amend</w:t>
      </w:r>
      <w:r w:rsidR="00C75B12">
        <w:t>ement présenté par la Bulgarie.</w:t>
      </w:r>
    </w:p>
    <w:p w14:paraId="49643BAE" w14:textId="4D204C9F" w:rsidR="005C7E18" w:rsidRDefault="005C7E18" w:rsidP="00DE5C80">
      <w:pPr>
        <w:pStyle w:val="Orateurengris"/>
        <w:spacing w:before="120"/>
        <w:ind w:left="709" w:hanging="709"/>
      </w:pPr>
      <w:r>
        <w:t xml:space="preserve">La </w:t>
      </w:r>
      <w:r w:rsidRPr="005C7E18">
        <w:rPr>
          <w:b/>
        </w:rPr>
        <w:t>Vice-Présidente</w:t>
      </w:r>
      <w:r>
        <w:t xml:space="preserve"> a remercié l</w:t>
      </w:r>
      <w:r w:rsidR="00346F1B">
        <w:t>’</w:t>
      </w:r>
      <w:r>
        <w:t>Arménie en rappelant que le Comité n</w:t>
      </w:r>
      <w:r w:rsidR="00346F1B">
        <w:t>’</w:t>
      </w:r>
      <w:r>
        <w:t>en était pas encore à l</w:t>
      </w:r>
      <w:r w:rsidR="00346F1B">
        <w:t>’</w:t>
      </w:r>
      <w:r>
        <w:t>étape de la prise de décision</w:t>
      </w:r>
      <w:r w:rsidR="00D53CBD">
        <w:t>s</w:t>
      </w:r>
      <w:r>
        <w:t>. Elle a donné la parole à la Géorgie afin qu</w:t>
      </w:r>
      <w:r w:rsidR="00346F1B">
        <w:t>’</w:t>
      </w:r>
      <w:r>
        <w:t>elle r</w:t>
      </w:r>
      <w:r w:rsidR="00C75B12">
        <w:t>éponde aux questions soulevées.</w:t>
      </w:r>
    </w:p>
    <w:p w14:paraId="6091976C" w14:textId="01D07F50" w:rsidR="00FA39F8" w:rsidRPr="005C7E18" w:rsidRDefault="005C7E18" w:rsidP="00DE5C80">
      <w:pPr>
        <w:pStyle w:val="Orateurengris"/>
        <w:spacing w:before="120"/>
        <w:ind w:left="709" w:hanging="709"/>
      </w:pPr>
      <w:r w:rsidRPr="005C7E18">
        <w:t xml:space="preserve">La délégation de la </w:t>
      </w:r>
      <w:r w:rsidRPr="005C7E18">
        <w:rPr>
          <w:b/>
        </w:rPr>
        <w:t>Géorgie</w:t>
      </w:r>
      <w:r>
        <w:t xml:space="preserve"> a expliqué que la loi géorgienne sur le patrimoine culturel définissait les procédures relatives à la mise à jour régulière de l</w:t>
      </w:r>
      <w:r w:rsidR="00346F1B">
        <w:t>’</w:t>
      </w:r>
      <w:r>
        <w:t xml:space="preserve">inventaire national, telles que décrites </w:t>
      </w:r>
      <w:r w:rsidR="005B7E85">
        <w:t>en détail dans le rapport national présenté au Comité en 2015. L</w:t>
      </w:r>
      <w:r w:rsidR="00346F1B">
        <w:t>’</w:t>
      </w:r>
      <w:r w:rsidR="005B7E85">
        <w:t xml:space="preserve">inventaire était une procédure permanente </w:t>
      </w:r>
      <w:r w:rsidR="000B03E0">
        <w:t xml:space="preserve">au sein de </w:t>
      </w:r>
      <w:r w:rsidR="005B7E85">
        <w:t>laquelle les communautés détentrices jouaient un rôle essentiel en proposant des initiatives et en participant à la procédure d</w:t>
      </w:r>
      <w:r w:rsidR="00346F1B">
        <w:t>’</w:t>
      </w:r>
      <w:r w:rsidR="005B7E85">
        <w:t>inscription des éléments, qui était ensuite examinée par la section du patrimoine culturel immatériel de l</w:t>
      </w:r>
      <w:r w:rsidR="00346F1B">
        <w:t>’</w:t>
      </w:r>
      <w:r w:rsidR="005B7E85">
        <w:t>Agence nationale pour la préservation du patrimoine culturel de Géorgie. La procédure d</w:t>
      </w:r>
      <w:r w:rsidR="00346F1B">
        <w:t>’</w:t>
      </w:r>
      <w:r w:rsidR="005B7E85">
        <w:t>inventaire était organisée afin de veiller à ce que les communautés participent à l</w:t>
      </w:r>
      <w:r w:rsidR="00346F1B">
        <w:t>’</w:t>
      </w:r>
      <w:r w:rsidR="005B7E85">
        <w:t>identification des éléments et à la préparation des dossiers d</w:t>
      </w:r>
      <w:r w:rsidR="00346F1B">
        <w:t>’</w:t>
      </w:r>
      <w:r w:rsidR="005B7E85">
        <w:t>inscription, comme l</w:t>
      </w:r>
      <w:r w:rsidR="00346F1B">
        <w:t>’</w:t>
      </w:r>
      <w:r w:rsidR="005B7E85">
        <w:t>exigeait la loi nationale. L</w:t>
      </w:r>
      <w:r w:rsidR="00346F1B">
        <w:t>’</w:t>
      </w:r>
      <w:r w:rsidR="005B7E85">
        <w:t>inventaire se fondait sur la Convention, et la participation des communautés à la procédure en fais</w:t>
      </w:r>
      <w:r w:rsidR="000B03E0">
        <w:t>ait donc partie intégrante. Le C</w:t>
      </w:r>
      <w:r w:rsidR="005B7E85">
        <w:t>omité du patrimoine immatériel au sein de l</w:t>
      </w:r>
      <w:r w:rsidR="00346F1B">
        <w:t>’</w:t>
      </w:r>
      <w:r w:rsidR="005B7E85">
        <w:t>Agence nationale se réunissait régulièrement afin de débattre des dossiers et de conseiller le directeur quant à l</w:t>
      </w:r>
      <w:r w:rsidR="00346F1B">
        <w:t>’</w:t>
      </w:r>
      <w:r w:rsidR="005B7E85">
        <w:t>inscription d</w:t>
      </w:r>
      <w:r w:rsidR="00346F1B">
        <w:t>’</w:t>
      </w:r>
      <w:r w:rsidR="005B7E85">
        <w:t>éléments avec toute la documentation et les informations pertinentes. Le registre, ainsi que les instructions relatives aux procédures d</w:t>
      </w:r>
      <w:r w:rsidR="00346F1B">
        <w:t>’</w:t>
      </w:r>
      <w:r w:rsidR="005B7E85">
        <w:t xml:space="preserve">inscription, était disponible en ligne et était régulièrement mis à jour </w:t>
      </w:r>
      <w:r w:rsidR="00FA39F8">
        <w:t>sur le site web de l</w:t>
      </w:r>
      <w:r w:rsidR="00346F1B">
        <w:t>’</w:t>
      </w:r>
      <w:r w:rsidR="00FA39F8">
        <w:t>Agence, ainsi que dans le journal officiel. L</w:t>
      </w:r>
      <w:r w:rsidR="00346F1B">
        <w:t>’</w:t>
      </w:r>
      <w:r w:rsidR="00FA39F8">
        <w:t>Agence organisait régulièrement des sessions de formation et des campagnes de sensibilisation dans tout le pays, et coopérait avec les gouvernements locaux afin de soutenir la réalisation d</w:t>
      </w:r>
      <w:r w:rsidR="00346F1B">
        <w:t>’</w:t>
      </w:r>
      <w:r w:rsidR="00FA39F8">
        <w:t>inventaires thématiques par des ONG et des institutions universitaires. Ce travail avait eu pour conséquence une prise de conscience et un engagement accrus des communautés et des acteurs officiels et non officiels du patrimoine immatériel au cours des dernières années. Le patrimoine culturel était également une des priorités de la stratégie culturelle 2025, adoptée par la Géorgie en juillet 2016. S</w:t>
      </w:r>
      <w:r w:rsidR="00346F1B">
        <w:t>’</w:t>
      </w:r>
      <w:r w:rsidR="00FA39F8">
        <w:t>agissant de la participation d</w:t>
      </w:r>
      <w:r w:rsidR="00682572">
        <w:t>es communautés, la délégation estimait</w:t>
      </w:r>
      <w:r w:rsidR="00FA39F8">
        <w:t xml:space="preserve"> que le premier paragraphe de la section 4.a </w:t>
      </w:r>
      <w:r w:rsidR="000B03E0">
        <w:t>présentait une description suffisante de cette procédure. Elle pensait également que le Comité devrait prendre en considération la valeur de cet élément pour tous les Géorgiens et le travail accompli pour mettre en place les mécanismes légaux et institutionnels destinés à la mise à jour régulière de l</w:t>
      </w:r>
      <w:r w:rsidR="00346F1B">
        <w:t>’</w:t>
      </w:r>
      <w:r w:rsidR="000B03E0">
        <w:t>inventaire nat</w:t>
      </w:r>
      <w:r w:rsidR="00C75B12">
        <w:t>ional du patrimoine immatériel.</w:t>
      </w:r>
    </w:p>
    <w:p w14:paraId="00D4DE1E" w14:textId="39B89AE9" w:rsidR="000B03E0" w:rsidRPr="000B03E0" w:rsidRDefault="000B03E0" w:rsidP="00DE5C80">
      <w:pPr>
        <w:pStyle w:val="Orateurengris"/>
        <w:spacing w:before="120"/>
        <w:ind w:left="709" w:hanging="709"/>
      </w:pPr>
      <w:r>
        <w:t xml:space="preserve">La </w:t>
      </w:r>
      <w:r w:rsidRPr="000B03E0">
        <w:rPr>
          <w:b/>
        </w:rPr>
        <w:t>Vice-Présidente</w:t>
      </w:r>
      <w:r>
        <w:t xml:space="preserve"> a remercié la Géorgie pour ses éclaircissements, et prenant note d</w:t>
      </w:r>
      <w:r w:rsidR="00346F1B">
        <w:t>’</w:t>
      </w:r>
      <w:r>
        <w:t>un consensus en faveur de l</w:t>
      </w:r>
      <w:r w:rsidR="00346F1B">
        <w:t>’</w:t>
      </w:r>
      <w:r>
        <w:t>inscription de l</w:t>
      </w:r>
      <w:r w:rsidR="00346F1B">
        <w:t>’</w:t>
      </w:r>
      <w:r>
        <w:t>élément, elle a proposé d</w:t>
      </w:r>
      <w:r w:rsidR="00C75B12">
        <w:t>e passer au projet de décision.</w:t>
      </w:r>
    </w:p>
    <w:p w14:paraId="73205B24" w14:textId="1F3729F0" w:rsidR="003F28B5" w:rsidRPr="003F28B5" w:rsidRDefault="003F28B5" w:rsidP="00DE5C80">
      <w:pPr>
        <w:pStyle w:val="Orateurengris"/>
        <w:spacing w:before="120"/>
        <w:ind w:left="709" w:hanging="709"/>
      </w:pPr>
      <w:r>
        <w:t>La délégation de l</w:t>
      </w:r>
      <w:r w:rsidR="00346F1B">
        <w:t>’</w:t>
      </w:r>
      <w:r w:rsidRPr="003F28B5">
        <w:rPr>
          <w:b/>
        </w:rPr>
        <w:t>Inde</w:t>
      </w:r>
      <w:r>
        <w:t xml:space="preserve"> a félicité la Géorgie d</w:t>
      </w:r>
      <w:r w:rsidR="00346F1B">
        <w:t>’</w:t>
      </w:r>
      <w:r>
        <w:t>avoir présenté cette très intéressante candidature. Elle a souligné que celle-ci avait satisf</w:t>
      </w:r>
      <w:r w:rsidR="00682572">
        <w:t>ait les</w:t>
      </w:r>
      <w:r>
        <w:t xml:space="preserve"> quatre critères (R.1 à R.4) et que seul le critère R.5 restait à satisfaire. Il s</w:t>
      </w:r>
      <w:r w:rsidR="00346F1B">
        <w:t>’</w:t>
      </w:r>
      <w:r>
        <w:t>agissait là d</w:t>
      </w:r>
      <w:r w:rsidR="00346F1B">
        <w:t>’</w:t>
      </w:r>
      <w:r>
        <w:t xml:space="preserve">un problème </w:t>
      </w:r>
      <w:r w:rsidR="00DA4D6C">
        <w:t xml:space="preserve">récurrent </w:t>
      </w:r>
      <w:r>
        <w:t>que le Secrétariat souhaitait rectifier à l</w:t>
      </w:r>
      <w:r w:rsidR="00346F1B">
        <w:t>’</w:t>
      </w:r>
      <w:r>
        <w:t>avenir. Après avoir écouté la réponse de la Géorgie, la délégation était tout à fait convaincue que l</w:t>
      </w:r>
      <w:r w:rsidR="00346F1B">
        <w:t>’</w:t>
      </w:r>
      <w:r>
        <w:t>État soumissionnaire prendrait des mesur</w:t>
      </w:r>
      <w:r w:rsidR="00F978E2">
        <w:t>es pour satisfaire pleinement le</w:t>
      </w:r>
      <w:r>
        <w:t xml:space="preserve"> critère R.5.</w:t>
      </w:r>
    </w:p>
    <w:p w14:paraId="022C477F" w14:textId="12827840" w:rsidR="003F28B5" w:rsidRPr="003F28B5" w:rsidRDefault="003F28B5" w:rsidP="00DE5C80">
      <w:pPr>
        <w:pStyle w:val="Orateurengris"/>
        <w:spacing w:before="120"/>
        <w:ind w:left="709" w:hanging="709"/>
      </w:pPr>
      <w:r>
        <w:t xml:space="preserve">La délégation de </w:t>
      </w:r>
      <w:r w:rsidRPr="003F28B5">
        <w:rPr>
          <w:b/>
        </w:rPr>
        <w:t>Cuba</w:t>
      </w:r>
      <w:r>
        <w:t xml:space="preserve"> a remercié la Géorgie pour les éclaircissements apportés, ajoutant qu</w:t>
      </w:r>
      <w:r w:rsidR="00346F1B">
        <w:t>’</w:t>
      </w:r>
      <w:r>
        <w:t>il s</w:t>
      </w:r>
      <w:r w:rsidR="00346F1B">
        <w:t>’</w:t>
      </w:r>
      <w:r>
        <w:t>agissait là d</w:t>
      </w:r>
      <w:r w:rsidR="00346F1B">
        <w:t>’</w:t>
      </w:r>
      <w:r>
        <w:t>un élément très important qui méritait d</w:t>
      </w:r>
      <w:r w:rsidR="00346F1B">
        <w:t>’</w:t>
      </w:r>
      <w:r>
        <w:t>être partagé, et qu</w:t>
      </w:r>
      <w:r w:rsidR="00346F1B">
        <w:t>’</w:t>
      </w:r>
      <w:r>
        <w:t>elle apportait son soutien à l</w:t>
      </w:r>
      <w:r w:rsidR="00346F1B">
        <w:t>’</w:t>
      </w:r>
      <w:r w:rsidR="00C75B12">
        <w:t>inscription.</w:t>
      </w:r>
    </w:p>
    <w:p w14:paraId="277B72A1" w14:textId="36BE205C" w:rsidR="003F28B5" w:rsidRPr="003F28B5" w:rsidRDefault="003F28B5" w:rsidP="00DE5C80">
      <w:pPr>
        <w:pStyle w:val="Orateurengris"/>
        <w:spacing w:before="120"/>
        <w:ind w:left="709" w:hanging="709"/>
      </w:pPr>
      <w:r>
        <w:t xml:space="preserve">Suite aux éclaircissements apportés, la délégation du </w:t>
      </w:r>
      <w:r w:rsidRPr="003F28B5">
        <w:rPr>
          <w:b/>
        </w:rPr>
        <w:t>Guatemala</w:t>
      </w:r>
      <w:r>
        <w:t xml:space="preserve"> soutenait la candidature.</w:t>
      </w:r>
    </w:p>
    <w:p w14:paraId="2D569A9D" w14:textId="59E70ACF" w:rsidR="003F28B5" w:rsidRPr="003F28B5" w:rsidRDefault="003F28B5" w:rsidP="00DE5C80">
      <w:pPr>
        <w:pStyle w:val="Orateurengris"/>
        <w:spacing w:before="120"/>
        <w:ind w:left="709" w:hanging="709"/>
      </w:pPr>
      <w:r>
        <w:t xml:space="preserve">La </w:t>
      </w:r>
      <w:r w:rsidRPr="003F28B5">
        <w:rPr>
          <w:b/>
        </w:rPr>
        <w:t>Vice-Présidente</w:t>
      </w:r>
      <w:r>
        <w:t xml:space="preserve"> a procédé à l</w:t>
      </w:r>
      <w:r w:rsidR="00346F1B">
        <w:t>’</w:t>
      </w:r>
      <w:r>
        <w:t>adoption du projet de décision. En l</w:t>
      </w:r>
      <w:r w:rsidR="00346F1B">
        <w:t>’</w:t>
      </w:r>
      <w:r>
        <w:t>absence de commentaires ou d</w:t>
      </w:r>
      <w:r w:rsidR="00346F1B">
        <w:t>’</w:t>
      </w:r>
      <w:r>
        <w:t xml:space="preserve">objections au paragraphe 1, ou aux critères R.1, R.2, R.3 et R.4 au paragraphe 2, ces paragraphes ont été </w:t>
      </w:r>
      <w:r w:rsidR="008052AC">
        <w:t>dûment</w:t>
      </w:r>
      <w:r>
        <w:t xml:space="preserve"> adoptés. </w:t>
      </w:r>
      <w:r w:rsidR="00A9021D">
        <w:t>S</w:t>
      </w:r>
      <w:r w:rsidR="00346F1B">
        <w:t>’</w:t>
      </w:r>
      <w:r w:rsidR="00A9021D">
        <w:t>agissant du critère R.5, la Vice-Présidente a pris note d</w:t>
      </w:r>
      <w:r w:rsidR="00346F1B">
        <w:t>’</w:t>
      </w:r>
      <w:r w:rsidR="00A9021D">
        <w:t>un amendement présenté par la Bulgarie ainsi rédigé : « Le processus d</w:t>
      </w:r>
      <w:r w:rsidR="00346F1B">
        <w:t>’</w:t>
      </w:r>
      <w:r w:rsidR="00A9021D">
        <w:t>inventaire a été réalisé avec la participation des communautés et groupes concernés et des organisations non gouvernementales pertinentes. »</w:t>
      </w:r>
    </w:p>
    <w:p w14:paraId="50463AA5" w14:textId="2BBB0A58" w:rsidR="00A9021D" w:rsidRPr="00A9021D" w:rsidRDefault="00A9021D" w:rsidP="00DE5C80">
      <w:pPr>
        <w:pStyle w:val="Orateurengris"/>
        <w:tabs>
          <w:tab w:val="left" w:pos="7513"/>
        </w:tabs>
        <w:spacing w:before="120"/>
        <w:ind w:left="709" w:hanging="709"/>
      </w:pPr>
      <w:r>
        <w:t>La délégation de l</w:t>
      </w:r>
      <w:r w:rsidR="00346F1B">
        <w:t>’</w:t>
      </w:r>
      <w:r w:rsidRPr="00A9021D">
        <w:rPr>
          <w:b/>
        </w:rPr>
        <w:t>Arménie</w:t>
      </w:r>
      <w:r w:rsidR="00682572">
        <w:t xml:space="preserve"> </w:t>
      </w:r>
      <w:r>
        <w:t>souh</w:t>
      </w:r>
      <w:r w:rsidR="00682572">
        <w:t>aitait</w:t>
      </w:r>
      <w:r w:rsidR="00E96F2F">
        <w:t xml:space="preserve"> ajouter son nom à la liste des</w:t>
      </w:r>
      <w:r>
        <w:t xml:space="preserve"> coauteur</w:t>
      </w:r>
      <w:r w:rsidR="00E96F2F">
        <w:t>s de l</w:t>
      </w:r>
      <w:r w:rsidR="00346F1B">
        <w:t>’</w:t>
      </w:r>
      <w:r w:rsidR="00E96F2F">
        <w:t>amendement</w:t>
      </w:r>
      <w:r>
        <w:t>.</w:t>
      </w:r>
    </w:p>
    <w:p w14:paraId="5746616D" w14:textId="2002BCD8" w:rsidR="00A9021D" w:rsidRDefault="00A9021D" w:rsidP="00DE5C80">
      <w:pPr>
        <w:pStyle w:val="Orateurengris"/>
        <w:spacing w:before="120"/>
        <w:ind w:left="709" w:hanging="709"/>
      </w:pPr>
      <w:r>
        <w:t>La délégation de l</w:t>
      </w:r>
      <w:r w:rsidR="00346F1B">
        <w:t>’</w:t>
      </w:r>
      <w:r w:rsidRPr="00A9021D">
        <w:rPr>
          <w:b/>
        </w:rPr>
        <w:t>Éthiopie</w:t>
      </w:r>
      <w:r>
        <w:t xml:space="preserve"> soutenait l</w:t>
      </w:r>
      <w:r w:rsidR="00346F1B">
        <w:t>’</w:t>
      </w:r>
      <w:r>
        <w:t>amend</w:t>
      </w:r>
      <w:r w:rsidR="00C75B12">
        <w:t>ement présenté par la Bulgarie.</w:t>
      </w:r>
    </w:p>
    <w:p w14:paraId="7179FDA7" w14:textId="16E81480" w:rsidR="00A9021D" w:rsidRDefault="00A9021D" w:rsidP="00DE5C80">
      <w:pPr>
        <w:pStyle w:val="Orateurengris"/>
        <w:spacing w:before="120"/>
        <w:ind w:left="709" w:hanging="709"/>
      </w:pPr>
      <w:r>
        <w:t xml:space="preserve">La délégation de </w:t>
      </w:r>
      <w:r w:rsidRPr="00A9021D">
        <w:rPr>
          <w:b/>
        </w:rPr>
        <w:t>Sainte-Lucie</w:t>
      </w:r>
      <w:r>
        <w:t xml:space="preserve"> a rappelé l</w:t>
      </w:r>
      <w:r w:rsidR="00346F1B">
        <w:t>’</w:t>
      </w:r>
      <w:r>
        <w:t>importante intervention de la Hongrie quant au processus d</w:t>
      </w:r>
      <w:r w:rsidR="00346F1B">
        <w:t>’</w:t>
      </w:r>
      <w:r>
        <w:t>inventaire et a suggéré d</w:t>
      </w:r>
      <w:r w:rsidR="00346F1B">
        <w:t>’</w:t>
      </w:r>
      <w:r>
        <w:t>insérer ici l</w:t>
      </w:r>
      <w:r w:rsidR="00C75B12">
        <w:t>e texte proposé par la Hongrie.</w:t>
      </w:r>
    </w:p>
    <w:p w14:paraId="341134D9" w14:textId="73A99124" w:rsidR="00A9021D" w:rsidRDefault="00A9021D" w:rsidP="00DE5C80">
      <w:pPr>
        <w:pStyle w:val="Orateurengris"/>
        <w:spacing w:before="120"/>
        <w:ind w:left="709" w:hanging="709"/>
      </w:pPr>
      <w:r>
        <w:t xml:space="preserve">La </w:t>
      </w:r>
      <w:r w:rsidRPr="00A9021D">
        <w:rPr>
          <w:b/>
        </w:rPr>
        <w:t>Vice-Présidente</w:t>
      </w:r>
      <w:r>
        <w:t xml:space="preserve"> a répondu qu</w:t>
      </w:r>
      <w:r w:rsidR="00346F1B">
        <w:t>’</w:t>
      </w:r>
      <w:r>
        <w:t>il faisait partie de la deuxième partie du para</w:t>
      </w:r>
      <w:r w:rsidR="00C75B12">
        <w:t>graphe consacré au critère R.5.</w:t>
      </w:r>
    </w:p>
    <w:p w14:paraId="7A37020F" w14:textId="5B446E7F" w:rsidR="00473C71" w:rsidRDefault="00473C71" w:rsidP="00DE5C80">
      <w:pPr>
        <w:pStyle w:val="Orateurengris"/>
        <w:spacing w:before="120"/>
        <w:ind w:left="709" w:hanging="709"/>
      </w:pPr>
      <w:r>
        <w:t xml:space="preserve">La délégation de la </w:t>
      </w:r>
      <w:r w:rsidRPr="00473C71">
        <w:rPr>
          <w:b/>
        </w:rPr>
        <w:t>Hongrie</w:t>
      </w:r>
      <w:r>
        <w:t xml:space="preserve"> a fait remarquer que l</w:t>
      </w:r>
      <w:r w:rsidR="00346F1B">
        <w:t>’</w:t>
      </w:r>
      <w:r>
        <w:t>amendement proposé était légèrement différent en ce qu</w:t>
      </w:r>
      <w:r w:rsidR="00346F1B">
        <w:t>’</w:t>
      </w:r>
      <w:r>
        <w:t>il ne faisait pas mention de la mise à jour régulière de l</w:t>
      </w:r>
      <w:r w:rsidR="00346F1B">
        <w:t>’</w:t>
      </w:r>
      <w:r>
        <w:t>inventaire. Elle a suggéré d</w:t>
      </w:r>
      <w:r w:rsidR="00346F1B">
        <w:t>’</w:t>
      </w:r>
      <w:r>
        <w:t>insérer la formule précédemment utilisée, à savoir : « l</w:t>
      </w:r>
      <w:r w:rsidR="00346F1B">
        <w:t>’</w:t>
      </w:r>
      <w:r>
        <w:t>inventaire est réalisé avec la participation des communautés et mis à jour régulièrement ».</w:t>
      </w:r>
    </w:p>
    <w:p w14:paraId="19351802" w14:textId="57EC08D2" w:rsidR="00473C71" w:rsidRPr="00473C71" w:rsidRDefault="00473C71" w:rsidP="00DE5C80">
      <w:pPr>
        <w:pStyle w:val="Orateurengris"/>
        <w:spacing w:before="120"/>
        <w:ind w:left="709" w:hanging="709"/>
      </w:pPr>
      <w:r>
        <w:t xml:space="preserve">En réponse à la Hongrie, la </w:t>
      </w:r>
      <w:r w:rsidRPr="00473C71">
        <w:rPr>
          <w:b/>
        </w:rPr>
        <w:t>Vice-Présidente</w:t>
      </w:r>
      <w:r>
        <w:t xml:space="preserve"> a inséré « et est mis à jour régulièrement » à la fin de la phrase. En l</w:t>
      </w:r>
      <w:r w:rsidR="00346F1B">
        <w:t>’</w:t>
      </w:r>
      <w:r>
        <w:t>absence d</w:t>
      </w:r>
      <w:r w:rsidR="00346F1B">
        <w:t>’</w:t>
      </w:r>
      <w:r>
        <w:t xml:space="preserve">objections, le paragraphe consacré au critère R.5 a été </w:t>
      </w:r>
      <w:r w:rsidR="008052AC">
        <w:t>dûment</w:t>
      </w:r>
      <w:r>
        <w:t xml:space="preserve"> adopté. La Vice-Présidente est passée au paragraphe 3, et à l</w:t>
      </w:r>
      <w:r w:rsidR="00346F1B">
        <w:t>’</w:t>
      </w:r>
      <w:r>
        <w:t>amendement proposé par la Bulgarie en faveur de l</w:t>
      </w:r>
      <w:r w:rsidR="00346F1B">
        <w:t>’</w:t>
      </w:r>
      <w:r>
        <w:t>inscription de l</w:t>
      </w:r>
      <w:r w:rsidR="00346F1B">
        <w:t>’</w:t>
      </w:r>
      <w:r>
        <w:t>éléme</w:t>
      </w:r>
      <w:r w:rsidR="00C75B12">
        <w:t>nt sur la Liste représentative.</w:t>
      </w:r>
    </w:p>
    <w:p w14:paraId="0D7B3055" w14:textId="5191AA26" w:rsidR="00473C71" w:rsidRPr="00473C71" w:rsidRDefault="00473C71" w:rsidP="00DE5C80">
      <w:pPr>
        <w:pStyle w:val="Orateurengris"/>
        <w:spacing w:before="120"/>
        <w:ind w:left="709" w:hanging="709"/>
      </w:pPr>
      <w:r>
        <w:t xml:space="preserve">La délégation de la </w:t>
      </w:r>
      <w:r w:rsidRPr="00473C71">
        <w:rPr>
          <w:b/>
        </w:rPr>
        <w:t>République de Corée</w:t>
      </w:r>
      <w:r>
        <w:t xml:space="preserve"> soutenait l</w:t>
      </w:r>
      <w:r w:rsidR="00346F1B">
        <w:t>’</w:t>
      </w:r>
      <w:r w:rsidR="00C75B12">
        <w:t>amendement de la Bulgarie.</w:t>
      </w:r>
    </w:p>
    <w:p w14:paraId="283FA09D" w14:textId="1FDA084B" w:rsidR="00473C71" w:rsidRPr="00473C71" w:rsidRDefault="00473C71" w:rsidP="00DE5C80">
      <w:pPr>
        <w:pStyle w:val="Orateurengris"/>
        <w:spacing w:before="120"/>
        <w:ind w:left="709" w:hanging="709"/>
      </w:pPr>
      <w:r>
        <w:t>En l</w:t>
      </w:r>
      <w:r w:rsidR="00346F1B">
        <w:t>’</w:t>
      </w:r>
      <w:r>
        <w:t>absence d</w:t>
      </w:r>
      <w:r w:rsidR="00346F1B">
        <w:t>’</w:t>
      </w:r>
      <w:r>
        <w:t xml:space="preserve">autres commentaires, la </w:t>
      </w:r>
      <w:r w:rsidRPr="00473C71">
        <w:rPr>
          <w:b/>
        </w:rPr>
        <w:t>Vice-Présidente</w:t>
      </w:r>
      <w:r>
        <w:t xml:space="preserve"> a déclaré le paragraphe</w:t>
      </w:r>
      <w:r w:rsidR="004E2A85">
        <w:t xml:space="preserve"> 3</w:t>
      </w:r>
      <w:r w:rsidR="00C75B12">
        <w:t xml:space="preserve"> adopté.</w:t>
      </w:r>
    </w:p>
    <w:p w14:paraId="2CC345FB" w14:textId="753C443A" w:rsidR="00473C71" w:rsidRPr="00473C71" w:rsidRDefault="004E2A85" w:rsidP="00DE5C80">
      <w:pPr>
        <w:pStyle w:val="Orateurengris"/>
        <w:spacing w:before="120"/>
        <w:ind w:left="709" w:hanging="709"/>
        <w:rPr>
          <w:bCs/>
        </w:rPr>
      </w:pPr>
      <w:r>
        <w:rPr>
          <w:bCs/>
        </w:rPr>
        <w:t xml:space="preserve">Le </w:t>
      </w:r>
      <w:r w:rsidRPr="004E2A85">
        <w:rPr>
          <w:b/>
          <w:bCs/>
        </w:rPr>
        <w:t>Secrétaire</w:t>
      </w:r>
      <w:r>
        <w:rPr>
          <w:bCs/>
        </w:rPr>
        <w:t xml:space="preserve"> </w:t>
      </w:r>
      <w:r w:rsidR="00DA4D6C">
        <w:rPr>
          <w:bCs/>
        </w:rPr>
        <w:t xml:space="preserve">souhaitait </w:t>
      </w:r>
      <w:r>
        <w:rPr>
          <w:bCs/>
        </w:rPr>
        <w:t>attirer l</w:t>
      </w:r>
      <w:r w:rsidR="00346F1B">
        <w:rPr>
          <w:bCs/>
        </w:rPr>
        <w:t>’</w:t>
      </w:r>
      <w:r>
        <w:rPr>
          <w:bCs/>
        </w:rPr>
        <w:t xml:space="preserve">attention du Comité sur le nouveau </w:t>
      </w:r>
      <w:r w:rsidRPr="004E2A85">
        <w:rPr>
          <w:bCs/>
        </w:rPr>
        <w:t>paragraphe</w:t>
      </w:r>
      <w:r>
        <w:rPr>
          <w:bCs/>
        </w:rPr>
        <w:t xml:space="preserve"> 4 et l</w:t>
      </w:r>
      <w:r w:rsidR="00346F1B">
        <w:rPr>
          <w:bCs/>
        </w:rPr>
        <w:t>’</w:t>
      </w:r>
      <w:r w:rsidRPr="004E2A85">
        <w:rPr>
          <w:bCs/>
        </w:rPr>
        <w:t>amendement</w:t>
      </w:r>
      <w:r>
        <w:rPr>
          <w:bCs/>
        </w:rPr>
        <w:t xml:space="preserve"> de la Bulgarie qui n</w:t>
      </w:r>
      <w:r w:rsidR="00346F1B">
        <w:rPr>
          <w:bCs/>
        </w:rPr>
        <w:t>’</w:t>
      </w:r>
      <w:r>
        <w:rPr>
          <w:bCs/>
        </w:rPr>
        <w:t xml:space="preserve">était pas conforme aux discussions précédentes. Il a rappelé que le Comité avait précédemment rédigé un </w:t>
      </w:r>
      <w:r w:rsidRPr="004E2A85">
        <w:rPr>
          <w:bCs/>
        </w:rPr>
        <w:t>paragraphe</w:t>
      </w:r>
      <w:r>
        <w:rPr>
          <w:bCs/>
        </w:rPr>
        <w:t xml:space="preserve"> standard, ajoutant que le </w:t>
      </w:r>
      <w:r w:rsidRPr="004E2A85">
        <w:rPr>
          <w:bCs/>
        </w:rPr>
        <w:t>paragraphe</w:t>
      </w:r>
      <w:r>
        <w:rPr>
          <w:bCs/>
        </w:rPr>
        <w:t xml:space="preserve"> adopté relatif au </w:t>
      </w:r>
      <w:r w:rsidRPr="004E2A85">
        <w:rPr>
          <w:bCs/>
        </w:rPr>
        <w:t>critère</w:t>
      </w:r>
      <w:r>
        <w:rPr>
          <w:bCs/>
        </w:rPr>
        <w:t xml:space="preserve"> R.5 mentionnait déjà que l</w:t>
      </w:r>
      <w:r w:rsidR="00346F1B">
        <w:rPr>
          <w:bCs/>
        </w:rPr>
        <w:t>’</w:t>
      </w:r>
      <w:r w:rsidRPr="004E2A85">
        <w:rPr>
          <w:bCs/>
        </w:rPr>
        <w:t>inventaire</w:t>
      </w:r>
      <w:r>
        <w:rPr>
          <w:bCs/>
        </w:rPr>
        <w:t xml:space="preserve"> était </w:t>
      </w:r>
      <w:r w:rsidRPr="004E2A85">
        <w:rPr>
          <w:bCs/>
        </w:rPr>
        <w:t>régulièrement</w:t>
      </w:r>
      <w:r>
        <w:rPr>
          <w:bCs/>
        </w:rPr>
        <w:t xml:space="preserve"> mis à jour, et qu</w:t>
      </w:r>
      <w:r w:rsidR="00346F1B">
        <w:rPr>
          <w:bCs/>
        </w:rPr>
        <w:t>’</w:t>
      </w:r>
      <w:r>
        <w:rPr>
          <w:bCs/>
        </w:rPr>
        <w:t>en outre l</w:t>
      </w:r>
      <w:r w:rsidR="00346F1B">
        <w:rPr>
          <w:bCs/>
        </w:rPr>
        <w:t>’</w:t>
      </w:r>
      <w:r>
        <w:rPr>
          <w:bCs/>
        </w:rPr>
        <w:t>appel à la fourniture d</w:t>
      </w:r>
      <w:r w:rsidR="00346F1B">
        <w:rPr>
          <w:bCs/>
        </w:rPr>
        <w:t>’</w:t>
      </w:r>
      <w:r w:rsidRPr="004E2A85">
        <w:rPr>
          <w:bCs/>
        </w:rPr>
        <w:t>informations</w:t>
      </w:r>
      <w:r>
        <w:rPr>
          <w:bCs/>
        </w:rPr>
        <w:t xml:space="preserve"> complémentaires dans l</w:t>
      </w:r>
      <w:r w:rsidR="00346F1B">
        <w:rPr>
          <w:bCs/>
        </w:rPr>
        <w:t>’</w:t>
      </w:r>
      <w:r w:rsidRPr="004E2A85">
        <w:rPr>
          <w:bCs/>
        </w:rPr>
        <w:t>amendement</w:t>
      </w:r>
      <w:r>
        <w:rPr>
          <w:bCs/>
        </w:rPr>
        <w:t xml:space="preserve"> n</w:t>
      </w:r>
      <w:r w:rsidR="00346F1B">
        <w:rPr>
          <w:bCs/>
        </w:rPr>
        <w:t>’</w:t>
      </w:r>
      <w:r>
        <w:rPr>
          <w:bCs/>
        </w:rPr>
        <w:t xml:space="preserve">était pas autorisé. Le </w:t>
      </w:r>
      <w:r w:rsidRPr="004E2A85">
        <w:rPr>
          <w:bCs/>
        </w:rPr>
        <w:t>Secrétaire</w:t>
      </w:r>
      <w:r>
        <w:rPr>
          <w:bCs/>
        </w:rPr>
        <w:t xml:space="preserve"> a donc suggéré que l</w:t>
      </w:r>
      <w:r w:rsidR="00346F1B">
        <w:rPr>
          <w:bCs/>
        </w:rPr>
        <w:t>’</w:t>
      </w:r>
      <w:r>
        <w:rPr>
          <w:bCs/>
        </w:rPr>
        <w:t>on substitue l</w:t>
      </w:r>
      <w:r w:rsidR="00346F1B">
        <w:rPr>
          <w:bCs/>
        </w:rPr>
        <w:t>’</w:t>
      </w:r>
      <w:r w:rsidRPr="004E2A85">
        <w:rPr>
          <w:bCs/>
        </w:rPr>
        <w:t>amendement</w:t>
      </w:r>
      <w:r>
        <w:rPr>
          <w:bCs/>
        </w:rPr>
        <w:t xml:space="preserve"> proposé par le </w:t>
      </w:r>
      <w:r w:rsidRPr="004E2A85">
        <w:rPr>
          <w:bCs/>
        </w:rPr>
        <w:t>paragraphe</w:t>
      </w:r>
      <w:r>
        <w:rPr>
          <w:bCs/>
        </w:rPr>
        <w:t xml:space="preserve"> standard, sous réserve de l</w:t>
      </w:r>
      <w:r w:rsidR="00346F1B">
        <w:rPr>
          <w:bCs/>
        </w:rPr>
        <w:t>’</w:t>
      </w:r>
      <w:r>
        <w:rPr>
          <w:bCs/>
        </w:rPr>
        <w:t xml:space="preserve">accord de la Bulgarie. Le </w:t>
      </w:r>
      <w:r w:rsidRPr="004E2A85">
        <w:rPr>
          <w:bCs/>
        </w:rPr>
        <w:t>paragraphe</w:t>
      </w:r>
      <w:r>
        <w:rPr>
          <w:bCs/>
        </w:rPr>
        <w:t xml:space="preserve"> serait ainsi rédigé : « Remercie la </w:t>
      </w:r>
      <w:r w:rsidRPr="004E2A85">
        <w:rPr>
          <w:bCs/>
        </w:rPr>
        <w:t>délégation</w:t>
      </w:r>
      <w:r>
        <w:rPr>
          <w:bCs/>
        </w:rPr>
        <w:t xml:space="preserve"> de la Géorgie pour les éclaircissements apportés au Comité sur les </w:t>
      </w:r>
      <w:r w:rsidRPr="004E2A85">
        <w:rPr>
          <w:bCs/>
        </w:rPr>
        <w:t>informations</w:t>
      </w:r>
      <w:r>
        <w:rPr>
          <w:bCs/>
        </w:rPr>
        <w:t xml:space="preserve"> contenues dans le dossier à propos du </w:t>
      </w:r>
      <w:r w:rsidRPr="004E2A85">
        <w:rPr>
          <w:bCs/>
        </w:rPr>
        <w:t>critère</w:t>
      </w:r>
      <w:r>
        <w:rPr>
          <w:bCs/>
        </w:rPr>
        <w:t xml:space="preserve"> R.5. »</w:t>
      </w:r>
      <w:r w:rsidR="00C75B12">
        <w:rPr>
          <w:bCs/>
        </w:rPr>
        <w:t>.</w:t>
      </w:r>
    </w:p>
    <w:p w14:paraId="23972F2A" w14:textId="4A0B6EC7" w:rsidR="00C90A34" w:rsidRPr="005C7E18" w:rsidRDefault="0036135F" w:rsidP="00DE5C80">
      <w:pPr>
        <w:pStyle w:val="Orateurengris"/>
        <w:spacing w:before="120"/>
        <w:ind w:left="709" w:hanging="709"/>
        <w:rPr>
          <w:bCs/>
        </w:rPr>
      </w:pPr>
      <w:r>
        <w:rPr>
          <w:bCs/>
        </w:rPr>
        <w:t xml:space="preserve">La </w:t>
      </w:r>
      <w:r w:rsidRPr="0036135F">
        <w:rPr>
          <w:bCs/>
        </w:rPr>
        <w:t>délégation</w:t>
      </w:r>
      <w:r>
        <w:rPr>
          <w:bCs/>
        </w:rPr>
        <w:t xml:space="preserve"> de la </w:t>
      </w:r>
      <w:r w:rsidRPr="0036135F">
        <w:rPr>
          <w:b/>
          <w:bCs/>
        </w:rPr>
        <w:t>Bulgarie</w:t>
      </w:r>
      <w:r w:rsidR="00682572">
        <w:rPr>
          <w:bCs/>
        </w:rPr>
        <w:t xml:space="preserve"> </w:t>
      </w:r>
      <w:r>
        <w:rPr>
          <w:bCs/>
        </w:rPr>
        <w:t>souscri</w:t>
      </w:r>
      <w:r w:rsidR="00682572">
        <w:rPr>
          <w:bCs/>
        </w:rPr>
        <w:t>vai</w:t>
      </w:r>
      <w:r>
        <w:rPr>
          <w:bCs/>
        </w:rPr>
        <w:t>t à cette proposition.</w:t>
      </w:r>
    </w:p>
    <w:p w14:paraId="2BE179BF" w14:textId="6E0F3F6B" w:rsidR="0036135F" w:rsidRDefault="0036135F" w:rsidP="00DE5C80">
      <w:pPr>
        <w:pStyle w:val="Orateurengris"/>
        <w:spacing w:before="120"/>
        <w:ind w:left="709" w:hanging="709"/>
      </w:pPr>
      <w:r>
        <w:t>En l</w:t>
      </w:r>
      <w:r w:rsidR="00346F1B">
        <w:t>’</w:t>
      </w:r>
      <w:r>
        <w:t>absence d</w:t>
      </w:r>
      <w:r w:rsidR="00346F1B">
        <w:t>’</w:t>
      </w:r>
      <w:r>
        <w:t>autres commentaires ou objections, la Vice-Présidente a déclaré le paragraphe 4 adopté, et a proposé l</w:t>
      </w:r>
      <w:r w:rsidR="00346F1B">
        <w:t>’</w:t>
      </w:r>
      <w:r>
        <w:t>adoption de la décision dans son ensemble. En l</w:t>
      </w:r>
      <w:r w:rsidR="00346F1B">
        <w:t>’</w:t>
      </w:r>
      <w:r>
        <w:t>absence d</w:t>
      </w:r>
      <w:r w:rsidR="00346F1B">
        <w:t>’</w:t>
      </w:r>
      <w:r>
        <w:t xml:space="preserve">objections, la </w:t>
      </w:r>
      <w:r w:rsidRPr="0036135F">
        <w:rPr>
          <w:b/>
        </w:rPr>
        <w:t>Vice-Présidente a déclaré adoptée la décision 11.COM 10.b.13 d</w:t>
      </w:r>
      <w:r w:rsidR="00346F1B">
        <w:rPr>
          <w:b/>
        </w:rPr>
        <w:t>’</w:t>
      </w:r>
      <w:r w:rsidRPr="0036135F">
        <w:rPr>
          <w:b/>
        </w:rPr>
        <w:t>inscrire la culture</w:t>
      </w:r>
      <w:r>
        <w:rPr>
          <w:b/>
        </w:rPr>
        <w:t xml:space="preserve"> des troi</w:t>
      </w:r>
      <w:r w:rsidRPr="00796A0F">
        <w:rPr>
          <w:b/>
        </w:rPr>
        <w:t>s systèmes d</w:t>
      </w:r>
      <w:r w:rsidR="00346F1B">
        <w:rPr>
          <w:b/>
        </w:rPr>
        <w:t>’</w:t>
      </w:r>
      <w:r w:rsidRPr="00796A0F">
        <w:rPr>
          <w:b/>
        </w:rPr>
        <w:t>écriture de l</w:t>
      </w:r>
      <w:r w:rsidR="00346F1B">
        <w:rPr>
          <w:b/>
        </w:rPr>
        <w:t>’</w:t>
      </w:r>
      <w:r w:rsidRPr="00796A0F">
        <w:rPr>
          <w:b/>
        </w:rPr>
        <w:t>alphabet géorgien</w:t>
      </w:r>
      <w:r>
        <w:rPr>
          <w:b/>
        </w:rPr>
        <w:t xml:space="preserve"> sur la Liste représentative du patrimoine culturel immatériel de l</w:t>
      </w:r>
      <w:r w:rsidR="00346F1B">
        <w:rPr>
          <w:b/>
        </w:rPr>
        <w:t>’</w:t>
      </w:r>
      <w:r w:rsidRPr="0036135F">
        <w:rPr>
          <w:b/>
        </w:rPr>
        <w:t>humanité</w:t>
      </w:r>
      <w:r w:rsidR="00C75B12">
        <w:rPr>
          <w:b/>
        </w:rPr>
        <w:t>.</w:t>
      </w:r>
    </w:p>
    <w:p w14:paraId="16BF19CE" w14:textId="6C0F3908" w:rsidR="0036135F" w:rsidRPr="0036135F" w:rsidRDefault="00EC3518" w:rsidP="00DE5C80">
      <w:pPr>
        <w:pStyle w:val="Orateurengris"/>
        <w:spacing w:before="120"/>
        <w:ind w:left="709" w:hanging="709"/>
      </w:pPr>
      <w:r>
        <w:t>A</w:t>
      </w:r>
      <w:r w:rsidR="0036135F" w:rsidRPr="0036135F">
        <w:t xml:space="preserve">u nom </w:t>
      </w:r>
      <w:r w:rsidR="0036135F">
        <w:t>de tout le peuple géorgien et des détenteurs de la culture vivante des trois systèmes d</w:t>
      </w:r>
      <w:r w:rsidR="00346F1B">
        <w:t>’</w:t>
      </w:r>
      <w:r w:rsidR="0036135F">
        <w:t>écriture de l</w:t>
      </w:r>
      <w:r w:rsidR="00346F1B">
        <w:t>’</w:t>
      </w:r>
      <w:r w:rsidR="0036135F">
        <w:t xml:space="preserve">alphabet géorgien, la délégation de la </w:t>
      </w:r>
      <w:r w:rsidR="0036135F" w:rsidRPr="00A12079">
        <w:rPr>
          <w:b/>
        </w:rPr>
        <w:t>Géorgie</w:t>
      </w:r>
      <w:r w:rsidR="0036135F">
        <w:t xml:space="preserve"> a exprimé sa </w:t>
      </w:r>
      <w:r w:rsidR="00A12079">
        <w:t>joie suite à l</w:t>
      </w:r>
      <w:r w:rsidR="00346F1B">
        <w:t>’</w:t>
      </w:r>
      <w:r w:rsidR="00A12079">
        <w:t>inscription de l</w:t>
      </w:r>
      <w:r w:rsidR="00346F1B">
        <w:t>’</w:t>
      </w:r>
      <w:r w:rsidR="00A12079">
        <w:t>élément. Cette culture était le fruit de l</w:t>
      </w:r>
      <w:r w:rsidR="00346F1B">
        <w:t>’</w:t>
      </w:r>
      <w:r w:rsidR="00A12079">
        <w:t>évolution pluriséculaire de l</w:t>
      </w:r>
      <w:r w:rsidR="00346F1B">
        <w:t>’</w:t>
      </w:r>
      <w:r w:rsidR="00A12079">
        <w:t>alphabet géorgien et de la coexistence de ces trois types d</w:t>
      </w:r>
      <w:r w:rsidR="00346F1B">
        <w:t>’</w:t>
      </w:r>
      <w:r w:rsidR="00A12079">
        <w:t xml:space="preserve">alphabet avec leurs fonctions culturelles et sociales distinctes. </w:t>
      </w:r>
      <w:r w:rsidR="001A2805">
        <w:t>L</w:t>
      </w:r>
      <w:r w:rsidR="00346F1B">
        <w:t>’</w:t>
      </w:r>
      <w:r w:rsidR="001A2805">
        <w:t>élément symbolisait les valeurs fondamentales de l</w:t>
      </w:r>
      <w:r w:rsidR="00346F1B">
        <w:t>’</w:t>
      </w:r>
      <w:r w:rsidR="001A2805">
        <w:t>identité culturelle</w:t>
      </w:r>
      <w:r>
        <w:t>,</w:t>
      </w:r>
      <w:r w:rsidR="001A2805">
        <w:t xml:space="preserve"> et l</w:t>
      </w:r>
      <w:r w:rsidR="00346F1B">
        <w:t>’</w:t>
      </w:r>
      <w:r w:rsidR="001A2805">
        <w:t>expression des communautés</w:t>
      </w:r>
      <w:r w:rsidR="00585F77">
        <w:t xml:space="preserve"> elles-mêmes en Géorgie et au </w:t>
      </w:r>
      <w:r w:rsidR="001A2805">
        <w:t xml:space="preserve">delà, en créant un espace commun pour le développement culturel durable de la société. La délégation a souligné que la Convention était une tribune unique pour comprendre, apprécier et célébrer </w:t>
      </w:r>
      <w:r>
        <w:t>la fascinante diversité du patrimoine immatériel mondial, ajoutant qu</w:t>
      </w:r>
      <w:r w:rsidR="00346F1B">
        <w:t>’</w:t>
      </w:r>
      <w:r>
        <w:t>elle s</w:t>
      </w:r>
      <w:r w:rsidR="00346F1B">
        <w:t>’</w:t>
      </w:r>
      <w:r>
        <w:t>était engagée à mettre en œuvre la Convention. La délégation a conclu son intervention en remerciant l</w:t>
      </w:r>
      <w:r w:rsidR="00346F1B">
        <w:t>’</w:t>
      </w:r>
      <w:r>
        <w:t>Organe d</w:t>
      </w:r>
      <w:r w:rsidR="00346F1B">
        <w:t>’</w:t>
      </w:r>
      <w:r>
        <w:t>évaluation pour ses recommandations pertinentes et le Secrétariat pour son excellent travail, et en exprimant tout par</w:t>
      </w:r>
      <w:r w:rsidR="002567C8">
        <w:t xml:space="preserve">ticulièrement sa gratitude aux </w:t>
      </w:r>
      <w:r w:rsidR="00A46CAD">
        <w:t>membres</w:t>
      </w:r>
      <w:r>
        <w:t xml:space="preserve"> du Comité, en particulier à la Bulg</w:t>
      </w:r>
      <w:r w:rsidR="00C75B12">
        <w:t>arie pour son précieux soutien.</w:t>
      </w:r>
    </w:p>
    <w:p w14:paraId="0FA216E6" w14:textId="21E0A507" w:rsidR="00EC3518" w:rsidRPr="00EC3518" w:rsidRDefault="00EC3518" w:rsidP="00DE5C80">
      <w:pPr>
        <w:pStyle w:val="Orateurengris"/>
        <w:spacing w:before="120"/>
        <w:ind w:left="709" w:hanging="709"/>
      </w:pPr>
      <w:r>
        <w:t xml:space="preserve">Après avoir remercié la Géorgie, la </w:t>
      </w:r>
      <w:r w:rsidRPr="00EC3518">
        <w:rPr>
          <w:b/>
        </w:rPr>
        <w:t>Vice-Présidente</w:t>
      </w:r>
      <w:r>
        <w:t xml:space="preserve"> est passée au dossier suivant, soumis par l</w:t>
      </w:r>
      <w:r w:rsidR="00346F1B">
        <w:t>’</w:t>
      </w:r>
      <w:r w:rsidR="00C75B12">
        <w:t>Allemagne.</w:t>
      </w:r>
    </w:p>
    <w:p w14:paraId="397D36B0" w14:textId="71879F8C" w:rsidR="00114D0C" w:rsidRPr="00B544AB" w:rsidRDefault="00B544AB" w:rsidP="00DE5C80">
      <w:pPr>
        <w:pStyle w:val="Orateurengris"/>
        <w:spacing w:before="120"/>
        <w:ind w:left="709" w:hanging="709"/>
      </w:pPr>
      <w:r>
        <w:t xml:space="preserve">Le </w:t>
      </w:r>
      <w:r w:rsidRPr="00B544AB">
        <w:rPr>
          <w:b/>
        </w:rPr>
        <w:t>Vice-Président de l</w:t>
      </w:r>
      <w:r w:rsidR="00346F1B">
        <w:rPr>
          <w:b/>
        </w:rPr>
        <w:t>’</w:t>
      </w:r>
      <w:r w:rsidRPr="00B544AB">
        <w:rPr>
          <w:b/>
        </w:rPr>
        <w:t>Organe d</w:t>
      </w:r>
      <w:r w:rsidR="00346F1B">
        <w:rPr>
          <w:b/>
        </w:rPr>
        <w:t>’</w:t>
      </w:r>
      <w:r w:rsidRPr="00B544AB">
        <w:rPr>
          <w:b/>
        </w:rPr>
        <w:t>évaluation</w:t>
      </w:r>
      <w:r>
        <w:t xml:space="preserve"> est passé à la candidature suivante, </w:t>
      </w:r>
      <w:bookmarkStart w:id="33" w:name="Decision10b14"/>
      <w:r w:rsidRPr="00B544AB">
        <w:rPr>
          <w:b/>
        </w:rPr>
        <w:t>l</w:t>
      </w:r>
      <w:r w:rsidR="00346F1B">
        <w:rPr>
          <w:b/>
        </w:rPr>
        <w:t>’</w:t>
      </w:r>
      <w:r w:rsidRPr="00B544AB">
        <w:rPr>
          <w:b/>
        </w:rPr>
        <w:t>idée et la pratique d</w:t>
      </w:r>
      <w:r w:rsidR="00346F1B">
        <w:rPr>
          <w:b/>
        </w:rPr>
        <w:t>’</w:t>
      </w:r>
      <w:r w:rsidRPr="00B544AB">
        <w:rPr>
          <w:b/>
        </w:rPr>
        <w:t>intérêts communs organisés en coopératives</w:t>
      </w:r>
      <w:r>
        <w:t xml:space="preserve"> </w:t>
      </w:r>
      <w:bookmarkEnd w:id="33"/>
      <w:r>
        <w:t xml:space="preserve">[projet de décision 11.COM 10.b.14], soumise par </w:t>
      </w:r>
      <w:r w:rsidR="00114D0C">
        <w:t>l</w:t>
      </w:r>
      <w:r w:rsidR="00346F1B">
        <w:t>’</w:t>
      </w:r>
      <w:r w:rsidR="00114D0C">
        <w:t>Allemagne. Une coopérative était</w:t>
      </w:r>
      <w:r>
        <w:t xml:space="preserve"> une association de bénévoles offrant des services aux </w:t>
      </w:r>
      <w:r w:rsidR="00A46CAD">
        <w:t>membres</w:t>
      </w:r>
      <w:r>
        <w:t xml:space="preserve"> de la communauté pour améliorer le niveau de vie, surmonter les problèmes communs et favoriser un changement positif. </w:t>
      </w:r>
      <w:r w:rsidR="00114D0C">
        <w:t xml:space="preserve">Fondées sur le </w:t>
      </w:r>
      <w:r w:rsidR="00927461">
        <w:t>principe de la subsidiarité, plaçant</w:t>
      </w:r>
      <w:r w:rsidR="00114D0C">
        <w:t xml:space="preserve"> la responsabilité personnelle au-dessus de l</w:t>
      </w:r>
      <w:r w:rsidR="00346F1B">
        <w:t>’</w:t>
      </w:r>
      <w:r w:rsidR="00114D0C">
        <w:t>action de l</w:t>
      </w:r>
      <w:r w:rsidR="00346F1B">
        <w:t>’</w:t>
      </w:r>
      <w:r w:rsidR="00C03711">
        <w:t>é</w:t>
      </w:r>
      <w:r w:rsidR="00114D0C">
        <w:t>tat, les coopératives permettaient un développement et un renforcement communautaires par le partage d</w:t>
      </w:r>
      <w:r w:rsidR="00346F1B">
        <w:t>’</w:t>
      </w:r>
      <w:r w:rsidR="00114D0C">
        <w:t>intérêts et de valeurs. Un quart de la population allemande participait à la pratique transmise dans le cadre de coopératives, d</w:t>
      </w:r>
      <w:r w:rsidR="00346F1B">
        <w:t>’</w:t>
      </w:r>
      <w:r w:rsidR="00114D0C">
        <w:t xml:space="preserve">universités, de la German Cooperative and Raiffeisen Confederation, </w:t>
      </w:r>
      <w:r w:rsidR="00C03711">
        <w:t xml:space="preserve">de </w:t>
      </w:r>
      <w:r w:rsidR="00114D0C">
        <w:t>l</w:t>
      </w:r>
      <w:r w:rsidR="00346F1B">
        <w:t>’</w:t>
      </w:r>
      <w:r w:rsidR="00114D0C">
        <w:t xml:space="preserve">Akademie Deutscher Genossenschaften et </w:t>
      </w:r>
      <w:r w:rsidR="00C03711">
        <w:t xml:space="preserve">de </w:t>
      </w:r>
      <w:r w:rsidR="00114D0C">
        <w:t>l</w:t>
      </w:r>
      <w:r w:rsidR="00346F1B">
        <w:t>’</w:t>
      </w:r>
      <w:r w:rsidR="00114D0C">
        <w:t>association Herman-Schultze-Delitzch. Tandis que l</w:t>
      </w:r>
      <w:r w:rsidR="00346F1B">
        <w:t>’</w:t>
      </w:r>
      <w:r w:rsidR="00114D0C">
        <w:t>Organe d</w:t>
      </w:r>
      <w:r w:rsidR="00346F1B">
        <w:t>’</w:t>
      </w:r>
      <w:r w:rsidR="00114D0C">
        <w:t>évaluation avait décidé qu</w:t>
      </w:r>
      <w:r w:rsidR="00927461">
        <w:t>e la candidature satisfaisait le</w:t>
      </w:r>
      <w:r w:rsidR="00114D0C">
        <w:t xml:space="preserve"> critère R.5, les informations contenues dans le dossier n</w:t>
      </w:r>
      <w:r w:rsidR="00346F1B">
        <w:t>’</w:t>
      </w:r>
      <w:r w:rsidR="00114D0C">
        <w:t>étaient pas suffisantes pour déterminer si les critères R.1, R.2, R.3 et R.4 étaient satisfaits. S</w:t>
      </w:r>
      <w:r w:rsidR="00346F1B">
        <w:t>’</w:t>
      </w:r>
      <w:r w:rsidR="00114D0C">
        <w:t>agissant du critère R.1, le dossier mettait l</w:t>
      </w:r>
      <w:r w:rsidR="00346F1B">
        <w:t>’</w:t>
      </w:r>
      <w:r w:rsidR="00114D0C">
        <w:t xml:space="preserve">accent </w:t>
      </w:r>
      <w:r w:rsidR="00D62E76">
        <w:t>sur la notion de collaboration au sein des coopératives et sur la compréhension internationale du système de coopératives. Toutefois, les détenteurs et praticiens de l</w:t>
      </w:r>
      <w:r w:rsidR="00346F1B">
        <w:t>’</w:t>
      </w:r>
      <w:r w:rsidR="00D62E76">
        <w:t>élément n</w:t>
      </w:r>
      <w:r w:rsidR="00346F1B">
        <w:t>’</w:t>
      </w:r>
      <w:r w:rsidR="00D62E76">
        <w:t>étaient pas clairement définis et on ne parvenait pas à savoir si les communautés concernées n</w:t>
      </w:r>
      <w:r w:rsidR="00346F1B">
        <w:t>’</w:t>
      </w:r>
      <w:r w:rsidR="00D62E76">
        <w:t xml:space="preserve">incluaient que les </w:t>
      </w:r>
      <w:r w:rsidR="00A46CAD">
        <w:t>membres</w:t>
      </w:r>
      <w:r w:rsidR="00D62E76">
        <w:t xml:space="preserve"> des institutions spécifiques ou chaque </w:t>
      </w:r>
      <w:r w:rsidR="00A46CAD">
        <w:t>membre</w:t>
      </w:r>
      <w:r w:rsidR="00D62E76">
        <w:t xml:space="preserve"> participant au système des coopératives en Allemagne. En ce qui concerne le critère R.2, le dossier indiquait que l</w:t>
      </w:r>
      <w:r w:rsidR="00346F1B">
        <w:t>’</w:t>
      </w:r>
      <w:r w:rsidR="00D62E76">
        <w:t xml:space="preserve">inscription encouragerait le dialogue entre </w:t>
      </w:r>
      <w:r w:rsidR="00C03711">
        <w:t xml:space="preserve">les </w:t>
      </w:r>
      <w:r w:rsidR="00D62E76">
        <w:t>communautés dotées d</w:t>
      </w:r>
      <w:r w:rsidR="00346F1B">
        <w:t>’</w:t>
      </w:r>
      <w:r w:rsidR="00D62E76">
        <w:t>organisations similaires, il ne précisait toutefois pas clairement comment une telle inscript</w:t>
      </w:r>
      <w:r w:rsidR="00C03711">
        <w:t>ion améliorerait la visibilité d</w:t>
      </w:r>
      <w:r w:rsidR="00D62E76">
        <w:t>u PCI en général. Eu égard à la difficulté de définition précise des contours des communautés concernées par l</w:t>
      </w:r>
      <w:r w:rsidR="00346F1B">
        <w:t>’</w:t>
      </w:r>
      <w:r w:rsidR="00D62E76">
        <w:t>élément, le processus consultatif sembla</w:t>
      </w:r>
      <w:r w:rsidR="00C03711">
        <w:t>it avoir été quelque peu descendant, et les différentes preuves de consentement fournies ne semblaient pas refléter la diversité des parties prenantes consultées. L</w:t>
      </w:r>
      <w:r w:rsidR="00346F1B">
        <w:t>’</w:t>
      </w:r>
      <w:r w:rsidR="00C03711">
        <w:t>Organe d</w:t>
      </w:r>
      <w:r w:rsidR="00346F1B">
        <w:t>’</w:t>
      </w:r>
      <w:r w:rsidR="00C03711">
        <w:t>évaluation avait donc décidé de recommander un renvoi de la candidature à l</w:t>
      </w:r>
      <w:r w:rsidR="00346F1B">
        <w:t>’</w:t>
      </w:r>
      <w:r w:rsidR="00C03711">
        <w:t>État soumissionnair</w:t>
      </w:r>
      <w:r w:rsidR="007B503E">
        <w:t>e pour complément d</w:t>
      </w:r>
      <w:r w:rsidR="00346F1B">
        <w:t>’</w:t>
      </w:r>
      <w:r w:rsidR="007B503E">
        <w:t>information</w:t>
      </w:r>
      <w:r w:rsidR="00C75B12">
        <w:t>.</w:t>
      </w:r>
    </w:p>
    <w:p w14:paraId="372FE6AC" w14:textId="0DF6D3ED" w:rsidR="00661C56" w:rsidRPr="00661C56" w:rsidRDefault="00661C56" w:rsidP="00DE5C80">
      <w:pPr>
        <w:pStyle w:val="Orateurengris"/>
        <w:spacing w:before="120"/>
        <w:ind w:left="709" w:hanging="709"/>
      </w:pPr>
      <w:r>
        <w:t xml:space="preserve">La </w:t>
      </w:r>
      <w:r w:rsidRPr="007F5C4F">
        <w:rPr>
          <w:b/>
        </w:rPr>
        <w:t>Vice-Présidente</w:t>
      </w:r>
      <w:r>
        <w:t xml:space="preserve"> a signalé qu</w:t>
      </w:r>
      <w:r w:rsidR="00346F1B">
        <w:t>’</w:t>
      </w:r>
      <w:r>
        <w:t>un amendement avait été reçu par le Bu</w:t>
      </w:r>
      <w:r w:rsidR="007F5C4F">
        <w:t>reau pour ce dossier, mais elle a d</w:t>
      </w:r>
      <w:r w:rsidR="00346F1B">
        <w:t>’</w:t>
      </w:r>
      <w:r w:rsidR="007F5C4F">
        <w:t>abord ouvert le débat aux seuls commentaires d</w:t>
      </w:r>
      <w:r w:rsidR="00346F1B">
        <w:t>’</w:t>
      </w:r>
      <w:r w:rsidR="00C75B12">
        <w:t>ordre général.</w:t>
      </w:r>
    </w:p>
    <w:p w14:paraId="54FAFE4D" w14:textId="44B378EC" w:rsidR="007F5C4F" w:rsidRPr="007F5C4F" w:rsidRDefault="00353EAF" w:rsidP="00DE5C80">
      <w:pPr>
        <w:pStyle w:val="Orateurengris"/>
        <w:spacing w:before="120"/>
        <w:ind w:left="709" w:hanging="709"/>
      </w:pPr>
      <w:r>
        <w:t xml:space="preserve">La délégation du </w:t>
      </w:r>
      <w:r w:rsidRPr="00353EAF">
        <w:rPr>
          <w:b/>
        </w:rPr>
        <w:t>Liban</w:t>
      </w:r>
      <w:r>
        <w:t xml:space="preserve"> a salué la détermination de l</w:t>
      </w:r>
      <w:r w:rsidR="00346F1B">
        <w:t>’</w:t>
      </w:r>
      <w:r>
        <w:t>Allemagne et les efforts déployés afin d</w:t>
      </w:r>
      <w:r w:rsidR="00346F1B">
        <w:t>’</w:t>
      </w:r>
      <w:r>
        <w:t xml:space="preserve">inclure cet élément sur </w:t>
      </w:r>
      <w:r w:rsidR="00927461">
        <w:t>la Liste représentative. Elle souhaitait</w:t>
      </w:r>
      <w:r>
        <w:t xml:space="preserve"> que des éclaircissements soient donnés sur la façon dont l</w:t>
      </w:r>
      <w:r w:rsidR="00346F1B">
        <w:t>’</w:t>
      </w:r>
      <w:r>
        <w:t>inscription pourrait assurer la visibilité et</w:t>
      </w:r>
      <w:r w:rsidR="00C75B12">
        <w:t xml:space="preserve"> la prise de conscience du PCI.</w:t>
      </w:r>
    </w:p>
    <w:p w14:paraId="3378AD95" w14:textId="1E09D84A" w:rsidR="00353EAF" w:rsidRDefault="00353EAF" w:rsidP="00DE5C80">
      <w:pPr>
        <w:pStyle w:val="Orateurengris"/>
        <w:spacing w:before="120"/>
        <w:ind w:left="709" w:hanging="709"/>
      </w:pPr>
      <w:r>
        <w:t>Après avoir souligné les importantes questions soulevées par l</w:t>
      </w:r>
      <w:r w:rsidR="00346F1B">
        <w:t>’</w:t>
      </w:r>
      <w:r>
        <w:t>Organe d</w:t>
      </w:r>
      <w:r w:rsidR="00346F1B">
        <w:t>’</w:t>
      </w:r>
      <w:r>
        <w:t>évaluation sur trois critères interdépendants (R.1, R.2 et R.3)</w:t>
      </w:r>
      <w:r w:rsidR="00927461">
        <w:t>,</w:t>
      </w:r>
      <w:r>
        <w:t xml:space="preserve"> et qu</w:t>
      </w:r>
      <w:r w:rsidR="00346F1B">
        <w:t>’</w:t>
      </w:r>
      <w:r>
        <w:t>il s</w:t>
      </w:r>
      <w:r w:rsidR="00346F1B">
        <w:t>’</w:t>
      </w:r>
      <w:r>
        <w:t>agissait de la première candidature soumise par l</w:t>
      </w:r>
      <w:r w:rsidR="00346F1B">
        <w:t>’</w:t>
      </w:r>
      <w:r>
        <w:t xml:space="preserve">Allemagne, la délégation de la </w:t>
      </w:r>
      <w:r w:rsidRPr="009D69C7">
        <w:rPr>
          <w:b/>
        </w:rPr>
        <w:t>Bulgarie</w:t>
      </w:r>
      <w:r>
        <w:t xml:space="preserve"> </w:t>
      </w:r>
      <w:r w:rsidR="00450503">
        <w:t xml:space="preserve">estimait </w:t>
      </w:r>
      <w:r w:rsidR="009D69C7">
        <w:t>que le principal mérite de cette candidature était qu</w:t>
      </w:r>
      <w:r w:rsidR="00346F1B">
        <w:t>’</w:t>
      </w:r>
      <w:r w:rsidR="009D69C7">
        <w:t>elle démontrait clairement le rôle joué par le PCI dans le maintien de la cohésion sociale. L</w:t>
      </w:r>
      <w:r w:rsidR="00346F1B">
        <w:t>’</w:t>
      </w:r>
      <w:r w:rsidR="009D69C7">
        <w:t>idée et la pratique de l</w:t>
      </w:r>
      <w:r w:rsidR="00346F1B">
        <w:t>’</w:t>
      </w:r>
      <w:r w:rsidR="009D69C7">
        <w:t>organisation d</w:t>
      </w:r>
      <w:r w:rsidR="00346F1B">
        <w:t>’</w:t>
      </w:r>
      <w:r w:rsidR="009D69C7">
        <w:t>intérêts partagés au sein de coopératives s</w:t>
      </w:r>
      <w:r w:rsidR="00346F1B">
        <w:t>’</w:t>
      </w:r>
      <w:r w:rsidR="009D69C7">
        <w:t xml:space="preserve">étaient avérées très efficaces pour satisfaire les besoins de la vie, et une telle inscription donnerait au PCI une visibilité </w:t>
      </w:r>
      <w:r w:rsidR="00C75B12">
        <w:t>renforcée dans le monde entier.</w:t>
      </w:r>
    </w:p>
    <w:p w14:paraId="036A1D47" w14:textId="7ABB578F" w:rsidR="009D69C7" w:rsidRDefault="009D69C7" w:rsidP="00DE5C80">
      <w:pPr>
        <w:pStyle w:val="Orateurengris"/>
        <w:spacing w:before="120"/>
        <w:ind w:left="709" w:hanging="709"/>
      </w:pPr>
      <w:r>
        <w:t xml:space="preserve">La délégation de </w:t>
      </w:r>
      <w:r w:rsidRPr="009D69C7">
        <w:rPr>
          <w:b/>
        </w:rPr>
        <w:t>Chypre</w:t>
      </w:r>
      <w:r>
        <w:t xml:space="preserve"> souhaitait que l</w:t>
      </w:r>
      <w:r w:rsidR="00346F1B">
        <w:t>’</w:t>
      </w:r>
      <w:r>
        <w:t>État soumissionnaire s</w:t>
      </w:r>
      <w:r w:rsidR="00346F1B">
        <w:t>’</w:t>
      </w:r>
      <w:r>
        <w:t>explique sur le critère R.1, ajoutant qu</w:t>
      </w:r>
      <w:r w:rsidR="00346F1B">
        <w:t>’</w:t>
      </w:r>
      <w:r>
        <w:t>en raison de ce manque de clarté, les critères R.2, R.3 et R.4 ne sauraient être satisfaits. Elle a donc demandé à l</w:t>
      </w:r>
      <w:r w:rsidR="00346F1B">
        <w:t>’</w:t>
      </w:r>
      <w:r>
        <w:t>État soumissionnaire d</w:t>
      </w:r>
      <w:r w:rsidR="00346F1B">
        <w:t>’</w:t>
      </w:r>
      <w:r>
        <w:t>apporter des éclairc</w:t>
      </w:r>
      <w:r w:rsidR="008D15E0">
        <w:t xml:space="preserve">issements sur la signification </w:t>
      </w:r>
      <w:r>
        <w:t>du terme « coopérative » dans sa propre langue, car une traduction littérale pouvait parfois porter à confusion.</w:t>
      </w:r>
    </w:p>
    <w:p w14:paraId="221722D7" w14:textId="2954A23E" w:rsidR="008D15E0" w:rsidRDefault="008D15E0" w:rsidP="00DE5C80">
      <w:pPr>
        <w:pStyle w:val="Orateurengris"/>
        <w:spacing w:before="120"/>
        <w:ind w:left="709" w:hanging="709"/>
      </w:pPr>
      <w:r>
        <w:t xml:space="preserve">La </w:t>
      </w:r>
      <w:r w:rsidRPr="008D15E0">
        <w:rPr>
          <w:b/>
        </w:rPr>
        <w:t>Vice-Présidente</w:t>
      </w:r>
      <w:r>
        <w:t xml:space="preserve"> a donné la parole à l</w:t>
      </w:r>
      <w:r w:rsidR="00346F1B">
        <w:t>’</w:t>
      </w:r>
      <w:r>
        <w:t>Allemagne afin qu</w:t>
      </w:r>
      <w:r w:rsidR="00346F1B">
        <w:t>’</w:t>
      </w:r>
      <w:r>
        <w:t>elle r</w:t>
      </w:r>
      <w:r w:rsidR="00C75B12">
        <w:t>éponde à la question de Chypre.</w:t>
      </w:r>
    </w:p>
    <w:p w14:paraId="6405FEF6" w14:textId="067D0D84" w:rsidR="008D15E0" w:rsidRPr="008D15E0" w:rsidRDefault="008D15E0" w:rsidP="00DE5C80">
      <w:pPr>
        <w:pStyle w:val="of"/>
        <w:spacing w:before="120"/>
        <w:ind w:left="709" w:hanging="709"/>
      </w:pPr>
      <w:r>
        <w:t>La délégation de l</w:t>
      </w:r>
      <w:r w:rsidR="00346F1B">
        <w:t>’</w:t>
      </w:r>
      <w:r w:rsidRPr="008D15E0">
        <w:rPr>
          <w:b/>
        </w:rPr>
        <w:t>Allemagne</w:t>
      </w:r>
      <w:r>
        <w:t xml:space="preserve"> a expliqué que, s</w:t>
      </w:r>
      <w:r w:rsidR="00346F1B">
        <w:t>’</w:t>
      </w:r>
      <w:r>
        <w:t>agissant du critère R.1, l</w:t>
      </w:r>
      <w:r w:rsidR="00346F1B">
        <w:t>’</w:t>
      </w:r>
      <w:r>
        <w:t>Organe d</w:t>
      </w:r>
      <w:r w:rsidR="00346F1B">
        <w:t>’</w:t>
      </w:r>
      <w:r>
        <w:t xml:space="preserve">évaluation </w:t>
      </w:r>
      <w:r w:rsidR="00927461">
        <w:t xml:space="preserve">avait reconnu </w:t>
      </w:r>
      <w:r>
        <w:t>que l</w:t>
      </w:r>
      <w:r w:rsidR="00346F1B">
        <w:t>’</w:t>
      </w:r>
      <w:r>
        <w:t>idée et la pratique de l</w:t>
      </w:r>
      <w:r w:rsidR="00346F1B">
        <w:t>’</w:t>
      </w:r>
      <w:r>
        <w:t>organisation d</w:t>
      </w:r>
      <w:r w:rsidR="00346F1B">
        <w:t>’</w:t>
      </w:r>
      <w:r>
        <w:t>intérêts partagés au sein de coopératives –</w:t>
      </w:r>
      <w:r w:rsidR="00F13847">
        <w:t xml:space="preserve"> en allemand : Genossenschaften</w:t>
      </w:r>
      <w:r>
        <w:t xml:space="preserve"> </w:t>
      </w:r>
      <w:r w:rsidR="00F13847">
        <w:t>–</w:t>
      </w:r>
      <w:r>
        <w:t xml:space="preserve"> </w:t>
      </w:r>
      <w:r w:rsidR="00927461">
        <w:t>avaient</w:t>
      </w:r>
      <w:r w:rsidR="00F13847">
        <w:t xml:space="preserve"> été transmises </w:t>
      </w:r>
      <w:r w:rsidR="000E3500">
        <w:t>de génération en génération. En effet, le dossier précisait qu</w:t>
      </w:r>
      <w:r w:rsidR="00346F1B">
        <w:t>’</w:t>
      </w:r>
      <w:r w:rsidR="000E3500">
        <w:t>au minimum 10 à 12 générations avaient pratiqué ce concept de solidarité, tout en le recréant constamment pour s</w:t>
      </w:r>
      <w:r w:rsidR="00346F1B">
        <w:t>’</w:t>
      </w:r>
      <w:r w:rsidR="000E3500">
        <w:t xml:space="preserve">adapter aux nouvelles évolutions de la société. </w:t>
      </w:r>
      <w:r w:rsidR="00C34E1E">
        <w:t>D</w:t>
      </w:r>
      <w:r w:rsidR="000E3500">
        <w:t>es coopératives avaient</w:t>
      </w:r>
      <w:r w:rsidR="00C34E1E">
        <w:t>,</w:t>
      </w:r>
      <w:r w:rsidR="000E3500">
        <w:t xml:space="preserve"> </w:t>
      </w:r>
      <w:r w:rsidR="00C34E1E">
        <w:t xml:space="preserve">par exemple, </w:t>
      </w:r>
      <w:r w:rsidR="000E3500">
        <w:t>été très récemment créées dans les domaines de la culture et de l</w:t>
      </w:r>
      <w:r w:rsidR="00346F1B">
        <w:t>’</w:t>
      </w:r>
      <w:r w:rsidR="000E3500">
        <w:t xml:space="preserve">énergie renouvelable. Le dossier démontrait comment ces pratiques sociales avaient procuré à la communauté des </w:t>
      </w:r>
      <w:r w:rsidR="00A46CAD">
        <w:t>membres</w:t>
      </w:r>
      <w:r w:rsidR="000E3500">
        <w:t xml:space="preserve"> des coopératives un sentiment d</w:t>
      </w:r>
      <w:r w:rsidR="00346F1B">
        <w:t>’</w:t>
      </w:r>
      <w:r w:rsidR="000E3500">
        <w:t>identité et de pérennité. La pratique pouvait donc être clairement reconnue comme faisant partie intégrante de leur patrimoine culturel. S</w:t>
      </w:r>
      <w:r w:rsidR="00346F1B">
        <w:t>’</w:t>
      </w:r>
      <w:r w:rsidR="000E3500">
        <w:t>agissant du critère R.4, la délégation a souligné que c</w:t>
      </w:r>
      <w:r w:rsidR="00346F1B">
        <w:t>’</w:t>
      </w:r>
      <w:r w:rsidR="000E3500">
        <w:t xml:space="preserve">était </w:t>
      </w:r>
      <w:r w:rsidR="00C34E1E">
        <w:t>la communauté détentrice elle-même qui avait sollicité l</w:t>
      </w:r>
      <w:r w:rsidR="00346F1B">
        <w:t>’</w:t>
      </w:r>
      <w:r w:rsidR="00C34E1E">
        <w:t>inscription de l</w:t>
      </w:r>
      <w:r w:rsidR="00346F1B">
        <w:t>’</w:t>
      </w:r>
      <w:r w:rsidR="00C34E1E">
        <w:t>élément sur l</w:t>
      </w:r>
      <w:r w:rsidR="00346F1B">
        <w:t>’</w:t>
      </w:r>
      <w:r w:rsidR="00C34E1E">
        <w:t>inventaire allemand du PCI en 2013. Elle a précisé que toutes ces informations se trouvaient aux pages 5, 6, 9 et 13 du dossier de candidature. En conséquence, la délégation pensait que l</w:t>
      </w:r>
      <w:r w:rsidR="00346F1B">
        <w:t>’</w:t>
      </w:r>
      <w:r w:rsidR="00C34E1E">
        <w:t>élément était en parfait accord avec la lettre et l</w:t>
      </w:r>
      <w:r w:rsidR="00346F1B">
        <w:t>’</w:t>
      </w:r>
      <w:r w:rsidR="00C34E1E">
        <w:t>esprit de l</w:t>
      </w:r>
      <w:r w:rsidR="00346F1B">
        <w:t>’</w:t>
      </w:r>
      <w:r w:rsidR="00C75B12">
        <w:t>article 2 de la Convention.</w:t>
      </w:r>
    </w:p>
    <w:p w14:paraId="2F769DDB" w14:textId="6333F151" w:rsidR="00C34E1E" w:rsidRPr="00C34E1E" w:rsidRDefault="00C34E1E" w:rsidP="00DE5C80">
      <w:pPr>
        <w:pStyle w:val="Orateurengris"/>
        <w:spacing w:before="120"/>
        <w:ind w:left="709" w:hanging="709"/>
      </w:pPr>
      <w:r>
        <w:t>La délégation de l</w:t>
      </w:r>
      <w:r w:rsidR="00346F1B">
        <w:t>’</w:t>
      </w:r>
      <w:r w:rsidRPr="00C34E1E">
        <w:rPr>
          <w:b/>
        </w:rPr>
        <w:t>Algérie</w:t>
      </w:r>
      <w:r>
        <w:t xml:space="preserve"> souhaitait que l</w:t>
      </w:r>
      <w:r w:rsidR="00346F1B">
        <w:t>’</w:t>
      </w:r>
      <w:r>
        <w:t>État soumissionnaire</w:t>
      </w:r>
      <w:r w:rsidR="00BF448D">
        <w:t xml:space="preserve"> s</w:t>
      </w:r>
      <w:r w:rsidR="00346F1B">
        <w:t>’</w:t>
      </w:r>
      <w:r w:rsidR="00BF448D">
        <w:t>exprime davantage sur le critère R.1 en apportant des éclaircissements sur les informations contenues dans le dossier à propos de l</w:t>
      </w:r>
      <w:r w:rsidR="00346F1B">
        <w:t>’</w:t>
      </w:r>
      <w:r w:rsidR="00BF448D">
        <w:t>article 2, sur l</w:t>
      </w:r>
      <w:r w:rsidR="00346F1B">
        <w:t>’</w:t>
      </w:r>
      <w:r w:rsidR="00BF448D">
        <w:t>importance de l</w:t>
      </w:r>
      <w:r w:rsidR="00346F1B">
        <w:t>’</w:t>
      </w:r>
      <w:r w:rsidR="00BF448D">
        <w:t>idée d</w:t>
      </w:r>
      <w:r w:rsidR="00346F1B">
        <w:t>’</w:t>
      </w:r>
      <w:r w:rsidR="00BF448D">
        <w:t>une coopérative et le sentiment d</w:t>
      </w:r>
      <w:r w:rsidR="00346F1B">
        <w:t>’</w:t>
      </w:r>
      <w:r w:rsidR="00BF448D">
        <w:t>identité qu</w:t>
      </w:r>
      <w:r w:rsidR="00346F1B">
        <w:t>’</w:t>
      </w:r>
      <w:r w:rsidR="00C75B12">
        <w:t>elle procurait.</w:t>
      </w:r>
    </w:p>
    <w:p w14:paraId="030D3B48" w14:textId="36317012" w:rsidR="00A5584C" w:rsidRPr="00A5584C" w:rsidRDefault="00BF448D" w:rsidP="00DE5C80">
      <w:pPr>
        <w:pStyle w:val="Orateurengris"/>
        <w:spacing w:before="120"/>
        <w:ind w:left="709" w:hanging="709"/>
      </w:pPr>
      <w:r>
        <w:rPr>
          <w:bCs/>
        </w:rPr>
        <w:t xml:space="preserve">La </w:t>
      </w:r>
      <w:r w:rsidRPr="00BF448D">
        <w:rPr>
          <w:bCs/>
        </w:rPr>
        <w:t>délégation</w:t>
      </w:r>
      <w:r>
        <w:rPr>
          <w:bCs/>
        </w:rPr>
        <w:t xml:space="preserve"> de l</w:t>
      </w:r>
      <w:r w:rsidR="00346F1B">
        <w:rPr>
          <w:bCs/>
        </w:rPr>
        <w:t>’</w:t>
      </w:r>
      <w:r w:rsidRPr="00BF448D">
        <w:rPr>
          <w:b/>
          <w:bCs/>
        </w:rPr>
        <w:t>Arménie</w:t>
      </w:r>
      <w:r>
        <w:rPr>
          <w:bCs/>
        </w:rPr>
        <w:t xml:space="preserve"> a souligné qu</w:t>
      </w:r>
      <w:r w:rsidR="00346F1B">
        <w:rPr>
          <w:bCs/>
        </w:rPr>
        <w:t>’</w:t>
      </w:r>
      <w:r>
        <w:rPr>
          <w:bCs/>
        </w:rPr>
        <w:t>il s</w:t>
      </w:r>
      <w:r w:rsidR="00346F1B">
        <w:rPr>
          <w:bCs/>
        </w:rPr>
        <w:t>’</w:t>
      </w:r>
      <w:r>
        <w:rPr>
          <w:bCs/>
        </w:rPr>
        <w:t>agissait là d</w:t>
      </w:r>
      <w:r w:rsidR="00346F1B">
        <w:rPr>
          <w:bCs/>
        </w:rPr>
        <w:t>’</w:t>
      </w:r>
      <w:r>
        <w:rPr>
          <w:bCs/>
        </w:rPr>
        <w:t xml:space="preserve">une </w:t>
      </w:r>
      <w:r w:rsidRPr="00BF448D">
        <w:rPr>
          <w:bCs/>
        </w:rPr>
        <w:t>candidature</w:t>
      </w:r>
      <w:r>
        <w:rPr>
          <w:bCs/>
        </w:rPr>
        <w:t xml:space="preserve"> qui, comme le système du Gada, était </w:t>
      </w:r>
      <w:r w:rsidRPr="00BF448D">
        <w:rPr>
          <w:bCs/>
        </w:rPr>
        <w:t>particulièrement</w:t>
      </w:r>
      <w:r>
        <w:rPr>
          <w:bCs/>
        </w:rPr>
        <w:t xml:space="preserve"> intéressante car elle sortait du lot des candidatures habituelles par son aspect non traditionnel </w:t>
      </w:r>
      <w:r w:rsidR="00927461">
        <w:rPr>
          <w:bCs/>
        </w:rPr>
        <w:t xml:space="preserve">et invitait à une étude </w:t>
      </w:r>
      <w:r w:rsidR="00A5584C">
        <w:rPr>
          <w:bCs/>
        </w:rPr>
        <w:t xml:space="preserve">plus approfondie. La </w:t>
      </w:r>
      <w:r w:rsidR="00A5584C" w:rsidRPr="00A5584C">
        <w:rPr>
          <w:bCs/>
        </w:rPr>
        <w:t>délégation</w:t>
      </w:r>
      <w:r w:rsidR="00A5584C">
        <w:rPr>
          <w:bCs/>
        </w:rPr>
        <w:t xml:space="preserve"> était certaine que l</w:t>
      </w:r>
      <w:r w:rsidR="00346F1B">
        <w:rPr>
          <w:bCs/>
        </w:rPr>
        <w:t>’</w:t>
      </w:r>
      <w:r w:rsidR="00A5584C" w:rsidRPr="00A5584C">
        <w:rPr>
          <w:bCs/>
        </w:rPr>
        <w:t>inscription</w:t>
      </w:r>
      <w:r w:rsidR="00A5584C">
        <w:rPr>
          <w:bCs/>
        </w:rPr>
        <w:t xml:space="preserve"> assurerait la </w:t>
      </w:r>
      <w:r w:rsidR="00A5584C" w:rsidRPr="00A5584C">
        <w:rPr>
          <w:bCs/>
        </w:rPr>
        <w:t>visibilité</w:t>
      </w:r>
      <w:r w:rsidR="00A5584C">
        <w:rPr>
          <w:bCs/>
        </w:rPr>
        <w:t xml:space="preserve"> de l</w:t>
      </w:r>
      <w:r w:rsidR="00346F1B">
        <w:rPr>
          <w:bCs/>
        </w:rPr>
        <w:t>’</w:t>
      </w:r>
      <w:r w:rsidR="00A5584C">
        <w:rPr>
          <w:bCs/>
        </w:rPr>
        <w:t>élément, ainsi que du PCI, et souhaitait que l</w:t>
      </w:r>
      <w:r w:rsidR="00346F1B">
        <w:rPr>
          <w:bCs/>
        </w:rPr>
        <w:t>’</w:t>
      </w:r>
      <w:r w:rsidR="00A5584C">
        <w:rPr>
          <w:bCs/>
        </w:rPr>
        <w:t>Allemagne s</w:t>
      </w:r>
      <w:r w:rsidR="00346F1B">
        <w:rPr>
          <w:bCs/>
        </w:rPr>
        <w:t>’</w:t>
      </w:r>
      <w:r w:rsidR="00A5584C">
        <w:rPr>
          <w:bCs/>
        </w:rPr>
        <w:t>explique sur les modalités envisagées pour parvenir à cet objectif et sur la valeur ajoutée d</w:t>
      </w:r>
      <w:r w:rsidR="00346F1B">
        <w:rPr>
          <w:bCs/>
        </w:rPr>
        <w:t>’</w:t>
      </w:r>
      <w:r w:rsidR="00A5584C">
        <w:rPr>
          <w:bCs/>
        </w:rPr>
        <w:t xml:space="preserve">une telle </w:t>
      </w:r>
      <w:r w:rsidR="00A5584C" w:rsidRPr="00A5584C">
        <w:rPr>
          <w:bCs/>
        </w:rPr>
        <w:t>inscription</w:t>
      </w:r>
      <w:r w:rsidR="00C75B12">
        <w:rPr>
          <w:bCs/>
        </w:rPr>
        <w:t>.</w:t>
      </w:r>
    </w:p>
    <w:p w14:paraId="4631E468" w14:textId="5BBF3EC3" w:rsidR="00A5584C" w:rsidRDefault="00A5584C" w:rsidP="00DE5C80">
      <w:pPr>
        <w:pStyle w:val="Orateurengris"/>
        <w:spacing w:before="120"/>
        <w:ind w:left="709" w:hanging="709"/>
      </w:pPr>
      <w:r>
        <w:t xml:space="preserve">La </w:t>
      </w:r>
      <w:r w:rsidRPr="00A5584C">
        <w:rPr>
          <w:b/>
        </w:rPr>
        <w:t>Vice-Présidente</w:t>
      </w:r>
      <w:r>
        <w:t xml:space="preserve"> a donné la parole à l</w:t>
      </w:r>
      <w:r w:rsidR="00346F1B">
        <w:t>’</w:t>
      </w:r>
      <w:r>
        <w:t>Allemagne pour d</w:t>
      </w:r>
      <w:r w:rsidR="00346F1B">
        <w:t>’</w:t>
      </w:r>
      <w:r>
        <w:t>autres éclaircissements sur les questions soulevées par l</w:t>
      </w:r>
      <w:r w:rsidR="00346F1B">
        <w:t>’</w:t>
      </w:r>
      <w:r>
        <w:t>Algérie et l</w:t>
      </w:r>
      <w:r w:rsidR="00346F1B">
        <w:t>’</w:t>
      </w:r>
      <w:r w:rsidR="00C75B12">
        <w:t>Arménie.</w:t>
      </w:r>
    </w:p>
    <w:p w14:paraId="1A5CD3D6" w14:textId="354DEE45" w:rsidR="004C366A" w:rsidRDefault="00DA18C3" w:rsidP="00DE5C80">
      <w:pPr>
        <w:pStyle w:val="Orateurengris"/>
        <w:spacing w:before="120"/>
        <w:ind w:left="709" w:hanging="709"/>
      </w:pPr>
      <w:r>
        <w:t>La délégation de l</w:t>
      </w:r>
      <w:r w:rsidR="00346F1B">
        <w:t>’</w:t>
      </w:r>
      <w:r w:rsidRPr="000053F8">
        <w:rPr>
          <w:b/>
        </w:rPr>
        <w:t>Allemagne</w:t>
      </w:r>
      <w:r>
        <w:t xml:space="preserve"> est revenue sur la question </w:t>
      </w:r>
      <w:r w:rsidR="000053F8">
        <w:t xml:space="preserve">soulevée </w:t>
      </w:r>
      <w:r>
        <w:t>par Chypre relative à la traduction de « coopérative », convenant que tant en anglais qu</w:t>
      </w:r>
      <w:r w:rsidR="00346F1B">
        <w:t>’</w:t>
      </w:r>
      <w:r>
        <w:t>en français, le terme « coopérative » ne reflétait pas pleinement le mot allemand « Genossenschaft » qui faisait référence à un individu appelé « Genosse ». En allemand du Moyen-Âge, un « Genosse » était semblable à un « frère », une personne d</w:t>
      </w:r>
      <w:r w:rsidR="00346F1B">
        <w:t>’</w:t>
      </w:r>
      <w:r>
        <w:t>égale dignité qui pouvait mettre ses compétences au service d</w:t>
      </w:r>
      <w:r w:rsidR="00346F1B">
        <w:t>’</w:t>
      </w:r>
      <w:r>
        <w:t>un groupe souvent lié par un serment. Le travail d</w:t>
      </w:r>
      <w:r w:rsidR="00346F1B">
        <w:t>’</w:t>
      </w:r>
      <w:r>
        <w:t>une coopérative était plus orienté sur l</w:t>
      </w:r>
      <w:r w:rsidR="00346F1B">
        <w:t>’</w:t>
      </w:r>
      <w:r>
        <w:t>aspect de coopération en termes économiques. S</w:t>
      </w:r>
      <w:r w:rsidR="00346F1B">
        <w:t>’</w:t>
      </w:r>
      <w:r>
        <w:t>agissant de la question de l</w:t>
      </w:r>
      <w:r w:rsidR="00346F1B">
        <w:t>’</w:t>
      </w:r>
      <w:r>
        <w:t xml:space="preserve">Arménie sur le critère R.2, et de la même question </w:t>
      </w:r>
      <w:r w:rsidR="000053F8">
        <w:t xml:space="preserve">soulevée </w:t>
      </w:r>
      <w:r>
        <w:t>par le Liban, la délégation a expliqué que l</w:t>
      </w:r>
      <w:r w:rsidR="00346F1B">
        <w:t>’</w:t>
      </w:r>
      <w:r>
        <w:t>inscription</w:t>
      </w:r>
      <w:r w:rsidR="004C366A">
        <w:t xml:space="preserve"> de l</w:t>
      </w:r>
      <w:r w:rsidR="00346F1B">
        <w:t>’</w:t>
      </w:r>
      <w:r w:rsidR="004C366A">
        <w:t>élément contribuerait à assurer la visibilité et la prise de conscience de l</w:t>
      </w:r>
      <w:r w:rsidR="00346F1B">
        <w:t>’</w:t>
      </w:r>
      <w:r w:rsidR="004C366A">
        <w:t>importance du PCI en raison de la capacité de l</w:t>
      </w:r>
      <w:r w:rsidR="00346F1B">
        <w:t>’</w:t>
      </w:r>
      <w:r w:rsidR="004C366A">
        <w:t>élément à satisfaire les besoins essentiels. En outre, l</w:t>
      </w:r>
      <w:r w:rsidR="00346F1B">
        <w:t>’</w:t>
      </w:r>
      <w:r w:rsidR="004C366A">
        <w:t>élément démontrait clairement le rôle joué par le PCI dans le maintien de la cohésion sociale. Le grand nombre de détenteurs et de praticiens, plus de 20 millions de personnes rien qu</w:t>
      </w:r>
      <w:r w:rsidR="00346F1B">
        <w:t>’</w:t>
      </w:r>
      <w:r w:rsidR="004C366A">
        <w:t>en Allemagne et beaucoup plus dans le monde entier, agissait en tant que facteur de démultiplication dans les différent</w:t>
      </w:r>
      <w:r w:rsidR="000053F8">
        <w:t>s aspects de la vie quotidienne</w:t>
      </w:r>
      <w:r w:rsidR="004C366A">
        <w:t xml:space="preserve"> comme, par exemple, l</w:t>
      </w:r>
      <w:r w:rsidR="00346F1B">
        <w:t>’</w:t>
      </w:r>
      <w:r w:rsidR="004C366A">
        <w:t>éducation et la culture, la construction et la location de maisons, l</w:t>
      </w:r>
      <w:r w:rsidR="00346F1B">
        <w:t>’</w:t>
      </w:r>
      <w:r w:rsidR="004C366A">
        <w:t>agriculture, l</w:t>
      </w:r>
      <w:r w:rsidR="00346F1B">
        <w:t>’</w:t>
      </w:r>
      <w:r w:rsidR="004C366A">
        <w:t>artisanat, les transports, les systèmes de crédit et bien d</w:t>
      </w:r>
      <w:r w:rsidR="00346F1B">
        <w:t>’</w:t>
      </w:r>
      <w:r w:rsidR="004C366A">
        <w:t>autres activités. On pouvait trouver des informations sur cet aspect de la candidature aux pages 6 et 7 du dossier. La délégation a par ailleurs souligné la grande couverture par les médias que l</w:t>
      </w:r>
      <w:r w:rsidR="00346F1B">
        <w:t>’</w:t>
      </w:r>
      <w:r w:rsidR="004C366A">
        <w:t xml:space="preserve">on pouvait </w:t>
      </w:r>
      <w:r w:rsidR="000053F8">
        <w:t xml:space="preserve">escompter </w:t>
      </w:r>
      <w:r w:rsidR="004C366A">
        <w:t>de l</w:t>
      </w:r>
      <w:r w:rsidR="00346F1B">
        <w:t>’</w:t>
      </w:r>
      <w:r w:rsidR="004C366A">
        <w:t>inscription. Revenant sur la question posée par l</w:t>
      </w:r>
      <w:r w:rsidR="00346F1B">
        <w:t>’</w:t>
      </w:r>
      <w:r w:rsidR="004C366A">
        <w:t>Algérie, la délégation a précisé que sur 10 à 12 générations, ce concept de solidarité avait été pratiqué et constamment recréé pour répondre aux nouvelles évolutions, par exemple, dans les domaines de l</w:t>
      </w:r>
      <w:r w:rsidR="00346F1B">
        <w:t>’</w:t>
      </w:r>
      <w:r w:rsidR="004C366A">
        <w:t>éducation et de la culture, de la construction et de la location de maisons</w:t>
      </w:r>
      <w:r w:rsidR="000053F8">
        <w:t>, etc., jusqu</w:t>
      </w:r>
      <w:r w:rsidR="00346F1B">
        <w:t>’</w:t>
      </w:r>
      <w:r w:rsidR="000053F8">
        <w:t xml:space="preserve">à des sujets plus </w:t>
      </w:r>
      <w:r w:rsidR="004C366A">
        <w:t>récents tels que l</w:t>
      </w:r>
      <w:r w:rsidR="00346F1B">
        <w:t>’</w:t>
      </w:r>
      <w:r w:rsidR="004C366A">
        <w:t>énergie renouvelable, comme le dossier</w:t>
      </w:r>
      <w:r w:rsidR="000053F8">
        <w:t xml:space="preserve"> le soulignait</w:t>
      </w:r>
      <w:r w:rsidR="00C75B12">
        <w:t>.</w:t>
      </w:r>
    </w:p>
    <w:p w14:paraId="18045BE4" w14:textId="57C48DE9" w:rsidR="00E76255" w:rsidRDefault="00E76255" w:rsidP="00DE5C80">
      <w:pPr>
        <w:pStyle w:val="Orateurengris"/>
        <w:spacing w:before="120"/>
        <w:ind w:left="709" w:hanging="709"/>
      </w:pPr>
      <w:r>
        <w:t>La délégation de l</w:t>
      </w:r>
      <w:r w:rsidR="00346F1B">
        <w:t>’</w:t>
      </w:r>
      <w:r w:rsidRPr="00E76255">
        <w:rPr>
          <w:b/>
        </w:rPr>
        <w:t>Inde</w:t>
      </w:r>
      <w:r>
        <w:t xml:space="preserve"> a salué la candidature qui abordait de nouveaux aspects du PCI et une forme d</w:t>
      </w:r>
      <w:r w:rsidR="00346F1B">
        <w:t>’</w:t>
      </w:r>
      <w:r>
        <w:t>organisation sociale. Bien que le partage d</w:t>
      </w:r>
      <w:r w:rsidR="00346F1B">
        <w:t>’</w:t>
      </w:r>
      <w:r>
        <w:t xml:space="preserve">intérêts communs au sein </w:t>
      </w:r>
      <w:r w:rsidR="007268BD">
        <w:t>de coopératives soit un phénomène mondial et fort répandu dans toute l</w:t>
      </w:r>
      <w:r w:rsidR="00346F1B">
        <w:t>’</w:t>
      </w:r>
      <w:r w:rsidR="007268BD">
        <w:t xml:space="preserve">Inde, grâce à ce dossier, la délégation en avait beaucoup appris sur les caractéristiques propres à cette communauté en Allemagne. </w:t>
      </w:r>
      <w:r w:rsidR="00321B18">
        <w:t>L</w:t>
      </w:r>
      <w:r w:rsidR="00346F1B">
        <w:t>’</w:t>
      </w:r>
      <w:r w:rsidR="00321B18">
        <w:t>inscription d</w:t>
      </w:r>
      <w:r w:rsidR="00346F1B">
        <w:t>’</w:t>
      </w:r>
      <w:r w:rsidR="00321B18">
        <w:t>éléments tels que celui-ci démontrait la pertinence du PCI pour l</w:t>
      </w:r>
      <w:r w:rsidR="00346F1B">
        <w:t>’</w:t>
      </w:r>
      <w:r w:rsidR="00321B18">
        <w:t>agenda du développement durable. La délégation soutenait donc les amende</w:t>
      </w:r>
      <w:r w:rsidR="00C75B12">
        <w:t>ments proposés par la Bulgarie.</w:t>
      </w:r>
    </w:p>
    <w:p w14:paraId="3CB3405E" w14:textId="04A8B9FE" w:rsidR="00F86C51" w:rsidRDefault="00F86C51" w:rsidP="00DE5C80">
      <w:pPr>
        <w:pStyle w:val="Orateurengris"/>
        <w:spacing w:before="120"/>
        <w:ind w:left="709" w:hanging="709"/>
      </w:pPr>
      <w:r>
        <w:t>La délégation de l</w:t>
      </w:r>
      <w:r w:rsidR="00346F1B">
        <w:t>’</w:t>
      </w:r>
      <w:r w:rsidRPr="00F86C51">
        <w:rPr>
          <w:b/>
        </w:rPr>
        <w:t>Autriche</w:t>
      </w:r>
      <w:r>
        <w:t xml:space="preserve"> a souligné que le dossier expliquait comment les coopératives permettaient d</w:t>
      </w:r>
      <w:r w:rsidR="00346F1B">
        <w:t>’</w:t>
      </w:r>
      <w:r>
        <w:t>identifier et d</w:t>
      </w:r>
      <w:r w:rsidR="00346F1B">
        <w:t>’</w:t>
      </w:r>
      <w:r>
        <w:t>organiser des intérêts partagés, une pratique de développement et de renforcement des communautés. L</w:t>
      </w:r>
      <w:r w:rsidR="00346F1B">
        <w:t>’</w:t>
      </w:r>
      <w:r>
        <w:t>Autriche connaissait bien les coopératives allemandes (elle avait d</w:t>
      </w:r>
      <w:r w:rsidR="00346F1B">
        <w:t>’</w:t>
      </w:r>
      <w:r>
        <w:t>ailleurs un élément semblable inscrit à son propre inventaire national), et pouvait donc confirmer que ces associations procuraient aux communautés un sentiment d</w:t>
      </w:r>
      <w:r w:rsidR="00346F1B">
        <w:t>’</w:t>
      </w:r>
      <w:r>
        <w:t xml:space="preserve">identité. Elle comprenait et soutenait </w:t>
      </w:r>
      <w:r w:rsidR="009C173D">
        <w:t>pleinement l</w:t>
      </w:r>
      <w:r w:rsidR="00346F1B">
        <w:t>’</w:t>
      </w:r>
      <w:r w:rsidR="009C173D">
        <w:t>Organe d</w:t>
      </w:r>
      <w:r w:rsidR="00346F1B">
        <w:t>’</w:t>
      </w:r>
      <w:r w:rsidR="009C173D">
        <w:t>évaluation dans son souci d</w:t>
      </w:r>
      <w:r w:rsidR="00346F1B">
        <w:t>’</w:t>
      </w:r>
      <w:r w:rsidR="009C173D">
        <w:t>assurer la cohérence et l</w:t>
      </w:r>
      <w:r w:rsidR="00346F1B">
        <w:t>’</w:t>
      </w:r>
      <w:r w:rsidR="009C173D">
        <w:t>équité de son évaluation. Dans ce cas précis, s</w:t>
      </w:r>
      <w:r w:rsidR="00346F1B">
        <w:t>’</w:t>
      </w:r>
      <w:r w:rsidR="009C173D">
        <w:t>agissant du critère R.4, la délégation avait remarqué que le processus allemand d</w:t>
      </w:r>
      <w:r w:rsidR="00346F1B">
        <w:t>’</w:t>
      </w:r>
      <w:r w:rsidR="009C173D">
        <w:t>inventaire et de candidature d</w:t>
      </w:r>
      <w:r w:rsidR="00346F1B">
        <w:t>’</w:t>
      </w:r>
      <w:r w:rsidR="009C173D">
        <w:t>éléments pour inscription était très semblable au sien, et elle partageait d</w:t>
      </w:r>
      <w:r w:rsidR="00346F1B">
        <w:t>’</w:t>
      </w:r>
      <w:r w:rsidR="009C173D">
        <w:t>ailleurs ses expériences et problèmes avec l</w:t>
      </w:r>
      <w:r w:rsidR="00346F1B">
        <w:t>’</w:t>
      </w:r>
      <w:r w:rsidR="009C173D">
        <w:t xml:space="preserve">Allemagne </w:t>
      </w:r>
      <w:r w:rsidR="005E64CE">
        <w:t>à propos d</w:t>
      </w:r>
      <w:r w:rsidR="009C173D">
        <w:t>es processus de mise en œuvre. Elle pouvait donc affirmer que l</w:t>
      </w:r>
      <w:r w:rsidR="00346F1B">
        <w:t>’</w:t>
      </w:r>
      <w:r w:rsidR="009C173D">
        <w:t>approche ascendante était au cœur du processus allemand de mise en œuvre. Toutefois, l</w:t>
      </w:r>
      <w:r w:rsidR="00346F1B">
        <w:t>’</w:t>
      </w:r>
      <w:r w:rsidR="009C173D">
        <w:t>Organe d</w:t>
      </w:r>
      <w:r w:rsidR="00346F1B">
        <w:t>’</w:t>
      </w:r>
      <w:r w:rsidR="009C173D">
        <w:t>évaluation ayant estimé que la procédure consultative semblait être descendante, la délégation souhaitait un bref éclaircissement de l</w:t>
      </w:r>
      <w:r w:rsidR="00346F1B">
        <w:t>’</w:t>
      </w:r>
      <w:r w:rsidR="009C173D">
        <w:t>État soumissionnaire sur les modalités d</w:t>
      </w:r>
      <w:r w:rsidR="00346F1B">
        <w:t>’</w:t>
      </w:r>
      <w:r w:rsidR="009C173D">
        <w:t>obtention du consentement libre, préalable et éclairé des c</w:t>
      </w:r>
      <w:r w:rsidR="00C75B12">
        <w:t>ommunautés à cette candidature.</w:t>
      </w:r>
    </w:p>
    <w:p w14:paraId="62D1D14F" w14:textId="4C7B9E85" w:rsidR="005E64CE" w:rsidRPr="005E64CE" w:rsidRDefault="005E64CE" w:rsidP="00DE5C80">
      <w:pPr>
        <w:pStyle w:val="Orateurengris"/>
        <w:spacing w:before="120"/>
        <w:ind w:left="709" w:hanging="709"/>
      </w:pPr>
      <w:r>
        <w:t xml:space="preserve">La délégation de </w:t>
      </w:r>
      <w:r w:rsidRPr="005E64CE">
        <w:rPr>
          <w:b/>
        </w:rPr>
        <w:t>Maurice</w:t>
      </w:r>
      <w:r>
        <w:t xml:space="preserve"> a félicité l</w:t>
      </w:r>
      <w:r w:rsidR="00346F1B">
        <w:t>’</w:t>
      </w:r>
      <w:r>
        <w:t>Allemagne pour la soumission de cette candidature. Toutefois, elle souhaitait des éclaircissements quant à l</w:t>
      </w:r>
      <w:r w:rsidR="00346F1B">
        <w:t>’</w:t>
      </w:r>
      <w:r>
        <w:t>origine allemande de l</w:t>
      </w:r>
      <w:r w:rsidR="00346F1B">
        <w:t>’</w:t>
      </w:r>
      <w:r>
        <w:t>idée et de la pratique de l</w:t>
      </w:r>
      <w:r w:rsidR="00346F1B">
        <w:t>’</w:t>
      </w:r>
      <w:r>
        <w:t>organisation d</w:t>
      </w:r>
      <w:r w:rsidR="00346F1B">
        <w:t>’</w:t>
      </w:r>
      <w:r>
        <w:t>in</w:t>
      </w:r>
      <w:r w:rsidR="00C75B12">
        <w:t>térêts communs en coopératives.</w:t>
      </w:r>
    </w:p>
    <w:p w14:paraId="2A4CF7D1" w14:textId="480A735C" w:rsidR="005E64CE" w:rsidRPr="005E64CE" w:rsidRDefault="005E64CE" w:rsidP="00DE5C80">
      <w:pPr>
        <w:pStyle w:val="Orateurengris"/>
        <w:spacing w:before="120"/>
        <w:ind w:left="709" w:hanging="709"/>
      </w:pPr>
      <w:r>
        <w:t xml:space="preserve">La délégation du </w:t>
      </w:r>
      <w:r w:rsidRPr="005E64CE">
        <w:rPr>
          <w:b/>
        </w:rPr>
        <w:t>Sénégal</w:t>
      </w:r>
      <w:r>
        <w:t xml:space="preserve"> a reconnu que la candidature suscitait une grande curiosité et des interrogations sur la typologie des expressions </w:t>
      </w:r>
      <w:r w:rsidR="00623BF3">
        <w:t xml:space="preserve">du patrimoine </w:t>
      </w:r>
      <w:r>
        <w:t>à laquelle le Comité avait l</w:t>
      </w:r>
      <w:r w:rsidR="00346F1B">
        <w:t>’</w:t>
      </w:r>
      <w:r>
        <w:t>habitude de recourir en matière d</w:t>
      </w:r>
      <w:r w:rsidR="00346F1B">
        <w:t>’</w:t>
      </w:r>
      <w:r>
        <w:t xml:space="preserve">inscription. </w:t>
      </w:r>
      <w:r w:rsidR="00623BF3">
        <w:t>La délégation a rappelé un débat qui s</w:t>
      </w:r>
      <w:r w:rsidR="00346F1B">
        <w:t>’</w:t>
      </w:r>
      <w:r w:rsidR="00623BF3">
        <w:t>était tenu en juin 2016 lorsque le Sénégal avait lancé sa campagne d</w:t>
      </w:r>
      <w:r w:rsidR="00346F1B">
        <w:t>’</w:t>
      </w:r>
      <w:r w:rsidR="00623BF3">
        <w:t>inventaire. Ces typologies avaient fait l</w:t>
      </w:r>
      <w:r w:rsidR="00346F1B">
        <w:t>’</w:t>
      </w:r>
      <w:r w:rsidR="00623BF3">
        <w:t>objet d</w:t>
      </w:r>
      <w:r w:rsidR="00346F1B">
        <w:t>’</w:t>
      </w:r>
      <w:r w:rsidR="00623BF3">
        <w:t>un débat à l</w:t>
      </w:r>
      <w:r w:rsidR="00346F1B">
        <w:t>’</w:t>
      </w:r>
      <w:r w:rsidR="00623BF3">
        <w:t>occasion duquel on avait également évoqué les modalités d</w:t>
      </w:r>
      <w:r w:rsidR="00346F1B">
        <w:t>’</w:t>
      </w:r>
      <w:r w:rsidR="00623BF3">
        <w:t>amélioration des domaines de classification de l</w:t>
      </w:r>
      <w:r w:rsidR="00346F1B">
        <w:t>’</w:t>
      </w:r>
      <w:r w:rsidR="00623BF3">
        <w:t>inventaire. La question de la cohésion sociale avait été posée. Quels éléments contribuaient à la cohésion sociale et à la participation des communautés ? Quels éléments liaient l</w:t>
      </w:r>
      <w:r w:rsidR="00346F1B">
        <w:t>’</w:t>
      </w:r>
      <w:r w:rsidR="00623BF3">
        <w:t>homme à la nature ? Le dossier de candidature rappelait cette discussion à la délégation. À cet égard, la délégation ne souhaitait pas faire spécifiquement référence aux critères mais estimait qu</w:t>
      </w:r>
      <w:r w:rsidR="00346F1B">
        <w:t>’</w:t>
      </w:r>
      <w:r w:rsidR="00623BF3">
        <w:t>il était nécessaire d</w:t>
      </w:r>
      <w:r w:rsidR="00346F1B">
        <w:t>’</w:t>
      </w:r>
      <w:r w:rsidR="00623BF3">
        <w:t>élargir le spectre des expressions du PCI, ajoutant que cet élément offrait la perspective d</w:t>
      </w:r>
      <w:r w:rsidR="00346F1B">
        <w:t>’</w:t>
      </w:r>
      <w:r w:rsidR="00C75B12">
        <w:t>un enrichissement du PCI.</w:t>
      </w:r>
    </w:p>
    <w:p w14:paraId="6B22862C" w14:textId="7A371359" w:rsidR="00623BF3" w:rsidRDefault="00623BF3" w:rsidP="00DE5C80">
      <w:pPr>
        <w:pStyle w:val="Orateurengris"/>
        <w:spacing w:before="120"/>
        <w:ind w:left="709" w:hanging="709"/>
      </w:pPr>
      <w:r w:rsidRPr="00623BF3">
        <w:t>La délégation de l</w:t>
      </w:r>
      <w:r w:rsidR="00346F1B">
        <w:t>’</w:t>
      </w:r>
      <w:r w:rsidRPr="00203D50">
        <w:rPr>
          <w:b/>
        </w:rPr>
        <w:t>Allemagne</w:t>
      </w:r>
      <w:r w:rsidRPr="00623BF3">
        <w:t xml:space="preserve"> </w:t>
      </w:r>
      <w:r>
        <w:t xml:space="preserve">a débuté son intervention avec la question de Maurice en précisant que </w:t>
      </w:r>
      <w:r w:rsidR="00203D50">
        <w:t>ce système de coopératives n</w:t>
      </w:r>
      <w:r w:rsidR="00346F1B">
        <w:t>’</w:t>
      </w:r>
      <w:r w:rsidR="00203D50">
        <w:t>avait pas été créé en Allemagne mais que, citant le dossier, « l</w:t>
      </w:r>
      <w:r w:rsidR="00346F1B">
        <w:t>’</w:t>
      </w:r>
      <w:r w:rsidR="00203D50">
        <w:t xml:space="preserve">idée avait </w:t>
      </w:r>
      <w:r w:rsidR="00B778FC">
        <w:t>également ses racines en Grande-</w:t>
      </w:r>
      <w:r w:rsidR="00203D50">
        <w:t>Bretagne, en France et dans certains pays slaves ». S</w:t>
      </w:r>
      <w:r w:rsidR="00346F1B">
        <w:t>’</w:t>
      </w:r>
      <w:r w:rsidR="00203D50">
        <w:t>agissant du critère R.4, et de la question posée par l</w:t>
      </w:r>
      <w:r w:rsidR="00346F1B">
        <w:t>’</w:t>
      </w:r>
      <w:r w:rsidR="00203D50">
        <w:t>Autriche quant à ce critère, la délégation a précisé que l</w:t>
      </w:r>
      <w:r w:rsidR="00346F1B">
        <w:t>’</w:t>
      </w:r>
      <w:r w:rsidR="00203D50">
        <w:t>élément avait été soumis au terme d</w:t>
      </w:r>
      <w:r w:rsidR="00346F1B">
        <w:t>’</w:t>
      </w:r>
      <w:r w:rsidR="00203D50">
        <w:t>une vaste consultation au sein de la commun</w:t>
      </w:r>
      <w:r w:rsidR="00C86CFB">
        <w:t>auté des coopératives (l</w:t>
      </w:r>
      <w:r w:rsidR="00203D50">
        <w:t>es Genossenschaften). Le dossier de candidature présentait des lettres exprimant le consentement libre, préalable et éclairé des coopératives, et résumait la très vaste procédure participative ascendante de l</w:t>
      </w:r>
      <w:r w:rsidR="00346F1B">
        <w:t>’</w:t>
      </w:r>
      <w:r w:rsidR="00203D50">
        <w:t>inventaire national de 2013, qui incluait la volonté d</w:t>
      </w:r>
      <w:r w:rsidR="00346F1B">
        <w:t>’</w:t>
      </w:r>
      <w:r w:rsidR="00203D50">
        <w:t>inscrire l</w:t>
      </w:r>
      <w:r w:rsidR="00346F1B">
        <w:t>’</w:t>
      </w:r>
      <w:r w:rsidR="00203D50">
        <w:t>élément au niveau international. Le soutien à la candidature à l</w:t>
      </w:r>
      <w:r w:rsidR="00346F1B">
        <w:t>’</w:t>
      </w:r>
      <w:r w:rsidR="00203D50">
        <w:t xml:space="preserve">inscription sur la Liste représentative avait été confirmé par une consultation interne et par une communication au sein des coopératives et dans les médias grand public ; on pouvait trouver des informations à la page 13 et dans le documentaire </w:t>
      </w:r>
      <w:r w:rsidR="009A0F6E">
        <w:t>« Preuve du cons</w:t>
      </w:r>
      <w:r w:rsidR="00C75B12">
        <w:t>entement à la candidature ».</w:t>
      </w:r>
    </w:p>
    <w:p w14:paraId="27F2E0C8" w14:textId="2614F574" w:rsidR="00C86CFB" w:rsidRPr="00A51CD2" w:rsidRDefault="00A51CD2" w:rsidP="00DE5C80">
      <w:pPr>
        <w:pStyle w:val="Orateurengris"/>
        <w:spacing w:before="120"/>
        <w:ind w:left="709" w:hanging="709"/>
      </w:pPr>
      <w:r>
        <w:t xml:space="preserve">Évoquant les remarques formulées par </w:t>
      </w:r>
      <w:r w:rsidRPr="00A51CD2">
        <w:t>l</w:t>
      </w:r>
      <w:r w:rsidR="00346F1B">
        <w:t>’</w:t>
      </w:r>
      <w:r w:rsidRPr="00A51CD2">
        <w:t>Allemagne</w:t>
      </w:r>
      <w:r>
        <w:t>, la délégation de l</w:t>
      </w:r>
      <w:r w:rsidR="00346F1B">
        <w:t>’</w:t>
      </w:r>
      <w:r w:rsidRPr="00A51CD2">
        <w:rPr>
          <w:b/>
        </w:rPr>
        <w:t>Algérie</w:t>
      </w:r>
      <w:r>
        <w:t xml:space="preserve"> a noté que l</w:t>
      </w:r>
      <w:r w:rsidR="00346F1B">
        <w:t>’</w:t>
      </w:r>
      <w:r>
        <w:t>élément n</w:t>
      </w:r>
      <w:r w:rsidR="00346F1B">
        <w:t>’</w:t>
      </w:r>
      <w:r>
        <w:t xml:space="preserve">avait pas seulement ses origines en </w:t>
      </w:r>
      <w:r w:rsidR="004A71D6">
        <w:t>Allemagne mais également dans d</w:t>
      </w:r>
      <w:r w:rsidR="00346F1B">
        <w:t>’</w:t>
      </w:r>
      <w:r w:rsidR="004A71D6">
        <w:t>autres pays du mond</w:t>
      </w:r>
      <w:r w:rsidR="00B778FC">
        <w:t>e tels que la France, la Grande-</w:t>
      </w:r>
      <w:r w:rsidR="004A71D6">
        <w:t>Bretagne et autres. En fait, le concept des coopératives était la quintessence du partage du PCI. On le trouvait dans différents pays et différentes régions du monde, et il était à l</w:t>
      </w:r>
      <w:r w:rsidR="00346F1B">
        <w:t>’</w:t>
      </w:r>
      <w:r w:rsidR="004A71D6">
        <w:t>origine de l</w:t>
      </w:r>
      <w:r w:rsidR="00346F1B">
        <w:t>’</w:t>
      </w:r>
      <w:r w:rsidR="004A71D6">
        <w:t>évolution elle-même puisque les populations avaient regroupé leurs forces pour atteindre un objectif commun. La délégation estimait donc que l</w:t>
      </w:r>
      <w:r w:rsidR="00346F1B">
        <w:t>’</w:t>
      </w:r>
      <w:r w:rsidR="004A71D6">
        <w:t>élément méritait sa pla</w:t>
      </w:r>
      <w:r w:rsidR="00C75B12">
        <w:t>ce sur la Liste représentative.</w:t>
      </w:r>
    </w:p>
    <w:p w14:paraId="2E9AC27B" w14:textId="2494D566" w:rsidR="004A71D6" w:rsidRPr="004A71D6" w:rsidRDefault="004A71D6" w:rsidP="00DE5C80">
      <w:pPr>
        <w:pStyle w:val="Orateurengris"/>
        <w:spacing w:before="120"/>
        <w:ind w:left="709" w:hanging="709"/>
      </w:pPr>
      <w:r>
        <w:t>Après avoir écouté les commentaires d</w:t>
      </w:r>
      <w:r w:rsidR="00346F1B">
        <w:t>’</w:t>
      </w:r>
      <w:r>
        <w:t xml:space="preserve">ordre général et les éclaircissements, la </w:t>
      </w:r>
      <w:r w:rsidRPr="004A71D6">
        <w:rPr>
          <w:b/>
        </w:rPr>
        <w:t>Vice-Présidente</w:t>
      </w:r>
      <w:r>
        <w:t xml:space="preserve"> a procédé à l</w:t>
      </w:r>
      <w:r w:rsidR="00346F1B">
        <w:t>’</w:t>
      </w:r>
      <w:r>
        <w:t>adoption du projet de décision paragraphe par paragraphe. En l</w:t>
      </w:r>
      <w:r w:rsidR="00346F1B">
        <w:t>’</w:t>
      </w:r>
      <w:r>
        <w:t>absence d</w:t>
      </w:r>
      <w:r w:rsidR="00346F1B">
        <w:t>’</w:t>
      </w:r>
      <w:r>
        <w:t>objections, le paragraphe 1 a été adopté. Le Vice-Président a pris note d</w:t>
      </w:r>
      <w:r w:rsidR="00346F1B">
        <w:t>’</w:t>
      </w:r>
      <w:r>
        <w:t>un amendement proposé par la Bulgarie sur la partie du paragraphe 2 consacrée au critère R.1.</w:t>
      </w:r>
    </w:p>
    <w:p w14:paraId="1F00E0A3" w14:textId="1B006979" w:rsidR="004A71D6" w:rsidRDefault="004A71D6" w:rsidP="00DE5C80">
      <w:pPr>
        <w:pStyle w:val="Orateurengris"/>
        <w:spacing w:before="120"/>
        <w:ind w:left="709" w:hanging="709"/>
      </w:pPr>
      <w:r>
        <w:t xml:space="preserve">La délégation du </w:t>
      </w:r>
      <w:r w:rsidRPr="004A71D6">
        <w:rPr>
          <w:b/>
        </w:rPr>
        <w:t>Guatemala</w:t>
      </w:r>
      <w:r>
        <w:t xml:space="preserve"> soutenait</w:t>
      </w:r>
      <w:r w:rsidR="00C75B12">
        <w:t xml:space="preserve"> la proposition de la Bulgarie.</w:t>
      </w:r>
    </w:p>
    <w:p w14:paraId="58853172" w14:textId="61811D97" w:rsidR="004A71D6" w:rsidRDefault="004A71D6" w:rsidP="00DE5C80">
      <w:pPr>
        <w:pStyle w:val="Orateurengris"/>
        <w:spacing w:before="120"/>
        <w:ind w:left="709" w:hanging="709"/>
      </w:pPr>
      <w:r>
        <w:t>En l</w:t>
      </w:r>
      <w:r w:rsidR="00346F1B">
        <w:t>’</w:t>
      </w:r>
      <w:r>
        <w:t>absence d</w:t>
      </w:r>
      <w:r w:rsidR="00346F1B">
        <w:t>’</w:t>
      </w:r>
      <w:r>
        <w:t xml:space="preserve">autres commentaires ou objections, la </w:t>
      </w:r>
      <w:r w:rsidRPr="004A71D6">
        <w:rPr>
          <w:b/>
        </w:rPr>
        <w:t>Vice-Présidente</w:t>
      </w:r>
      <w:r>
        <w:t xml:space="preserve"> a déclaré le </w:t>
      </w:r>
      <w:r w:rsidR="008C0DE5">
        <w:t xml:space="preserve">paragraphe sur le </w:t>
      </w:r>
      <w:r>
        <w:t xml:space="preserve">critère R.1 adopté, et est passée au critère R.2 </w:t>
      </w:r>
      <w:r w:rsidR="008C0DE5">
        <w:t>et à l</w:t>
      </w:r>
      <w:r w:rsidR="00346F1B">
        <w:t>’</w:t>
      </w:r>
      <w:r w:rsidR="008C0DE5">
        <w:t>amen</w:t>
      </w:r>
      <w:r w:rsidR="00C75B12">
        <w:t>dement proposé par la Bulgarie.</w:t>
      </w:r>
    </w:p>
    <w:p w14:paraId="7AD8CFE2" w14:textId="3C9948FC" w:rsidR="008C0DE5" w:rsidRDefault="008C0DE5" w:rsidP="00DE5C80">
      <w:pPr>
        <w:pStyle w:val="Orateurengris"/>
        <w:spacing w:before="120"/>
        <w:ind w:left="709" w:hanging="709"/>
      </w:pPr>
      <w:r>
        <w:t xml:space="preserve">Les délégations du </w:t>
      </w:r>
      <w:r w:rsidRPr="008C0DE5">
        <w:rPr>
          <w:b/>
        </w:rPr>
        <w:t>Guatemala</w:t>
      </w:r>
      <w:r>
        <w:t>, de l</w:t>
      </w:r>
      <w:r w:rsidR="00346F1B">
        <w:t>’</w:t>
      </w:r>
      <w:r w:rsidRPr="008C0DE5">
        <w:rPr>
          <w:b/>
        </w:rPr>
        <w:t>Éthiopie</w:t>
      </w:r>
      <w:r>
        <w:t xml:space="preserve"> et de l</w:t>
      </w:r>
      <w:r w:rsidR="00346F1B">
        <w:t>’</w:t>
      </w:r>
      <w:r w:rsidRPr="008C0DE5">
        <w:rPr>
          <w:b/>
        </w:rPr>
        <w:t>Arménie</w:t>
      </w:r>
      <w:r>
        <w:t xml:space="preserve"> soutenaient l</w:t>
      </w:r>
      <w:r w:rsidR="00346F1B">
        <w:t>’</w:t>
      </w:r>
      <w:r>
        <w:t>amendement.</w:t>
      </w:r>
    </w:p>
    <w:p w14:paraId="045D058E" w14:textId="3EFB14D2" w:rsidR="008C0DE5" w:rsidRPr="008C0DE5" w:rsidRDefault="008C0DE5" w:rsidP="00DE5C80">
      <w:pPr>
        <w:pStyle w:val="Orateurengris"/>
        <w:spacing w:before="120"/>
        <w:ind w:left="709" w:hanging="709"/>
      </w:pPr>
      <w:r>
        <w:t>En l</w:t>
      </w:r>
      <w:r w:rsidR="00346F1B">
        <w:t>’</w:t>
      </w:r>
      <w:r>
        <w:t>absence d</w:t>
      </w:r>
      <w:r w:rsidR="00346F1B">
        <w:t>’</w:t>
      </w:r>
      <w:r>
        <w:t xml:space="preserve">objections, la </w:t>
      </w:r>
      <w:r w:rsidRPr="008C0DE5">
        <w:rPr>
          <w:b/>
        </w:rPr>
        <w:t>Vice-Présidente</w:t>
      </w:r>
      <w:r>
        <w:t xml:space="preserve"> a déclaré le paragraphe sur le critère R.2 adopté, et est </w:t>
      </w:r>
      <w:r w:rsidR="00EE3BDD">
        <w:t xml:space="preserve">ensuite </w:t>
      </w:r>
      <w:r>
        <w:t xml:space="preserve">passée au paragraphe sur le critère R.3 et </w:t>
      </w:r>
      <w:r w:rsidR="00EE3BDD">
        <w:t xml:space="preserve">à </w:t>
      </w:r>
      <w:r>
        <w:t>l</w:t>
      </w:r>
      <w:r w:rsidR="00346F1B">
        <w:t>’</w:t>
      </w:r>
      <w:r>
        <w:t>amendement soumis par la Bulgarie. Elle a pris note du soutien du Guatemala, du Liban, de l</w:t>
      </w:r>
      <w:r w:rsidR="00346F1B">
        <w:t>’</w:t>
      </w:r>
      <w:r>
        <w:t xml:space="preserve">Algérie et </w:t>
      </w:r>
      <w:r w:rsidR="00EE3BDD">
        <w:t>de l</w:t>
      </w:r>
      <w:r w:rsidR="00346F1B">
        <w:t>’</w:t>
      </w:r>
      <w:r w:rsidR="00EE3BDD">
        <w:t>Afghanistan à l</w:t>
      </w:r>
      <w:r w:rsidR="00346F1B">
        <w:t>’</w:t>
      </w:r>
      <w:r w:rsidR="00EE3BDD">
        <w:t>amendement</w:t>
      </w:r>
      <w:r>
        <w:t xml:space="preserve"> et, com</w:t>
      </w:r>
      <w:r w:rsidR="00EE3BDD">
        <w:t>pte tenu du soutien général de</w:t>
      </w:r>
      <w:r>
        <w:t xml:space="preserve"> l</w:t>
      </w:r>
      <w:r w:rsidR="00346F1B">
        <w:t>’</w:t>
      </w:r>
      <w:r>
        <w:t xml:space="preserve">assemblée, la Vice-Présidente a déclaré le paragraphe consacré au critère R.3 adopté. Elle est </w:t>
      </w:r>
      <w:r w:rsidR="00EE3BDD">
        <w:t xml:space="preserve">ensuite </w:t>
      </w:r>
      <w:r>
        <w:t xml:space="preserve">passée au paragraphe sur le critère R.4 et </w:t>
      </w:r>
      <w:r w:rsidR="00EE3BDD">
        <w:t xml:space="preserve">à </w:t>
      </w:r>
      <w:r>
        <w:t>un autre amendement de la Bulgarie. Elle a pris note du soutien des délégations du Liban et de l</w:t>
      </w:r>
      <w:r w:rsidR="00346F1B">
        <w:t>’</w:t>
      </w:r>
      <w:r>
        <w:t>Autriche à l</w:t>
      </w:r>
      <w:r w:rsidR="00346F1B">
        <w:t>’</w:t>
      </w:r>
      <w:r>
        <w:t>amendement. En l</w:t>
      </w:r>
      <w:r w:rsidR="00346F1B">
        <w:t>’</w:t>
      </w:r>
      <w:r>
        <w:t>absence d</w:t>
      </w:r>
      <w:r w:rsidR="00346F1B">
        <w:t>’</w:t>
      </w:r>
      <w:r>
        <w:t>objections, la Vice-Présidente a déclaré le paragraphe consacré au critère R.4 adopté. En l</w:t>
      </w:r>
      <w:r w:rsidR="00346F1B">
        <w:t>’</w:t>
      </w:r>
      <w:r>
        <w:t>absence d</w:t>
      </w:r>
      <w:r w:rsidR="00346F1B">
        <w:t>’</w:t>
      </w:r>
      <w:r>
        <w:t xml:space="preserve">amendement reçu pour le paragraphe consacré au critère R.5, celui-ci a été </w:t>
      </w:r>
      <w:r w:rsidR="008052AC">
        <w:t>dûment</w:t>
      </w:r>
      <w:r>
        <w:t xml:space="preserve"> adopté. La Vice-Président</w:t>
      </w:r>
      <w:r w:rsidR="00EE3BDD">
        <w:t>e</w:t>
      </w:r>
      <w:r>
        <w:t xml:space="preserve"> est </w:t>
      </w:r>
      <w:r w:rsidR="00EE3BDD">
        <w:t xml:space="preserve">ensuite </w:t>
      </w:r>
      <w:r>
        <w:t>passée au paragraphe 4 [nouveau paragraphe 3] et à l</w:t>
      </w:r>
      <w:r w:rsidR="00346F1B">
        <w:t>’</w:t>
      </w:r>
      <w:r>
        <w:t>amendement de la Bulgarie visant à « inscrire » l</w:t>
      </w:r>
      <w:r w:rsidR="00346F1B">
        <w:t>’</w:t>
      </w:r>
      <w:r>
        <w:t>élément. La Vice-Présidente a pris note du soutien des délégations du Guatemala et de Sainte-Lucie à l</w:t>
      </w:r>
      <w:r w:rsidR="00346F1B">
        <w:t>’</w:t>
      </w:r>
      <w:r w:rsidR="00C75B12">
        <w:t>amendement.</w:t>
      </w:r>
    </w:p>
    <w:p w14:paraId="0E415846" w14:textId="48B49EE3" w:rsidR="00EE3BDD" w:rsidRDefault="00EE3BDD" w:rsidP="00DE5C80">
      <w:pPr>
        <w:pStyle w:val="Orateurengris"/>
        <w:spacing w:before="120"/>
        <w:ind w:left="709" w:hanging="709"/>
      </w:pPr>
      <w:r>
        <w:t xml:space="preserve">La délégation de </w:t>
      </w:r>
      <w:r w:rsidRPr="00EE3BDD">
        <w:rPr>
          <w:b/>
        </w:rPr>
        <w:t>Cuba</w:t>
      </w:r>
      <w:r>
        <w:t xml:space="preserve"> a rappelé au Comité les précédents débats au terme desquels on avait décidé de l</w:t>
      </w:r>
      <w:r w:rsidR="00346F1B">
        <w:t>’</w:t>
      </w:r>
      <w:r>
        <w:t>ajout d</w:t>
      </w:r>
      <w:r w:rsidR="00346F1B">
        <w:t>’</w:t>
      </w:r>
      <w:r>
        <w:t>un paragraphe en cas de candidatures dont l</w:t>
      </w:r>
      <w:r w:rsidR="00346F1B">
        <w:t>’</w:t>
      </w:r>
      <w:r>
        <w:t>ins</w:t>
      </w:r>
      <w:r w:rsidR="00C75B12">
        <w:t>cription avait été recommandée.</w:t>
      </w:r>
    </w:p>
    <w:p w14:paraId="5C2659F0" w14:textId="4210246B" w:rsidR="00EE3BDD" w:rsidRPr="00EE3BDD" w:rsidRDefault="00EE3BDD" w:rsidP="00DE5C80">
      <w:pPr>
        <w:pStyle w:val="Orateurengris"/>
        <w:spacing w:before="120"/>
        <w:ind w:left="709" w:hanging="709"/>
      </w:pPr>
      <w:r>
        <w:t xml:space="preserve">Après avoir remercié Cuba, la </w:t>
      </w:r>
      <w:r w:rsidRPr="00EE3BDD">
        <w:rPr>
          <w:b/>
        </w:rPr>
        <w:t>Vice-Présidente</w:t>
      </w:r>
      <w:r>
        <w:t xml:space="preserve"> a précisé que ce paragraphe était inclus dans la décision et présenté à l</w:t>
      </w:r>
      <w:r w:rsidR="00346F1B">
        <w:t>’</w:t>
      </w:r>
      <w:r>
        <w:t>écran. Elle est revenue sur le paragraphe 3 tel qu</w:t>
      </w:r>
      <w:r w:rsidR="00346F1B">
        <w:t>’</w:t>
      </w:r>
      <w:r>
        <w:t>a</w:t>
      </w:r>
      <w:r w:rsidR="00D31814">
        <w:t>mendé par la Bulgarie et, en l</w:t>
      </w:r>
      <w:r w:rsidR="00346F1B">
        <w:t>’</w:t>
      </w:r>
      <w:r w:rsidR="00D31814">
        <w:t>absence d</w:t>
      </w:r>
      <w:r w:rsidR="00346F1B">
        <w:t>’</w:t>
      </w:r>
      <w:r w:rsidR="00D31814">
        <w:t xml:space="preserve">objections, il a été </w:t>
      </w:r>
      <w:r w:rsidR="008052AC">
        <w:t>dûment</w:t>
      </w:r>
      <w:r w:rsidR="00D31814">
        <w:t xml:space="preserve"> adopté. La Vice-Présidente est passée au paragraphe 4 qui a également été adopté, puis elle a proposé d</w:t>
      </w:r>
      <w:r w:rsidR="00346F1B">
        <w:t>’</w:t>
      </w:r>
      <w:r w:rsidR="00D31814">
        <w:t>adopter la décision dans son ensemble. En l</w:t>
      </w:r>
      <w:r w:rsidR="00346F1B">
        <w:t>’</w:t>
      </w:r>
      <w:r w:rsidR="00D31814">
        <w:t>absence d</w:t>
      </w:r>
      <w:r w:rsidR="00346F1B">
        <w:t>’</w:t>
      </w:r>
      <w:r w:rsidR="00D31814">
        <w:t xml:space="preserve">objections la </w:t>
      </w:r>
      <w:r w:rsidR="00D31814" w:rsidRPr="00D31814">
        <w:rPr>
          <w:b/>
        </w:rPr>
        <w:t>Vice-Président</w:t>
      </w:r>
      <w:r w:rsidR="00D31814">
        <w:rPr>
          <w:b/>
        </w:rPr>
        <w:t>e</w:t>
      </w:r>
      <w:r w:rsidR="00D31814" w:rsidRPr="00D31814">
        <w:rPr>
          <w:b/>
        </w:rPr>
        <w:t xml:space="preserve"> a déclaré la décision 11.COM 10.b.14 d</w:t>
      </w:r>
      <w:r w:rsidR="00346F1B">
        <w:rPr>
          <w:b/>
        </w:rPr>
        <w:t>’</w:t>
      </w:r>
      <w:r w:rsidR="00D31814" w:rsidRPr="00D31814">
        <w:rPr>
          <w:b/>
        </w:rPr>
        <w:t>inscrire l</w:t>
      </w:r>
      <w:r w:rsidR="00346F1B">
        <w:rPr>
          <w:b/>
        </w:rPr>
        <w:t>’</w:t>
      </w:r>
      <w:r w:rsidR="00D31814" w:rsidRPr="00D31814">
        <w:rPr>
          <w:b/>
        </w:rPr>
        <w:t>idée et la pratique d</w:t>
      </w:r>
      <w:r w:rsidR="00346F1B">
        <w:rPr>
          <w:b/>
        </w:rPr>
        <w:t>’</w:t>
      </w:r>
      <w:r w:rsidR="00D31814" w:rsidRPr="00D31814">
        <w:rPr>
          <w:b/>
        </w:rPr>
        <w:t>intérêts communs organisés en coopératives sur la Liste représentative du patrimoine culturel immatériel de l</w:t>
      </w:r>
      <w:r w:rsidR="00346F1B">
        <w:rPr>
          <w:b/>
        </w:rPr>
        <w:t>’</w:t>
      </w:r>
      <w:r w:rsidR="00D31814" w:rsidRPr="00D31814">
        <w:rPr>
          <w:b/>
        </w:rPr>
        <w:t>humanité</w:t>
      </w:r>
      <w:r w:rsidR="00C75B12">
        <w:t>.</w:t>
      </w:r>
    </w:p>
    <w:p w14:paraId="190FB00D" w14:textId="2762C115" w:rsidR="00D31814" w:rsidRDefault="00D31814" w:rsidP="00DE5C80">
      <w:pPr>
        <w:pStyle w:val="Orateurengris"/>
        <w:spacing w:before="120"/>
        <w:ind w:left="709" w:hanging="709"/>
      </w:pPr>
      <w:r>
        <w:t>La délégation de l</w:t>
      </w:r>
      <w:r w:rsidR="00346F1B">
        <w:t>’</w:t>
      </w:r>
      <w:r w:rsidRPr="00D31814">
        <w:rPr>
          <w:b/>
        </w:rPr>
        <w:t>Allemagne</w:t>
      </w:r>
      <w:r>
        <w:t xml:space="preserve"> s</w:t>
      </w:r>
      <w:r w:rsidR="00346F1B">
        <w:t>’</w:t>
      </w:r>
      <w:r>
        <w:t>est dite extrêmement reconnaissante de l</w:t>
      </w:r>
      <w:r w:rsidR="00346F1B">
        <w:t>’</w:t>
      </w:r>
      <w:r>
        <w:t>inscription de son premier élément sur la Liste représentative. Elle a remercié le Comité</w:t>
      </w:r>
      <w:r w:rsidR="00E07660">
        <w:t xml:space="preserve"> pour le </w:t>
      </w:r>
      <w:r>
        <w:t xml:space="preserve">débat </w:t>
      </w:r>
      <w:r w:rsidR="00E07660">
        <w:t xml:space="preserve">de qualité </w:t>
      </w:r>
      <w:r w:rsidR="00217BD7">
        <w:t>et la décision positive, ajoutant que cela motiverait la pr</w:t>
      </w:r>
      <w:r w:rsidR="005A12C8">
        <w:t>omotion et la sauvegarde active</w:t>
      </w:r>
      <w:r w:rsidR="00217BD7">
        <w:t xml:space="preserve"> de nombreux aspects et perspectives du PCI. S</w:t>
      </w:r>
      <w:r w:rsidR="00346F1B">
        <w:t>’</w:t>
      </w:r>
      <w:r w:rsidR="00217BD7">
        <w:t>aider soi-même, être responsable de sa vie et la prendre en main étaient des principes qui permettaient aux populations d</w:t>
      </w:r>
      <w:r w:rsidR="00346F1B">
        <w:t>’</w:t>
      </w:r>
      <w:r w:rsidR="00217BD7">
        <w:t>Allemagne de relever toutes sortes de défis. Par cette reconnaissance, l</w:t>
      </w:r>
      <w:r w:rsidR="00346F1B">
        <w:t>’</w:t>
      </w:r>
      <w:r w:rsidR="00217BD7">
        <w:t xml:space="preserve">idée de la coopérative </w:t>
      </w:r>
      <w:r w:rsidR="002E5C43">
        <w:t>bénéficiait</w:t>
      </w:r>
      <w:r w:rsidR="00217BD7">
        <w:t xml:space="preserve"> d</w:t>
      </w:r>
      <w:r w:rsidR="00346F1B">
        <w:t>’</w:t>
      </w:r>
      <w:r w:rsidR="00217BD7">
        <w:t>une nouvelle énergie et son pouvoir était renforcé. La délégation a conclu son intervention en remerciant une fois de plus l</w:t>
      </w:r>
      <w:r w:rsidR="00346F1B">
        <w:t>’</w:t>
      </w:r>
      <w:r w:rsidR="00217BD7">
        <w:t>Éthiopie pour sa grande et chaleureuse hospitalité et la parfa</w:t>
      </w:r>
      <w:r w:rsidR="00C75B12">
        <w:t>ite organisation de la session.</w:t>
      </w:r>
    </w:p>
    <w:p w14:paraId="67DF6300" w14:textId="405C12E1" w:rsidR="002E5C43" w:rsidRPr="002E5C43" w:rsidRDefault="002E5C43" w:rsidP="00DE5C80">
      <w:pPr>
        <w:pStyle w:val="Orateurengris"/>
        <w:spacing w:before="120"/>
        <w:ind w:left="709" w:hanging="709"/>
      </w:pPr>
      <w:r>
        <w:t xml:space="preserve">La </w:t>
      </w:r>
      <w:r w:rsidRPr="002E5C43">
        <w:rPr>
          <w:b/>
        </w:rPr>
        <w:t>Vice-Présidente</w:t>
      </w:r>
      <w:r>
        <w:t xml:space="preserve"> a félicité l</w:t>
      </w:r>
      <w:r w:rsidR="00346F1B">
        <w:t>’</w:t>
      </w:r>
      <w:r>
        <w:t>Allemagne pour sa première inscription et a informé le Comité que les États soumissionnaires de la candidature suivante, le dossier multinational sur « la fauconnerie, un patrimoine humain vivant » avaient demandé que le débat soit reporté au jour suivant car la présente séance prolongée ne bénéficiait pas de l</w:t>
      </w:r>
      <w:r w:rsidR="00346F1B">
        <w:t>’</w:t>
      </w:r>
      <w:r>
        <w:t xml:space="preserve">interprétation en arabe et en espagnol. La Vice-Présidente est donc passée au dossier </w:t>
      </w:r>
      <w:r w:rsidR="00C75B12">
        <w:t>suivant soumis par la Grèce.</w:t>
      </w:r>
    </w:p>
    <w:p w14:paraId="10D1974B" w14:textId="5C1ECFB3" w:rsidR="00E07660" w:rsidRPr="001A6D74" w:rsidRDefault="000D69BA" w:rsidP="00DE5C80">
      <w:pPr>
        <w:pStyle w:val="Orateurengris"/>
        <w:spacing w:before="120"/>
        <w:ind w:left="709" w:hanging="709"/>
      </w:pPr>
      <w:r>
        <w:t>Le</w:t>
      </w:r>
      <w:r w:rsidR="001A6D74">
        <w:t xml:space="preserve"> </w:t>
      </w:r>
      <w:r w:rsidR="001A6D74" w:rsidRPr="00386DB6">
        <w:rPr>
          <w:b/>
        </w:rPr>
        <w:t>Vice-Président de l</w:t>
      </w:r>
      <w:r w:rsidR="00346F1B">
        <w:rPr>
          <w:b/>
        </w:rPr>
        <w:t>’</w:t>
      </w:r>
      <w:r w:rsidR="001A6D74" w:rsidRPr="00386DB6">
        <w:rPr>
          <w:b/>
        </w:rPr>
        <w:t>Organe d</w:t>
      </w:r>
      <w:r w:rsidR="00346F1B">
        <w:rPr>
          <w:b/>
        </w:rPr>
        <w:t>’</w:t>
      </w:r>
      <w:r w:rsidR="001A6D74" w:rsidRPr="00386DB6">
        <w:rPr>
          <w:b/>
        </w:rPr>
        <w:t>évaluation</w:t>
      </w:r>
      <w:r w:rsidR="001A6D74">
        <w:t xml:space="preserve"> est passé à la candidature suivante, </w:t>
      </w:r>
      <w:bookmarkStart w:id="34" w:name="Decision10b16"/>
      <w:r w:rsidR="00386DB6">
        <w:rPr>
          <w:b/>
        </w:rPr>
        <w:t>la Momoeria, fêtes du Nouvel A</w:t>
      </w:r>
      <w:r w:rsidR="001A6D74" w:rsidRPr="00386DB6">
        <w:rPr>
          <w:b/>
        </w:rPr>
        <w:t>n dans huit villages de la région de Kozani, en Macédoine occidentale</w:t>
      </w:r>
      <w:r w:rsidR="00F70273">
        <w:rPr>
          <w:b/>
        </w:rPr>
        <w:t xml:space="preserve"> (Grèce)</w:t>
      </w:r>
      <w:bookmarkEnd w:id="34"/>
      <w:r w:rsidR="001A6D74">
        <w:t xml:space="preserve"> [projet de décision 11.COM 10.b.16]</w:t>
      </w:r>
      <w:r w:rsidR="00386DB6">
        <w:t>, soumise par la Grèce. Entre le 25 décembre et le 5 janvier, à Kozani, Grèce, des danseurs, a</w:t>
      </w:r>
      <w:r w:rsidR="007B503E">
        <w:t xml:space="preserve">cteurs et musiciens se </w:t>
      </w:r>
      <w:r w:rsidR="007B503E" w:rsidRPr="00D51265">
        <w:t>produis</w:t>
      </w:r>
      <w:r w:rsidR="00196C79" w:rsidRPr="00D51265">
        <w:t>ai</w:t>
      </w:r>
      <w:r w:rsidR="00386DB6" w:rsidRPr="00D51265">
        <w:t>ent</w:t>
      </w:r>
      <w:r w:rsidR="00386DB6">
        <w:t xml:space="preserve"> da</w:t>
      </w:r>
      <w:r w:rsidR="007B503E">
        <w:t xml:space="preserve">ns les rues du village et </w:t>
      </w:r>
      <w:r w:rsidR="007B503E" w:rsidRPr="00D51265">
        <w:t>pass</w:t>
      </w:r>
      <w:r w:rsidR="00196C79" w:rsidRPr="00D51265">
        <w:t>ai</w:t>
      </w:r>
      <w:r w:rsidR="00386DB6" w:rsidRPr="00D51265">
        <w:t>ent</w:t>
      </w:r>
      <w:r w:rsidR="00386DB6">
        <w:t xml:space="preserve"> chez les habitants pour se souhaiter mutuellement la prospérité pour </w:t>
      </w:r>
      <w:r>
        <w:t xml:space="preserve">la </w:t>
      </w:r>
      <w:r w:rsidR="00386DB6">
        <w:t>nouvelle année. Les dan</w:t>
      </w:r>
      <w:r w:rsidR="007B503E">
        <w:t>seurs de la Momoeria représent</w:t>
      </w:r>
      <w:r w:rsidR="00196C79">
        <w:t>ai</w:t>
      </w:r>
      <w:r w:rsidR="00386DB6">
        <w:t>ent les prêtres de Momos (dieu du rire et de la satire) ou les commandants d</w:t>
      </w:r>
      <w:r w:rsidR="00346F1B">
        <w:t>’</w:t>
      </w:r>
      <w:r w:rsidR="00386DB6">
        <w:t>Alexandre le Grand</w:t>
      </w:r>
      <w:r w:rsidR="00F70273">
        <w:t>,</w:t>
      </w:r>
      <w:r w:rsidR="007B503E">
        <w:t xml:space="preserve"> essayant de convaincre la nature de ne pas mettre en péril les moyens de subsistance des villageois, tandis que des acteurs interprètent une pièce avec des musiciens. Transmise par les anciennes générations, la fête fai</w:t>
      </w:r>
      <w:r w:rsidR="00196C79">
        <w:t>sai</w:t>
      </w:r>
      <w:r w:rsidR="007B503E">
        <w:t>t partie de l</w:t>
      </w:r>
      <w:r w:rsidR="00346F1B">
        <w:t>’</w:t>
      </w:r>
      <w:r w:rsidR="007B503E">
        <w:t>ident</w:t>
      </w:r>
      <w:r w:rsidR="00196C79">
        <w:t>ité de la communauté et renforçait</w:t>
      </w:r>
      <w:r w:rsidR="007B503E">
        <w:t xml:space="preserve"> l</w:t>
      </w:r>
      <w:r w:rsidR="00346F1B">
        <w:t>’</w:t>
      </w:r>
      <w:r w:rsidR="007B503E">
        <w:t>intégration sociale. Selon les informations contenues dans le dossier, l</w:t>
      </w:r>
      <w:r w:rsidR="00346F1B">
        <w:t>’</w:t>
      </w:r>
      <w:r w:rsidR="007B503E">
        <w:t>Organe d</w:t>
      </w:r>
      <w:r w:rsidR="00346F1B">
        <w:t>’</w:t>
      </w:r>
      <w:r w:rsidR="007B503E">
        <w:t xml:space="preserve">évaluation avait décidé que la candidature satisfaisait </w:t>
      </w:r>
      <w:r>
        <w:t xml:space="preserve">les </w:t>
      </w:r>
      <w:r w:rsidR="00196C79">
        <w:t>cinq critères. La Momoeria était</w:t>
      </w:r>
      <w:r w:rsidR="007B503E">
        <w:t xml:space="preserve"> une pratique profondément enracinée servant de marqueur identitaire pour les Grecs d</w:t>
      </w:r>
      <w:r w:rsidR="00346F1B">
        <w:t>’</w:t>
      </w:r>
      <w:r w:rsidR="007B503E">
        <w:t>origine pontique et d</w:t>
      </w:r>
      <w:r w:rsidR="00346F1B">
        <w:t>’</w:t>
      </w:r>
      <w:r w:rsidR="007B503E">
        <w:t>affirmation de la cohésion sociale. Le dossier était parvenu à décrire la participation active de la communauté. Une grande divers</w:t>
      </w:r>
      <w:r w:rsidR="00C75B12">
        <w:t>ité de parties concernées avai</w:t>
      </w:r>
      <w:r w:rsidR="00F70273">
        <w:t>t fourni des lettres de consentement libre, préalable et éclairé exprimant leur sentiment et vision de l</w:t>
      </w:r>
      <w:r w:rsidR="00346F1B">
        <w:t>’</w:t>
      </w:r>
      <w:r w:rsidR="00F70273">
        <w:t xml:space="preserve">élément, </w:t>
      </w:r>
      <w:r>
        <w:t xml:space="preserve">de </w:t>
      </w:r>
      <w:r w:rsidR="00F70273">
        <w:t xml:space="preserve">sa transmission et </w:t>
      </w:r>
      <w:r>
        <w:t xml:space="preserve">de </w:t>
      </w:r>
      <w:r w:rsidR="00F70273">
        <w:t>sa viabilité. L</w:t>
      </w:r>
      <w:r w:rsidR="00346F1B">
        <w:t>’</w:t>
      </w:r>
      <w:r w:rsidR="00F70273">
        <w:t>Organe d</w:t>
      </w:r>
      <w:r w:rsidR="00346F1B">
        <w:t>’</w:t>
      </w:r>
      <w:r w:rsidR="00F70273">
        <w:t>évaluation recommandait l</w:t>
      </w:r>
      <w:r w:rsidR="00346F1B">
        <w:t>’</w:t>
      </w:r>
      <w:r w:rsidR="00F70273">
        <w:t>inscription de la Momoeria, fêtes du Nouvel An dans huit villages de la région de Kozani, en Macédoine occidentale (Grèc</w:t>
      </w:r>
      <w:r w:rsidR="00C75B12">
        <w:t>e) sur la Liste représentative.</w:t>
      </w:r>
    </w:p>
    <w:p w14:paraId="6EC74F33" w14:textId="622B61E9" w:rsidR="00F70273" w:rsidRDefault="00F70273" w:rsidP="00DE5C80">
      <w:pPr>
        <w:pStyle w:val="Orateurengris"/>
        <w:spacing w:before="120"/>
        <w:ind w:left="709" w:hanging="709"/>
      </w:pPr>
      <w:r>
        <w:t>Après avoir remercié le Vice-Président de l</w:t>
      </w:r>
      <w:r w:rsidR="00346F1B">
        <w:t>’</w:t>
      </w:r>
      <w:r>
        <w:t>Organe d</w:t>
      </w:r>
      <w:r w:rsidR="00346F1B">
        <w:t>’</w:t>
      </w:r>
      <w:r>
        <w:t xml:space="preserve">évaluation, la </w:t>
      </w:r>
      <w:r w:rsidRPr="00F70273">
        <w:rPr>
          <w:b/>
        </w:rPr>
        <w:t>Vice-Présidente</w:t>
      </w:r>
      <w:r>
        <w:t xml:space="preserve"> a noté qu</w:t>
      </w:r>
      <w:r w:rsidR="00346F1B">
        <w:t>’</w:t>
      </w:r>
      <w:r>
        <w:t>aucun amendement n</w:t>
      </w:r>
      <w:r w:rsidR="00346F1B">
        <w:t>’</w:t>
      </w:r>
      <w:r>
        <w:t>avait été soumis et a donc proposé d</w:t>
      </w:r>
      <w:r w:rsidR="00346F1B">
        <w:t>’</w:t>
      </w:r>
      <w:r>
        <w:t>adopter la décision dans son ensemble</w:t>
      </w:r>
      <w:r w:rsidR="006D4762">
        <w:t>. E</w:t>
      </w:r>
      <w:r>
        <w:t>n l</w:t>
      </w:r>
      <w:r w:rsidR="00346F1B">
        <w:t>’</w:t>
      </w:r>
      <w:r>
        <w:t>absence d</w:t>
      </w:r>
      <w:r w:rsidR="00346F1B">
        <w:t>’</w:t>
      </w:r>
      <w:r>
        <w:t xml:space="preserve">autres commentaires ou objections, la </w:t>
      </w:r>
      <w:r w:rsidRPr="006D4762">
        <w:rPr>
          <w:b/>
        </w:rPr>
        <w:t>Vice-Présidente a déclaré adoptée la décision 11.COM 10.b.16 d</w:t>
      </w:r>
      <w:r w:rsidR="00346F1B">
        <w:rPr>
          <w:b/>
        </w:rPr>
        <w:t>’</w:t>
      </w:r>
      <w:r w:rsidRPr="006D4762">
        <w:rPr>
          <w:b/>
        </w:rPr>
        <w:t>inscrire la Momoeria, fêtes du Nouvel An dans huit villages de la région de Kozani, en Macédoi</w:t>
      </w:r>
      <w:r w:rsidR="006D4762">
        <w:rPr>
          <w:b/>
        </w:rPr>
        <w:t>ne occidentale (Grèce) sur la Liste représentative</w:t>
      </w:r>
      <w:r w:rsidRPr="006D4762">
        <w:rPr>
          <w:b/>
        </w:rPr>
        <w:t xml:space="preserve"> du patrimoine culturel immatériel de l</w:t>
      </w:r>
      <w:r w:rsidR="00346F1B">
        <w:rPr>
          <w:b/>
        </w:rPr>
        <w:t>’</w:t>
      </w:r>
      <w:r w:rsidRPr="006D4762">
        <w:rPr>
          <w:b/>
        </w:rPr>
        <w:t>humanité</w:t>
      </w:r>
      <w:r w:rsidR="00C75B12">
        <w:t>.</w:t>
      </w:r>
    </w:p>
    <w:p w14:paraId="16D6350F" w14:textId="7B00ABB3" w:rsidR="00EF5534" w:rsidRDefault="006D4762" w:rsidP="00DE5C80">
      <w:pPr>
        <w:pStyle w:val="Orateurengris"/>
        <w:spacing w:before="120"/>
        <w:ind w:left="709" w:hanging="709"/>
      </w:pPr>
      <w:r>
        <w:t xml:space="preserve">Au nom des huit communautés concernées, la délégation de la </w:t>
      </w:r>
      <w:r w:rsidRPr="006D4762">
        <w:rPr>
          <w:b/>
        </w:rPr>
        <w:t>Grèce</w:t>
      </w:r>
      <w:r>
        <w:t xml:space="preserve"> a adressé ses remerciements au Comité pour sa décision, et a exprimé sa gratitude et son respect à l</w:t>
      </w:r>
      <w:r w:rsidR="00346F1B">
        <w:t>’</w:t>
      </w:r>
      <w:r>
        <w:t>Organe d</w:t>
      </w:r>
      <w:r w:rsidR="00346F1B">
        <w:t>’</w:t>
      </w:r>
      <w:r>
        <w:t>évaluation pour son traitement méticuleux du dossier et son t</w:t>
      </w:r>
      <w:r w:rsidR="00450503">
        <w:t>ravail en général. Elle estimait</w:t>
      </w:r>
      <w:r>
        <w:t xml:space="preserve"> que, dans l</w:t>
      </w:r>
      <w:r w:rsidR="00346F1B">
        <w:t>’</w:t>
      </w:r>
      <w:r>
        <w:t>ensemble, ses décisions étaient équilibrées et conformes aux principes de la Convention. Évoquant l</w:t>
      </w:r>
      <w:r w:rsidR="00346F1B">
        <w:t>’</w:t>
      </w:r>
      <w:r>
        <w:t xml:space="preserve">expérience et les connaissances acquises lors du travail </w:t>
      </w:r>
      <w:r w:rsidR="00A806E2">
        <w:t xml:space="preserve">accompli </w:t>
      </w:r>
      <w:r>
        <w:t>en étroite collaboration avec les communautés à l</w:t>
      </w:r>
      <w:r w:rsidR="00346F1B">
        <w:t>’</w:t>
      </w:r>
      <w:r>
        <w:t>occasion de l</w:t>
      </w:r>
      <w:r w:rsidR="00346F1B">
        <w:t>’</w:t>
      </w:r>
      <w:r>
        <w:t>inventaire et de la préparation du dossier de candidature, la délégation s</w:t>
      </w:r>
      <w:r w:rsidR="00346F1B">
        <w:t>’</w:t>
      </w:r>
      <w:r>
        <w:t>est dite im</w:t>
      </w:r>
      <w:r w:rsidR="00A42A79">
        <w:t>pressionnée par le fort écho que</w:t>
      </w:r>
      <w:r>
        <w:t xml:space="preserve"> cet élément </w:t>
      </w:r>
      <w:r w:rsidR="00A42A79">
        <w:t xml:space="preserve">recueillait </w:t>
      </w:r>
      <w:r>
        <w:t>auprès des nombreux Grecs d</w:t>
      </w:r>
      <w:r w:rsidR="00346F1B">
        <w:t>’</w:t>
      </w:r>
      <w:r>
        <w:t xml:space="preserve">origine pontique. </w:t>
      </w:r>
      <w:r w:rsidR="00A42A79">
        <w:t>Le souhait de prospérité de la communauté pour l</w:t>
      </w:r>
      <w:r w:rsidR="00346F1B">
        <w:t>’</w:t>
      </w:r>
      <w:r w:rsidR="00A42A79">
        <w:t>année à venir, avec notamment des enfants en bonne santé et de bon</w:t>
      </w:r>
      <w:r w:rsidR="00196C79">
        <w:t>nes récoltes, était</w:t>
      </w:r>
      <w:r w:rsidR="00A42A79">
        <w:t xml:space="preserve"> au cœur de toutes ces différentes célébrations du Nouvel An. Le fait que les </w:t>
      </w:r>
      <w:r w:rsidR="00A46CAD">
        <w:t>membres</w:t>
      </w:r>
      <w:r w:rsidR="00A42A79">
        <w:t xml:space="preserve"> de la communauté qui avaient pu émigrer bien des années auparavant écrivent ou appellent les villageois pour s</w:t>
      </w:r>
      <w:r w:rsidR="00346F1B">
        <w:t>’</w:t>
      </w:r>
      <w:r w:rsidR="00A42A79">
        <w:t>assurer que la procession de la Momoeria s</w:t>
      </w:r>
      <w:r w:rsidR="00346F1B">
        <w:t>’</w:t>
      </w:r>
      <w:r w:rsidR="00A42A79">
        <w:t>arrête bien devant leur maison, même si elle était in</w:t>
      </w:r>
      <w:r w:rsidR="00E15BFB">
        <w:t>habitée depuis des années, était</w:t>
      </w:r>
      <w:r w:rsidR="00A42A79">
        <w:t xml:space="preserve"> une preuve </w:t>
      </w:r>
      <w:r w:rsidR="00EF5534">
        <w:t>flagrante de l</w:t>
      </w:r>
      <w:r w:rsidR="00346F1B">
        <w:t>’</w:t>
      </w:r>
      <w:r w:rsidR="00EF5534">
        <w:t xml:space="preserve">importance </w:t>
      </w:r>
      <w:r w:rsidR="00C34F7D">
        <w:t xml:space="preserve">accordée par </w:t>
      </w:r>
      <w:r w:rsidR="00EF5534">
        <w:t>les détenteurs à l</w:t>
      </w:r>
      <w:r w:rsidR="00346F1B">
        <w:t>’</w:t>
      </w:r>
      <w:r w:rsidR="00EF5534">
        <w:t>élément. C</w:t>
      </w:r>
      <w:r w:rsidR="00346F1B">
        <w:t>’</w:t>
      </w:r>
      <w:r w:rsidR="00EF5534">
        <w:t>était la raison pour laquelle les programmes éducatifs traitant de la durabilité connaissaien</w:t>
      </w:r>
      <w:r w:rsidR="0038791F">
        <w:t>t un tel succès auprès des enfants de ces</w:t>
      </w:r>
      <w:r w:rsidR="00EF5534">
        <w:t xml:space="preserve"> communautés. La délégation a évoqué le fait que les communautés ne rataient jamais une occasion de célébrer l</w:t>
      </w:r>
      <w:r w:rsidR="00346F1B">
        <w:t>’</w:t>
      </w:r>
      <w:r w:rsidR="00EF5534">
        <w:t xml:space="preserve">élément, même durant les périodes de grand trouble ou de danger c.-à-d. </w:t>
      </w:r>
      <w:r w:rsidR="00A806E2">
        <w:t xml:space="preserve">parmi </w:t>
      </w:r>
      <w:r w:rsidR="00EF5534">
        <w:t xml:space="preserve">les communautés de réfugiés suite au Traité de Lausanne et </w:t>
      </w:r>
      <w:r w:rsidR="0038791F">
        <w:t xml:space="preserve">à </w:t>
      </w:r>
      <w:r w:rsidR="00EF5534">
        <w:t>l</w:t>
      </w:r>
      <w:r w:rsidR="00346F1B">
        <w:t>’</w:t>
      </w:r>
      <w:r w:rsidR="00EF5534">
        <w:t>échange de populations entre la Grèce et l</w:t>
      </w:r>
      <w:r w:rsidR="00C34F7D">
        <w:t>a Turquie en 1923. Le</w:t>
      </w:r>
      <w:r w:rsidR="00EF5534">
        <w:t xml:space="preserve"> traumatisme du déracinement de</w:t>
      </w:r>
      <w:r w:rsidR="00C34F7D">
        <w:t>s</w:t>
      </w:r>
      <w:r w:rsidR="00EF5534">
        <w:t xml:space="preserve"> terres qu</w:t>
      </w:r>
      <w:r w:rsidR="00346F1B">
        <w:t>’</w:t>
      </w:r>
      <w:r w:rsidR="00EF5534">
        <w:t>elles avaient occupées depuis des centaines, voire des milliers, d</w:t>
      </w:r>
      <w:r w:rsidR="00346F1B">
        <w:t>’</w:t>
      </w:r>
      <w:r w:rsidR="00EF5534">
        <w:t xml:space="preserve">années était </w:t>
      </w:r>
      <w:r w:rsidR="0038791F">
        <w:t xml:space="preserve">résolu </w:t>
      </w:r>
      <w:r w:rsidR="00EF5534">
        <w:t>par la représentation de cet élément du PCI, dont la partie essentielle s</w:t>
      </w:r>
      <w:r w:rsidR="00346F1B">
        <w:t>’</w:t>
      </w:r>
      <w:r w:rsidR="00EF5534">
        <w:t xml:space="preserve">inscrivait dans le cadre de la Momoeria. En célébrant chaque année la Momoeria, les communautés étaient </w:t>
      </w:r>
      <w:r w:rsidR="0038791F">
        <w:t xml:space="preserve">en mesure </w:t>
      </w:r>
      <w:r w:rsidR="00EF5534">
        <w:t>de se reformer dans leur</w:t>
      </w:r>
      <w:r w:rsidR="0038791F">
        <w:t xml:space="preserve"> nouveau pays et de ressentir les</w:t>
      </w:r>
      <w:r w:rsidR="00EF5534">
        <w:t xml:space="preserve"> nouveaux liens très fort</w:t>
      </w:r>
      <w:r w:rsidR="0038791F">
        <w:t>s</w:t>
      </w:r>
      <w:r w:rsidR="00EF5534">
        <w:t xml:space="preserve"> qui les unissaient entre eux</w:t>
      </w:r>
      <w:r w:rsidR="00C34F7D">
        <w:t>,</w:t>
      </w:r>
      <w:r w:rsidR="00EF5534">
        <w:t xml:space="preserve"> et aux communautés voisines. </w:t>
      </w:r>
      <w:r w:rsidR="00A806E2">
        <w:t>Les long</w:t>
      </w:r>
      <w:r w:rsidR="0038791F">
        <w:t>s échanges avec les communautés à l</w:t>
      </w:r>
      <w:r w:rsidR="00346F1B">
        <w:t>’</w:t>
      </w:r>
      <w:r w:rsidR="0038791F">
        <w:t>occasion de la réalisation de l</w:t>
      </w:r>
      <w:r w:rsidR="00346F1B">
        <w:t>’</w:t>
      </w:r>
      <w:r w:rsidR="0038791F">
        <w:t>inventaire et de la soumission du dossier de candidature avaient permis de mettre en avant l</w:t>
      </w:r>
      <w:r w:rsidR="00346F1B">
        <w:t>’</w:t>
      </w:r>
      <w:r w:rsidR="0038791F">
        <w:t>importance du PCI dans les situations d</w:t>
      </w:r>
      <w:r w:rsidR="00346F1B">
        <w:t>’</w:t>
      </w:r>
      <w:r w:rsidR="0038791F">
        <w:t xml:space="preserve">urgence et de conflits, lors de catastrophes naturelles, etc., en particulier afin de maintenir la cohésion sociale. Des réflexions plus approfondies sur la signification sociale de cet élément avaient </w:t>
      </w:r>
      <w:r w:rsidR="00A806E2">
        <w:t>incité la délégation à entamer un</w:t>
      </w:r>
      <w:r w:rsidR="0038791F">
        <w:t xml:space="preserve"> débat sur l</w:t>
      </w:r>
      <w:r w:rsidR="00346F1B">
        <w:t>’</w:t>
      </w:r>
      <w:r w:rsidR="0038791F">
        <w:t>importance du PCI dans les situations d</w:t>
      </w:r>
      <w:r w:rsidR="00346F1B">
        <w:t>’</w:t>
      </w:r>
      <w:r w:rsidR="0038791F">
        <w:t xml:space="preserve">urgence. La délégation a assuré le Comité que la Grèce </w:t>
      </w:r>
      <w:r w:rsidR="00E15BFB">
        <w:t xml:space="preserve">et ses </w:t>
      </w:r>
      <w:r w:rsidR="0038791F">
        <w:t>communautés</w:t>
      </w:r>
      <w:r w:rsidR="00E15BFB">
        <w:t xml:space="preserve"> </w:t>
      </w:r>
      <w:r w:rsidR="00A806E2">
        <w:t>ne s</w:t>
      </w:r>
      <w:r w:rsidR="00346F1B">
        <w:t>’</w:t>
      </w:r>
      <w:r w:rsidR="00A806E2">
        <w:t>éloigneraie</w:t>
      </w:r>
      <w:r w:rsidR="0038791F">
        <w:t xml:space="preserve">nt jamais des principes de la Convention. La recommandation faite par </w:t>
      </w:r>
      <w:r w:rsidR="00A806E2">
        <w:t>le Comité dans sa décision serait pleinement prise en considération. Par l</w:t>
      </w:r>
      <w:r w:rsidR="00346F1B">
        <w:t>’</w:t>
      </w:r>
      <w:r w:rsidR="00A806E2">
        <w:t>inscription de cet élément, la délégation pensait que l</w:t>
      </w:r>
      <w:r w:rsidR="00346F1B">
        <w:t>’</w:t>
      </w:r>
      <w:r w:rsidR="00A806E2">
        <w:t>importance du PCI afin de surmonter les situations traumatiques, comme les crises des réfugiés, et de réaffirmer la cohésion sociale en des temps difficiles, serait mise en évidence. Elle adressait également ses remerciements les plus sincères à l</w:t>
      </w:r>
      <w:r w:rsidR="00346F1B">
        <w:t>’</w:t>
      </w:r>
      <w:r w:rsidR="00A806E2">
        <w:t>Éthiopie, « le pays des gens rayonnants » en grec, pour sa chaleureuse hospitalité et l</w:t>
      </w:r>
      <w:r w:rsidR="00346F1B">
        <w:t>’</w:t>
      </w:r>
      <w:r w:rsidR="00A806E2">
        <w:t>occasion qui lui était donnée de témoigner de sa longue histoire et de s</w:t>
      </w:r>
      <w:r w:rsidR="00C75B12">
        <w:t>on riche patrimoine culturel.</w:t>
      </w:r>
    </w:p>
    <w:p w14:paraId="0AD36210" w14:textId="4AB30620" w:rsidR="00A806E2" w:rsidRDefault="00A806E2" w:rsidP="00DE5C80">
      <w:pPr>
        <w:pStyle w:val="Orateurengris"/>
        <w:spacing w:before="120"/>
        <w:ind w:left="709" w:hanging="709"/>
      </w:pPr>
      <w:r>
        <w:t xml:space="preserve">Après avoir remercié la Grèce, la </w:t>
      </w:r>
      <w:r w:rsidRPr="00A806E2">
        <w:rPr>
          <w:b/>
        </w:rPr>
        <w:t>Vice-Présidente</w:t>
      </w:r>
      <w:r>
        <w:t xml:space="preserve"> a informé le Comité que l</w:t>
      </w:r>
      <w:r w:rsidR="00346F1B">
        <w:t>’</w:t>
      </w:r>
      <w:r>
        <w:t>Inde avait demandé que l</w:t>
      </w:r>
      <w:r w:rsidR="00346F1B">
        <w:t>’</w:t>
      </w:r>
      <w:r>
        <w:t>examen de sa candidature soit reporté au jour suivant. En l</w:t>
      </w:r>
      <w:r w:rsidR="00346F1B">
        <w:t>’</w:t>
      </w:r>
      <w:r>
        <w:t>absence d</w:t>
      </w:r>
      <w:r w:rsidR="00346F1B">
        <w:t>’</w:t>
      </w:r>
      <w:r>
        <w:t>objections, la Vice-Présidente est passée à la candidature suivante, soumise par l</w:t>
      </w:r>
      <w:r w:rsidR="00346F1B">
        <w:t>’</w:t>
      </w:r>
      <w:r w:rsidR="00C75B12">
        <w:t>Iraq.</w:t>
      </w:r>
    </w:p>
    <w:p w14:paraId="3975CFB1" w14:textId="436D8B98" w:rsidR="00A806E2" w:rsidRDefault="00A806E2" w:rsidP="00DE5C80">
      <w:pPr>
        <w:pStyle w:val="Orateurengris"/>
        <w:spacing w:before="120"/>
        <w:ind w:left="709" w:hanging="709"/>
      </w:pPr>
      <w:r>
        <w:t>Au nom de l</w:t>
      </w:r>
      <w:r w:rsidR="00346F1B">
        <w:t>’</w:t>
      </w:r>
      <w:r>
        <w:t xml:space="preserve">État soumissionnaire, la délégation de la </w:t>
      </w:r>
      <w:r w:rsidRPr="00A806E2">
        <w:rPr>
          <w:b/>
        </w:rPr>
        <w:t>Palestine</w:t>
      </w:r>
      <w:r>
        <w:t xml:space="preserve"> a demandé que l</w:t>
      </w:r>
      <w:r w:rsidR="00346F1B">
        <w:t>’</w:t>
      </w:r>
      <w:r>
        <w:t>examen du dossier de candidature soit reporté au jour suivant car il n</w:t>
      </w:r>
      <w:r w:rsidR="00346F1B">
        <w:t>’</w:t>
      </w:r>
      <w:r>
        <w:t>y avait pas d</w:t>
      </w:r>
      <w:r w:rsidR="00346F1B">
        <w:t>’</w:t>
      </w:r>
      <w:r>
        <w:t>interprétat</w:t>
      </w:r>
      <w:r w:rsidR="00C75B12">
        <w:t>ion en langue arabe disponible.</w:t>
      </w:r>
    </w:p>
    <w:p w14:paraId="543711F1" w14:textId="46A74FB3" w:rsidR="00A806E2" w:rsidRPr="00A806E2" w:rsidRDefault="00A806E2" w:rsidP="00DE5C80">
      <w:pPr>
        <w:pStyle w:val="Orateurengris"/>
        <w:spacing w:before="120"/>
        <w:ind w:left="709" w:hanging="709"/>
      </w:pPr>
      <w:r>
        <w:t>E</w:t>
      </w:r>
      <w:r w:rsidRPr="00A806E2">
        <w:t>n l</w:t>
      </w:r>
      <w:r w:rsidR="00346F1B">
        <w:t>’</w:t>
      </w:r>
      <w:r w:rsidRPr="00A806E2">
        <w:t>absence d</w:t>
      </w:r>
      <w:r w:rsidR="00346F1B">
        <w:t>’</w:t>
      </w:r>
      <w:r w:rsidRPr="00A806E2">
        <w:t>objections, l</w:t>
      </w:r>
      <w:r>
        <w:t xml:space="preserve">a </w:t>
      </w:r>
      <w:r w:rsidRPr="00A806E2">
        <w:rPr>
          <w:b/>
        </w:rPr>
        <w:t>Vice-Présidente</w:t>
      </w:r>
      <w:r>
        <w:t xml:space="preserve"> est passée au dossie</w:t>
      </w:r>
      <w:r w:rsidR="00C75B12">
        <w:t>r suivant, soumis par le Japon.</w:t>
      </w:r>
    </w:p>
    <w:p w14:paraId="77161859" w14:textId="63C7FD51" w:rsidR="008957A4" w:rsidRDefault="00A806E2" w:rsidP="00DE5C80">
      <w:pPr>
        <w:pStyle w:val="Orateurengris"/>
        <w:spacing w:before="120"/>
        <w:ind w:left="709" w:hanging="709"/>
      </w:pPr>
      <w:r>
        <w:t xml:space="preserve">Le </w:t>
      </w:r>
      <w:r w:rsidRPr="00B12CC3">
        <w:rPr>
          <w:b/>
        </w:rPr>
        <w:t>Vice-Président de l</w:t>
      </w:r>
      <w:r w:rsidR="00346F1B">
        <w:rPr>
          <w:b/>
        </w:rPr>
        <w:t>’</w:t>
      </w:r>
      <w:r w:rsidRPr="00B12CC3">
        <w:rPr>
          <w:b/>
        </w:rPr>
        <w:t>Organe d</w:t>
      </w:r>
      <w:r w:rsidR="00346F1B">
        <w:rPr>
          <w:b/>
        </w:rPr>
        <w:t>’</w:t>
      </w:r>
      <w:r w:rsidRPr="00B12CC3">
        <w:rPr>
          <w:b/>
        </w:rPr>
        <w:t>évaluation</w:t>
      </w:r>
      <w:r>
        <w:t xml:space="preserve"> est passé à la candidature suivante, </w:t>
      </w:r>
      <w:bookmarkStart w:id="35" w:name="Decision10b19"/>
      <w:r w:rsidR="00B12CC3" w:rsidRPr="00B12CC3">
        <w:rPr>
          <w:b/>
        </w:rPr>
        <w:t>les Yama, Hoko, Yatai, festivals de chars au Japon</w:t>
      </w:r>
      <w:r w:rsidR="00B12CC3">
        <w:t xml:space="preserve"> </w:t>
      </w:r>
      <w:bookmarkEnd w:id="35"/>
      <w:r w:rsidR="00B12CC3">
        <w:t xml:space="preserve">[projet de décision 11.COM 10.b.19], soumise par le Japon. </w:t>
      </w:r>
      <w:r w:rsidR="00243065">
        <w:t xml:space="preserve">Dans </w:t>
      </w:r>
      <w:r w:rsidR="002D32FE">
        <w:t xml:space="preserve">certaines </w:t>
      </w:r>
      <w:r w:rsidR="00243065">
        <w:t>villes japonaises, des festivals de chars se déroul</w:t>
      </w:r>
      <w:r w:rsidR="00E15BFB">
        <w:t>ai</w:t>
      </w:r>
      <w:r w:rsidR="00243065">
        <w:t>ent tous les ans pour demander aux dieux la paix et la protection contre les catastrophes naturelles. Les Yama, Hoko et Yatai, festivals de chars, considérés comme le plus grand événement de l</w:t>
      </w:r>
      <w:r w:rsidR="00346F1B">
        <w:t>’</w:t>
      </w:r>
      <w:r w:rsidR="00243065">
        <w:t>année nécessit</w:t>
      </w:r>
      <w:r w:rsidR="00E15BFB">
        <w:t>ai</w:t>
      </w:r>
      <w:r w:rsidR="00243065">
        <w:t>ent la collaboration de différentes gr</w:t>
      </w:r>
      <w:r w:rsidR="00E15BFB">
        <w:t>oupes de la communauté, et reflé</w:t>
      </w:r>
      <w:r w:rsidR="00243065">
        <w:t>t</w:t>
      </w:r>
      <w:r w:rsidR="00E15BFB">
        <w:t>ai</w:t>
      </w:r>
      <w:r w:rsidR="00243065">
        <w:t xml:space="preserve">ent, en tant que pratique traditionnelle, la diversité de la culture locale. Les responsabilités </w:t>
      </w:r>
      <w:r w:rsidR="00E15BFB">
        <w:t xml:space="preserve">étaient </w:t>
      </w:r>
      <w:r w:rsidR="00243065">
        <w:t xml:space="preserve">partagées </w:t>
      </w:r>
      <w:r w:rsidR="002D32FE">
        <w:t xml:space="preserve">entre </w:t>
      </w:r>
      <w:r w:rsidR="00243065">
        <w:t>tous, de la construction des chars à la</w:t>
      </w:r>
      <w:r w:rsidR="002D32FE">
        <w:t xml:space="preserve"> musique et la coordination. L</w:t>
      </w:r>
      <w:r w:rsidR="00243065">
        <w:t xml:space="preserve">es détenteurs âgés </w:t>
      </w:r>
      <w:r w:rsidR="008957A4">
        <w:t>transmett</w:t>
      </w:r>
      <w:r w:rsidR="00E15BFB">
        <w:t>ai</w:t>
      </w:r>
      <w:r w:rsidR="008957A4">
        <w:t>ent leur savoir aux plus jeune</w:t>
      </w:r>
      <w:r w:rsidR="002D32FE">
        <w:t>s</w:t>
      </w:r>
      <w:r w:rsidR="008957A4">
        <w:t xml:space="preserve"> et des ateliers </w:t>
      </w:r>
      <w:r w:rsidR="00E15BFB">
        <w:t xml:space="preserve">étaient </w:t>
      </w:r>
      <w:r w:rsidR="008957A4">
        <w:t>organisés. À la lecture des informations contenues dans le dossier, l</w:t>
      </w:r>
      <w:r w:rsidR="00346F1B">
        <w:t>’</w:t>
      </w:r>
      <w:r w:rsidR="008957A4">
        <w:t>Organe d</w:t>
      </w:r>
      <w:r w:rsidR="00346F1B">
        <w:t>’</w:t>
      </w:r>
      <w:r w:rsidR="008957A4">
        <w:t xml:space="preserve">évaluation avait estimé que la candidature satisfaisait </w:t>
      </w:r>
      <w:r w:rsidR="00784EE0">
        <w:t xml:space="preserve">les </w:t>
      </w:r>
      <w:r w:rsidR="008957A4">
        <w:t>cinq critères. Il avait tout particulièrement noté que les communautés assuraient depuis fort longtemps la viabilité de l</w:t>
      </w:r>
      <w:r w:rsidR="00346F1B">
        <w:t>’</w:t>
      </w:r>
      <w:r w:rsidR="008957A4">
        <w:t>élément grâce aux « associations de sauvegarde », dont les efforts étaient déployés par les communautés elles-mêmes avec des acteurs étatiques, et que l</w:t>
      </w:r>
      <w:r w:rsidR="00346F1B">
        <w:t>’</w:t>
      </w:r>
      <w:r w:rsidR="008957A4">
        <w:t xml:space="preserve">Association nationale pour la préservation des festivals de chars </w:t>
      </w:r>
      <w:r w:rsidR="002D32FE">
        <w:t xml:space="preserve">suivrait </w:t>
      </w:r>
      <w:r w:rsidR="008957A4">
        <w:t>l</w:t>
      </w:r>
      <w:r w:rsidR="00346F1B">
        <w:t>’</w:t>
      </w:r>
      <w:r w:rsidR="008957A4">
        <w:t>impact de l</w:t>
      </w:r>
      <w:r w:rsidR="00346F1B">
        <w:t>’</w:t>
      </w:r>
      <w:r w:rsidR="008957A4">
        <w:t>inscription. En outre, l</w:t>
      </w:r>
      <w:r w:rsidR="00346F1B">
        <w:t>’</w:t>
      </w:r>
      <w:r w:rsidR="008957A4">
        <w:t>Organe avait apprécié l</w:t>
      </w:r>
      <w:r w:rsidR="00346F1B">
        <w:t>’</w:t>
      </w:r>
      <w:r w:rsidR="008957A4">
        <w:t>attention accordée à l</w:t>
      </w:r>
      <w:r w:rsidR="00346F1B">
        <w:t>’</w:t>
      </w:r>
      <w:r w:rsidR="008957A4">
        <w:t>impact environnemental de l</w:t>
      </w:r>
      <w:r w:rsidR="00346F1B">
        <w:t>’</w:t>
      </w:r>
      <w:r w:rsidR="008957A4">
        <w:t>élément proposé et l</w:t>
      </w:r>
      <w:r w:rsidR="00346F1B">
        <w:t>’</w:t>
      </w:r>
      <w:r w:rsidR="008957A4">
        <w:t>accent mis sur les mesures prises pour garantir l</w:t>
      </w:r>
      <w:r w:rsidR="00346F1B">
        <w:t>’</w:t>
      </w:r>
      <w:r w:rsidR="008957A4">
        <w:t>usage durable des ressources naturelles associées à l</w:t>
      </w:r>
      <w:r w:rsidR="00346F1B">
        <w:t>’</w:t>
      </w:r>
      <w:r w:rsidR="008957A4">
        <w:t>élément. L</w:t>
      </w:r>
      <w:r w:rsidR="00346F1B">
        <w:t>’</w:t>
      </w:r>
      <w:r w:rsidR="008957A4">
        <w:t>Organe d</w:t>
      </w:r>
      <w:r w:rsidR="00346F1B">
        <w:t>’</w:t>
      </w:r>
      <w:r w:rsidR="008957A4">
        <w:t>évaluation avait donc décidé de recommander l</w:t>
      </w:r>
      <w:r w:rsidR="00346F1B">
        <w:t>’</w:t>
      </w:r>
      <w:r w:rsidR="008957A4">
        <w:t>inscription de l</w:t>
      </w:r>
      <w:r w:rsidR="00346F1B">
        <w:t>’</w:t>
      </w:r>
      <w:r w:rsidR="008957A4">
        <w:t>élément sur la Liste représentative et félicitait l</w:t>
      </w:r>
      <w:r w:rsidR="00346F1B">
        <w:t>’</w:t>
      </w:r>
      <w:r w:rsidR="008957A4">
        <w:t>État soumissionnaire de soumettre à nouveau cette candidature au titre d</w:t>
      </w:r>
      <w:r w:rsidR="00346F1B">
        <w:t>’</w:t>
      </w:r>
      <w:r w:rsidR="008957A4">
        <w:t>une</w:t>
      </w:r>
      <w:r w:rsidR="002D32FE">
        <w:t xml:space="preserve"> inscription élargie au niveau national </w:t>
      </w:r>
      <w:r w:rsidR="008957A4">
        <w:t>d</w:t>
      </w:r>
      <w:r w:rsidR="00346F1B">
        <w:t>’</w:t>
      </w:r>
      <w:r w:rsidR="008957A4">
        <w:t>un élément précédemment inscrit</w:t>
      </w:r>
      <w:r w:rsidR="002D32FE">
        <w:t>. S</w:t>
      </w:r>
      <w:r w:rsidR="00346F1B">
        <w:t>’</w:t>
      </w:r>
      <w:r w:rsidR="002D32FE">
        <w:t>il était inscrit, cet élément remplacerait les éléments inscrits en 2009, à savoir : le Hitachi Furyumono et le Yamahoko, la cérémonie des chars du festival de Gion à Kyoto.</w:t>
      </w:r>
    </w:p>
    <w:p w14:paraId="7B6DD34B" w14:textId="58D886DC" w:rsidR="002D32FE" w:rsidRDefault="00E26EC0" w:rsidP="00DE5C80">
      <w:pPr>
        <w:pStyle w:val="Orateurengris"/>
        <w:spacing w:before="120"/>
        <w:ind w:left="709" w:hanging="709"/>
      </w:pPr>
      <w:r>
        <w:t>Après avoir remercié le Vice-Président de l</w:t>
      </w:r>
      <w:r w:rsidR="00346F1B">
        <w:t>’</w:t>
      </w:r>
      <w:r>
        <w:t>Organe d</w:t>
      </w:r>
      <w:r w:rsidR="00346F1B">
        <w:t>’</w:t>
      </w:r>
      <w:r>
        <w:t xml:space="preserve">évaluation, la </w:t>
      </w:r>
      <w:r w:rsidRPr="00E26EC0">
        <w:rPr>
          <w:b/>
        </w:rPr>
        <w:t>Vice-Présidente</w:t>
      </w:r>
      <w:r>
        <w:t xml:space="preserve"> a précisé qu</w:t>
      </w:r>
      <w:r w:rsidR="00346F1B">
        <w:t>’</w:t>
      </w:r>
      <w:r>
        <w:t>il n</w:t>
      </w:r>
      <w:r w:rsidR="00346F1B">
        <w:t>’</w:t>
      </w:r>
      <w:r>
        <w:t>y avait pas d</w:t>
      </w:r>
      <w:r w:rsidR="00346F1B">
        <w:t>’</w:t>
      </w:r>
      <w:r>
        <w:t>amendement et a donc proposé d</w:t>
      </w:r>
      <w:r w:rsidR="00346F1B">
        <w:t>’</w:t>
      </w:r>
      <w:r>
        <w:t>adopter la décision dans son ensemble. En l</w:t>
      </w:r>
      <w:r w:rsidR="00346F1B">
        <w:t>’</w:t>
      </w:r>
      <w:r>
        <w:t>absence d</w:t>
      </w:r>
      <w:r w:rsidR="00346F1B">
        <w:t>’</w:t>
      </w:r>
      <w:r>
        <w:t xml:space="preserve">autres commentaires ou objections, la </w:t>
      </w:r>
      <w:r w:rsidRPr="00E26EC0">
        <w:rPr>
          <w:b/>
        </w:rPr>
        <w:t>Vice-Présidente a déclaré adoptée la décision 11.COM 10.b.19 d</w:t>
      </w:r>
      <w:r w:rsidR="00346F1B">
        <w:rPr>
          <w:b/>
        </w:rPr>
        <w:t>’</w:t>
      </w:r>
      <w:r w:rsidRPr="00E26EC0">
        <w:rPr>
          <w:b/>
        </w:rPr>
        <w:t>inscrire les Yama, Hoko, Yatai, festivals de chars au Japon sur la Liste représentative du patrimoine culturel immatériel de l</w:t>
      </w:r>
      <w:r w:rsidR="00346F1B">
        <w:rPr>
          <w:b/>
        </w:rPr>
        <w:t>’</w:t>
      </w:r>
      <w:r w:rsidRPr="00E26EC0">
        <w:rPr>
          <w:b/>
        </w:rPr>
        <w:t>humanité</w:t>
      </w:r>
      <w:r w:rsidR="00C75B12">
        <w:rPr>
          <w:b/>
        </w:rPr>
        <w:t>.</w:t>
      </w:r>
    </w:p>
    <w:p w14:paraId="471BE9CF" w14:textId="075CB10D" w:rsidR="00E26EC0" w:rsidRPr="00E26EC0" w:rsidRDefault="00E26EC0" w:rsidP="00DE5C80">
      <w:pPr>
        <w:pStyle w:val="Orateurengris"/>
        <w:spacing w:before="120"/>
        <w:ind w:left="709" w:hanging="709"/>
      </w:pPr>
      <w:r w:rsidRPr="00E26EC0">
        <w:t xml:space="preserve">La délégation du </w:t>
      </w:r>
      <w:r w:rsidRPr="00E26EC0">
        <w:rPr>
          <w:b/>
        </w:rPr>
        <w:t>Japon</w:t>
      </w:r>
      <w:r w:rsidRPr="00E26EC0">
        <w:t xml:space="preserve"> a remercié le Président, le Comité et la Vice-Présidente, les </w:t>
      </w:r>
      <w:r w:rsidR="00A46CAD">
        <w:t>membres</w:t>
      </w:r>
      <w:r w:rsidRPr="00E26EC0">
        <w:t xml:space="preserve"> de l</w:t>
      </w:r>
      <w:r w:rsidR="00346F1B">
        <w:t>’</w:t>
      </w:r>
      <w:r w:rsidRPr="00E26EC0">
        <w:t>Organe d</w:t>
      </w:r>
      <w:r w:rsidR="00346F1B">
        <w:t>’</w:t>
      </w:r>
      <w:r w:rsidRPr="00E26EC0">
        <w:t xml:space="preserve">évaluation, tous les États parties et le Secrétariat. Les Yama, Hoko, Yatai, festivals de chars </w:t>
      </w:r>
      <w:r w:rsidR="00E15BFB">
        <w:t xml:space="preserve">étaient </w:t>
      </w:r>
      <w:r>
        <w:t>des festivals organisés par les populations locales afin de prier pour la stabilité de la communauté locale et d</w:t>
      </w:r>
      <w:r w:rsidR="00346F1B">
        <w:t>’</w:t>
      </w:r>
      <w:r>
        <w:t>éloigner les catastrophes. Le char, avec ses décorations</w:t>
      </w:r>
      <w:r w:rsidR="0025434B">
        <w:t>,</w:t>
      </w:r>
      <w:r>
        <w:t xml:space="preserve"> </w:t>
      </w:r>
      <w:r w:rsidR="0025434B">
        <w:t>était l</w:t>
      </w:r>
      <w:r w:rsidR="00346F1B">
        <w:t>’</w:t>
      </w:r>
      <w:r w:rsidR="0025434B">
        <w:t xml:space="preserve">incarnation de cultures très riches, il </w:t>
      </w:r>
      <w:r w:rsidR="00E15BFB">
        <w:t>était le symbole d</w:t>
      </w:r>
      <w:r w:rsidR="00555A3C">
        <w:t>es festivals tandis que</w:t>
      </w:r>
      <w:r w:rsidR="0025434B">
        <w:t xml:space="preserve">, dans le même temps, des techniques artisanales traditionnelles telles que le travail du bois, la laque et la teinture assuraient son succès. Les décorations étaient transmises de génération en génération </w:t>
      </w:r>
      <w:r w:rsidR="0072792F">
        <w:t xml:space="preserve">sans discontinuer </w:t>
      </w:r>
      <w:r w:rsidR="0025434B">
        <w:t xml:space="preserve">en faisant preuve de créativité et </w:t>
      </w:r>
      <w:r w:rsidR="00E15BFB">
        <w:t>en déployant des ef</w:t>
      </w:r>
      <w:r w:rsidR="0072792F">
        <w:t>f</w:t>
      </w:r>
      <w:r w:rsidR="00E15BFB">
        <w:t xml:space="preserve">orts pour utiliser des matériaux respectueux de </w:t>
      </w:r>
      <w:r w:rsidR="0072792F">
        <w:t>l</w:t>
      </w:r>
      <w:r w:rsidR="00346F1B">
        <w:t>’</w:t>
      </w:r>
      <w:r w:rsidR="0072792F">
        <w:t xml:space="preserve">environnement. </w:t>
      </w:r>
      <w:r w:rsidR="00CB6B6C">
        <w:t>Après s</w:t>
      </w:r>
      <w:r w:rsidR="00346F1B">
        <w:t>’</w:t>
      </w:r>
      <w:r w:rsidR="00CB6B6C">
        <w:t>y être préparés tout au long de l</w:t>
      </w:r>
      <w:r w:rsidR="00346F1B">
        <w:t>’</w:t>
      </w:r>
      <w:r w:rsidR="00CB6B6C">
        <w:t>année, l</w:t>
      </w:r>
      <w:r w:rsidR="0072792F">
        <w:t xml:space="preserve">es </w:t>
      </w:r>
      <w:r w:rsidR="00A46CAD">
        <w:t>membres</w:t>
      </w:r>
      <w:r w:rsidR="0072792F">
        <w:t xml:space="preserve"> de la communauté étaient fiers </w:t>
      </w:r>
      <w:r w:rsidR="00CB6B6C">
        <w:t>de participer aux festivals. Cela encourageait le dialogue et l</w:t>
      </w:r>
      <w:r w:rsidR="00346F1B">
        <w:t>’</w:t>
      </w:r>
      <w:r w:rsidR="00CB6B6C">
        <w:t>échange entre les populations de toutes les générations et de tous les genres dans chaque région, et u</w:t>
      </w:r>
      <w:r w:rsidR="00555A3C">
        <w:t>nissait les communautés locales. Les 33 festivals inclus dans la candidature jouaient un rôle important pour témoigner de la diversité et de la richesse des cultures locales au Japon. La délégation a évoqué l</w:t>
      </w:r>
      <w:r w:rsidR="00346F1B">
        <w:t>’</w:t>
      </w:r>
      <w:r w:rsidR="00555A3C">
        <w:t>engagement du gouvernement à soutenir les communautés locales dans la mise en œuvre des mesures de sauvegarde proposées. Au nom de toutes les communautés concernées, la délégation a, de nouveau, exprimé ses très sincères remerciements pour l</w:t>
      </w:r>
      <w:r w:rsidR="00346F1B">
        <w:t>’</w:t>
      </w:r>
      <w:r w:rsidR="00555A3C">
        <w:t>inscription de l</w:t>
      </w:r>
      <w:r w:rsidR="00346F1B">
        <w:t>’</w:t>
      </w:r>
      <w:r w:rsidR="005A12C8">
        <w:t>élément.</w:t>
      </w:r>
    </w:p>
    <w:p w14:paraId="534AE704" w14:textId="646A1B93" w:rsidR="00555A3C" w:rsidRDefault="00555A3C" w:rsidP="00DE5C80">
      <w:pPr>
        <w:pStyle w:val="Orateurengris"/>
        <w:spacing w:before="120"/>
        <w:ind w:left="709" w:hanging="709"/>
      </w:pPr>
      <w:r>
        <w:t xml:space="preserve">Après avoir félicité le Japon, la </w:t>
      </w:r>
      <w:r w:rsidRPr="00555A3C">
        <w:rPr>
          <w:b/>
        </w:rPr>
        <w:t>Vice-Présidente</w:t>
      </w:r>
      <w:r>
        <w:t xml:space="preserve"> a rappelé au Bureau qu</w:t>
      </w:r>
      <w:r w:rsidR="00346F1B">
        <w:t>’</w:t>
      </w:r>
      <w:r>
        <w:t xml:space="preserve">il devait commencer à identifier de nouveaux </w:t>
      </w:r>
      <w:r w:rsidR="00A46CAD">
        <w:t>membres</w:t>
      </w:r>
      <w:r>
        <w:t xml:space="preserve"> au sein de leur groupe électoral, </w:t>
      </w:r>
      <w:r w:rsidR="00A46CAD">
        <w:t>membres</w:t>
      </w:r>
      <w:r>
        <w:t xml:space="preserve"> qui seraient élus au titre du point 17 de l</w:t>
      </w:r>
      <w:r w:rsidR="00346F1B">
        <w:t>’</w:t>
      </w:r>
      <w:r w:rsidR="005A12C8">
        <w:t>ordre du jour.</w:t>
      </w:r>
    </w:p>
    <w:p w14:paraId="62F2444F" w14:textId="41EB5B8F" w:rsidR="009A5757" w:rsidRDefault="009A5757" w:rsidP="00DE5C80">
      <w:pPr>
        <w:pStyle w:val="Orateurengris"/>
        <w:spacing w:before="120"/>
        <w:ind w:left="709" w:hanging="709"/>
      </w:pPr>
      <w:r>
        <w:t xml:space="preserve">Le </w:t>
      </w:r>
      <w:r w:rsidRPr="009A5757">
        <w:rPr>
          <w:b/>
        </w:rPr>
        <w:t>Secrétaire</w:t>
      </w:r>
      <w:r>
        <w:t xml:space="preserve"> a rappelé aux délégués que la République de Corée avait invité tous les participants à se rendre dans un stand spécial qui avait été dressé afin de célébrer l</w:t>
      </w:r>
      <w:r w:rsidR="00346F1B">
        <w:t>’</w:t>
      </w:r>
      <w:r>
        <w:t>inscription de la culture des Haenyeo de Je</w:t>
      </w:r>
      <w:r w:rsidR="00DE5C80">
        <w:t>ju sur la Liste représentative.</w:t>
      </w:r>
    </w:p>
    <w:p w14:paraId="18B62042" w14:textId="0A4E000B" w:rsidR="004E7C1A" w:rsidRPr="009A5757" w:rsidRDefault="009A5757" w:rsidP="002B4948">
      <w:pPr>
        <w:pStyle w:val="Orateurengris"/>
        <w:numPr>
          <w:ilvl w:val="0"/>
          <w:numId w:val="0"/>
        </w:numPr>
        <w:spacing w:before="120"/>
        <w:ind w:left="567" w:hanging="567"/>
        <w:jc w:val="center"/>
        <w:outlineLvl w:val="0"/>
        <w:rPr>
          <w:i/>
        </w:rPr>
      </w:pPr>
      <w:r>
        <w:rPr>
          <w:rFonts w:eastAsia="Cambria"/>
          <w:i/>
        </w:rPr>
        <w:t>[Jeudi 1</w:t>
      </w:r>
      <w:r w:rsidRPr="009A5757">
        <w:rPr>
          <w:rFonts w:eastAsia="Cambria"/>
          <w:i/>
          <w:vertAlign w:val="superscript"/>
        </w:rPr>
        <w:t>er</w:t>
      </w:r>
      <w:r>
        <w:rPr>
          <w:rFonts w:eastAsia="Cambria"/>
          <w:i/>
        </w:rPr>
        <w:t xml:space="preserve"> décembre, séance du </w:t>
      </w:r>
      <w:r w:rsidR="00DE5C80">
        <w:rPr>
          <w:rFonts w:eastAsia="Cambria"/>
          <w:i/>
        </w:rPr>
        <w:t>matin</w:t>
      </w:r>
      <w:r w:rsidR="00DE5C80" w:rsidRPr="009A5757">
        <w:rPr>
          <w:rFonts w:eastAsia="Cambria"/>
          <w:i/>
        </w:rPr>
        <w:t>]</w:t>
      </w:r>
    </w:p>
    <w:p w14:paraId="49EE6996" w14:textId="66871289" w:rsidR="004E7C1A" w:rsidRPr="009A5757" w:rsidRDefault="009A5757" w:rsidP="00B600B4">
      <w:pPr>
        <w:pStyle w:val="Orateurengris"/>
        <w:numPr>
          <w:ilvl w:val="0"/>
          <w:numId w:val="0"/>
        </w:numPr>
        <w:spacing w:before="360" w:after="60"/>
        <w:ind w:left="567" w:hanging="567"/>
        <w:outlineLvl w:val="0"/>
        <w:rPr>
          <w:rFonts w:eastAsia="Cambria"/>
          <w:b/>
          <w:u w:val="single"/>
        </w:rPr>
      </w:pPr>
      <w:r>
        <w:rPr>
          <w:rFonts w:eastAsiaTheme="minorEastAsia"/>
          <w:b/>
          <w:color w:val="323133"/>
          <w:u w:val="single"/>
          <w:lang w:eastAsia="ja-JP"/>
        </w:rPr>
        <w:t>POINT 10.b</w:t>
      </w:r>
      <w:r w:rsidRPr="009A5757">
        <w:rPr>
          <w:rFonts w:eastAsiaTheme="minorEastAsia"/>
          <w:b/>
          <w:color w:val="323133"/>
          <w:u w:val="single"/>
          <w:lang w:eastAsia="ja-JP"/>
        </w:rPr>
        <w:t xml:space="preserve"> DE L</w:t>
      </w:r>
      <w:r w:rsidR="00346F1B">
        <w:rPr>
          <w:rFonts w:eastAsiaTheme="minorEastAsia"/>
          <w:b/>
          <w:color w:val="323133"/>
          <w:u w:val="single"/>
          <w:lang w:eastAsia="ja-JP"/>
        </w:rPr>
        <w:t>’</w:t>
      </w:r>
      <w:r w:rsidRPr="009A5757">
        <w:rPr>
          <w:rFonts w:eastAsiaTheme="minorEastAsia"/>
          <w:b/>
          <w:color w:val="323133"/>
          <w:u w:val="single"/>
          <w:lang w:eastAsia="ja-JP"/>
        </w:rPr>
        <w:t>ORDRE DU JOUR</w:t>
      </w:r>
      <w:r w:rsidRPr="009A5757">
        <w:rPr>
          <w:rFonts w:eastAsia="Cambria"/>
          <w:b/>
          <w:u w:val="single"/>
        </w:rPr>
        <w:t xml:space="preserve"> (SUITE)</w:t>
      </w:r>
    </w:p>
    <w:p w14:paraId="01E2F4E4" w14:textId="7C308B21" w:rsidR="004E7C1A" w:rsidRPr="005A12C8" w:rsidRDefault="009A5757" w:rsidP="005A12C8">
      <w:pPr>
        <w:pStyle w:val="Orateurengris"/>
        <w:numPr>
          <w:ilvl w:val="0"/>
          <w:numId w:val="0"/>
        </w:numPr>
        <w:outlineLvl w:val="0"/>
        <w:rPr>
          <w:b/>
        </w:rPr>
      </w:pPr>
      <w:r w:rsidRPr="009A5757">
        <w:rPr>
          <w:b/>
        </w:rPr>
        <w:t>EXAM</w:t>
      </w:r>
      <w:r>
        <w:rPr>
          <w:b/>
        </w:rPr>
        <w:t xml:space="preserve">EN DES CANDIDATURES POUR </w:t>
      </w:r>
      <w:r w:rsidRPr="009A5757">
        <w:rPr>
          <w:b/>
        </w:rPr>
        <w:t>INSCRIPTION</w:t>
      </w:r>
      <w:r>
        <w:rPr>
          <w:b/>
        </w:rPr>
        <w:t xml:space="preserve"> SUR LA LISTE REPRÉSENTATIVE DU PATRIMOINE CULTUREL IMMATÉRIEL DE L</w:t>
      </w:r>
      <w:r w:rsidR="00346F1B">
        <w:rPr>
          <w:b/>
        </w:rPr>
        <w:t>’</w:t>
      </w:r>
      <w:r w:rsidRPr="009A5757">
        <w:rPr>
          <w:b/>
        </w:rPr>
        <w:t>HUMANITÉ</w:t>
      </w:r>
    </w:p>
    <w:p w14:paraId="3B76978E" w14:textId="670FA616" w:rsidR="008F0562" w:rsidRPr="009A5757" w:rsidRDefault="009A5757" w:rsidP="002B4948">
      <w:pPr>
        <w:pStyle w:val="Orateurengris"/>
        <w:numPr>
          <w:ilvl w:val="0"/>
          <w:numId w:val="0"/>
        </w:numPr>
        <w:spacing w:before="240" w:after="240"/>
        <w:ind w:left="567" w:hanging="567"/>
        <w:jc w:val="center"/>
        <w:rPr>
          <w:i/>
        </w:rPr>
      </w:pPr>
      <w:r>
        <w:rPr>
          <w:i/>
        </w:rPr>
        <w:t>[Le Président a repris ses fonctions</w:t>
      </w:r>
      <w:r w:rsidR="004E7C1A" w:rsidRPr="009A5757">
        <w:rPr>
          <w:i/>
        </w:rPr>
        <w:t>]</w:t>
      </w:r>
    </w:p>
    <w:p w14:paraId="596DBC70" w14:textId="29AFD4EC" w:rsidR="009A5757" w:rsidRDefault="009A5757" w:rsidP="005A12C8">
      <w:pPr>
        <w:pStyle w:val="Orateurengris"/>
        <w:spacing w:before="120"/>
        <w:ind w:left="709" w:hanging="709"/>
      </w:pPr>
      <w:r>
        <w:t xml:space="preserve">Le </w:t>
      </w:r>
      <w:r w:rsidRPr="009A5757">
        <w:rPr>
          <w:b/>
        </w:rPr>
        <w:t>Président</w:t>
      </w:r>
      <w:r>
        <w:t xml:space="preserve"> a remercié la Bulgarie d</w:t>
      </w:r>
      <w:r w:rsidR="00346F1B">
        <w:t>’</w:t>
      </w:r>
      <w:r>
        <w:t>avoir assuré la présidence en son nom pendant l</w:t>
      </w:r>
      <w:r w:rsidR="00346F1B">
        <w:t>’</w:t>
      </w:r>
      <w:r>
        <w:t>inscription du dossier éthiopien, ainsi que la Turquie lors de la séance prolongée. Il a rappelé que le Bureau s</w:t>
      </w:r>
      <w:r w:rsidR="00346F1B">
        <w:t>’</w:t>
      </w:r>
      <w:r>
        <w:t xml:space="preserve">était réuni pour la </w:t>
      </w:r>
      <w:r w:rsidR="00E672E7">
        <w:t>troisième fois et avait débattu de plusieurs questions. Il restait à examiner dix-neuf candidatures pour la Liste représentative et sept propositions pour le Registre des meilleures pratiques de sauvegarde. Il a rappelé au Comité qu</w:t>
      </w:r>
      <w:r w:rsidR="00346F1B">
        <w:t>’</w:t>
      </w:r>
      <w:r w:rsidR="00E672E7">
        <w:t>après ces examens, il reviendrait au point 10 de l</w:t>
      </w:r>
      <w:r w:rsidR="00346F1B">
        <w:t>’</w:t>
      </w:r>
      <w:r w:rsidR="00E672E7">
        <w:t>ordre du jour et au projet de décision générale 11.COM 10. Il a donné la parole au Vice-Président de l</w:t>
      </w:r>
      <w:r w:rsidR="00346F1B">
        <w:t>’</w:t>
      </w:r>
      <w:r w:rsidR="00E672E7">
        <w:t>Organe d</w:t>
      </w:r>
      <w:r w:rsidR="00346F1B">
        <w:t>’</w:t>
      </w:r>
      <w:r w:rsidR="00E672E7">
        <w:t>évaluation afin que celui-ci présente la candidature suivante sur la fauconnerie, un patrimoine humain vivant</w:t>
      </w:r>
      <w:r w:rsidR="005A12C8">
        <w:t>.</w:t>
      </w:r>
    </w:p>
    <w:p w14:paraId="38296A7F" w14:textId="570C8E7C" w:rsidR="00E672E7" w:rsidRDefault="00E672E7" w:rsidP="005A12C8">
      <w:pPr>
        <w:pStyle w:val="Orateurengris"/>
        <w:spacing w:before="120"/>
        <w:ind w:left="709" w:hanging="709"/>
      </w:pPr>
      <w:r>
        <w:t xml:space="preserve">Le </w:t>
      </w:r>
      <w:r w:rsidRPr="00E672E7">
        <w:rPr>
          <w:b/>
        </w:rPr>
        <w:t>Vice-Président de l</w:t>
      </w:r>
      <w:r w:rsidR="00346F1B">
        <w:rPr>
          <w:b/>
        </w:rPr>
        <w:t>’</w:t>
      </w:r>
      <w:r w:rsidRPr="00E672E7">
        <w:rPr>
          <w:b/>
        </w:rPr>
        <w:t>Organe d</w:t>
      </w:r>
      <w:r w:rsidR="00346F1B">
        <w:rPr>
          <w:b/>
        </w:rPr>
        <w:t>’</w:t>
      </w:r>
      <w:r w:rsidRPr="00E672E7">
        <w:rPr>
          <w:b/>
        </w:rPr>
        <w:t>évaluation</w:t>
      </w:r>
      <w:r>
        <w:t xml:space="preserve"> est passé à la candidature suivante, </w:t>
      </w:r>
      <w:bookmarkStart w:id="36" w:name="Decision10b15"/>
      <w:r w:rsidRPr="00E672E7">
        <w:rPr>
          <w:b/>
        </w:rPr>
        <w:t>la fauconnerie, un patrimoine humain vivant</w:t>
      </w:r>
      <w:bookmarkEnd w:id="36"/>
      <w:r>
        <w:t xml:space="preserve"> [projet de décision 11COM 10.b.15], soumise par (selon l</w:t>
      </w:r>
      <w:r w:rsidR="00346F1B">
        <w:t>’</w:t>
      </w:r>
      <w:r>
        <w:t>ordre alphabétique des noms de pays en anglais) l</w:t>
      </w:r>
      <w:r w:rsidR="00346F1B">
        <w:t>’</w:t>
      </w:r>
      <w:r>
        <w:t>Autriche, la Belgique, la Tchéquie</w:t>
      </w:r>
      <w:r>
        <w:rPr>
          <w:rStyle w:val="FootnoteReference"/>
        </w:rPr>
        <w:footnoteReference w:id="5"/>
      </w:r>
      <w:r>
        <w:t>, la France, l</w:t>
      </w:r>
      <w:r w:rsidR="00346F1B">
        <w:t>’</w:t>
      </w:r>
      <w:r>
        <w:t>Allemagne, la Hongrie, l</w:t>
      </w:r>
      <w:r w:rsidR="00346F1B">
        <w:t>’</w:t>
      </w:r>
      <w:r>
        <w:t>Italie, le Kazakhstan, la Mongolie, le Maroc, le Pakistan, le Portugal, le Qatar, la République de Corée, l</w:t>
      </w:r>
      <w:r w:rsidR="00346F1B">
        <w:t>’</w:t>
      </w:r>
      <w:r>
        <w:t>Arabie saoudite, l</w:t>
      </w:r>
      <w:r w:rsidR="00346F1B">
        <w:t>’</w:t>
      </w:r>
      <w:r>
        <w:t xml:space="preserve">Espagne, la République arabe syrienne et les Émirats arabes unis. </w:t>
      </w:r>
      <w:r w:rsidR="008851A8">
        <w:t>Utilisée à l</w:t>
      </w:r>
      <w:r w:rsidR="00346F1B">
        <w:t>’</w:t>
      </w:r>
      <w:r w:rsidR="008851A8">
        <w:t>origine pour se procurer de la nourriture, la fauconnerie a</w:t>
      </w:r>
      <w:r w:rsidR="00026970">
        <w:t>vait</w:t>
      </w:r>
      <w:r w:rsidR="008851A8">
        <w:t xml:space="preserve"> évolué pour être désormais associée à la conservation</w:t>
      </w:r>
      <w:r w:rsidR="00026970">
        <w:t xml:space="preserve"> de la nature</w:t>
      </w:r>
      <w:r w:rsidR="008851A8">
        <w:t>, au patrimoine culturel et à l</w:t>
      </w:r>
      <w:r w:rsidR="00346F1B">
        <w:t>’</w:t>
      </w:r>
      <w:r w:rsidR="008851A8">
        <w:t>engagement social des communautés. Les fauconniers dressaient, formaient et faisaient voler les oiseaux, en développant un lien avec eux et en devenan</w:t>
      </w:r>
      <w:r w:rsidR="00026970">
        <w:t xml:space="preserve">t leur principal protecteur. </w:t>
      </w:r>
      <w:r w:rsidR="008851A8">
        <w:t xml:space="preserve">Présente dans 60 pays, la pratique pouvait varier mais les méthodes demeuraient semblables. Les fauconniers pratiquaient en groupe. Certains voyageaient pendant des semaines et, le soir venu, contaient </w:t>
      </w:r>
      <w:r w:rsidR="00026970">
        <w:t xml:space="preserve">des histoires. La transmission </w:t>
      </w:r>
      <w:r w:rsidR="008851A8">
        <w:t>se déroulait au sein du cercle familial, par apprentissage, et dans le cadre du mentorat ou de formation dans les clubs et écoles. Cet élément avait déjà fait l</w:t>
      </w:r>
      <w:r w:rsidR="00346F1B">
        <w:t>’</w:t>
      </w:r>
      <w:r w:rsidR="008851A8">
        <w:t>objet d</w:t>
      </w:r>
      <w:r w:rsidR="00346F1B">
        <w:t>’</w:t>
      </w:r>
      <w:r w:rsidR="008851A8">
        <w:t>une candidature soumise en 2011 par onze États parties, puis en 2012, deux autres États parties s</w:t>
      </w:r>
      <w:r w:rsidR="00346F1B">
        <w:t>’</w:t>
      </w:r>
      <w:r w:rsidR="008851A8">
        <w:t>étaient joi</w:t>
      </w:r>
      <w:r w:rsidR="00026970">
        <w:t>nts à la candidature et l</w:t>
      </w:r>
      <w:r w:rsidR="00346F1B">
        <w:t>’</w:t>
      </w:r>
      <w:r w:rsidR="00026970">
        <w:t>élément avait alors été inscrit</w:t>
      </w:r>
      <w:r w:rsidR="008851A8">
        <w:t>. Il s</w:t>
      </w:r>
      <w:r w:rsidR="00346F1B">
        <w:t>’</w:t>
      </w:r>
      <w:r w:rsidR="008851A8">
        <w:t>agissait désormais d</w:t>
      </w:r>
      <w:r w:rsidR="00346F1B">
        <w:t>’</w:t>
      </w:r>
      <w:r w:rsidR="008851A8">
        <w:t>une nouvelle candidature élargie, réunissant un total de dix-huit États parties, avec cinq</w:t>
      </w:r>
      <w:r w:rsidR="008851A8">
        <w:rPr>
          <w:rStyle w:val="FootnoteReference"/>
        </w:rPr>
        <w:footnoteReference w:id="6"/>
      </w:r>
      <w:r w:rsidR="00026970">
        <w:t xml:space="preserve"> États ayant récemment rejoint la candidature. Après un examen attentif, l</w:t>
      </w:r>
      <w:r w:rsidR="00346F1B">
        <w:t>’</w:t>
      </w:r>
      <w:r w:rsidR="00026970">
        <w:t>Organe d</w:t>
      </w:r>
      <w:r w:rsidR="00346F1B">
        <w:t>’</w:t>
      </w:r>
      <w:r w:rsidR="00026970">
        <w:t>évaluation avait décidé que cette can</w:t>
      </w:r>
      <w:r w:rsidR="00881526">
        <w:t xml:space="preserve">didature élargie satisfaisait </w:t>
      </w:r>
      <w:r w:rsidR="00026970">
        <w:t>l</w:t>
      </w:r>
      <w:r w:rsidR="00346F1B">
        <w:t>’</w:t>
      </w:r>
      <w:r w:rsidR="00026970">
        <w:t>ensemble des cinq critères. La fauconnerie encourageait le respect de la nature et de l</w:t>
      </w:r>
      <w:r w:rsidR="00346F1B">
        <w:t>’</w:t>
      </w:r>
      <w:r w:rsidR="00026970">
        <w:t>environnement, et donnait aux communautés un sentiment d</w:t>
      </w:r>
      <w:r w:rsidR="00346F1B">
        <w:t>’</w:t>
      </w:r>
      <w:r w:rsidR="00026970">
        <w:t>appartenance, de fierté, de continuité et d</w:t>
      </w:r>
      <w:r w:rsidR="00346F1B">
        <w:t>’</w:t>
      </w:r>
      <w:r w:rsidR="00026970">
        <w:t>identité. L</w:t>
      </w:r>
      <w:r w:rsidR="00346F1B">
        <w:t>’</w:t>
      </w:r>
      <w:r w:rsidR="00026970">
        <w:t>Organe d</w:t>
      </w:r>
      <w:r w:rsidR="00346F1B">
        <w:t>’</w:t>
      </w:r>
      <w:r w:rsidR="00026970">
        <w:t>évaluation avait décidé de recommander l</w:t>
      </w:r>
      <w:r w:rsidR="00346F1B">
        <w:t>’</w:t>
      </w:r>
      <w:r w:rsidR="00026970">
        <w:t>inscription de la fauconnerie, un patrimoine humain vivant, sur</w:t>
      </w:r>
      <w:r w:rsidR="00881526">
        <w:t xml:space="preserve"> la Liste représentative du PCI</w:t>
      </w:r>
      <w:r w:rsidR="00026970">
        <w:t xml:space="preserve"> de l</w:t>
      </w:r>
      <w:r w:rsidR="00346F1B">
        <w:t>’</w:t>
      </w:r>
      <w:r w:rsidR="00026970">
        <w:t>h</w:t>
      </w:r>
      <w:r w:rsidR="005A12C8">
        <w:t>umanité.</w:t>
      </w:r>
    </w:p>
    <w:p w14:paraId="4D45787A" w14:textId="2F013140" w:rsidR="00026970" w:rsidRDefault="00026970" w:rsidP="005A12C8">
      <w:pPr>
        <w:pStyle w:val="Orateurengris"/>
        <w:spacing w:before="120"/>
        <w:ind w:left="709" w:hanging="709"/>
      </w:pPr>
      <w:r>
        <w:t xml:space="preserve">Après avoir remercié le Vice-Président, le </w:t>
      </w:r>
      <w:r w:rsidRPr="00026970">
        <w:rPr>
          <w:b/>
        </w:rPr>
        <w:t>Président</w:t>
      </w:r>
      <w:r>
        <w:t xml:space="preserve"> a précisé qu</w:t>
      </w:r>
      <w:r w:rsidR="00346F1B">
        <w:t>’</w:t>
      </w:r>
      <w:r>
        <w:t>aucun amendement n</w:t>
      </w:r>
      <w:r w:rsidR="00346F1B">
        <w:t>’</w:t>
      </w:r>
      <w:r>
        <w:t xml:space="preserve">avait été </w:t>
      </w:r>
      <w:r w:rsidR="007E11AE">
        <w:t xml:space="preserve">soumis </w:t>
      </w:r>
      <w:r>
        <w:t>et a donc proposé d</w:t>
      </w:r>
      <w:r w:rsidR="00346F1B">
        <w:t>’</w:t>
      </w:r>
      <w:r>
        <w:t xml:space="preserve">adopter </w:t>
      </w:r>
      <w:r w:rsidR="007E11AE">
        <w:t>la décision dans son ensemble. E</w:t>
      </w:r>
      <w:r>
        <w:t>n l</w:t>
      </w:r>
      <w:r w:rsidR="00346F1B">
        <w:t>’</w:t>
      </w:r>
      <w:r>
        <w:t xml:space="preserve">absence de commentaires </w:t>
      </w:r>
      <w:r w:rsidR="007E11AE">
        <w:t>ou d</w:t>
      </w:r>
      <w:r w:rsidR="00346F1B">
        <w:t>’</w:t>
      </w:r>
      <w:r w:rsidR="007E11AE">
        <w:t xml:space="preserve">objections, le </w:t>
      </w:r>
      <w:r w:rsidR="007E11AE" w:rsidRPr="007E11AE">
        <w:rPr>
          <w:b/>
        </w:rPr>
        <w:t>Président a déclaré adoptée la décision 11.COM 10.b.15 d</w:t>
      </w:r>
      <w:r w:rsidR="00346F1B">
        <w:rPr>
          <w:b/>
        </w:rPr>
        <w:t>’</w:t>
      </w:r>
      <w:r w:rsidR="007E11AE" w:rsidRPr="007E11AE">
        <w:rPr>
          <w:b/>
        </w:rPr>
        <w:t>inscrire la fauconnerie, un patrimoine humain vivant sur la Liste représentative du patrimoine culturel immatériel de l</w:t>
      </w:r>
      <w:r w:rsidR="00346F1B">
        <w:rPr>
          <w:b/>
        </w:rPr>
        <w:t>’</w:t>
      </w:r>
      <w:r w:rsidR="007E11AE" w:rsidRPr="007E11AE">
        <w:rPr>
          <w:b/>
        </w:rPr>
        <w:t>humanité</w:t>
      </w:r>
      <w:r w:rsidR="005A12C8">
        <w:t>.</w:t>
      </w:r>
    </w:p>
    <w:p w14:paraId="00F6E1F8" w14:textId="6D6463E2" w:rsidR="007E11AE" w:rsidRDefault="007E11AE" w:rsidP="005A12C8">
      <w:pPr>
        <w:pStyle w:val="Orateurengris"/>
        <w:spacing w:before="120"/>
        <w:ind w:left="709" w:hanging="709"/>
      </w:pPr>
      <w:r>
        <w:t xml:space="preserve">La délégation des </w:t>
      </w:r>
      <w:r w:rsidRPr="007E11AE">
        <w:rPr>
          <w:b/>
        </w:rPr>
        <w:t>Émirats arabes unis</w:t>
      </w:r>
      <w:r>
        <w:t xml:space="preserve"> a évoqué sa grande joie suite à l</w:t>
      </w:r>
      <w:r w:rsidR="00346F1B">
        <w:t>’</w:t>
      </w:r>
      <w:r>
        <w:t>inscription de cet important élément. Elle ressentait une grande fierté parce que la candidature représentait un des aspects les plus considérables de la Convention, ainsi qu</w:t>
      </w:r>
      <w:r w:rsidR="00346F1B">
        <w:t>’</w:t>
      </w:r>
      <w:r>
        <w:t>une expression importante du PCI. La délégation a remercié l</w:t>
      </w:r>
      <w:r w:rsidR="00346F1B">
        <w:t>’</w:t>
      </w:r>
      <w:r>
        <w:t>Organe d</w:t>
      </w:r>
      <w:r w:rsidR="00346F1B">
        <w:t>’</w:t>
      </w:r>
      <w:r>
        <w:t>évaluation, le Comité et le Secrétariat pour le travail entrepris qui avait conduit à l</w:t>
      </w:r>
      <w:r w:rsidR="00346F1B">
        <w:t>’</w:t>
      </w:r>
      <w:r>
        <w:t>inscription de l</w:t>
      </w:r>
      <w:r w:rsidR="00346F1B">
        <w:t>’</w:t>
      </w:r>
      <w:r>
        <w:t>élément. Elle était également fière et heureuse que d</w:t>
      </w:r>
      <w:r w:rsidR="00346F1B">
        <w:t>’</w:t>
      </w:r>
      <w:r>
        <w:t>autres pa</w:t>
      </w:r>
      <w:r w:rsidR="00B6445B">
        <w:t>ys se soient joints à l</w:t>
      </w:r>
      <w:r w:rsidR="00346F1B">
        <w:t>’</w:t>
      </w:r>
      <w:r w:rsidR="00B6445B">
        <w:t xml:space="preserve">élément. </w:t>
      </w:r>
      <w:r>
        <w:t>Elle a profité de l</w:t>
      </w:r>
      <w:r w:rsidR="00346F1B">
        <w:t>’</w:t>
      </w:r>
      <w:r>
        <w:t xml:space="preserve">occasion </w:t>
      </w:r>
      <w:r w:rsidR="00B6445B">
        <w:t xml:space="preserve">qui lui était donnée </w:t>
      </w:r>
      <w:r>
        <w:t>pour remercier très sincèrement l</w:t>
      </w:r>
      <w:r w:rsidR="00346F1B">
        <w:t>’</w:t>
      </w:r>
      <w:r>
        <w:t>Allemagne, l</w:t>
      </w:r>
      <w:r w:rsidR="00346F1B">
        <w:t>’</w:t>
      </w:r>
      <w:r>
        <w:t xml:space="preserve">Italie, le Portugal, le Kazakhstan et le Pakistan </w:t>
      </w:r>
      <w:r w:rsidR="00B6445B">
        <w:t>d</w:t>
      </w:r>
      <w:r w:rsidR="00346F1B">
        <w:t>’</w:t>
      </w:r>
      <w:r w:rsidR="00B6445B">
        <w:t>avoir travaillé ensemble et d</w:t>
      </w:r>
      <w:r w:rsidR="00346F1B">
        <w:t>’</w:t>
      </w:r>
      <w:r w:rsidR="00B6445B">
        <w:t>avoir coordonné la soumission de l</w:t>
      </w:r>
      <w:r w:rsidR="00346F1B">
        <w:t>’</w:t>
      </w:r>
      <w:r w:rsidR="00B6445B">
        <w:t>élément. Sans leurs efforts, l</w:t>
      </w:r>
      <w:r w:rsidR="00346F1B">
        <w:t>’</w:t>
      </w:r>
      <w:r w:rsidR="00B6445B">
        <w:t>inscription élargie n</w:t>
      </w:r>
      <w:r w:rsidR="00346F1B">
        <w:t>’</w:t>
      </w:r>
      <w:r w:rsidR="00B6445B">
        <w:t>aurait pas été possible, et elle a remercié tous ceux qui participaient à la transmission de cette tradition vivante. C</w:t>
      </w:r>
      <w:r w:rsidR="00346F1B">
        <w:t>’</w:t>
      </w:r>
      <w:r w:rsidR="00B6445B">
        <w:t>étai</w:t>
      </w:r>
      <w:r w:rsidR="009A1B2F">
        <w:t>en</w:t>
      </w:r>
      <w:r w:rsidR="00B6445B">
        <w:t>t les populations elles-mêmes, détenteurs et praticiens de la tradition, qui avaient demandé que l</w:t>
      </w:r>
      <w:r w:rsidR="00346F1B">
        <w:t>’</w:t>
      </w:r>
      <w:r w:rsidR="00B6445B">
        <w:t>on soumette cette candidature. De nos jours, il y avait 40</w:t>
      </w:r>
      <w:r w:rsidR="00346F1B">
        <w:t> 000</w:t>
      </w:r>
      <w:r w:rsidR="00B6445B">
        <w:t xml:space="preserve"> fauconniers reconnus dans le monde entier qui étaient </w:t>
      </w:r>
      <w:r w:rsidR="009A1B2F">
        <w:t xml:space="preserve">impliqués dans la transmission </w:t>
      </w:r>
      <w:r w:rsidR="00B6445B">
        <w:t>de cette tradition, et ils étaient également heureux de voir cet élément inscrit. La coopération internationale était également importante, les États parties représentaient l</w:t>
      </w:r>
      <w:r w:rsidR="00346F1B">
        <w:t>’</w:t>
      </w:r>
      <w:r w:rsidR="00B6445B">
        <w:t>Europe, l</w:t>
      </w:r>
      <w:r w:rsidR="00346F1B">
        <w:t>’</w:t>
      </w:r>
      <w:r w:rsidR="00B6445B">
        <w:t>Asie et l</w:t>
      </w:r>
      <w:r w:rsidR="00346F1B">
        <w:t>’</w:t>
      </w:r>
      <w:r w:rsidR="00B6445B">
        <w:t xml:space="preserve">Afrique. La délégation était fière de cette coopération qui avait conduit à une inscription sur une base élargie. </w:t>
      </w:r>
      <w:r w:rsidR="002E54BA">
        <w:t xml:space="preserve">La fauconnerie représentait </w:t>
      </w:r>
      <w:r w:rsidR="00951B21">
        <w:t>bien sûr tout un ensemble de valeurs, telles que la protection des oiseaux et de l</w:t>
      </w:r>
      <w:r w:rsidR="00346F1B">
        <w:t>’</w:t>
      </w:r>
      <w:r w:rsidR="00951B21">
        <w:t>environnement. La délégation a déclaré qu</w:t>
      </w:r>
      <w:r w:rsidR="00346F1B">
        <w:t>’</w:t>
      </w:r>
      <w:r w:rsidR="00951B21">
        <w:t>elle prendrait toutes les mesures pour garantir que cette tradition se perpétue et continue à respecte</w:t>
      </w:r>
      <w:r w:rsidR="009A1B2F">
        <w:t>r la nature et l</w:t>
      </w:r>
      <w:r w:rsidR="00346F1B">
        <w:t>’</w:t>
      </w:r>
      <w:r w:rsidR="009A1B2F">
        <w:t>environnement.</w:t>
      </w:r>
    </w:p>
    <w:p w14:paraId="11718259" w14:textId="1E8170E2" w:rsidR="009A1B2F" w:rsidRDefault="009A1B2F" w:rsidP="005A12C8">
      <w:pPr>
        <w:pStyle w:val="Orateurengris"/>
        <w:spacing w:before="120"/>
        <w:ind w:left="709" w:hanging="709"/>
      </w:pPr>
      <w:r>
        <w:t xml:space="preserve">La délégation du </w:t>
      </w:r>
      <w:r w:rsidRPr="009A1B2F">
        <w:rPr>
          <w:b/>
        </w:rPr>
        <w:t>Kazakhstan</w:t>
      </w:r>
      <w:r>
        <w:t xml:space="preserve"> a souligné que son pays était le dix-huitième État partie</w:t>
      </w:r>
      <w:r w:rsidR="00C56BDA">
        <w:t xml:space="preserve"> à prendre part à une candidature multinationale, qui unissait les pays de différentes régions et continents. C</w:t>
      </w:r>
      <w:r w:rsidR="00346F1B">
        <w:t>’</w:t>
      </w:r>
      <w:r w:rsidR="00C56BDA">
        <w:t>était un moment attendu de longue date par les détenteurs et praticiens de cet élément, les Qusbegi et Bürtkitshi du Kazakhstan qui avaient transmis cet art de génération en génération depuis les temps les plus anciens. La chasse avec des oiseaux de proie était une pratique plurimillénaire dans les steppes eurasiennes, comme en témoignai</w:t>
      </w:r>
      <w:r w:rsidR="00876E4B">
        <w:t>en</w:t>
      </w:r>
      <w:r w:rsidR="00C56BDA">
        <w:t xml:space="preserve">t les fouilles archéologiques et les manuscrits anciens contant les vies des populations </w:t>
      </w:r>
      <w:r w:rsidR="00876E4B">
        <w:t>nomades. Ce type de chasse s</w:t>
      </w:r>
      <w:r w:rsidR="00346F1B">
        <w:t>’</w:t>
      </w:r>
      <w:r w:rsidR="00876E4B">
        <w:t>était</w:t>
      </w:r>
      <w:r w:rsidR="00C56BDA">
        <w:t xml:space="preserve"> progressivement développé dans de nombreuses nation</w:t>
      </w:r>
      <w:r w:rsidR="00585F77">
        <w:t xml:space="preserve">s en Europe, en Asie et bien au </w:t>
      </w:r>
      <w:r w:rsidR="00C56BDA">
        <w:t xml:space="preserve">delà. </w:t>
      </w:r>
      <w:r w:rsidR="00876E4B">
        <w:t>La présence d</w:t>
      </w:r>
      <w:r w:rsidR="00346F1B">
        <w:t>’</w:t>
      </w:r>
      <w:r w:rsidR="00876E4B">
        <w:t>un aigle doré sur le drapeau du Kazakhstan illustrait l</w:t>
      </w:r>
      <w:r w:rsidR="00346F1B">
        <w:t>’</w:t>
      </w:r>
      <w:r w:rsidR="00C56BDA">
        <w:t>importance de cet élémen</w:t>
      </w:r>
      <w:r w:rsidR="00876E4B">
        <w:t>t</w:t>
      </w:r>
      <w:r w:rsidR="00C56BDA">
        <w:t>. La délégation a exprimé sa profonde gratitude au Comité et à l</w:t>
      </w:r>
      <w:r w:rsidR="00346F1B">
        <w:t>’</w:t>
      </w:r>
      <w:r w:rsidR="00C56BDA">
        <w:t>Organe d</w:t>
      </w:r>
      <w:r w:rsidR="00346F1B">
        <w:t>’</w:t>
      </w:r>
      <w:r w:rsidR="00C56BDA">
        <w:t>évaluation pour leur décision, et à tous les partenaires qui avaient permis de préparer cette candidature élargie, en particulier les collèges des Émirats arabes unis, coordinateurs du doss</w:t>
      </w:r>
      <w:r w:rsidR="00876E4B">
        <w:t>ier. La délégation pensait qu</w:t>
      </w:r>
      <w:r w:rsidR="00346F1B">
        <w:t>’</w:t>
      </w:r>
      <w:r w:rsidR="00C56BDA">
        <w:t>à l</w:t>
      </w:r>
      <w:r w:rsidR="00346F1B">
        <w:t>’</w:t>
      </w:r>
      <w:r w:rsidR="00C56BDA">
        <w:t>occasio</w:t>
      </w:r>
      <w:r w:rsidR="00876E4B">
        <w:t xml:space="preserve">n de la Décennie internationale du </w:t>
      </w:r>
      <w:r w:rsidR="00C56BDA">
        <w:t xml:space="preserve">rapprochement des cultures, </w:t>
      </w:r>
      <w:r w:rsidR="00876E4B">
        <w:t>alors en cours, les dossiers multinationaux se développeraient pour devenir enc</w:t>
      </w:r>
      <w:r w:rsidR="005A12C8">
        <w:t>ore plus nombreux par la suite.</w:t>
      </w:r>
    </w:p>
    <w:p w14:paraId="040ED284" w14:textId="7BCFCF4D" w:rsidR="0000065E" w:rsidRDefault="00876E4B" w:rsidP="005A12C8">
      <w:pPr>
        <w:pStyle w:val="Orateurengris"/>
        <w:spacing w:before="120"/>
        <w:ind w:left="709" w:hanging="709"/>
      </w:pPr>
      <w:r>
        <w:t>La délégation de l</w:t>
      </w:r>
      <w:r w:rsidR="00346F1B">
        <w:t>’</w:t>
      </w:r>
      <w:r w:rsidRPr="00876E4B">
        <w:rPr>
          <w:b/>
        </w:rPr>
        <w:t>Italie</w:t>
      </w:r>
      <w:r>
        <w:t xml:space="preserve"> a remercié le Comité pour l</w:t>
      </w:r>
      <w:r w:rsidR="00346F1B">
        <w:t>’</w:t>
      </w:r>
      <w:r>
        <w:t xml:space="preserve">inscription, et félicité tous les États </w:t>
      </w:r>
      <w:r w:rsidR="00A46CAD">
        <w:t>membres</w:t>
      </w:r>
      <w:r>
        <w:t xml:space="preserve"> et leurs communautés d</w:t>
      </w:r>
      <w:r w:rsidR="00346F1B">
        <w:t>’</w:t>
      </w:r>
      <w:r>
        <w:t>avoir rejoint le dossier multinational, dont les Émirats arabes unis avaient assuré la promotion et qui avait été élargi à l</w:t>
      </w:r>
      <w:r w:rsidR="00346F1B">
        <w:t>’</w:t>
      </w:r>
      <w:r>
        <w:t>Italie. Le caractère réellement multilatéral et multinational de cet élément, souligné par le collègue des Émirats, soulignait encore davantage l</w:t>
      </w:r>
      <w:r w:rsidR="00346F1B">
        <w:t>’</w:t>
      </w:r>
      <w:r>
        <w:t>importance du PCI en tant qu</w:t>
      </w:r>
      <w:r w:rsidR="00346F1B">
        <w:t>’</w:t>
      </w:r>
      <w:r>
        <w:t>instr</w:t>
      </w:r>
      <w:r w:rsidR="0000065E">
        <w:t>ument de dialogue interculturel et d</w:t>
      </w:r>
      <w:r w:rsidR="00346F1B">
        <w:t>’</w:t>
      </w:r>
      <w:r w:rsidR="0000065E">
        <w:t>intégration renforcée de la culture dans le développement durable. Des remerciements tout particuliers ont été adressés à l</w:t>
      </w:r>
      <w:r w:rsidR="00346F1B">
        <w:t>’</w:t>
      </w:r>
      <w:r w:rsidR="0000065E">
        <w:t>Organe d</w:t>
      </w:r>
      <w:r w:rsidR="00346F1B">
        <w:t>’</w:t>
      </w:r>
      <w:r w:rsidR="0000065E">
        <w:t>évaluation, au Secrétariat, et aux autorités éthiopiennes pour l</w:t>
      </w:r>
      <w:r w:rsidR="00346F1B">
        <w:t>’</w:t>
      </w:r>
      <w:r w:rsidR="0000065E">
        <w:t>organisation et l</w:t>
      </w:r>
      <w:r w:rsidR="00346F1B">
        <w:t>’</w:t>
      </w:r>
      <w:r w:rsidR="005A12C8">
        <w:t>accueil de cette session.</w:t>
      </w:r>
    </w:p>
    <w:p w14:paraId="02F86427" w14:textId="27937A68" w:rsidR="00503324" w:rsidRDefault="0000065E" w:rsidP="005A12C8">
      <w:pPr>
        <w:pStyle w:val="Orateurengris"/>
        <w:spacing w:before="120"/>
        <w:ind w:left="709" w:hanging="709"/>
      </w:pPr>
      <w:r>
        <w:t xml:space="preserve">La délégation du </w:t>
      </w:r>
      <w:r w:rsidRPr="0000065E">
        <w:rPr>
          <w:b/>
        </w:rPr>
        <w:t>Portugal</w:t>
      </w:r>
      <w:r>
        <w:t xml:space="preserve"> a évoqué l</w:t>
      </w:r>
      <w:r w:rsidR="00346F1B">
        <w:t>’</w:t>
      </w:r>
      <w:r>
        <w:t xml:space="preserve">honneur </w:t>
      </w:r>
      <w:r w:rsidR="00CB3B5A">
        <w:t>qu</w:t>
      </w:r>
      <w:r w:rsidR="00346F1B">
        <w:t>’</w:t>
      </w:r>
      <w:r w:rsidR="00CB3B5A">
        <w:t>elle ressentait à l</w:t>
      </w:r>
      <w:r w:rsidR="00346F1B">
        <w:t>’</w:t>
      </w:r>
      <w:r w:rsidR="00CB3B5A">
        <w:t xml:space="preserve">idée </w:t>
      </w:r>
      <w:r>
        <w:t>de rejoindre le</w:t>
      </w:r>
      <w:r w:rsidR="00CB3B5A">
        <w:t xml:space="preserve"> grand groupe de pays qui avai</w:t>
      </w:r>
      <w:r>
        <w:t>t déjà inscrit la fauconnerie sur la Liste représentative, notamment les Émirats arabes unis, l</w:t>
      </w:r>
      <w:r w:rsidR="00346F1B">
        <w:t>’</w:t>
      </w:r>
      <w:r>
        <w:t>Autriche, la Belgique, la République tchèque, la France, la Hongrie, la Mongolie, le Maroc, le Qatar, l</w:t>
      </w:r>
      <w:r w:rsidR="00346F1B">
        <w:t>’</w:t>
      </w:r>
      <w:r>
        <w:t>Arabie saoudite, l</w:t>
      </w:r>
      <w:r w:rsidR="00346F1B">
        <w:t>’</w:t>
      </w:r>
      <w:r>
        <w:t>Espagne et la Syrie, car aujourd</w:t>
      </w:r>
      <w:r w:rsidR="00346F1B">
        <w:t>’</w:t>
      </w:r>
      <w:r>
        <w:t>hui le Portugal joignait ses forces à celles du Kazakhstan, de l</w:t>
      </w:r>
      <w:r w:rsidR="00346F1B">
        <w:t>’</w:t>
      </w:r>
      <w:r>
        <w:t>Allemagne</w:t>
      </w:r>
      <w:r w:rsidR="00881526">
        <w:t>, du Pakistan et de l</w:t>
      </w:r>
      <w:r w:rsidR="00346F1B">
        <w:t>’</w:t>
      </w:r>
      <w:r w:rsidR="00881526">
        <w:t>Italie. Le</w:t>
      </w:r>
      <w:r>
        <w:t xml:space="preserve"> Portugal a so</w:t>
      </w:r>
      <w:r w:rsidR="00585F77">
        <w:t xml:space="preserve">uligné que ce dossier allait au </w:t>
      </w:r>
      <w:r>
        <w:t>delà de la sphère culturelle en ce qu</w:t>
      </w:r>
      <w:r w:rsidR="00346F1B">
        <w:t>’</w:t>
      </w:r>
      <w:r>
        <w:t xml:space="preserve">il nous </w:t>
      </w:r>
      <w:r w:rsidR="00503324">
        <w:t xml:space="preserve">remémorait </w:t>
      </w:r>
      <w:r>
        <w:t xml:space="preserve">les liens </w:t>
      </w:r>
      <w:r w:rsidR="00503324">
        <w:t>entre les humains et leur environnement et entre les êtres humains et les autres espèces. L</w:t>
      </w:r>
      <w:r w:rsidR="00346F1B">
        <w:t>’</w:t>
      </w:r>
      <w:r w:rsidR="00503324">
        <w:t xml:space="preserve">inscription permettait de </w:t>
      </w:r>
      <w:r w:rsidR="00881526">
        <w:t xml:space="preserve">prendre conscience, </w:t>
      </w:r>
      <w:r w:rsidR="00503324">
        <w:t>qu</w:t>
      </w:r>
      <w:r w:rsidR="00346F1B">
        <w:t>’</w:t>
      </w:r>
      <w:r w:rsidR="00503324">
        <w:t>à l</w:t>
      </w:r>
      <w:r w:rsidR="00346F1B">
        <w:t>’</w:t>
      </w:r>
      <w:r w:rsidR="00503324">
        <w:t>époque actuelle</w:t>
      </w:r>
      <w:r w:rsidR="00881526">
        <w:t>,</w:t>
      </w:r>
      <w:r w:rsidR="00503324">
        <w:t xml:space="preserve"> notre planète était en danger et que la protection de la vie sur la terre était un des objectifs de développement durable. La reconnaissance de la fau</w:t>
      </w:r>
      <w:r w:rsidR="00CB3B5A">
        <w:t>connerie par tant de pays et par</w:t>
      </w:r>
      <w:r w:rsidR="00503324">
        <w:t xml:space="preserve"> l</w:t>
      </w:r>
      <w:r w:rsidR="00346F1B">
        <w:t>’</w:t>
      </w:r>
      <w:r w:rsidR="00503324">
        <w:t>UNESCO elle-même pouvait donc attirer l</w:t>
      </w:r>
      <w:r w:rsidR="00346F1B">
        <w:t>’</w:t>
      </w:r>
      <w:r w:rsidR="00503324">
        <w:t>attention sur l</w:t>
      </w:r>
      <w:r w:rsidR="00346F1B">
        <w:t>’</w:t>
      </w:r>
      <w:r w:rsidR="00503324">
        <w:t>importance de la biodiversité pour les générations futures. Pour le Portugal, cette candidature avait été présentée par le M. le Maire de Salvaterra de Magos [présent] (une communauté établie depuis fort longtemps sur les rives du Tage), l</w:t>
      </w:r>
      <w:r w:rsidR="00346F1B">
        <w:t>’</w:t>
      </w:r>
      <w:r w:rsidR="00503324">
        <w:t>Association portugaise de la fauconnerie et l</w:t>
      </w:r>
      <w:r w:rsidR="00346F1B">
        <w:t>’</w:t>
      </w:r>
      <w:r w:rsidR="00503324">
        <w:t>Université d</w:t>
      </w:r>
      <w:r w:rsidR="00346F1B">
        <w:t>’</w:t>
      </w:r>
      <w:r w:rsidR="00503324">
        <w:t xml:space="preserve">Évora, qui souhaitaient </w:t>
      </w:r>
      <w:r w:rsidR="00CB3B5A">
        <w:t xml:space="preserve">tous </w:t>
      </w:r>
      <w:r w:rsidR="00503324">
        <w:t>remercier le Comité</w:t>
      </w:r>
      <w:r w:rsidR="00CB3B5A">
        <w:t xml:space="preserve"> pour </w:t>
      </w:r>
      <w:r w:rsidR="005A12C8">
        <w:t>sa décision.</w:t>
      </w:r>
    </w:p>
    <w:p w14:paraId="3F4EF8AB" w14:textId="26964506" w:rsidR="00CB3B5A" w:rsidRPr="00CB3B5A" w:rsidRDefault="00CB3B5A" w:rsidP="005A12C8">
      <w:pPr>
        <w:pStyle w:val="Orateurengris"/>
        <w:spacing w:before="120"/>
        <w:ind w:left="709" w:hanging="709"/>
      </w:pPr>
      <w:r>
        <w:t>La délégation de l</w:t>
      </w:r>
      <w:r w:rsidR="00346F1B">
        <w:t>’</w:t>
      </w:r>
      <w:r w:rsidRPr="00CB3B5A">
        <w:rPr>
          <w:b/>
        </w:rPr>
        <w:t>Inde</w:t>
      </w:r>
      <w:r>
        <w:t xml:space="preserve"> a félicité le groupe de pays qui avait présenté, avec succès, cette candidature re</w:t>
      </w:r>
      <w:r w:rsidR="005A12C8">
        <w:t>levant du patrimoine universel.</w:t>
      </w:r>
    </w:p>
    <w:p w14:paraId="15569539" w14:textId="2C82F7A7" w:rsidR="00CB3B5A" w:rsidRPr="00CB3B5A" w:rsidRDefault="00CB3B5A" w:rsidP="005A12C8">
      <w:pPr>
        <w:pStyle w:val="Orateurengris"/>
        <w:spacing w:before="120"/>
        <w:ind w:left="709" w:hanging="709"/>
      </w:pPr>
      <w:r w:rsidRPr="00CB3B5A">
        <w:t xml:space="preserve">Le </w:t>
      </w:r>
      <w:r w:rsidRPr="00CB3B5A">
        <w:rPr>
          <w:b/>
        </w:rPr>
        <w:t>Président</w:t>
      </w:r>
      <w:r>
        <w:t xml:space="preserve"> est passé au dossier de candidature s</w:t>
      </w:r>
      <w:r w:rsidRPr="00CB3B5A">
        <w:t>uivant, soumis pa</w:t>
      </w:r>
      <w:r>
        <w:t>r l</w:t>
      </w:r>
      <w:r w:rsidR="00346F1B">
        <w:t>’</w:t>
      </w:r>
      <w:r w:rsidR="005A12C8">
        <w:t>Inde.</w:t>
      </w:r>
    </w:p>
    <w:p w14:paraId="143A9607" w14:textId="0043BF14" w:rsidR="00A648F0" w:rsidRDefault="00BA4DEA" w:rsidP="005A12C8">
      <w:pPr>
        <w:pStyle w:val="Orateurengris"/>
        <w:spacing w:before="120"/>
        <w:ind w:left="709" w:hanging="709"/>
      </w:pPr>
      <w:r>
        <w:t xml:space="preserve">Le </w:t>
      </w:r>
      <w:r w:rsidRPr="00A648F0">
        <w:rPr>
          <w:b/>
        </w:rPr>
        <w:t>Vice-Président de l</w:t>
      </w:r>
      <w:r w:rsidR="00346F1B">
        <w:rPr>
          <w:b/>
        </w:rPr>
        <w:t>’</w:t>
      </w:r>
      <w:r w:rsidRPr="00A648F0">
        <w:rPr>
          <w:b/>
        </w:rPr>
        <w:t>Organe d</w:t>
      </w:r>
      <w:r w:rsidR="00346F1B">
        <w:rPr>
          <w:b/>
        </w:rPr>
        <w:t>’</w:t>
      </w:r>
      <w:r w:rsidRPr="00A648F0">
        <w:rPr>
          <w:b/>
        </w:rPr>
        <w:t>évaluation</w:t>
      </w:r>
      <w:r>
        <w:t xml:space="preserve"> est passé à la candidature suivante, </w:t>
      </w:r>
      <w:bookmarkStart w:id="37" w:name="Decision10b17"/>
      <w:r w:rsidRPr="00D51265">
        <w:rPr>
          <w:b/>
        </w:rPr>
        <w:t>le Yoga</w:t>
      </w:r>
      <w:bookmarkEnd w:id="37"/>
      <w:r>
        <w:t xml:space="preserve"> [projet de décision 11.COM 10.b.17], soumise par l</w:t>
      </w:r>
      <w:r w:rsidR="00346F1B">
        <w:t>’</w:t>
      </w:r>
      <w:r>
        <w:t>Inde. La philosophie qui sous-tendait la pra</w:t>
      </w:r>
      <w:r w:rsidR="00A648F0">
        <w:t>tique ancienne du yoga en Inde influençait</w:t>
      </w:r>
      <w:r>
        <w:t xml:space="preserve"> divers aspects du fonctionnement de la société indienne, d</w:t>
      </w:r>
      <w:r w:rsidR="00A648F0">
        <w:t xml:space="preserve">e la santé et la médecine </w:t>
      </w:r>
      <w:r>
        <w:t>à l</w:t>
      </w:r>
      <w:r w:rsidR="00346F1B">
        <w:t>’</w:t>
      </w:r>
      <w:r>
        <w:t xml:space="preserve">éducation et </w:t>
      </w:r>
      <w:r w:rsidR="00A648F0">
        <w:t xml:space="preserve">aux </w:t>
      </w:r>
      <w:r>
        <w:t>arts. Fondé sur l</w:t>
      </w:r>
      <w:r w:rsidR="00346F1B">
        <w:t>’</w:t>
      </w:r>
      <w:r>
        <w:t>harmonie de l</w:t>
      </w:r>
      <w:r w:rsidR="00346F1B">
        <w:t>’</w:t>
      </w:r>
      <w:r>
        <w:t xml:space="preserve">esprit et du corps et destiné à procurer un bien-être mental, spirituel et physique, le yoga associait une série de postures, de la méditation, un contrôle de la respiration, des </w:t>
      </w:r>
      <w:r w:rsidR="002D3B0C">
        <w:t xml:space="preserve">récitations de paroles et </w:t>
      </w:r>
      <w:r w:rsidR="00A648F0">
        <w:t>d</w:t>
      </w:r>
      <w:r w:rsidR="00346F1B">
        <w:t>’</w:t>
      </w:r>
      <w:r w:rsidR="002D3B0C">
        <w:t>autres techniques. Le yoga était traditionnellem</w:t>
      </w:r>
      <w:r w:rsidR="00A648F0">
        <w:t xml:space="preserve">ent transmis de maître à élève mais </w:t>
      </w:r>
      <w:r w:rsidR="002D3B0C">
        <w:t>sa pratique était désormais également transmise dans des ashrams, des ermitages, des écoles et des centres communautaires. L</w:t>
      </w:r>
      <w:r w:rsidR="00346F1B">
        <w:t>’</w:t>
      </w:r>
      <w:r w:rsidR="002D3B0C">
        <w:t>Organe d</w:t>
      </w:r>
      <w:r w:rsidR="00346F1B">
        <w:t>’</w:t>
      </w:r>
      <w:r w:rsidR="002D3B0C">
        <w:t>évaluation avait décidé qu</w:t>
      </w:r>
      <w:r w:rsidR="00881526">
        <w:t>e la candidature satisfaisait les</w:t>
      </w:r>
      <w:r w:rsidR="002D3B0C">
        <w:t xml:space="preserve"> critères R.1, R.3 et R.4. Le yoga était profondément enraciné dans la culture, l</w:t>
      </w:r>
      <w:r w:rsidR="00346F1B">
        <w:t>’</w:t>
      </w:r>
      <w:r w:rsidR="002D3B0C">
        <w:t>histoire et la société indiennes, et il était considéré comme un symbole de l</w:t>
      </w:r>
      <w:r w:rsidR="00346F1B">
        <w:t>’</w:t>
      </w:r>
      <w:r w:rsidR="002D3B0C">
        <w:t>identité culturelle indienne. Le dossier présentait des mesures de sauvegarde qui reflétaient la participation, les efforts combinés et l</w:t>
      </w:r>
      <w:r w:rsidR="00346F1B">
        <w:t>’</w:t>
      </w:r>
      <w:r w:rsidR="002D3B0C">
        <w:t>engagement des communautés et des praticiens du yoga. Toutefois, l</w:t>
      </w:r>
      <w:r w:rsidR="00346F1B">
        <w:t>’</w:t>
      </w:r>
      <w:r w:rsidR="002D3B0C">
        <w:t>Organe d</w:t>
      </w:r>
      <w:r w:rsidR="00346F1B">
        <w:t>’</w:t>
      </w:r>
      <w:r w:rsidR="002D3B0C">
        <w:t>évaluation n</w:t>
      </w:r>
      <w:r w:rsidR="00346F1B">
        <w:t>’</w:t>
      </w:r>
      <w:r w:rsidR="002D3B0C">
        <w:t>avait pas été en mesure de déterminer, à la lecture des informations présentées dans le dossier, si les critères R.2 et R.5 étaient satisfaits. S</w:t>
      </w:r>
      <w:r w:rsidR="00346F1B">
        <w:t>’</w:t>
      </w:r>
      <w:r w:rsidR="002D3B0C">
        <w:t xml:space="preserve">agissant du critère R.2, </w:t>
      </w:r>
      <w:r w:rsidR="00A648F0">
        <w:t>le dossier devait démontrer comment l</w:t>
      </w:r>
      <w:r w:rsidR="00346F1B">
        <w:t>’</w:t>
      </w:r>
      <w:r w:rsidR="00A648F0">
        <w:t>inscription améliorerait la visibilité du PCI en général et pas uniquement de l</w:t>
      </w:r>
      <w:r w:rsidR="00346F1B">
        <w:t>’</w:t>
      </w:r>
      <w:r w:rsidR="00A648F0">
        <w:t>élément lui-même. De même, pour le critère R.5, le dossier expliquait comment le yoga était inventorié mais la documentation soumise (une photo) ne pouvait être considérée comme un extrait de l</w:t>
      </w:r>
      <w:r w:rsidR="00346F1B">
        <w:t>’</w:t>
      </w:r>
      <w:r w:rsidR="00A648F0">
        <w:t>inventaire. En outre, le dossier ne contenait pas d</w:t>
      </w:r>
      <w:r w:rsidR="00346F1B">
        <w:t>’</w:t>
      </w:r>
      <w:r w:rsidR="00A648F0">
        <w:t>informations sur la mise à jour régulière des inventaires pertinents par les institutions concernées. L</w:t>
      </w:r>
      <w:r w:rsidR="00346F1B">
        <w:t>’</w:t>
      </w:r>
      <w:r w:rsidR="00A648F0">
        <w:t>Organe d</w:t>
      </w:r>
      <w:r w:rsidR="00346F1B">
        <w:t>’</w:t>
      </w:r>
      <w:r w:rsidR="00A648F0">
        <w:t>évaluation avait donc décidé de recommander un renvoi de la candidature à l</w:t>
      </w:r>
      <w:r w:rsidR="00346F1B">
        <w:t>’</w:t>
      </w:r>
      <w:r w:rsidR="00A648F0">
        <w:t>État soumissionnaire pour complément d</w:t>
      </w:r>
      <w:r w:rsidR="00346F1B">
        <w:t>’</w:t>
      </w:r>
      <w:r w:rsidR="005A12C8">
        <w:t>information.</w:t>
      </w:r>
    </w:p>
    <w:p w14:paraId="51CC9926" w14:textId="7FAD9DFC" w:rsidR="00A648F0" w:rsidRDefault="00A648F0" w:rsidP="005A12C8">
      <w:pPr>
        <w:pStyle w:val="Orateurengris"/>
        <w:spacing w:before="120"/>
        <w:ind w:left="709" w:hanging="709"/>
      </w:pPr>
      <w:r>
        <w:t xml:space="preserve">La délégation de la </w:t>
      </w:r>
      <w:r w:rsidRPr="00A648F0">
        <w:rPr>
          <w:b/>
        </w:rPr>
        <w:t>Turquie</w:t>
      </w:r>
      <w:r>
        <w:t xml:space="preserve"> a félicité l</w:t>
      </w:r>
      <w:r w:rsidR="00346F1B">
        <w:t>’</w:t>
      </w:r>
      <w:r>
        <w:t>Inde d</w:t>
      </w:r>
      <w:r w:rsidR="00346F1B">
        <w:t>’</w:t>
      </w:r>
      <w:r>
        <w:t>avoir présenté la candidature du yo</w:t>
      </w:r>
      <w:r w:rsidR="006D1B57">
        <w:t xml:space="preserve">ga. Elle a décrit le yoga comme </w:t>
      </w:r>
      <w:r>
        <w:t xml:space="preserve">une science ancienne </w:t>
      </w:r>
      <w:r w:rsidR="000E5DFB">
        <w:t>visant à harmoniser le corps</w:t>
      </w:r>
      <w:r>
        <w:t xml:space="preserve"> et l</w:t>
      </w:r>
      <w:r w:rsidR="00346F1B">
        <w:t>’</w:t>
      </w:r>
      <w:r>
        <w:t xml:space="preserve">esprit </w:t>
      </w:r>
      <w:r w:rsidR="000E5DFB">
        <w:t>en vue d</w:t>
      </w:r>
      <w:r w:rsidR="00346F1B">
        <w:t>’</w:t>
      </w:r>
      <w:r w:rsidR="000E5DFB">
        <w:t>un bien-être et d</w:t>
      </w:r>
      <w:r w:rsidR="00346F1B">
        <w:t>’</w:t>
      </w:r>
      <w:r w:rsidR="000E5DFB">
        <w:t xml:space="preserve">une santé holistiques, et </w:t>
      </w:r>
      <w:r w:rsidR="006D1B57">
        <w:t xml:space="preserve">comme </w:t>
      </w:r>
      <w:r w:rsidR="000E5DFB">
        <w:t>un présent d</w:t>
      </w:r>
      <w:r w:rsidR="00346F1B">
        <w:t>’</w:t>
      </w:r>
      <w:r w:rsidR="000E5DFB">
        <w:t>une valeur inestimable fait à l</w:t>
      </w:r>
      <w:r w:rsidR="00346F1B">
        <w:t>’</w:t>
      </w:r>
      <w:r w:rsidR="000E5DFB">
        <w:t>humanité, pratiqué dans le monde entier par des millions de gens. La résolution 69/131 de 2014 et ses 177 coauteurs</w:t>
      </w:r>
      <w:r w:rsidR="000B4918">
        <w:t xml:space="preserve"> qui avaient déclaré le 21 juin</w:t>
      </w:r>
      <w:r w:rsidR="000E5DFB">
        <w:t xml:space="preserve"> Journée internationale du yoga, illustraient l</w:t>
      </w:r>
      <w:r w:rsidR="00346F1B">
        <w:t>’</w:t>
      </w:r>
      <w:r w:rsidR="000E5DFB">
        <w:t>universalité du yoga. S</w:t>
      </w:r>
      <w:r w:rsidR="00346F1B">
        <w:t>’</w:t>
      </w:r>
      <w:r w:rsidR="000E5DFB">
        <w:t>agissant des critères R.2 et R.5, la délégation estimait qu</w:t>
      </w:r>
      <w:r w:rsidR="00346F1B">
        <w:t>’</w:t>
      </w:r>
      <w:r w:rsidR="000E5DFB">
        <w:t>il était évident, à la lecture des informations présentées dans le dossier, que l</w:t>
      </w:r>
      <w:r w:rsidR="00346F1B">
        <w:t>’</w:t>
      </w:r>
      <w:r w:rsidR="000E5DFB">
        <w:t xml:space="preserve">inscription du yoga encouragerait le dialogue, </w:t>
      </w:r>
      <w:r w:rsidR="005A1C3F">
        <w:t xml:space="preserve">de </w:t>
      </w:r>
      <w:r w:rsidR="000E5DFB">
        <w:t xml:space="preserve">sa pratique fort répandue et très enracinée </w:t>
      </w:r>
      <w:r w:rsidR="005A1C3F">
        <w:t>à ses innombrables expressions,</w:t>
      </w:r>
      <w:r w:rsidR="000E5DFB">
        <w:t xml:space="preserve"> permettant ainsi d</w:t>
      </w:r>
      <w:r w:rsidR="00346F1B">
        <w:t>’</w:t>
      </w:r>
      <w:r w:rsidR="000E5DFB">
        <w:t>expliquer son univ</w:t>
      </w:r>
      <w:r w:rsidR="00193A49">
        <w:t>ersalité. Le dialogue qui s</w:t>
      </w:r>
      <w:r w:rsidR="00346F1B">
        <w:t>’</w:t>
      </w:r>
      <w:r w:rsidR="00193A49">
        <w:t>en</w:t>
      </w:r>
      <w:r w:rsidR="000E5DFB">
        <w:t>suivrait</w:t>
      </w:r>
      <w:r w:rsidR="00193A49">
        <w:t xml:space="preserve"> entre les communautés, groupes et individus ne se limiterait pas aux frontières de l</w:t>
      </w:r>
      <w:r w:rsidR="00346F1B">
        <w:t>’</w:t>
      </w:r>
      <w:r w:rsidR="00193A49">
        <w:t>Inde mais s</w:t>
      </w:r>
      <w:r w:rsidR="00346F1B">
        <w:t>’</w:t>
      </w:r>
      <w:r w:rsidR="00193A49">
        <w:t>ouvrirait au monde entier car les praticiens, les enseignants, les étudiants et autres seraient encouragés par son inscription à promouvoir le dialogue, sa diffusion, son historicité, ses aspects analytiques et méditatifs, sa pratique et ses autres dimensions à l</w:t>
      </w:r>
      <w:r w:rsidR="00346F1B">
        <w:t>’</w:t>
      </w:r>
      <w:r w:rsidR="00193A49">
        <w:t>attrait universel, qui mêl</w:t>
      </w:r>
      <w:r w:rsidR="000B4918">
        <w:t>ai</w:t>
      </w:r>
      <w:r w:rsidR="00193A49">
        <w:t>ent le matériel à l</w:t>
      </w:r>
      <w:r w:rsidR="00346F1B">
        <w:t>’</w:t>
      </w:r>
      <w:r w:rsidR="00193A49">
        <w:t>immatériel. La délégation estimait que cela contribuerait grandement à la visibilité et à la prise de conscience du PCI en général, tant au niveau local que national et international. S</w:t>
      </w:r>
      <w:r w:rsidR="00346F1B">
        <w:t>’</w:t>
      </w:r>
      <w:r w:rsidR="00193A49">
        <w:t>agissant du critère R.5, l</w:t>
      </w:r>
      <w:r w:rsidR="00346F1B">
        <w:t>’</w:t>
      </w:r>
      <w:r w:rsidR="00193A49">
        <w:t>Organe d</w:t>
      </w:r>
      <w:r w:rsidR="00346F1B">
        <w:t>’</w:t>
      </w:r>
      <w:r w:rsidR="00193A49">
        <w:t>évaluation avait lui-même reconnu que plusieurs institutions en Inde, notamment la Sangeet Natak Akademi qui administrait l</w:t>
      </w:r>
      <w:r w:rsidR="00346F1B">
        <w:t>’</w:t>
      </w:r>
      <w:r w:rsidR="00193A49">
        <w:t xml:space="preserve">inventaire national du PCI, avait inventorié le yoga, et que les praticiens et parties concernées avaient été impliqués dans cette démarche et avaient donné leur consentement. </w:t>
      </w:r>
      <w:r w:rsidR="009E64DB">
        <w:t>Il a été signalé que l</w:t>
      </w:r>
      <w:r w:rsidR="00346F1B">
        <w:t>’</w:t>
      </w:r>
      <w:r w:rsidR="009E64DB">
        <w:t xml:space="preserve">Inde avait déjà donné des détails sur son inventaire national dans </w:t>
      </w:r>
      <w:r w:rsidR="000B4918">
        <w:t>le dossier de candidature</w:t>
      </w:r>
      <w:r w:rsidR="009E64DB">
        <w:t xml:space="preserve"> que l</w:t>
      </w:r>
      <w:r w:rsidR="00346F1B">
        <w:t>’</w:t>
      </w:r>
      <w:r w:rsidR="009E64DB">
        <w:t>Organe d</w:t>
      </w:r>
      <w:r w:rsidR="00346F1B">
        <w:t>’</w:t>
      </w:r>
      <w:r w:rsidR="009E64DB">
        <w:t xml:space="preserve">évaluation avait </w:t>
      </w:r>
      <w:r w:rsidR="008052AC">
        <w:t>dûment</w:t>
      </w:r>
      <w:r w:rsidR="009E64DB">
        <w:t xml:space="preserve"> pris en compte. L</w:t>
      </w:r>
      <w:r w:rsidR="00346F1B">
        <w:t>’</w:t>
      </w:r>
      <w:r w:rsidR="009E64DB">
        <w:t>Inde avait également déclaré dans le dossier de candidature que son inven</w:t>
      </w:r>
      <w:r w:rsidR="00AE2197">
        <w:t xml:space="preserve">taire national du PCI était un processus </w:t>
      </w:r>
      <w:r w:rsidR="009E64DB">
        <w:t>en</w:t>
      </w:r>
      <w:r w:rsidR="00AE2197">
        <w:t xml:space="preserve"> cours de réalisation, destiné</w:t>
      </w:r>
      <w:r w:rsidR="009E64DB">
        <w:t xml:space="preserve"> à </w:t>
      </w:r>
      <w:r w:rsidR="00AE2197">
        <w:t>regrouper sur une plateforme commune l</w:t>
      </w:r>
      <w:r w:rsidR="00346F1B">
        <w:t>’</w:t>
      </w:r>
      <w:r w:rsidR="00AE2197">
        <w:t>ensemble d</w:t>
      </w:r>
      <w:r w:rsidR="009E64DB">
        <w:t>es inventaires, bases de do</w:t>
      </w:r>
      <w:r w:rsidR="00AE2197">
        <w:t>nnées, archives et document</w:t>
      </w:r>
      <w:r w:rsidR="009E64DB">
        <w:t xml:space="preserve">s numériques </w:t>
      </w:r>
      <w:r w:rsidR="00AE2197">
        <w:t xml:space="preserve">distincts conservés </w:t>
      </w:r>
      <w:r w:rsidR="009E64DB">
        <w:t>par divers organismes, ONG et institutions</w:t>
      </w:r>
      <w:r w:rsidR="000B4918">
        <w:t xml:space="preserve"> culturels</w:t>
      </w:r>
      <w:r w:rsidR="00AE2197">
        <w:t>. La délégation pensait que l</w:t>
      </w:r>
      <w:r w:rsidR="009E64DB">
        <w:t>e processus en cours apportait une réponse adaptée aux inquiétudes exprimées par l</w:t>
      </w:r>
      <w:r w:rsidR="00346F1B">
        <w:t>’</w:t>
      </w:r>
      <w:r w:rsidR="009E64DB">
        <w:t>Organe d</w:t>
      </w:r>
      <w:r w:rsidR="00346F1B">
        <w:t>’</w:t>
      </w:r>
      <w:r w:rsidR="009E64DB">
        <w:t>évaluation. En conclusion, la délégation était convaincue que les critères</w:t>
      </w:r>
      <w:r w:rsidR="000B4918">
        <w:t xml:space="preserve"> </w:t>
      </w:r>
      <w:r w:rsidR="009E64DB">
        <w:t>R.2 et R.5 étaient satisfaits, et elle soutenait donc résolument l</w:t>
      </w:r>
      <w:r w:rsidR="00346F1B">
        <w:t>’</w:t>
      </w:r>
      <w:r w:rsidR="005A12C8">
        <w:t>inscription.</w:t>
      </w:r>
    </w:p>
    <w:p w14:paraId="083020FB" w14:textId="14A3350D" w:rsidR="009868C1" w:rsidRPr="000B4918" w:rsidRDefault="00A31BC5" w:rsidP="005A12C8">
      <w:pPr>
        <w:pStyle w:val="Orateurengris"/>
        <w:spacing w:before="120"/>
        <w:ind w:left="709" w:hanging="709"/>
      </w:pPr>
      <w:r>
        <w:t xml:space="preserve">La délégation de </w:t>
      </w:r>
      <w:r w:rsidRPr="00A31BC5">
        <w:rPr>
          <w:b/>
        </w:rPr>
        <w:t>Maurice</w:t>
      </w:r>
      <w:r>
        <w:t xml:space="preserve"> a félicité l</w:t>
      </w:r>
      <w:r w:rsidR="00346F1B">
        <w:t>’</w:t>
      </w:r>
      <w:r>
        <w:t>Inde d</w:t>
      </w:r>
      <w:r w:rsidR="00346F1B">
        <w:t>’</w:t>
      </w:r>
      <w:r>
        <w:t>avoir présenté cette candidature, ajoutant qu</w:t>
      </w:r>
      <w:r w:rsidR="00346F1B">
        <w:t>’</w:t>
      </w:r>
      <w:r>
        <w:t xml:space="preserve">elle avait déjà </w:t>
      </w:r>
      <w:r w:rsidRPr="00A31BC5">
        <w:t>soumis</w:t>
      </w:r>
      <w:r>
        <w:t xml:space="preserve"> un amendement. Le yoga était une science ancienne visant à harmoniser le corps et l</w:t>
      </w:r>
      <w:r w:rsidR="00346F1B">
        <w:t>’</w:t>
      </w:r>
      <w:r>
        <w:t>esprit par une santé et un bien-être holistiques, c</w:t>
      </w:r>
      <w:r w:rsidR="00346F1B">
        <w:t>’</w:t>
      </w:r>
      <w:r>
        <w:t>était un présent d</w:t>
      </w:r>
      <w:r w:rsidR="00346F1B">
        <w:t>’</w:t>
      </w:r>
      <w:r>
        <w:t>une valeur inestimable fait à l</w:t>
      </w:r>
      <w:r w:rsidR="00346F1B">
        <w:t>’</w:t>
      </w:r>
      <w:r>
        <w:t xml:space="preserve">humanité, pratiqué par des millions de gens dans le monde entier. La résolution des Nations Unies 69/131 faisant du 21 juin le Journée internationale du yoga </w:t>
      </w:r>
      <w:r w:rsidR="00F464C4">
        <w:t xml:space="preserve">attestait </w:t>
      </w:r>
      <w:r>
        <w:t xml:space="preserve">de </w:t>
      </w:r>
      <w:r w:rsidR="007878F7">
        <w:t>l</w:t>
      </w:r>
      <w:r w:rsidR="00346F1B">
        <w:t>’</w:t>
      </w:r>
      <w:r>
        <w:t>universalité</w:t>
      </w:r>
      <w:r w:rsidR="007878F7">
        <w:t xml:space="preserve"> de la pratique</w:t>
      </w:r>
      <w:r>
        <w:t xml:space="preserve">. La délégation a </w:t>
      </w:r>
      <w:r w:rsidR="007878F7">
        <w:t xml:space="preserve">rappelé </w:t>
      </w:r>
      <w:r>
        <w:t>que l</w:t>
      </w:r>
      <w:r w:rsidR="00346F1B">
        <w:t>’</w:t>
      </w:r>
      <w:r>
        <w:t>Organe d</w:t>
      </w:r>
      <w:r w:rsidR="00346F1B">
        <w:t>’</w:t>
      </w:r>
      <w:r>
        <w:t>évaluation avait estimé que les critères R.2 et R.5 n</w:t>
      </w:r>
      <w:r w:rsidR="00346F1B">
        <w:t>’</w:t>
      </w:r>
      <w:r>
        <w:t>étaient pas satisfaits. Elle avait attentivement examiné les informations concernées dans le dossier de candidature et les documents soumis avec le dossi</w:t>
      </w:r>
      <w:r w:rsidR="005A340D">
        <w:t xml:space="preserve">er, </w:t>
      </w:r>
      <w:r>
        <w:t xml:space="preserve">et noté, </w:t>
      </w:r>
      <w:r w:rsidR="007878F7">
        <w:t xml:space="preserve">à propos </w:t>
      </w:r>
      <w:r>
        <w:t>du critère R.2, qu</w:t>
      </w:r>
      <w:r w:rsidR="00346F1B">
        <w:t>’</w:t>
      </w:r>
      <w:r>
        <w:t xml:space="preserve">on disait du yoga </w:t>
      </w:r>
      <w:r w:rsidR="005A340D">
        <w:t>qu</w:t>
      </w:r>
      <w:r w:rsidR="00346F1B">
        <w:t>’</w:t>
      </w:r>
      <w:r w:rsidR="005A340D">
        <w:t xml:space="preserve">il améliorait le dialogue entre les individus, groupes et communautés qui le pratiquaient, </w:t>
      </w:r>
      <w:r w:rsidR="007878F7">
        <w:t>ainsi qu</w:t>
      </w:r>
      <w:r w:rsidR="00346F1B">
        <w:t>’</w:t>
      </w:r>
      <w:r w:rsidR="005A340D">
        <w:t>au sein des communautés des arts du spectacle, des institutions d</w:t>
      </w:r>
      <w:r w:rsidR="00346F1B">
        <w:t>’</w:t>
      </w:r>
      <w:r w:rsidR="005A340D">
        <w:t xml:space="preserve">éducation et des centres de santé et parmi les individus stressés et </w:t>
      </w:r>
      <w:r w:rsidR="00F464C4">
        <w:t xml:space="preserve">ayant adopté </w:t>
      </w:r>
      <w:r w:rsidR="005A340D">
        <w:t>de</w:t>
      </w:r>
      <w:r w:rsidR="00F464C4">
        <w:t>s</w:t>
      </w:r>
      <w:r w:rsidR="005A340D">
        <w:t xml:space="preserve"> modes de vie </w:t>
      </w:r>
      <w:r w:rsidR="00F464C4">
        <w:t xml:space="preserve">préjudiciables à </w:t>
      </w:r>
      <w:r w:rsidR="005A340D">
        <w:t>leur santé. Il était également précisé que l</w:t>
      </w:r>
      <w:r w:rsidR="00346F1B">
        <w:t>’</w:t>
      </w:r>
      <w:r w:rsidR="005A340D">
        <w:t xml:space="preserve">inscription du yoga </w:t>
      </w:r>
      <w:r w:rsidR="005A1C3F">
        <w:t xml:space="preserve">engloberait et expliquerait un grand nombre de ses formes </w:t>
      </w:r>
      <w:r w:rsidR="007878F7">
        <w:t>(</w:t>
      </w:r>
      <w:r w:rsidR="005A1C3F">
        <w:t>historiques, analytiques, théoriques, pratiques</w:t>
      </w:r>
      <w:r w:rsidR="007878F7">
        <w:t>),</w:t>
      </w:r>
      <w:r w:rsidR="005A1C3F">
        <w:t xml:space="preserve"> une démarche nécessaire pour ressentir les aspect</w:t>
      </w:r>
      <w:r w:rsidR="007878F7">
        <w:t>s immatériels cachés derrière</w:t>
      </w:r>
      <w:r w:rsidR="005A1C3F">
        <w:t xml:space="preserve"> les aspects matériels. </w:t>
      </w:r>
      <w:r w:rsidR="007878F7">
        <w:t xml:space="preserve">À </w:t>
      </w:r>
      <w:r w:rsidR="005A1C3F">
        <w:t xml:space="preserve">la lecture des informations présentées dans le dossier, </w:t>
      </w:r>
      <w:r w:rsidR="007878F7">
        <w:t xml:space="preserve">il était évident </w:t>
      </w:r>
      <w:r w:rsidR="005A1C3F">
        <w:t>que l</w:t>
      </w:r>
      <w:r w:rsidR="00346F1B">
        <w:t>’</w:t>
      </w:r>
      <w:r w:rsidR="005A1C3F">
        <w:t>inscription du yoga encouragerait le dialogue et attirerait l</w:t>
      </w:r>
      <w:r w:rsidR="00346F1B">
        <w:t>’</w:t>
      </w:r>
      <w:r w:rsidR="005A1C3F">
        <w:t>attention sur ses nombreux aspects, de sa pratique fort répandue et très enracinée à ses innombrables expressions, permettant ainsi d</w:t>
      </w:r>
      <w:r w:rsidR="00346F1B">
        <w:t>’</w:t>
      </w:r>
      <w:r w:rsidR="005A1C3F">
        <w:t>expliquer son universalité. L</w:t>
      </w:r>
      <w:r w:rsidR="00346F1B">
        <w:t>’</w:t>
      </w:r>
      <w:r w:rsidR="005A1C3F">
        <w:t>Organe d</w:t>
      </w:r>
      <w:r w:rsidR="00346F1B">
        <w:t>’</w:t>
      </w:r>
      <w:r w:rsidR="005A1C3F">
        <w:t>évaluation avait également reconnu que des manuscrits anciens et des textes sacrés étaient utilisés dans l</w:t>
      </w:r>
      <w:r w:rsidR="00346F1B">
        <w:t>’</w:t>
      </w:r>
      <w:r w:rsidR="005A1C3F">
        <w:t>enseignement et la pratique du yoga, et que de très nombreux ouvrages de littérature moderne étai</w:t>
      </w:r>
      <w:r w:rsidR="009868C1">
        <w:t>en</w:t>
      </w:r>
      <w:r w:rsidR="005A1C3F">
        <w:t>t disponible</w:t>
      </w:r>
      <w:r w:rsidR="009868C1">
        <w:t>s</w:t>
      </w:r>
      <w:r w:rsidR="005A1C3F">
        <w:t xml:space="preserve"> sur le sujet. </w:t>
      </w:r>
      <w:r w:rsidR="009868C1">
        <w:t>En outre, conformément à l</w:t>
      </w:r>
      <w:r w:rsidR="00346F1B">
        <w:t>’</w:t>
      </w:r>
      <w:r w:rsidR="009868C1">
        <w:t>article 12 de la Convention, chaque État partie dressait son inventaire de façon adaptée à sa situation. Il apparaissait donc évident que l</w:t>
      </w:r>
      <w:r w:rsidR="00346F1B">
        <w:t>’</w:t>
      </w:r>
      <w:r w:rsidR="009868C1">
        <w:t xml:space="preserve">Inde avait pleinement satisfait </w:t>
      </w:r>
      <w:r w:rsidR="00124F65">
        <w:t xml:space="preserve">le </w:t>
      </w:r>
      <w:r w:rsidR="009868C1">
        <w:t>critère R.5. La délégation a souligné que l</w:t>
      </w:r>
      <w:r w:rsidR="00346F1B">
        <w:t>’</w:t>
      </w:r>
      <w:r w:rsidR="009868C1">
        <w:t xml:space="preserve">État partie avait déjà présenté des informations détaillées sur son inventaire national dans le formulaire de candidature, qui avait été </w:t>
      </w:r>
      <w:r w:rsidR="008052AC">
        <w:t>dûment</w:t>
      </w:r>
      <w:r w:rsidR="009868C1">
        <w:t xml:space="preserve"> pris en considération par l</w:t>
      </w:r>
      <w:r w:rsidR="00346F1B">
        <w:t>’</w:t>
      </w:r>
      <w:r w:rsidR="009868C1">
        <w:t>Organe d</w:t>
      </w:r>
      <w:r w:rsidR="00346F1B">
        <w:t>’</w:t>
      </w:r>
      <w:r w:rsidR="009868C1">
        <w:t>évaluation. Un lien vers le site web de l</w:t>
      </w:r>
      <w:r w:rsidR="00346F1B">
        <w:t>’</w:t>
      </w:r>
      <w:r w:rsidR="009868C1">
        <w:t>inv</w:t>
      </w:r>
      <w:r w:rsidR="00A157CD">
        <w:t>entaire était également indiqué</w:t>
      </w:r>
      <w:r w:rsidR="009868C1">
        <w:t>, site par lequel on accédait à toutes les bases de données accréditées des organisations et ONG associées au yoga. L</w:t>
      </w:r>
      <w:r w:rsidR="00346F1B">
        <w:t>’</w:t>
      </w:r>
      <w:r w:rsidR="009868C1">
        <w:t>inventaire du yoga associait une description de l</w:t>
      </w:r>
      <w:r w:rsidR="00346F1B">
        <w:t>’</w:t>
      </w:r>
      <w:r w:rsidR="009868C1">
        <w:t>élément et un enregistrement vidéo, qui, avec des photos, mettaient l</w:t>
      </w:r>
      <w:r w:rsidR="00346F1B">
        <w:t>’</w:t>
      </w:r>
      <w:r w:rsidR="009868C1">
        <w:t>accent sur ses différents aspects et leur importance. Il a également été rappelé qu</w:t>
      </w:r>
      <w:r w:rsidR="00346F1B">
        <w:t>’</w:t>
      </w:r>
      <w:r w:rsidR="009868C1">
        <w:t>en 2015, le Comité</w:t>
      </w:r>
      <w:r w:rsidR="006D38CE">
        <w:t xml:space="preserve"> avait reconnu la nécessité</w:t>
      </w:r>
      <w:r w:rsidR="009868C1">
        <w:t xml:space="preserve"> d</w:t>
      </w:r>
      <w:r w:rsidR="00346F1B">
        <w:t>’</w:t>
      </w:r>
      <w:r w:rsidR="009868C1">
        <w:t xml:space="preserve">une plus grande clarté </w:t>
      </w:r>
      <w:r w:rsidR="006D38CE">
        <w:t>quant au critère R.5. S</w:t>
      </w:r>
      <w:r w:rsidR="00346F1B">
        <w:t>’</w:t>
      </w:r>
      <w:r w:rsidR="006D38CE">
        <w:t xml:space="preserve">agissant des inventaires dressés par les États </w:t>
      </w:r>
      <w:r w:rsidR="00A46CAD">
        <w:t>membres</w:t>
      </w:r>
      <w:r w:rsidR="006D38CE">
        <w:t>,</w:t>
      </w:r>
      <w:r w:rsidR="00A157CD">
        <w:t xml:space="preserve"> la décision 10.COM 10, datant de</w:t>
      </w:r>
      <w:r w:rsidR="006D38CE">
        <w:t xml:space="preserve"> 2015, avait d</w:t>
      </w:r>
      <w:r w:rsidR="00346F1B">
        <w:t>’</w:t>
      </w:r>
      <w:r w:rsidR="006D38CE">
        <w:t>ailleurs défini des orientations précises sur ce qui constituait un extrait d</w:t>
      </w:r>
      <w:r w:rsidR="00346F1B">
        <w:t>’</w:t>
      </w:r>
      <w:r w:rsidR="006D38CE">
        <w:t xml:space="preserve">inventaire. En application de cette décision, en novembre 2016, le Secrétariat avait révisé le formulaire de candidature en y insérant des questions claires et précises sur ce critère, les États </w:t>
      </w:r>
      <w:r w:rsidR="00A46CAD">
        <w:t>membres</w:t>
      </w:r>
      <w:r w:rsidR="006D38CE">
        <w:t xml:space="preserve"> devant utiliser ce formulaire pour le cycle 2018. </w:t>
      </w:r>
      <w:r w:rsidR="00A157CD">
        <w:t>La candidature du yoga ayant</w:t>
      </w:r>
      <w:r w:rsidR="006D38CE">
        <w:t xml:space="preserve"> été soumise avant cette décision du Comité</w:t>
      </w:r>
      <w:r w:rsidR="00A157CD">
        <w:t xml:space="preserve">, </w:t>
      </w:r>
      <w:r w:rsidR="006D38CE">
        <w:t>l</w:t>
      </w:r>
      <w:r w:rsidR="00346F1B">
        <w:t>’</w:t>
      </w:r>
      <w:r w:rsidR="006D38CE">
        <w:t>État parti</w:t>
      </w:r>
      <w:r w:rsidR="00A157CD">
        <w:t>e n</w:t>
      </w:r>
      <w:r w:rsidR="00346F1B">
        <w:t>’</w:t>
      </w:r>
      <w:r w:rsidR="00A157CD">
        <w:t>avait donc pas bénéficié de ces</w:t>
      </w:r>
      <w:r w:rsidR="006D38CE">
        <w:t xml:space="preserve"> orientations pour cette candidature. L</w:t>
      </w:r>
      <w:r w:rsidR="00346F1B">
        <w:t>’</w:t>
      </w:r>
      <w:r w:rsidR="006D38CE">
        <w:t xml:space="preserve">État partie ne devrait donc pas </w:t>
      </w:r>
      <w:r w:rsidR="00A157CD">
        <w:t xml:space="preserve">être pénalisé pour </w:t>
      </w:r>
      <w:r w:rsidR="00F564D3">
        <w:t xml:space="preserve">un point </w:t>
      </w:r>
      <w:r w:rsidR="006D38CE">
        <w:t>que le Comité et l</w:t>
      </w:r>
      <w:r w:rsidR="00346F1B">
        <w:t>’</w:t>
      </w:r>
      <w:r w:rsidR="006D38CE">
        <w:t>Organe d</w:t>
      </w:r>
      <w:r w:rsidR="00346F1B">
        <w:t>’</w:t>
      </w:r>
      <w:r w:rsidR="006D38CE">
        <w:t>évaluation a</w:t>
      </w:r>
      <w:r w:rsidR="00A157CD">
        <w:t>vaient déjà reconnu comme n</w:t>
      </w:r>
      <w:r w:rsidR="00346F1B">
        <w:t>’</w:t>
      </w:r>
      <w:r w:rsidR="00A157CD">
        <w:t>étan</w:t>
      </w:r>
      <w:r w:rsidR="006D38CE">
        <w:t>t pas évident. Dans le dossier de candidature</w:t>
      </w:r>
      <w:r w:rsidR="00A157CD">
        <w:t>,</w:t>
      </w:r>
      <w:r w:rsidR="006D38CE">
        <w:t xml:space="preserve"> au titre du critère R.5, l</w:t>
      </w:r>
      <w:r w:rsidR="00346F1B">
        <w:t>’</w:t>
      </w:r>
      <w:r w:rsidR="006D38CE">
        <w:t>État soumissionnaire avait déclaré que l</w:t>
      </w:r>
      <w:r w:rsidR="00346F1B">
        <w:t>’</w:t>
      </w:r>
      <w:r w:rsidR="006D38CE">
        <w:t>inven</w:t>
      </w:r>
      <w:r w:rsidR="00AE2197">
        <w:t>taire national en Inde était un processus en cours destiné</w:t>
      </w:r>
      <w:r w:rsidR="006D38CE">
        <w:t xml:space="preserve"> à </w:t>
      </w:r>
      <w:r w:rsidR="00AE2197">
        <w:t xml:space="preserve">regrouper sur </w:t>
      </w:r>
      <w:r w:rsidR="006D38CE">
        <w:t xml:space="preserve">une plateforme commune </w:t>
      </w:r>
      <w:r w:rsidR="00AE2197">
        <w:t>l</w:t>
      </w:r>
      <w:r w:rsidR="00346F1B">
        <w:t>’</w:t>
      </w:r>
      <w:r w:rsidR="00AE2197">
        <w:t>ensemble d</w:t>
      </w:r>
      <w:r w:rsidR="006D38CE">
        <w:t xml:space="preserve">es inventaires, bases de données, archives et documents numériques distincts </w:t>
      </w:r>
      <w:r w:rsidR="00AE2197">
        <w:t>gérés par différents organes, ONG et institutions culturels. La déléga</w:t>
      </w:r>
      <w:r w:rsidR="00A157CD">
        <w:t xml:space="preserve">tion estimait que le processus </w:t>
      </w:r>
      <w:r w:rsidR="00AE2197">
        <w:t>en cours de réalisation apportait une réponse adaptée aux inquiétudes exprimées par l</w:t>
      </w:r>
      <w:r w:rsidR="00346F1B">
        <w:t>’</w:t>
      </w:r>
      <w:r w:rsidR="00AE2197">
        <w:t>Organe d</w:t>
      </w:r>
      <w:r w:rsidR="00346F1B">
        <w:t>’</w:t>
      </w:r>
      <w:r w:rsidR="00AE2197">
        <w:t>évaluation ; la mise à jour des inventaires et les efforts qui étaient alors déployés signifiaient clairement qu</w:t>
      </w:r>
      <w:r w:rsidR="00346F1B">
        <w:t>’</w:t>
      </w:r>
      <w:r w:rsidR="00AE2197">
        <w:t>il s</w:t>
      </w:r>
      <w:r w:rsidR="00346F1B">
        <w:t>’</w:t>
      </w:r>
      <w:r w:rsidR="00AE2197">
        <w:t>agissait d</w:t>
      </w:r>
      <w:r w:rsidR="00346F1B">
        <w:t>’</w:t>
      </w:r>
      <w:r w:rsidR="00AE2197">
        <w:t>un travail en cours de réalisation qui comprenait toutes les étapes de consultation et d</w:t>
      </w:r>
      <w:r w:rsidR="00346F1B">
        <w:t>’</w:t>
      </w:r>
      <w:r w:rsidR="00AE2197">
        <w:t>examen. Enfin, la délégation a attiré l</w:t>
      </w:r>
      <w:r w:rsidR="00346F1B">
        <w:t>’</w:t>
      </w:r>
      <w:r w:rsidR="00AE2197">
        <w:t xml:space="preserve">attention du Comité sur le fait que le yoga était reconnu et pratiqué au niveau international </w:t>
      </w:r>
      <w:r w:rsidR="00A157CD">
        <w:t xml:space="preserve">dans </w:t>
      </w:r>
      <w:r w:rsidR="00AE2197">
        <w:t>une très grande majorité des États parties. Dans le contexte de Maurice, le yoga s</w:t>
      </w:r>
      <w:r w:rsidR="00346F1B">
        <w:t>’</w:t>
      </w:r>
      <w:r w:rsidR="00AE2197">
        <w:t>était avéré bénéfique pour la soc</w:t>
      </w:r>
      <w:r w:rsidR="001A0A55">
        <w:t>iété mauricienne. De nombreux centres communautaires, institutions d</w:t>
      </w:r>
      <w:r w:rsidR="00346F1B">
        <w:t>’</w:t>
      </w:r>
      <w:r w:rsidR="001A0A55">
        <w:t xml:space="preserve">éducation, associations de personnes âgées, organisations de jeunesse, ainsi que des ministères et des départements </w:t>
      </w:r>
      <w:r w:rsidR="00A157CD">
        <w:t xml:space="preserve">administratifs </w:t>
      </w:r>
      <w:r w:rsidR="001A0A55">
        <w:t>organisaient régulièrement des cours de yoga. À une époque où, dans le monde entier, les conditions de travail étaient stressantes et où la société souffrait de plus en plus</w:t>
      </w:r>
      <w:r w:rsidR="00A157CD">
        <w:t xml:space="preserve"> de maux</w:t>
      </w:r>
      <w:r w:rsidR="001A0A55">
        <w:t>, le yoga contribuait grandement au bien-êt</w:t>
      </w:r>
      <w:r w:rsidR="00A157CD">
        <w:t xml:space="preserve">re holistique de la population, </w:t>
      </w:r>
      <w:r w:rsidR="001A0A55">
        <w:t>et de l</w:t>
      </w:r>
      <w:r w:rsidR="00346F1B">
        <w:t>’</w:t>
      </w:r>
      <w:r w:rsidR="001A0A55">
        <w:t xml:space="preserve">humanité en général. Le yoga était une condition </w:t>
      </w:r>
      <w:r w:rsidR="001A0A55" w:rsidRPr="001A0A55">
        <w:rPr>
          <w:i/>
        </w:rPr>
        <w:t>sine qua non</w:t>
      </w:r>
      <w:r w:rsidR="001A0A55">
        <w:t xml:space="preserve"> du développement socioéconomique d</w:t>
      </w:r>
      <w:r w:rsidR="00346F1B">
        <w:t>’</w:t>
      </w:r>
      <w:r w:rsidR="001A0A55">
        <w:t>une société, il réduisait les dépenses de santé de l</w:t>
      </w:r>
      <w:r w:rsidR="00346F1B">
        <w:t>’</w:t>
      </w:r>
      <w:r w:rsidR="001A0A55">
        <w:t>état et augmentait la productivité. La délégation était donc convaincue que les critères R.2 et R.5 étaient satisfaits. Compte tenu de l</w:t>
      </w:r>
      <w:r w:rsidR="00346F1B">
        <w:t>’</w:t>
      </w:r>
      <w:r w:rsidR="001A0A55">
        <w:t>indéniable universalité de l</w:t>
      </w:r>
      <w:r w:rsidR="00346F1B">
        <w:t>’</w:t>
      </w:r>
      <w:r w:rsidR="001A0A55">
        <w:t>élément, elle recommandait vivement son inscription et avait, à cette fin, soum</w:t>
      </w:r>
      <w:r w:rsidR="005A12C8">
        <w:t>is un amendement à la décision.</w:t>
      </w:r>
    </w:p>
    <w:p w14:paraId="686DE538" w14:textId="5BF3E2CE" w:rsidR="00A157CD" w:rsidRDefault="00A157CD" w:rsidP="005A12C8">
      <w:pPr>
        <w:pStyle w:val="Orateurengris"/>
        <w:spacing w:before="120"/>
        <w:ind w:left="709" w:hanging="709"/>
      </w:pPr>
      <w:r>
        <w:t>La délégation de l</w:t>
      </w:r>
      <w:r w:rsidR="00346F1B">
        <w:t>’</w:t>
      </w:r>
      <w:r w:rsidRPr="00564046">
        <w:rPr>
          <w:b/>
        </w:rPr>
        <w:t>Algérie</w:t>
      </w:r>
      <w:r>
        <w:t xml:space="preserve"> </w:t>
      </w:r>
      <w:r w:rsidR="00564046">
        <w:t xml:space="preserve">a reconnu </w:t>
      </w:r>
      <w:r>
        <w:t xml:space="preserve">que le yoga </w:t>
      </w:r>
      <w:r w:rsidR="00564046">
        <w:t>était une philosophie, un mode de vie emblématique de l</w:t>
      </w:r>
      <w:r w:rsidR="00346F1B">
        <w:t>’</w:t>
      </w:r>
      <w:r w:rsidR="00564046">
        <w:t>Inde qui était pratiqué dans le monde entier. Dans sa grande générosité, l</w:t>
      </w:r>
      <w:r w:rsidR="00346F1B">
        <w:t>’</w:t>
      </w:r>
      <w:r w:rsidR="00564046">
        <w:t>Inde l</w:t>
      </w:r>
      <w:r w:rsidR="00346F1B">
        <w:t>’</w:t>
      </w:r>
      <w:r w:rsidR="00564046">
        <w:t>offrait à l</w:t>
      </w:r>
      <w:r w:rsidR="00346F1B">
        <w:t>’</w:t>
      </w:r>
      <w:r w:rsidR="00564046">
        <w:t>humanité qui en était fort reconnaissante. Dans son rapport, l</w:t>
      </w:r>
      <w:r w:rsidR="00346F1B">
        <w:t>’</w:t>
      </w:r>
      <w:r w:rsidR="00564046">
        <w:t>Organe d</w:t>
      </w:r>
      <w:r w:rsidR="00346F1B">
        <w:t>’</w:t>
      </w:r>
      <w:r w:rsidR="00564046">
        <w:t>évaluation indiquait que le yoga influençait d</w:t>
      </w:r>
      <w:r w:rsidR="00346F1B">
        <w:t>’</w:t>
      </w:r>
      <w:r w:rsidR="00564046">
        <w:t>autres aspects de la vie, y compris la santé, la médecine, l</w:t>
      </w:r>
      <w:r w:rsidR="00346F1B">
        <w:t>’</w:t>
      </w:r>
      <w:r w:rsidR="00564046">
        <w:t>éducation et les arts. S</w:t>
      </w:r>
      <w:r w:rsidR="00346F1B">
        <w:t>’</w:t>
      </w:r>
      <w:r w:rsidR="00564046">
        <w:t>agissant du critè</w:t>
      </w:r>
      <w:r w:rsidR="00D301C4">
        <w:t>re R.2, la délégation souhaitait</w:t>
      </w:r>
      <w:r w:rsidR="00564046">
        <w:t xml:space="preserve"> quelques éclaircissements </w:t>
      </w:r>
      <w:r w:rsidR="00A062E7">
        <w:t xml:space="preserve">mineurs </w:t>
      </w:r>
      <w:r w:rsidR="00564046">
        <w:t>de la part de l</w:t>
      </w:r>
      <w:r w:rsidR="00346F1B">
        <w:t>’</w:t>
      </w:r>
      <w:r w:rsidR="00564046">
        <w:t>Inde sur l</w:t>
      </w:r>
      <w:r w:rsidR="00346F1B">
        <w:t>’</w:t>
      </w:r>
      <w:r w:rsidR="00564046">
        <w:t xml:space="preserve">influence du yoga sur le PCI en général, </w:t>
      </w:r>
      <w:r w:rsidR="00A062E7">
        <w:t>un point déjà abordé dans le rapport de l</w:t>
      </w:r>
      <w:r w:rsidR="00346F1B">
        <w:t>’</w:t>
      </w:r>
      <w:r w:rsidR="00A062E7">
        <w:t>Organe d</w:t>
      </w:r>
      <w:r w:rsidR="00346F1B">
        <w:t>’</w:t>
      </w:r>
      <w:r w:rsidR="005A12C8">
        <w:t>évaluation.</w:t>
      </w:r>
    </w:p>
    <w:p w14:paraId="71205EF7" w14:textId="59F6373F" w:rsidR="00A062E7" w:rsidRDefault="003A6355" w:rsidP="005A12C8">
      <w:pPr>
        <w:pStyle w:val="Orateurengris"/>
        <w:spacing w:before="120"/>
        <w:ind w:left="709" w:hanging="709"/>
      </w:pPr>
      <w:r>
        <w:t>Le</w:t>
      </w:r>
      <w:r w:rsidR="00A062E7">
        <w:t xml:space="preserve"> </w:t>
      </w:r>
      <w:r w:rsidR="00A062E7" w:rsidRPr="00A062E7">
        <w:rPr>
          <w:b/>
        </w:rPr>
        <w:t>Président</w:t>
      </w:r>
      <w:r w:rsidR="00A062E7">
        <w:t xml:space="preserve"> a pris </w:t>
      </w:r>
      <w:r w:rsidR="00EA4EBD">
        <w:t xml:space="preserve">note </w:t>
      </w:r>
      <w:r w:rsidR="00A062E7">
        <w:t>de cette question spécifique adressée à l</w:t>
      </w:r>
      <w:r w:rsidR="00346F1B">
        <w:t>’</w:t>
      </w:r>
      <w:r w:rsidR="005A12C8">
        <w:t>Inde.</w:t>
      </w:r>
    </w:p>
    <w:p w14:paraId="01E1630E" w14:textId="3382DE3C" w:rsidR="00A062E7" w:rsidRDefault="00A062E7" w:rsidP="005A12C8">
      <w:pPr>
        <w:pStyle w:val="Orateurengris"/>
        <w:spacing w:before="120"/>
        <w:ind w:left="709" w:hanging="709"/>
      </w:pPr>
      <w:r>
        <w:t>La délégation de l</w:t>
      </w:r>
      <w:r w:rsidR="00346F1B">
        <w:t>’</w:t>
      </w:r>
      <w:r w:rsidRPr="00A062E7">
        <w:rPr>
          <w:b/>
        </w:rPr>
        <w:t>Inde</w:t>
      </w:r>
      <w:r>
        <w:t xml:space="preserve"> a remercié l</w:t>
      </w:r>
      <w:r w:rsidR="00346F1B">
        <w:t>’</w:t>
      </w:r>
      <w:r>
        <w:t>Algérie pour cette question très pertinente, et a précisé au Comité que le yoga était</w:t>
      </w:r>
      <w:r w:rsidR="00EF536E">
        <w:t xml:space="preserve"> panindien</w:t>
      </w:r>
      <w:r>
        <w:t xml:space="preserve"> </w:t>
      </w:r>
      <w:r w:rsidR="008F1097">
        <w:t>et pratiqué dans tout</w:t>
      </w:r>
      <w:r w:rsidR="00EF536E">
        <w:t xml:space="preserve"> le pays, sans que la communauté</w:t>
      </w:r>
      <w:r>
        <w:t xml:space="preserve">, </w:t>
      </w:r>
      <w:r w:rsidR="00EF536E">
        <w:t>la classe sociale</w:t>
      </w:r>
      <w:r>
        <w:t xml:space="preserve">, </w:t>
      </w:r>
      <w:r w:rsidR="00EF536E">
        <w:t>la catégorie socioprofessionnelle</w:t>
      </w:r>
      <w:r>
        <w:t xml:space="preserve">, </w:t>
      </w:r>
      <w:r w:rsidR="00EF536E">
        <w:t>le genre, la religion et</w:t>
      </w:r>
      <w:r>
        <w:t xml:space="preserve"> l</w:t>
      </w:r>
      <w:r w:rsidR="00346F1B">
        <w:t>’</w:t>
      </w:r>
      <w:r>
        <w:t>âge</w:t>
      </w:r>
      <w:r w:rsidR="00EF536E">
        <w:t xml:space="preserve"> </w:t>
      </w:r>
      <w:r w:rsidR="008F1097">
        <w:t xml:space="preserve">des praticiens </w:t>
      </w:r>
      <w:r w:rsidR="00EF536E">
        <w:t>n</w:t>
      </w:r>
      <w:r w:rsidR="00346F1B">
        <w:t>’</w:t>
      </w:r>
      <w:r w:rsidR="00EF536E">
        <w:t>entrent en ligne de compte</w:t>
      </w:r>
      <w:r>
        <w:t xml:space="preserve">. </w:t>
      </w:r>
      <w:r w:rsidR="00EF536E">
        <w:t>En ce qui concerne le critère R.2, le dossier de candidature précisait que le yoga améliorerait le dialogue entre les individus, les groupes et les communautés qui le pratiquaient ainsi qu</w:t>
      </w:r>
      <w:r w:rsidR="00346F1B">
        <w:t>’</w:t>
      </w:r>
      <w:r w:rsidR="00EF536E">
        <w:t>au sein des communautés des arts du spectacle, des établissements d</w:t>
      </w:r>
      <w:r w:rsidR="00346F1B">
        <w:t>’</w:t>
      </w:r>
      <w:r w:rsidR="00EF536E">
        <w:t xml:space="preserve">enseignement, des centres médicaux et parmi les individus stressés </w:t>
      </w:r>
      <w:r w:rsidR="00EA4EBD">
        <w:t>ou aff</w:t>
      </w:r>
      <w:r w:rsidR="00D56240">
        <w:t xml:space="preserve">aiblis par de mauvais modes et </w:t>
      </w:r>
      <w:r w:rsidR="00EF536E">
        <w:t xml:space="preserve">conditions </w:t>
      </w:r>
      <w:r w:rsidR="00EA4EBD">
        <w:t>de vie</w:t>
      </w:r>
      <w:r w:rsidR="00EF536E">
        <w:t>. Les connaissances s</w:t>
      </w:r>
      <w:r w:rsidR="00585F77">
        <w:t xml:space="preserve">ur le yoga étaient diffusées au </w:t>
      </w:r>
      <w:r w:rsidR="00EF536E">
        <w:t>delà des frontières de l</w:t>
      </w:r>
      <w:r w:rsidR="00346F1B">
        <w:t>’</w:t>
      </w:r>
      <w:r w:rsidR="00EF536E">
        <w:t>Inde, et il s</w:t>
      </w:r>
      <w:r w:rsidR="00346F1B">
        <w:t>’</w:t>
      </w:r>
      <w:r w:rsidR="00EF536E">
        <w:t>agissait bien d</w:t>
      </w:r>
      <w:r w:rsidR="00346F1B">
        <w:t>’</w:t>
      </w:r>
      <w:r w:rsidR="00EF536E">
        <w:t>une pratique mondiale qui outrepassait également les notions de race</w:t>
      </w:r>
      <w:r w:rsidR="00E07E5F">
        <w:t>s</w:t>
      </w:r>
      <w:r w:rsidR="00EF536E">
        <w:t xml:space="preserve">. </w:t>
      </w:r>
      <w:proofErr w:type="gramStart"/>
      <w:r w:rsidR="00A96A3D">
        <w:t>La dossier</w:t>
      </w:r>
      <w:proofErr w:type="gramEnd"/>
      <w:r w:rsidR="00A96A3D">
        <w:t xml:space="preserve"> de candidature précisait que l</w:t>
      </w:r>
      <w:r w:rsidR="00346F1B">
        <w:t>’</w:t>
      </w:r>
      <w:r w:rsidR="00EF536E">
        <w:t xml:space="preserve">inscription permettrait </w:t>
      </w:r>
      <w:r w:rsidR="00A96A3D">
        <w:t>d</w:t>
      </w:r>
      <w:r w:rsidR="00346F1B">
        <w:t>’</w:t>
      </w:r>
      <w:r w:rsidR="00A96A3D">
        <w:t>accroitre résolument la visibilité du PCI en général. Le dialogue qui s</w:t>
      </w:r>
      <w:r w:rsidR="00346F1B">
        <w:t>’</w:t>
      </w:r>
      <w:r w:rsidR="00A96A3D">
        <w:t>ensuivrait entre les communautés, les groupes et les individus, ne se limiterait pas aux frontières de l</w:t>
      </w:r>
      <w:r w:rsidR="00346F1B">
        <w:t>’</w:t>
      </w:r>
      <w:r w:rsidR="00A96A3D">
        <w:t>Inde mais s</w:t>
      </w:r>
      <w:r w:rsidR="00346F1B">
        <w:t>’</w:t>
      </w:r>
      <w:r w:rsidR="00A96A3D">
        <w:t>ouvrirait au monde entier car les praticiens, les enseignants, les étudiants et autres seraient encouragés, par l</w:t>
      </w:r>
      <w:r w:rsidR="00346F1B">
        <w:t>’</w:t>
      </w:r>
      <w:r w:rsidR="00A96A3D">
        <w:t>inscription du yoga, à promouvoir son historicité, ses aspects analytiques et méditatifs, sa pratique et ses autres dimensions à l</w:t>
      </w:r>
      <w:r w:rsidR="00346F1B">
        <w:t>’</w:t>
      </w:r>
      <w:r w:rsidR="00A96A3D">
        <w:t>attrait universel, qui mêlaient le matériel à l</w:t>
      </w:r>
      <w:r w:rsidR="00346F1B">
        <w:t>’</w:t>
      </w:r>
      <w:r w:rsidR="00A96A3D">
        <w:t>immatériel. En réponse à la question de l</w:t>
      </w:r>
      <w:r w:rsidR="00346F1B">
        <w:t>’</w:t>
      </w:r>
      <w:r w:rsidR="00A96A3D">
        <w:t>Algérie, la délégation a déclaré que l</w:t>
      </w:r>
      <w:r w:rsidR="00346F1B">
        <w:t>’</w:t>
      </w:r>
      <w:r w:rsidR="00A96A3D">
        <w:t>inscription du yoga sur la Liste représentative permett</w:t>
      </w:r>
      <w:r w:rsidR="00CB09C1">
        <w:t>rait de promouvoir le respect de</w:t>
      </w:r>
      <w:r w:rsidR="00A96A3D">
        <w:t xml:space="preserve"> la diversité culturelle et de la créativité humaine car elle créerait un sentiment de communauté et un lien entre et à travers les praticiens, les enseignants et les différents individus et communautés qui suivaient la pratiq</w:t>
      </w:r>
      <w:r w:rsidR="008F1097">
        <w:t>ue. Son application et sa pratique universelles transcendaient et acceptaient toute l</w:t>
      </w:r>
      <w:r w:rsidR="00346F1B">
        <w:t>’</w:t>
      </w:r>
      <w:r w:rsidR="008F1097">
        <w:t xml:space="preserve">humanité, encourageant et améliorant ainsi le respect </w:t>
      </w:r>
      <w:r w:rsidR="00E07E5F">
        <w:t xml:space="preserve">de </w:t>
      </w:r>
      <w:r w:rsidR="008F1097">
        <w:t>la diversité et la créativit</w:t>
      </w:r>
      <w:r w:rsidR="005A12C8">
        <w:t>é humaine dans le monde entier.</w:t>
      </w:r>
    </w:p>
    <w:p w14:paraId="34622D06" w14:textId="5FAD9E84" w:rsidR="008F1097" w:rsidRPr="00A062E7" w:rsidRDefault="00E07E5F" w:rsidP="005A12C8">
      <w:pPr>
        <w:pStyle w:val="Orateurengris"/>
        <w:spacing w:before="120"/>
        <w:ind w:left="709" w:hanging="709"/>
      </w:pPr>
      <w:r>
        <w:t>Après avoir remercié l</w:t>
      </w:r>
      <w:r w:rsidR="00346F1B">
        <w:t>’</w:t>
      </w:r>
      <w:r>
        <w:t xml:space="preserve">Inde, le </w:t>
      </w:r>
      <w:r>
        <w:rPr>
          <w:b/>
        </w:rPr>
        <w:t xml:space="preserve">Président </w:t>
      </w:r>
      <w:r w:rsidR="00AC39C0">
        <w:t>a déclaré que compte tenu du</w:t>
      </w:r>
      <w:r>
        <w:t xml:space="preserve"> grand nombre d</w:t>
      </w:r>
      <w:r w:rsidR="00346F1B">
        <w:t>’</w:t>
      </w:r>
      <w:r>
        <w:t>intervena</w:t>
      </w:r>
      <w:r w:rsidR="00AC39C0">
        <w:t>nts inscrits sur la liste, il présumait que la candidature bénéficiait d</w:t>
      </w:r>
      <w:r w:rsidR="00346F1B">
        <w:t>’</w:t>
      </w:r>
      <w:r w:rsidR="00AC39C0">
        <w:t>un vaste soutien. Il a donc proposé de donner la parole à un État partie par groupe électoral avant de procéder à l</w:t>
      </w:r>
      <w:r w:rsidR="00346F1B">
        <w:t>’</w:t>
      </w:r>
      <w:r w:rsidR="005A12C8">
        <w:t>adoption.</w:t>
      </w:r>
    </w:p>
    <w:p w14:paraId="0BD30C49" w14:textId="22FA3C48" w:rsidR="00AC39C0" w:rsidRDefault="00AC39C0" w:rsidP="005A12C8">
      <w:pPr>
        <w:pStyle w:val="Orateurengris"/>
        <w:spacing w:before="120"/>
        <w:ind w:left="709" w:hanging="709"/>
      </w:pPr>
      <w:r>
        <w:t xml:space="preserve">La délégation de la </w:t>
      </w:r>
      <w:r w:rsidRPr="00AC39C0">
        <w:rPr>
          <w:b/>
        </w:rPr>
        <w:t>Palestine</w:t>
      </w:r>
      <w:r>
        <w:t xml:space="preserve"> a s</w:t>
      </w:r>
      <w:r w:rsidR="002567C8">
        <w:t>uggéré que l</w:t>
      </w:r>
      <w:r w:rsidR="00346F1B">
        <w:t>’</w:t>
      </w:r>
      <w:r w:rsidR="002567C8">
        <w:t xml:space="preserve">intervention des </w:t>
      </w:r>
      <w:r w:rsidR="00A46CAD">
        <w:t>membres</w:t>
      </w:r>
      <w:r>
        <w:t xml:space="preserve"> soit limitée à une minute, en partic</w:t>
      </w:r>
      <w:r w:rsidR="00EA4EBD">
        <w:t>ulier suite à l</w:t>
      </w:r>
      <w:r w:rsidR="00346F1B">
        <w:t>’</w:t>
      </w:r>
      <w:r w:rsidR="00EA4EBD">
        <w:t>intervention de</w:t>
      </w:r>
      <w:r>
        <w:t xml:space="preserve"> Maurice </w:t>
      </w:r>
      <w:r w:rsidR="00EA4EBD">
        <w:t>qui avait abordé</w:t>
      </w:r>
      <w:r w:rsidR="005A12C8">
        <w:t xml:space="preserve"> tous les aspects du dossier.</w:t>
      </w:r>
    </w:p>
    <w:p w14:paraId="6B4E735B" w14:textId="0169344E" w:rsidR="007264BC" w:rsidRDefault="00AC39C0" w:rsidP="005A12C8">
      <w:pPr>
        <w:pStyle w:val="Orateurengris"/>
        <w:spacing w:before="120"/>
        <w:ind w:left="709" w:hanging="709"/>
      </w:pPr>
      <w:r>
        <w:t xml:space="preserve">Le </w:t>
      </w:r>
      <w:r w:rsidRPr="00AC39C0">
        <w:rPr>
          <w:b/>
        </w:rPr>
        <w:t>Président</w:t>
      </w:r>
      <w:r>
        <w:t xml:space="preserve"> a souscrit à la proposition, et est reve</w:t>
      </w:r>
      <w:r w:rsidR="005A12C8">
        <w:t>nu à la liste des intervenants.</w:t>
      </w:r>
    </w:p>
    <w:p w14:paraId="29D0DD44" w14:textId="6D645F72" w:rsidR="00AC39C0" w:rsidRPr="00AC39C0" w:rsidRDefault="00AC39C0" w:rsidP="005A12C8">
      <w:pPr>
        <w:pStyle w:val="Orateurengris"/>
        <w:spacing w:before="120"/>
        <w:ind w:left="709" w:hanging="709"/>
      </w:pPr>
      <w:r w:rsidRPr="00AC39C0">
        <w:t xml:space="preserve">La délégation du </w:t>
      </w:r>
      <w:r w:rsidRPr="007264BC">
        <w:rPr>
          <w:b/>
        </w:rPr>
        <w:t>Guatemala</w:t>
      </w:r>
      <w:r w:rsidRPr="00AC39C0">
        <w:t xml:space="preserve"> </w:t>
      </w:r>
      <w:r>
        <w:t>avait le sentiment qu</w:t>
      </w:r>
      <w:r w:rsidR="00346F1B">
        <w:t>’</w:t>
      </w:r>
      <w:r>
        <w:t xml:space="preserve">il était important </w:t>
      </w:r>
      <w:r w:rsidR="00564C72">
        <w:t>de promouvoir des éléments très renommés comme le yoga, qui était pratiqué dans de nombreux pays et connu de</w:t>
      </w:r>
      <w:r w:rsidR="00300464">
        <w:t xml:space="preserve"> tous. Outre le message positif</w:t>
      </w:r>
      <w:r w:rsidR="00564C72">
        <w:t xml:space="preserve"> envoyé aux communautés de praticiens, l</w:t>
      </w:r>
      <w:r w:rsidR="00346F1B">
        <w:t>’</w:t>
      </w:r>
      <w:r w:rsidR="00564C72">
        <w:t xml:space="preserve">inscription donnerait une plus grande visibilité à la Convention et le critère R.2 serait </w:t>
      </w:r>
      <w:r w:rsidR="00300464">
        <w:t xml:space="preserve">ainsi </w:t>
      </w:r>
      <w:r w:rsidR="00564C72">
        <w:t>satisfait. Parallèlement, la délégation a fait remarquer que l</w:t>
      </w:r>
      <w:r w:rsidR="00346F1B">
        <w:t>’</w:t>
      </w:r>
      <w:r w:rsidR="00564C72">
        <w:t>élément avait été inclus dans l</w:t>
      </w:r>
      <w:r w:rsidR="00346F1B">
        <w:t>’</w:t>
      </w:r>
      <w:r w:rsidR="00564C72">
        <w:t>inventaire national en 2014 et que l</w:t>
      </w:r>
      <w:r w:rsidR="00346F1B">
        <w:t>’</w:t>
      </w:r>
      <w:r w:rsidR="00564C72">
        <w:t>organe en charge de l</w:t>
      </w:r>
      <w:r w:rsidR="00346F1B">
        <w:t>’</w:t>
      </w:r>
      <w:r w:rsidR="00564C72">
        <w:t>administration et de la mise à jour de celui-ci était la Sangeet Natak Akademi. Sur</w:t>
      </w:r>
      <w:r w:rsidR="00300464">
        <w:t xml:space="preserve"> la base de ces informations</w:t>
      </w:r>
      <w:r w:rsidR="00564C72">
        <w:t>, on pouvait estimer que le critère R.5 était satisfait. En conséquence, la délégation soutenait pleinement l</w:t>
      </w:r>
      <w:r w:rsidR="00346F1B">
        <w:t>’</w:t>
      </w:r>
      <w:r w:rsidR="00564C72">
        <w:t>inscription du yo</w:t>
      </w:r>
      <w:r w:rsidR="005A12C8">
        <w:t>ga sur la Liste représentative.</w:t>
      </w:r>
    </w:p>
    <w:p w14:paraId="114B6790" w14:textId="47DA5CE9" w:rsidR="00300464" w:rsidRDefault="004F5651" w:rsidP="005A12C8">
      <w:pPr>
        <w:pStyle w:val="Orateurengris"/>
        <w:spacing w:before="120"/>
        <w:ind w:left="709" w:hanging="709"/>
      </w:pPr>
      <w:r>
        <w:t xml:space="preserve">La délégation de la </w:t>
      </w:r>
      <w:r w:rsidRPr="004F5651">
        <w:rPr>
          <w:b/>
        </w:rPr>
        <w:t>Palestine</w:t>
      </w:r>
      <w:r w:rsidR="00EA4EBD">
        <w:t xml:space="preserve"> souscrivait aux </w:t>
      </w:r>
      <w:r>
        <w:t>remarques formulées par Mau</w:t>
      </w:r>
      <w:r w:rsidR="00DA501E">
        <w:t>rice ajoutant que, bien que le y</w:t>
      </w:r>
      <w:r>
        <w:t>oga soit originaire de l</w:t>
      </w:r>
      <w:r w:rsidR="00346F1B">
        <w:t>’</w:t>
      </w:r>
      <w:r>
        <w:t>Inde, c</w:t>
      </w:r>
      <w:r w:rsidR="00346F1B">
        <w:t>’</w:t>
      </w:r>
      <w:r>
        <w:t>était désormais un é</w:t>
      </w:r>
      <w:r w:rsidR="00DA501E">
        <w:t>lément international, universel, pratiqué par d</w:t>
      </w:r>
      <w:r>
        <w:t>es États dans le monde entier. Elle a remercié l</w:t>
      </w:r>
      <w:r w:rsidR="00346F1B">
        <w:t>’</w:t>
      </w:r>
      <w:r>
        <w:t>Inde d</w:t>
      </w:r>
      <w:r w:rsidR="00346F1B">
        <w:t>’</w:t>
      </w:r>
      <w:r>
        <w:t>avoir présenté cet élément et le Comité de soutenir son inscription. S</w:t>
      </w:r>
      <w:r w:rsidR="00346F1B">
        <w:t>’</w:t>
      </w:r>
      <w:r>
        <w:t>agissant du critère R.2, la visibilité du yoga étant supérieure à celle de la Convention elle-même, le yoga contribuerait ass</w:t>
      </w:r>
      <w:r w:rsidR="005A12C8">
        <w:t>urément à la visibilité du PCI.</w:t>
      </w:r>
    </w:p>
    <w:p w14:paraId="45C34DEC" w14:textId="5446955E" w:rsidR="00D34D42" w:rsidRDefault="00DA501E" w:rsidP="005A12C8">
      <w:pPr>
        <w:pStyle w:val="Orateurengris"/>
        <w:spacing w:before="120"/>
        <w:ind w:left="709" w:hanging="709"/>
      </w:pPr>
      <w:r>
        <w:t xml:space="preserve">La délégation des </w:t>
      </w:r>
      <w:r w:rsidRPr="00DA501E">
        <w:rPr>
          <w:b/>
        </w:rPr>
        <w:t>Philippines</w:t>
      </w:r>
      <w:r>
        <w:t xml:space="preserve"> a vivement recommandé l</w:t>
      </w:r>
      <w:r w:rsidR="00346F1B">
        <w:t>’</w:t>
      </w:r>
      <w:r>
        <w:t>inscription du yoga, ajou</w:t>
      </w:r>
      <w:r w:rsidR="007264BC">
        <w:t>tant que l</w:t>
      </w:r>
      <w:r w:rsidR="00346F1B">
        <w:t>’</w:t>
      </w:r>
      <w:r w:rsidR="007264BC">
        <w:t xml:space="preserve">Inde avait </w:t>
      </w:r>
      <w:r>
        <w:t xml:space="preserve">démontré </w:t>
      </w:r>
      <w:r w:rsidR="007264BC">
        <w:t xml:space="preserve">de façon suffisamment probante </w:t>
      </w:r>
      <w:r>
        <w:t xml:space="preserve">la satisfaction de tous les critères, en particulier </w:t>
      </w:r>
      <w:r w:rsidR="00D34D42">
        <w:t>s</w:t>
      </w:r>
      <w:r w:rsidR="00346F1B">
        <w:t>’</w:t>
      </w:r>
      <w:r w:rsidR="00D34D42">
        <w:t>agissant d</w:t>
      </w:r>
      <w:r>
        <w:t>es questions de visibilité et d</w:t>
      </w:r>
      <w:r w:rsidR="00346F1B">
        <w:t>’</w:t>
      </w:r>
      <w:r>
        <w:t>inventaire</w:t>
      </w:r>
      <w:r w:rsidR="00D34D42">
        <w:t>.</w:t>
      </w:r>
      <w:r w:rsidR="007264BC">
        <w:t xml:space="preserve"> </w:t>
      </w:r>
      <w:r w:rsidR="00D34D42">
        <w:t>Premièrement, il était évident, en raison de</w:t>
      </w:r>
      <w:r w:rsidR="007264BC">
        <w:t xml:space="preserve"> l</w:t>
      </w:r>
      <w:r w:rsidR="00346F1B">
        <w:t>’</w:t>
      </w:r>
      <w:r w:rsidR="007264BC">
        <w:t>élément lui-même mais surtout à la lecture du dossier de candidature, que le yoga encouragerait le dialogue et le respect, et protégerait la diversité culturelle. La pratique, ainsi que la façon dont elle était diffusée et transmise, était en soi un vecteur de visibilité et de sauvegarde. Par ailleurs, l</w:t>
      </w:r>
      <w:r w:rsidR="00346F1B">
        <w:t>’</w:t>
      </w:r>
      <w:r w:rsidR="007264BC">
        <w:t>Inde avait déclaré qu</w:t>
      </w:r>
      <w:r w:rsidR="00346F1B">
        <w:t>’</w:t>
      </w:r>
      <w:r w:rsidR="007264BC">
        <w:t>elle était en train de déployer des efforts pour regrouper l</w:t>
      </w:r>
      <w:r w:rsidR="00346F1B">
        <w:t>’</w:t>
      </w:r>
      <w:r w:rsidR="007264BC">
        <w:t xml:space="preserve">ensemble des inventaires, bases de données et archives </w:t>
      </w:r>
      <w:r w:rsidR="00D34D42">
        <w:t xml:space="preserve">distincts </w:t>
      </w:r>
      <w:r w:rsidR="007264BC">
        <w:t xml:space="preserve">détenus par différentes institutions. Ces efforts </w:t>
      </w:r>
      <w:r w:rsidR="00D34D42">
        <w:t>illustraient la détermination de l</w:t>
      </w:r>
      <w:r w:rsidR="00346F1B">
        <w:t>’</w:t>
      </w:r>
      <w:r w:rsidR="00D34D42">
        <w:t>État partie à mettre à jour régulièrement ses inventaires, ce qui témoignait de son approche systématique et holistique du yoga. La délégation a donc recommandé son inscription, une démarche tout à fait nécessaire dans un monde où les mesures de sauvegarde devaient être au premier plan de l</w:t>
      </w:r>
      <w:r w:rsidR="00346F1B">
        <w:t>’</w:t>
      </w:r>
      <w:r w:rsidR="005A12C8">
        <w:t>agenda culturel mondial.</w:t>
      </w:r>
    </w:p>
    <w:p w14:paraId="41C949BC" w14:textId="6873CDF7" w:rsidR="008979DE" w:rsidRPr="008979DE" w:rsidRDefault="00D34D42" w:rsidP="005A12C8">
      <w:pPr>
        <w:pStyle w:val="Orateurengris"/>
        <w:spacing w:before="120"/>
        <w:ind w:left="709" w:hanging="709"/>
        <w:rPr>
          <w:bCs/>
        </w:rPr>
      </w:pPr>
      <w:r>
        <w:rPr>
          <w:bCs/>
        </w:rPr>
        <w:t xml:space="preserve">La </w:t>
      </w:r>
      <w:r w:rsidRPr="00D34D42">
        <w:rPr>
          <w:bCs/>
        </w:rPr>
        <w:t>délégation</w:t>
      </w:r>
      <w:r>
        <w:rPr>
          <w:bCs/>
        </w:rPr>
        <w:t xml:space="preserve"> de l</w:t>
      </w:r>
      <w:r w:rsidR="00346F1B">
        <w:rPr>
          <w:bCs/>
        </w:rPr>
        <w:t>’</w:t>
      </w:r>
      <w:r w:rsidRPr="00D34D42">
        <w:rPr>
          <w:b/>
          <w:bCs/>
        </w:rPr>
        <w:t>Éthiopie</w:t>
      </w:r>
      <w:r>
        <w:rPr>
          <w:bCs/>
        </w:rPr>
        <w:t xml:space="preserve"> a félicité l</w:t>
      </w:r>
      <w:r w:rsidR="00346F1B">
        <w:rPr>
          <w:bCs/>
        </w:rPr>
        <w:t>’</w:t>
      </w:r>
      <w:r>
        <w:rPr>
          <w:bCs/>
        </w:rPr>
        <w:t>Inde d</w:t>
      </w:r>
      <w:r w:rsidR="00346F1B">
        <w:rPr>
          <w:bCs/>
        </w:rPr>
        <w:t>’</w:t>
      </w:r>
      <w:r>
        <w:rPr>
          <w:bCs/>
        </w:rPr>
        <w:t xml:space="preserve">avoir présenté la </w:t>
      </w:r>
      <w:r w:rsidRPr="00D34D42">
        <w:rPr>
          <w:bCs/>
        </w:rPr>
        <w:t>candidature</w:t>
      </w:r>
      <w:r w:rsidR="00967480">
        <w:rPr>
          <w:bCs/>
        </w:rPr>
        <w:t xml:space="preserve"> du yoga, ajoutant que l</w:t>
      </w:r>
      <w:r w:rsidR="00346F1B">
        <w:rPr>
          <w:bCs/>
        </w:rPr>
        <w:t>’</w:t>
      </w:r>
      <w:r w:rsidR="00967480" w:rsidRPr="00967480">
        <w:rPr>
          <w:bCs/>
        </w:rPr>
        <w:t>Éthiopie</w:t>
      </w:r>
      <w:r w:rsidR="00967480">
        <w:rPr>
          <w:bCs/>
        </w:rPr>
        <w:t xml:space="preserve"> avait été l</w:t>
      </w:r>
      <w:r w:rsidR="00346F1B">
        <w:rPr>
          <w:bCs/>
        </w:rPr>
        <w:t>’</w:t>
      </w:r>
      <w:r w:rsidR="00967480">
        <w:rPr>
          <w:bCs/>
        </w:rPr>
        <w:t xml:space="preserve">un des coauteurs de la </w:t>
      </w:r>
      <w:r w:rsidR="00967480" w:rsidRPr="00967480">
        <w:rPr>
          <w:bCs/>
        </w:rPr>
        <w:t>résolution</w:t>
      </w:r>
      <w:r w:rsidR="00967480">
        <w:rPr>
          <w:bCs/>
        </w:rPr>
        <w:t xml:space="preserve"> des Nations Unies </w:t>
      </w:r>
      <w:r w:rsidR="008979DE">
        <w:rPr>
          <w:bCs/>
        </w:rPr>
        <w:t>sur le yoga du</w:t>
      </w:r>
      <w:r w:rsidR="00967480">
        <w:rPr>
          <w:bCs/>
        </w:rPr>
        <w:t xml:space="preserve"> 11 décembre 2014. Compte tenu du soutien écrasant dont il bénéficiait, il était logique que l</w:t>
      </w:r>
      <w:r w:rsidR="00346F1B">
        <w:rPr>
          <w:bCs/>
        </w:rPr>
        <w:t>’</w:t>
      </w:r>
      <w:r w:rsidR="00967480">
        <w:rPr>
          <w:bCs/>
        </w:rPr>
        <w:t xml:space="preserve">UNESCO suive la même voie et reconnaisse le yoga comme </w:t>
      </w:r>
      <w:r w:rsidR="00967480" w:rsidRPr="00967480">
        <w:rPr>
          <w:bCs/>
        </w:rPr>
        <w:t>élément</w:t>
      </w:r>
      <w:r w:rsidR="00967480">
        <w:rPr>
          <w:bCs/>
        </w:rPr>
        <w:t xml:space="preserve"> du PCI de l</w:t>
      </w:r>
      <w:r w:rsidR="00346F1B">
        <w:rPr>
          <w:bCs/>
        </w:rPr>
        <w:t>’</w:t>
      </w:r>
      <w:r w:rsidR="00967480" w:rsidRPr="00967480">
        <w:rPr>
          <w:bCs/>
        </w:rPr>
        <w:t>humanité</w:t>
      </w:r>
      <w:r w:rsidR="00967480">
        <w:rPr>
          <w:bCs/>
        </w:rPr>
        <w:t>. Comme l</w:t>
      </w:r>
      <w:r w:rsidR="00346F1B">
        <w:rPr>
          <w:bCs/>
        </w:rPr>
        <w:t>’</w:t>
      </w:r>
      <w:r w:rsidR="00967480">
        <w:rPr>
          <w:bCs/>
        </w:rPr>
        <w:t xml:space="preserve">avaient clairement expliqué les </w:t>
      </w:r>
      <w:r w:rsidR="00967480" w:rsidRPr="00967480">
        <w:rPr>
          <w:bCs/>
        </w:rPr>
        <w:t>précédents</w:t>
      </w:r>
      <w:r w:rsidR="00967480">
        <w:rPr>
          <w:bCs/>
        </w:rPr>
        <w:t xml:space="preserve"> intervenants, l</w:t>
      </w:r>
      <w:r w:rsidR="00346F1B">
        <w:rPr>
          <w:bCs/>
        </w:rPr>
        <w:t>’</w:t>
      </w:r>
      <w:r w:rsidR="00967480" w:rsidRPr="00967480">
        <w:rPr>
          <w:bCs/>
        </w:rPr>
        <w:t>inscription</w:t>
      </w:r>
      <w:r w:rsidR="00967480">
        <w:rPr>
          <w:bCs/>
        </w:rPr>
        <w:t xml:space="preserve"> du yoga contribuerait à la visibilité du PCI en général, et renforcerait la prise de conscience de son importance aux niveaux local et national. Le yoga était une pratique panindi</w:t>
      </w:r>
      <w:r w:rsidR="00D84045">
        <w:rPr>
          <w:bCs/>
        </w:rPr>
        <w:t>enne répandue dans tout le pays</w:t>
      </w:r>
      <w:r w:rsidR="00967480">
        <w:rPr>
          <w:bCs/>
        </w:rPr>
        <w:t xml:space="preserve"> </w:t>
      </w:r>
      <w:r w:rsidR="00D84045">
        <w:rPr>
          <w:bCs/>
        </w:rPr>
        <w:t xml:space="preserve">indépendamment de </w:t>
      </w:r>
      <w:r w:rsidR="00385425">
        <w:rPr>
          <w:bCs/>
        </w:rPr>
        <w:t>la communauté, la classe sociale, la catégorie socioprofessionnelle, le genre, la religion et l</w:t>
      </w:r>
      <w:r w:rsidR="00346F1B">
        <w:rPr>
          <w:bCs/>
        </w:rPr>
        <w:t>’</w:t>
      </w:r>
      <w:r w:rsidR="00967480">
        <w:rPr>
          <w:bCs/>
        </w:rPr>
        <w:t>âge. L</w:t>
      </w:r>
      <w:r w:rsidR="00346F1B">
        <w:rPr>
          <w:bCs/>
        </w:rPr>
        <w:t>’</w:t>
      </w:r>
      <w:r w:rsidR="00967480" w:rsidRPr="00967480">
        <w:rPr>
          <w:bCs/>
        </w:rPr>
        <w:t>inscription</w:t>
      </w:r>
      <w:r w:rsidR="00967480">
        <w:rPr>
          <w:bCs/>
        </w:rPr>
        <w:t xml:space="preserve"> encouragerait donc le dialogue car el</w:t>
      </w:r>
      <w:r w:rsidR="00385425">
        <w:rPr>
          <w:bCs/>
        </w:rPr>
        <w:t>le attirerait l</w:t>
      </w:r>
      <w:r w:rsidR="00346F1B">
        <w:rPr>
          <w:bCs/>
        </w:rPr>
        <w:t>’</w:t>
      </w:r>
      <w:r w:rsidR="00385425">
        <w:rPr>
          <w:bCs/>
        </w:rPr>
        <w:t>attention sur les</w:t>
      </w:r>
      <w:r w:rsidR="00967480">
        <w:rPr>
          <w:bCs/>
        </w:rPr>
        <w:t xml:space="preserve"> nombreux aspects de sa pratique </w:t>
      </w:r>
      <w:r w:rsidR="00307BCB">
        <w:rPr>
          <w:bCs/>
        </w:rPr>
        <w:t>et sur ses innombrables expressions. Le dialogue qui s</w:t>
      </w:r>
      <w:r w:rsidR="00346F1B">
        <w:rPr>
          <w:bCs/>
        </w:rPr>
        <w:t>’</w:t>
      </w:r>
      <w:r w:rsidR="00307BCB">
        <w:rPr>
          <w:bCs/>
        </w:rPr>
        <w:t xml:space="preserve">ensuivrait entre les communautés, les groupes et </w:t>
      </w:r>
      <w:r w:rsidR="00307BCB" w:rsidRPr="00307BCB">
        <w:rPr>
          <w:bCs/>
        </w:rPr>
        <w:t>individus</w:t>
      </w:r>
      <w:r w:rsidR="00307BCB">
        <w:rPr>
          <w:bCs/>
        </w:rPr>
        <w:t xml:space="preserve"> ne serait pas seulement panindien mais s</w:t>
      </w:r>
      <w:r w:rsidR="00346F1B">
        <w:rPr>
          <w:bCs/>
        </w:rPr>
        <w:t>’</w:t>
      </w:r>
      <w:r w:rsidR="00307BCB">
        <w:rPr>
          <w:bCs/>
        </w:rPr>
        <w:t xml:space="preserve">ouvrirait </w:t>
      </w:r>
      <w:r w:rsidR="00307BCB" w:rsidRPr="00307BCB">
        <w:rPr>
          <w:bCs/>
        </w:rPr>
        <w:t>également</w:t>
      </w:r>
      <w:r w:rsidR="00307BCB">
        <w:rPr>
          <w:bCs/>
        </w:rPr>
        <w:t xml:space="preserve"> au monde entier car les praticiens, enseignants, étudiants et autres seraient encouragés</w:t>
      </w:r>
      <w:r w:rsidR="00385425">
        <w:rPr>
          <w:bCs/>
        </w:rPr>
        <w:t xml:space="preserve"> par son inclusion sur la</w:t>
      </w:r>
      <w:r w:rsidR="00307BCB">
        <w:rPr>
          <w:bCs/>
        </w:rPr>
        <w:t xml:space="preserve"> Liste représentative. En outre, l</w:t>
      </w:r>
      <w:r w:rsidR="00346F1B">
        <w:rPr>
          <w:bCs/>
        </w:rPr>
        <w:t>’</w:t>
      </w:r>
      <w:r w:rsidR="00307BCB" w:rsidRPr="00307BCB">
        <w:rPr>
          <w:bCs/>
        </w:rPr>
        <w:t>inscription</w:t>
      </w:r>
      <w:r w:rsidR="00307BCB">
        <w:rPr>
          <w:bCs/>
        </w:rPr>
        <w:t xml:space="preserve"> du yoga encouragerait le respect de la </w:t>
      </w:r>
      <w:r w:rsidR="00307BCB" w:rsidRPr="00307BCB">
        <w:rPr>
          <w:bCs/>
        </w:rPr>
        <w:t>diversité</w:t>
      </w:r>
      <w:r w:rsidR="00307BCB">
        <w:rPr>
          <w:bCs/>
        </w:rPr>
        <w:t xml:space="preserve"> culturelle et de la </w:t>
      </w:r>
      <w:r w:rsidR="00307BCB" w:rsidRPr="00307BCB">
        <w:rPr>
          <w:bCs/>
        </w:rPr>
        <w:t>créativité</w:t>
      </w:r>
      <w:r w:rsidR="00307BCB">
        <w:rPr>
          <w:bCs/>
        </w:rPr>
        <w:t xml:space="preserve"> humaine car elle créerait un sentiment de </w:t>
      </w:r>
      <w:r w:rsidR="00307BCB" w:rsidRPr="00307BCB">
        <w:rPr>
          <w:bCs/>
        </w:rPr>
        <w:t>communauté</w:t>
      </w:r>
      <w:r w:rsidR="00307BCB">
        <w:rPr>
          <w:bCs/>
        </w:rPr>
        <w:t xml:space="preserve"> et un lien entre les praticiens, les enseignants et les différents </w:t>
      </w:r>
      <w:r w:rsidR="00307BCB" w:rsidRPr="00307BCB">
        <w:rPr>
          <w:bCs/>
        </w:rPr>
        <w:t>individus</w:t>
      </w:r>
      <w:r w:rsidR="00307BCB">
        <w:rPr>
          <w:bCs/>
        </w:rPr>
        <w:t xml:space="preserve"> et communautés pratiquant le yoga. Le yoga encourageait le respect de tous, et son application et sa pratique universelle transcendai</w:t>
      </w:r>
      <w:r w:rsidR="008979DE">
        <w:rPr>
          <w:bCs/>
        </w:rPr>
        <w:t>en</w:t>
      </w:r>
      <w:r w:rsidR="00307BCB">
        <w:rPr>
          <w:bCs/>
        </w:rPr>
        <w:t>t et acceptai</w:t>
      </w:r>
      <w:r w:rsidR="008979DE">
        <w:rPr>
          <w:bCs/>
        </w:rPr>
        <w:t>en</w:t>
      </w:r>
      <w:r w:rsidR="00307BCB">
        <w:rPr>
          <w:bCs/>
        </w:rPr>
        <w:t>t tou</w:t>
      </w:r>
      <w:r w:rsidR="008979DE">
        <w:rPr>
          <w:bCs/>
        </w:rPr>
        <w:t>te l</w:t>
      </w:r>
      <w:r w:rsidR="00346F1B">
        <w:rPr>
          <w:bCs/>
        </w:rPr>
        <w:t>’</w:t>
      </w:r>
      <w:r w:rsidR="008979DE">
        <w:rPr>
          <w:bCs/>
        </w:rPr>
        <w:t>humanité, en encourageant et amélioran</w:t>
      </w:r>
      <w:r w:rsidR="00307BCB">
        <w:rPr>
          <w:bCs/>
        </w:rPr>
        <w:t xml:space="preserve">t </w:t>
      </w:r>
      <w:r w:rsidR="008979DE">
        <w:rPr>
          <w:bCs/>
        </w:rPr>
        <w:t>le respect de la diversité</w:t>
      </w:r>
      <w:r w:rsidR="00385425">
        <w:rPr>
          <w:bCs/>
        </w:rPr>
        <w:t xml:space="preserve"> culturelle</w:t>
      </w:r>
      <w:r w:rsidR="008979DE">
        <w:rPr>
          <w:bCs/>
        </w:rPr>
        <w:t xml:space="preserve"> et de la </w:t>
      </w:r>
      <w:r w:rsidR="008979DE" w:rsidRPr="008979DE">
        <w:rPr>
          <w:bCs/>
        </w:rPr>
        <w:t>créativité</w:t>
      </w:r>
      <w:r w:rsidR="00385425">
        <w:rPr>
          <w:bCs/>
        </w:rPr>
        <w:t xml:space="preserve"> humaine</w:t>
      </w:r>
      <w:r w:rsidR="008979DE">
        <w:rPr>
          <w:bCs/>
        </w:rPr>
        <w:t xml:space="preserve"> dans le monde entier. </w:t>
      </w:r>
      <w:r w:rsidR="008979DE" w:rsidRPr="008979DE">
        <w:rPr>
          <w:bCs/>
        </w:rPr>
        <w:t>En ce qui concerne</w:t>
      </w:r>
      <w:r w:rsidR="008979DE">
        <w:rPr>
          <w:bCs/>
        </w:rPr>
        <w:t xml:space="preserve"> le </w:t>
      </w:r>
      <w:r w:rsidR="008979DE" w:rsidRPr="008979DE">
        <w:rPr>
          <w:bCs/>
        </w:rPr>
        <w:t>critère</w:t>
      </w:r>
      <w:r w:rsidR="008979DE">
        <w:rPr>
          <w:bCs/>
        </w:rPr>
        <w:t xml:space="preserve"> R.5, après avoir consulté les communautés des </w:t>
      </w:r>
      <w:r w:rsidR="008979DE" w:rsidRPr="008979DE">
        <w:rPr>
          <w:bCs/>
        </w:rPr>
        <w:t>détenteurs</w:t>
      </w:r>
      <w:r w:rsidR="008979DE">
        <w:rPr>
          <w:bCs/>
        </w:rPr>
        <w:t xml:space="preserve"> et les </w:t>
      </w:r>
      <w:r w:rsidR="008979DE" w:rsidRPr="008979DE">
        <w:rPr>
          <w:bCs/>
        </w:rPr>
        <w:t>parties prenantes</w:t>
      </w:r>
      <w:r w:rsidR="008979DE">
        <w:rPr>
          <w:bCs/>
        </w:rPr>
        <w:t>, un consensus avait été obtenu pour inclure le yoga dans l</w:t>
      </w:r>
      <w:r w:rsidR="00346F1B">
        <w:rPr>
          <w:bCs/>
        </w:rPr>
        <w:t>’</w:t>
      </w:r>
      <w:r w:rsidR="008979DE" w:rsidRPr="008979DE">
        <w:rPr>
          <w:bCs/>
        </w:rPr>
        <w:t>inventaire</w:t>
      </w:r>
      <w:r w:rsidR="008979DE">
        <w:rPr>
          <w:bCs/>
        </w:rPr>
        <w:t xml:space="preserve"> du PCI de l</w:t>
      </w:r>
      <w:r w:rsidR="00346F1B">
        <w:rPr>
          <w:bCs/>
        </w:rPr>
        <w:t>’</w:t>
      </w:r>
      <w:r w:rsidR="008979DE">
        <w:rPr>
          <w:bCs/>
        </w:rPr>
        <w:t xml:space="preserve">Inde. Les </w:t>
      </w:r>
      <w:r w:rsidR="008979DE" w:rsidRPr="008979DE">
        <w:rPr>
          <w:bCs/>
        </w:rPr>
        <w:t>informations</w:t>
      </w:r>
      <w:r w:rsidR="008979DE">
        <w:rPr>
          <w:bCs/>
        </w:rPr>
        <w:t xml:space="preserve"> nécessaires à la </w:t>
      </w:r>
      <w:r w:rsidR="008979DE" w:rsidRPr="008979DE">
        <w:rPr>
          <w:bCs/>
        </w:rPr>
        <w:t>réalisation</w:t>
      </w:r>
      <w:r w:rsidR="008979DE">
        <w:rPr>
          <w:bCs/>
        </w:rPr>
        <w:t xml:space="preserve"> et la mise à jour des inventaires avaient été recueillies auprès de différents groupes, </w:t>
      </w:r>
      <w:r w:rsidR="008979DE" w:rsidRPr="008979DE">
        <w:rPr>
          <w:bCs/>
        </w:rPr>
        <w:t>institutions</w:t>
      </w:r>
      <w:r w:rsidR="008979DE">
        <w:rPr>
          <w:bCs/>
        </w:rPr>
        <w:t xml:space="preserve">, centres, </w:t>
      </w:r>
      <w:r w:rsidR="008979DE" w:rsidRPr="008979DE">
        <w:rPr>
          <w:bCs/>
        </w:rPr>
        <w:t>communauté</w:t>
      </w:r>
      <w:r w:rsidR="008979DE">
        <w:rPr>
          <w:bCs/>
        </w:rPr>
        <w:t xml:space="preserve">s, </w:t>
      </w:r>
      <w:r w:rsidR="008979DE" w:rsidRPr="008979DE">
        <w:rPr>
          <w:bCs/>
        </w:rPr>
        <w:t>détenteurs</w:t>
      </w:r>
      <w:r w:rsidR="008979DE">
        <w:rPr>
          <w:bCs/>
        </w:rPr>
        <w:t xml:space="preserve"> et parties concernées par l</w:t>
      </w:r>
      <w:r w:rsidR="00346F1B">
        <w:rPr>
          <w:bCs/>
        </w:rPr>
        <w:t>’</w:t>
      </w:r>
      <w:r w:rsidR="008979DE" w:rsidRPr="008979DE">
        <w:rPr>
          <w:bCs/>
        </w:rPr>
        <w:t>élément</w:t>
      </w:r>
      <w:r w:rsidR="008979DE">
        <w:rPr>
          <w:bCs/>
        </w:rPr>
        <w:t>. Des séminaires nationaux, des ateliers, des entretiens individuels et en groupe avaient été organisés afin d</w:t>
      </w:r>
      <w:r w:rsidR="00346F1B">
        <w:rPr>
          <w:bCs/>
        </w:rPr>
        <w:t>’</w:t>
      </w:r>
      <w:r w:rsidR="008979DE">
        <w:rPr>
          <w:bCs/>
        </w:rPr>
        <w:t xml:space="preserve">obtenir de précieuses connaissances et le </w:t>
      </w:r>
      <w:r w:rsidR="008979DE" w:rsidRPr="008979DE">
        <w:rPr>
          <w:bCs/>
        </w:rPr>
        <w:t>consentement</w:t>
      </w:r>
      <w:r w:rsidR="008979DE">
        <w:rPr>
          <w:bCs/>
        </w:rPr>
        <w:t xml:space="preserve"> des personnes interrogées. L</w:t>
      </w:r>
      <w:r w:rsidR="00346F1B">
        <w:rPr>
          <w:bCs/>
        </w:rPr>
        <w:t>’</w:t>
      </w:r>
      <w:r w:rsidR="008979DE">
        <w:rPr>
          <w:bCs/>
        </w:rPr>
        <w:t>inventaire</w:t>
      </w:r>
      <w:r w:rsidR="00585F77">
        <w:rPr>
          <w:bCs/>
        </w:rPr>
        <w:t xml:space="preserve"> avait intégré les sites web de</w:t>
      </w:r>
      <w:r w:rsidR="008979DE">
        <w:rPr>
          <w:bCs/>
        </w:rPr>
        <w:t xml:space="preserve"> ces organisations dans le portail web national pour </w:t>
      </w:r>
      <w:r w:rsidR="00585F77">
        <w:rPr>
          <w:bCs/>
        </w:rPr>
        <w:t xml:space="preserve">une </w:t>
      </w:r>
      <w:r w:rsidR="008979DE">
        <w:rPr>
          <w:bCs/>
        </w:rPr>
        <w:t xml:space="preserve">diffusion </w:t>
      </w:r>
      <w:r w:rsidR="00585F77">
        <w:rPr>
          <w:bCs/>
        </w:rPr>
        <w:t xml:space="preserve">et une gestion améliorées </w:t>
      </w:r>
      <w:r w:rsidR="008979DE">
        <w:rPr>
          <w:bCs/>
        </w:rPr>
        <w:t xml:space="preserve">des </w:t>
      </w:r>
      <w:r w:rsidR="008979DE" w:rsidRPr="008979DE">
        <w:rPr>
          <w:bCs/>
        </w:rPr>
        <w:t>informations</w:t>
      </w:r>
      <w:r w:rsidR="008979DE">
        <w:rPr>
          <w:bCs/>
        </w:rPr>
        <w:t xml:space="preserve">. La </w:t>
      </w:r>
      <w:r w:rsidR="008979DE" w:rsidRPr="008979DE">
        <w:rPr>
          <w:bCs/>
        </w:rPr>
        <w:t>délégation</w:t>
      </w:r>
      <w:r w:rsidR="008979DE">
        <w:rPr>
          <w:bCs/>
        </w:rPr>
        <w:t xml:space="preserve"> était donc convaincue que les critères R.2 et R.5 étaient satisfaits et, compte tenu de l</w:t>
      </w:r>
      <w:r w:rsidR="00346F1B">
        <w:rPr>
          <w:bCs/>
        </w:rPr>
        <w:t>’</w:t>
      </w:r>
      <w:r w:rsidR="008979DE">
        <w:rPr>
          <w:bCs/>
        </w:rPr>
        <w:t>indéniable universalité de l</w:t>
      </w:r>
      <w:r w:rsidR="00346F1B">
        <w:rPr>
          <w:bCs/>
        </w:rPr>
        <w:t>’</w:t>
      </w:r>
      <w:r w:rsidR="008979DE" w:rsidRPr="008979DE">
        <w:rPr>
          <w:bCs/>
        </w:rPr>
        <w:t>élément</w:t>
      </w:r>
      <w:r w:rsidR="008979DE">
        <w:rPr>
          <w:bCs/>
        </w:rPr>
        <w:t>, elle recommandait vivement son inscription. C</w:t>
      </w:r>
      <w:r w:rsidR="00346F1B">
        <w:rPr>
          <w:bCs/>
        </w:rPr>
        <w:t>’</w:t>
      </w:r>
      <w:r w:rsidR="008979DE">
        <w:rPr>
          <w:bCs/>
        </w:rPr>
        <w:t xml:space="preserve">était la raison pour laquelle elle soutenait la </w:t>
      </w:r>
      <w:r w:rsidR="008979DE" w:rsidRPr="008979DE">
        <w:rPr>
          <w:bCs/>
        </w:rPr>
        <w:t>décision</w:t>
      </w:r>
      <w:r w:rsidR="005A12C8">
        <w:rPr>
          <w:bCs/>
        </w:rPr>
        <w:t xml:space="preserve"> amendée.</w:t>
      </w:r>
    </w:p>
    <w:p w14:paraId="596C47D4" w14:textId="598EF6F9" w:rsidR="00585F77" w:rsidRPr="00585F77" w:rsidRDefault="00585F77" w:rsidP="005A12C8">
      <w:pPr>
        <w:pStyle w:val="Orateurengris"/>
        <w:spacing w:before="120"/>
        <w:ind w:left="709" w:hanging="709"/>
        <w:rPr>
          <w:bCs/>
        </w:rPr>
      </w:pPr>
      <w:r>
        <w:rPr>
          <w:bCs/>
        </w:rPr>
        <w:t xml:space="preserve">La </w:t>
      </w:r>
      <w:r w:rsidRPr="00585F77">
        <w:rPr>
          <w:bCs/>
        </w:rPr>
        <w:t>délégation</w:t>
      </w:r>
      <w:r>
        <w:rPr>
          <w:bCs/>
        </w:rPr>
        <w:t xml:space="preserve"> du </w:t>
      </w:r>
      <w:r w:rsidRPr="00585F77">
        <w:rPr>
          <w:b/>
          <w:bCs/>
        </w:rPr>
        <w:t>Liban</w:t>
      </w:r>
      <w:r>
        <w:rPr>
          <w:bCs/>
        </w:rPr>
        <w:t xml:space="preserve"> a félicité l</w:t>
      </w:r>
      <w:r w:rsidR="00346F1B">
        <w:rPr>
          <w:bCs/>
        </w:rPr>
        <w:t>’</w:t>
      </w:r>
      <w:r>
        <w:rPr>
          <w:bCs/>
        </w:rPr>
        <w:t xml:space="preserve">Inde pour la </w:t>
      </w:r>
      <w:r w:rsidRPr="00585F77">
        <w:rPr>
          <w:bCs/>
        </w:rPr>
        <w:t>candidature</w:t>
      </w:r>
      <w:r>
        <w:rPr>
          <w:bCs/>
        </w:rPr>
        <w:t xml:space="preserve"> du yoga, ajoutant qu</w:t>
      </w:r>
      <w:r w:rsidR="00346F1B">
        <w:rPr>
          <w:bCs/>
        </w:rPr>
        <w:t>’</w:t>
      </w:r>
      <w:r>
        <w:rPr>
          <w:bCs/>
        </w:rPr>
        <w:t xml:space="preserve">il était grand temps que cet élément soit sauvegardé, </w:t>
      </w:r>
      <w:r w:rsidRPr="00585F77">
        <w:rPr>
          <w:bCs/>
        </w:rPr>
        <w:t>en particulier</w:t>
      </w:r>
      <w:r>
        <w:rPr>
          <w:bCs/>
        </w:rPr>
        <w:t xml:space="preserve"> </w:t>
      </w:r>
      <w:r w:rsidRPr="00585F77">
        <w:rPr>
          <w:bCs/>
        </w:rPr>
        <w:t>parce que</w:t>
      </w:r>
      <w:r>
        <w:rPr>
          <w:bCs/>
        </w:rPr>
        <w:t xml:space="preserve"> le yoga était devenu une pratique </w:t>
      </w:r>
      <w:r w:rsidRPr="00585F77">
        <w:rPr>
          <w:bCs/>
        </w:rPr>
        <w:t xml:space="preserve">internationale </w:t>
      </w:r>
      <w:r>
        <w:rPr>
          <w:bCs/>
        </w:rPr>
        <w:t xml:space="preserve">qui rassemblait différents groupes et communautés au delà des frontières. En outre, la </w:t>
      </w:r>
      <w:r w:rsidRPr="00585F77">
        <w:rPr>
          <w:bCs/>
        </w:rPr>
        <w:t>délégation</w:t>
      </w:r>
      <w:r>
        <w:rPr>
          <w:bCs/>
        </w:rPr>
        <w:t xml:space="preserve"> avait pu constater que l</w:t>
      </w:r>
      <w:r w:rsidR="00346F1B">
        <w:rPr>
          <w:bCs/>
        </w:rPr>
        <w:t>’</w:t>
      </w:r>
      <w:r>
        <w:rPr>
          <w:bCs/>
        </w:rPr>
        <w:t xml:space="preserve">Inde avait communiqué des </w:t>
      </w:r>
      <w:r w:rsidRPr="00585F77">
        <w:rPr>
          <w:bCs/>
        </w:rPr>
        <w:t>informations</w:t>
      </w:r>
      <w:r>
        <w:rPr>
          <w:bCs/>
        </w:rPr>
        <w:t xml:space="preserve"> détaillées sur son </w:t>
      </w:r>
      <w:r w:rsidRPr="00585F77">
        <w:rPr>
          <w:bCs/>
        </w:rPr>
        <w:t>inventaire</w:t>
      </w:r>
      <w:r>
        <w:rPr>
          <w:bCs/>
        </w:rPr>
        <w:t xml:space="preserve"> national dans le dossier de candidature. Elle soutenait donc résolument son </w:t>
      </w:r>
      <w:r w:rsidRPr="00585F77">
        <w:rPr>
          <w:bCs/>
        </w:rPr>
        <w:t>inscription</w:t>
      </w:r>
      <w:r>
        <w:rPr>
          <w:bCs/>
        </w:rPr>
        <w:t>, et encourageait l</w:t>
      </w:r>
      <w:r w:rsidR="00346F1B">
        <w:rPr>
          <w:bCs/>
        </w:rPr>
        <w:t>’</w:t>
      </w:r>
      <w:r>
        <w:rPr>
          <w:bCs/>
        </w:rPr>
        <w:t xml:space="preserve">Inde dans ses efforts de mise à jour de son </w:t>
      </w:r>
      <w:r w:rsidRPr="00585F77">
        <w:rPr>
          <w:bCs/>
        </w:rPr>
        <w:t>inventaire</w:t>
      </w:r>
      <w:r w:rsidR="005A12C8">
        <w:rPr>
          <w:bCs/>
        </w:rPr>
        <w:t>.</w:t>
      </w:r>
    </w:p>
    <w:p w14:paraId="7B883B14" w14:textId="58EE54CD" w:rsidR="00585F77" w:rsidRPr="00585F77" w:rsidRDefault="00585F77" w:rsidP="005A12C8">
      <w:pPr>
        <w:pStyle w:val="Orateurengris"/>
        <w:spacing w:before="120"/>
        <w:ind w:left="709" w:hanging="709"/>
        <w:rPr>
          <w:bCs/>
        </w:rPr>
      </w:pPr>
      <w:r>
        <w:rPr>
          <w:bCs/>
        </w:rPr>
        <w:t xml:space="preserve">La </w:t>
      </w:r>
      <w:r w:rsidRPr="00585F77">
        <w:rPr>
          <w:bCs/>
        </w:rPr>
        <w:t>délégation</w:t>
      </w:r>
      <w:r>
        <w:rPr>
          <w:bCs/>
        </w:rPr>
        <w:t xml:space="preserve"> de la </w:t>
      </w:r>
      <w:r w:rsidRPr="00585F77">
        <w:rPr>
          <w:b/>
          <w:bCs/>
        </w:rPr>
        <w:t>Mongolie</w:t>
      </w:r>
      <w:r>
        <w:rPr>
          <w:bCs/>
        </w:rPr>
        <w:t xml:space="preserve"> a remercié l</w:t>
      </w:r>
      <w:r w:rsidR="00346F1B">
        <w:rPr>
          <w:bCs/>
        </w:rPr>
        <w:t>’</w:t>
      </w:r>
      <w:r>
        <w:rPr>
          <w:bCs/>
        </w:rPr>
        <w:t>Organe d</w:t>
      </w:r>
      <w:r w:rsidR="00346F1B">
        <w:rPr>
          <w:bCs/>
        </w:rPr>
        <w:t>’</w:t>
      </w:r>
      <w:r>
        <w:rPr>
          <w:bCs/>
        </w:rPr>
        <w:t>évaluation pour son travail ardu d</w:t>
      </w:r>
      <w:r w:rsidR="00346F1B">
        <w:rPr>
          <w:bCs/>
        </w:rPr>
        <w:t>’</w:t>
      </w:r>
      <w:r w:rsidRPr="00585F77">
        <w:rPr>
          <w:bCs/>
        </w:rPr>
        <w:t>évaluation</w:t>
      </w:r>
      <w:r>
        <w:rPr>
          <w:bCs/>
        </w:rPr>
        <w:t xml:space="preserve"> de cet </w:t>
      </w:r>
      <w:r w:rsidRPr="00585F77">
        <w:rPr>
          <w:bCs/>
        </w:rPr>
        <w:t>élément</w:t>
      </w:r>
      <w:r>
        <w:rPr>
          <w:bCs/>
        </w:rPr>
        <w:t>. Elle souscrivait aux propos de la Palestine selon lesquels le yoga était un élément mondial du PCI</w:t>
      </w:r>
      <w:r w:rsidR="00456094">
        <w:rPr>
          <w:bCs/>
        </w:rPr>
        <w:t xml:space="preserve">, </w:t>
      </w:r>
      <w:r w:rsidR="00124F65">
        <w:rPr>
          <w:bCs/>
        </w:rPr>
        <w:t xml:space="preserve">et il satisfaisait </w:t>
      </w:r>
      <w:r>
        <w:rPr>
          <w:bCs/>
        </w:rPr>
        <w:t>tous les critères d</w:t>
      </w:r>
      <w:r w:rsidR="00346F1B">
        <w:rPr>
          <w:bCs/>
        </w:rPr>
        <w:t>’</w:t>
      </w:r>
      <w:r w:rsidRPr="00585F77">
        <w:rPr>
          <w:bCs/>
        </w:rPr>
        <w:t>inscription</w:t>
      </w:r>
      <w:r>
        <w:rPr>
          <w:bCs/>
        </w:rPr>
        <w:t xml:space="preserve">. Elle soutenait donc résolument son </w:t>
      </w:r>
      <w:r w:rsidRPr="00585F77">
        <w:rPr>
          <w:bCs/>
        </w:rPr>
        <w:t>inscription</w:t>
      </w:r>
      <w:r w:rsidR="005A12C8">
        <w:rPr>
          <w:bCs/>
        </w:rPr>
        <w:t>.</w:t>
      </w:r>
    </w:p>
    <w:p w14:paraId="71886E9C" w14:textId="66D6548C" w:rsidR="00456094" w:rsidRPr="00456094" w:rsidRDefault="00456094" w:rsidP="005A12C8">
      <w:pPr>
        <w:pStyle w:val="Orateurengris"/>
        <w:spacing w:before="120"/>
        <w:ind w:left="709" w:hanging="709"/>
        <w:rPr>
          <w:bCs/>
        </w:rPr>
      </w:pPr>
      <w:r>
        <w:rPr>
          <w:bCs/>
        </w:rPr>
        <w:t xml:space="preserve">La </w:t>
      </w:r>
      <w:r w:rsidRPr="00456094">
        <w:rPr>
          <w:bCs/>
        </w:rPr>
        <w:t>délégation</w:t>
      </w:r>
      <w:r>
        <w:rPr>
          <w:bCs/>
        </w:rPr>
        <w:t xml:space="preserve"> de la </w:t>
      </w:r>
      <w:r w:rsidRPr="00456094">
        <w:rPr>
          <w:b/>
          <w:bCs/>
        </w:rPr>
        <w:t>Bulgarie</w:t>
      </w:r>
      <w:r>
        <w:rPr>
          <w:bCs/>
        </w:rPr>
        <w:t xml:space="preserve"> a félicité l</w:t>
      </w:r>
      <w:r w:rsidR="00346F1B">
        <w:rPr>
          <w:bCs/>
        </w:rPr>
        <w:t>’</w:t>
      </w:r>
      <w:r>
        <w:rPr>
          <w:bCs/>
        </w:rPr>
        <w:t>Inde, ajoutant qu</w:t>
      </w:r>
      <w:r w:rsidR="00346F1B">
        <w:rPr>
          <w:bCs/>
        </w:rPr>
        <w:t>’</w:t>
      </w:r>
      <w:r>
        <w:rPr>
          <w:bCs/>
        </w:rPr>
        <w:t>elle se réjouissait de l</w:t>
      </w:r>
      <w:r w:rsidR="00346F1B">
        <w:rPr>
          <w:bCs/>
        </w:rPr>
        <w:t>’</w:t>
      </w:r>
      <w:r w:rsidRPr="00456094">
        <w:rPr>
          <w:bCs/>
        </w:rPr>
        <w:t>inscription</w:t>
      </w:r>
      <w:r>
        <w:rPr>
          <w:bCs/>
        </w:rPr>
        <w:t xml:space="preserve"> du yoga sur la Liste représentative </w:t>
      </w:r>
      <w:r w:rsidRPr="00456094">
        <w:rPr>
          <w:bCs/>
        </w:rPr>
        <w:t>parce que</w:t>
      </w:r>
      <w:r>
        <w:rPr>
          <w:bCs/>
        </w:rPr>
        <w:t>, comme l</w:t>
      </w:r>
      <w:r w:rsidR="00346F1B">
        <w:rPr>
          <w:bCs/>
        </w:rPr>
        <w:t>’</w:t>
      </w:r>
      <w:r>
        <w:rPr>
          <w:bCs/>
        </w:rPr>
        <w:t>UNESCO, il aidai</w:t>
      </w:r>
      <w:r w:rsidR="005A12C8">
        <w:rPr>
          <w:bCs/>
        </w:rPr>
        <w:t>t à façonner un monde meilleur.</w:t>
      </w:r>
    </w:p>
    <w:p w14:paraId="2C5EE3D2" w14:textId="3F58D6A7" w:rsidR="00456094" w:rsidRPr="00EC4186" w:rsidRDefault="00456094" w:rsidP="005A12C8">
      <w:pPr>
        <w:pStyle w:val="Orateurengris"/>
        <w:spacing w:before="120"/>
        <w:ind w:left="709" w:hanging="709"/>
        <w:rPr>
          <w:bCs/>
        </w:rPr>
      </w:pPr>
      <w:r>
        <w:rPr>
          <w:bCs/>
        </w:rPr>
        <w:t xml:space="preserve">La </w:t>
      </w:r>
      <w:r w:rsidRPr="00456094">
        <w:rPr>
          <w:bCs/>
        </w:rPr>
        <w:t>délégation</w:t>
      </w:r>
      <w:r>
        <w:rPr>
          <w:bCs/>
        </w:rPr>
        <w:t xml:space="preserve"> de l</w:t>
      </w:r>
      <w:r w:rsidR="00346F1B">
        <w:rPr>
          <w:bCs/>
        </w:rPr>
        <w:t>’</w:t>
      </w:r>
      <w:r w:rsidRPr="00456094">
        <w:rPr>
          <w:b/>
          <w:bCs/>
        </w:rPr>
        <w:t>Arménie</w:t>
      </w:r>
      <w:r>
        <w:rPr>
          <w:bCs/>
        </w:rPr>
        <w:t xml:space="preserve"> a rappelé que, le 27 septembre 2014, devant l</w:t>
      </w:r>
      <w:r w:rsidR="00346F1B">
        <w:rPr>
          <w:bCs/>
        </w:rPr>
        <w:t>’</w:t>
      </w:r>
      <w:r>
        <w:rPr>
          <w:bCs/>
        </w:rPr>
        <w:t>Assemblée générale, le Premier ministre de l</w:t>
      </w:r>
      <w:r w:rsidR="00346F1B">
        <w:rPr>
          <w:bCs/>
        </w:rPr>
        <w:t>’</w:t>
      </w:r>
      <w:r>
        <w:rPr>
          <w:bCs/>
        </w:rPr>
        <w:t>Inde, M. Narendra Modi, dans son adresse aux Nations Unies</w:t>
      </w:r>
      <w:r w:rsidR="00EC4186">
        <w:rPr>
          <w:bCs/>
        </w:rPr>
        <w:t xml:space="preserve">, avait qualifié </w:t>
      </w:r>
      <w:r w:rsidRPr="00EC4186">
        <w:rPr>
          <w:bCs/>
        </w:rPr>
        <w:t xml:space="preserve">le yoga de « cadeau précieux de </w:t>
      </w:r>
      <w:r w:rsidR="00EC4186">
        <w:rPr>
          <w:bCs/>
        </w:rPr>
        <w:t xml:space="preserve">la </w:t>
      </w:r>
      <w:r w:rsidR="00EC4186" w:rsidRPr="00EC4186">
        <w:rPr>
          <w:bCs/>
        </w:rPr>
        <w:t>civilisation</w:t>
      </w:r>
      <w:r w:rsidR="00EC4186">
        <w:rPr>
          <w:bCs/>
        </w:rPr>
        <w:t xml:space="preserve"> et de la </w:t>
      </w:r>
      <w:r w:rsidRPr="00EC4186">
        <w:rPr>
          <w:bCs/>
        </w:rPr>
        <w:t>tradition</w:t>
      </w:r>
      <w:r w:rsidR="00EC4186">
        <w:rPr>
          <w:bCs/>
        </w:rPr>
        <w:t xml:space="preserve"> anciennes </w:t>
      </w:r>
      <w:r w:rsidRPr="00EC4186">
        <w:rPr>
          <w:bCs/>
        </w:rPr>
        <w:t>de l</w:t>
      </w:r>
      <w:r w:rsidR="00346F1B">
        <w:rPr>
          <w:bCs/>
        </w:rPr>
        <w:t>’</w:t>
      </w:r>
      <w:r w:rsidRPr="00EC4186">
        <w:rPr>
          <w:bCs/>
        </w:rPr>
        <w:t>Inde ». Il avait appelé à ce que le 21 juin, jour du solstice d</w:t>
      </w:r>
      <w:r w:rsidR="00346F1B">
        <w:rPr>
          <w:bCs/>
        </w:rPr>
        <w:t>’</w:t>
      </w:r>
      <w:r w:rsidRPr="00EC4186">
        <w:rPr>
          <w:bCs/>
        </w:rPr>
        <w:t xml:space="preserve">été, soit reconnu Journée </w:t>
      </w:r>
      <w:r w:rsidR="00EC4186">
        <w:rPr>
          <w:bCs/>
        </w:rPr>
        <w:t>internationale</w:t>
      </w:r>
      <w:r w:rsidRPr="00EC4186">
        <w:rPr>
          <w:bCs/>
        </w:rPr>
        <w:t xml:space="preserve"> du yoga. </w:t>
      </w:r>
      <w:r w:rsidR="00EC4186">
        <w:rPr>
          <w:bCs/>
        </w:rPr>
        <w:t>En tant que jour le plus long de l</w:t>
      </w:r>
      <w:r w:rsidR="00346F1B">
        <w:rPr>
          <w:bCs/>
        </w:rPr>
        <w:t>’</w:t>
      </w:r>
      <w:r w:rsidR="00EC4186">
        <w:rPr>
          <w:bCs/>
        </w:rPr>
        <w:t>année dans l</w:t>
      </w:r>
      <w:r w:rsidR="00346F1B">
        <w:rPr>
          <w:bCs/>
        </w:rPr>
        <w:t>’</w:t>
      </w:r>
      <w:r w:rsidR="00EC4186">
        <w:rPr>
          <w:bCs/>
        </w:rPr>
        <w:t xml:space="preserve">hémisphère nord, cette journée avait une </w:t>
      </w:r>
      <w:r w:rsidR="00EC4186" w:rsidRPr="00EC4186">
        <w:rPr>
          <w:bCs/>
        </w:rPr>
        <w:t xml:space="preserve">signification </w:t>
      </w:r>
      <w:r w:rsidR="00EC4186">
        <w:rPr>
          <w:bCs/>
        </w:rPr>
        <w:t>particulière pour toute l</w:t>
      </w:r>
      <w:r w:rsidR="00346F1B">
        <w:rPr>
          <w:bCs/>
        </w:rPr>
        <w:t>’</w:t>
      </w:r>
      <w:r w:rsidR="00EC4186">
        <w:rPr>
          <w:bCs/>
        </w:rPr>
        <w:t xml:space="preserve">humanité dans différentes parties du monde. </w:t>
      </w:r>
      <w:r w:rsidR="00EC4186" w:rsidRPr="00EC4186">
        <w:rPr>
          <w:bCs/>
        </w:rPr>
        <w:t>En conséquence</w:t>
      </w:r>
      <w:r w:rsidR="00EC4186">
        <w:rPr>
          <w:bCs/>
        </w:rPr>
        <w:t>, le 11 décembre 2014, l</w:t>
      </w:r>
      <w:r w:rsidR="00346F1B">
        <w:rPr>
          <w:bCs/>
        </w:rPr>
        <w:t>’</w:t>
      </w:r>
      <w:r w:rsidR="00EC4186">
        <w:rPr>
          <w:bCs/>
        </w:rPr>
        <w:t xml:space="preserve">Assemblée générale des Nations Unies avait déclaré le 21 juin, Journée </w:t>
      </w:r>
      <w:r w:rsidR="00EC4186" w:rsidRPr="00EC4186">
        <w:rPr>
          <w:bCs/>
        </w:rPr>
        <w:t xml:space="preserve">internationale </w:t>
      </w:r>
      <w:r w:rsidR="00EC4186">
        <w:rPr>
          <w:bCs/>
        </w:rPr>
        <w:t xml:space="preserve">du yoga. Deux années plus tard, le Comité se lançait dans une autre </w:t>
      </w:r>
      <w:r w:rsidR="00EC4186" w:rsidRPr="00EC4186">
        <w:rPr>
          <w:bCs/>
        </w:rPr>
        <w:t>reconnaissance</w:t>
      </w:r>
      <w:r w:rsidR="00EC4186">
        <w:rPr>
          <w:bCs/>
        </w:rPr>
        <w:t xml:space="preserve"> du yoga qui entrerait dans l</w:t>
      </w:r>
      <w:r w:rsidR="00346F1B">
        <w:rPr>
          <w:bCs/>
        </w:rPr>
        <w:t>’</w:t>
      </w:r>
      <w:r w:rsidR="00EC4186">
        <w:rPr>
          <w:bCs/>
        </w:rPr>
        <w:t xml:space="preserve">histoire. La </w:t>
      </w:r>
      <w:r w:rsidR="00EC4186" w:rsidRPr="00EC4186">
        <w:rPr>
          <w:bCs/>
        </w:rPr>
        <w:t>délégation</w:t>
      </w:r>
      <w:r w:rsidR="00EC4186">
        <w:rPr>
          <w:bCs/>
        </w:rPr>
        <w:t xml:space="preserve"> a félicité l</w:t>
      </w:r>
      <w:r w:rsidR="00346F1B">
        <w:rPr>
          <w:bCs/>
        </w:rPr>
        <w:t>’</w:t>
      </w:r>
      <w:r w:rsidR="00EC4186">
        <w:rPr>
          <w:bCs/>
        </w:rPr>
        <w:t>Inde d</w:t>
      </w:r>
      <w:r w:rsidR="00346F1B">
        <w:rPr>
          <w:bCs/>
        </w:rPr>
        <w:t>’</w:t>
      </w:r>
      <w:r w:rsidR="00EC4186">
        <w:rPr>
          <w:bCs/>
        </w:rPr>
        <w:t xml:space="preserve">avoir soumis cette importante </w:t>
      </w:r>
      <w:r w:rsidR="00EC4186" w:rsidRPr="00EC4186">
        <w:rPr>
          <w:bCs/>
        </w:rPr>
        <w:t>candidature</w:t>
      </w:r>
      <w:r w:rsidR="005A12C8">
        <w:rPr>
          <w:bCs/>
        </w:rPr>
        <w:t>.</w:t>
      </w:r>
    </w:p>
    <w:p w14:paraId="35FE89BE" w14:textId="0BE00298" w:rsidR="00382806" w:rsidRPr="00382806" w:rsidRDefault="00382806" w:rsidP="005A12C8">
      <w:pPr>
        <w:pStyle w:val="Orateurengris"/>
        <w:spacing w:before="120"/>
        <w:ind w:left="709" w:hanging="709"/>
        <w:rPr>
          <w:bCs/>
        </w:rPr>
      </w:pPr>
      <w:r w:rsidRPr="00382806">
        <w:rPr>
          <w:bCs/>
        </w:rPr>
        <w:t xml:space="preserve">La délégation du </w:t>
      </w:r>
      <w:r w:rsidRPr="00382806">
        <w:rPr>
          <w:b/>
          <w:bCs/>
        </w:rPr>
        <w:t>Sénégal</w:t>
      </w:r>
      <w:r w:rsidRPr="00382806">
        <w:rPr>
          <w:bCs/>
        </w:rPr>
        <w:t xml:space="preserve"> soutenait les remarques form</w:t>
      </w:r>
      <w:r>
        <w:rPr>
          <w:bCs/>
        </w:rPr>
        <w:t xml:space="preserve">ulées par la Turquie et Maurice, ajoutant que le Sénégal était </w:t>
      </w:r>
      <w:r w:rsidRPr="00382806">
        <w:rPr>
          <w:bCs/>
        </w:rPr>
        <w:t>également</w:t>
      </w:r>
      <w:r>
        <w:rPr>
          <w:bCs/>
        </w:rPr>
        <w:t xml:space="preserve"> coauteur de la </w:t>
      </w:r>
      <w:r w:rsidRPr="00382806">
        <w:rPr>
          <w:bCs/>
        </w:rPr>
        <w:t>reconnaissance</w:t>
      </w:r>
      <w:r>
        <w:rPr>
          <w:bCs/>
        </w:rPr>
        <w:t xml:space="preserve"> du yoga en tant que pratique internationale, aux Nations Unies en 2014. La </w:t>
      </w:r>
      <w:r w:rsidRPr="00382806">
        <w:rPr>
          <w:bCs/>
        </w:rPr>
        <w:t>délégation</w:t>
      </w:r>
      <w:r>
        <w:rPr>
          <w:bCs/>
        </w:rPr>
        <w:t xml:space="preserve"> a rappelé la remarque de la Palestine selon laquelle le yoga était plus visible que l</w:t>
      </w:r>
      <w:r w:rsidR="00346F1B">
        <w:rPr>
          <w:bCs/>
        </w:rPr>
        <w:t>’</w:t>
      </w:r>
      <w:r>
        <w:rPr>
          <w:bCs/>
        </w:rPr>
        <w:t>UNESCO. Bien que ce ne soit pas</w:t>
      </w:r>
      <w:r w:rsidR="00D84045">
        <w:rPr>
          <w:bCs/>
        </w:rPr>
        <w:t>, selon elle,</w:t>
      </w:r>
      <w:r>
        <w:rPr>
          <w:bCs/>
        </w:rPr>
        <w:t xml:space="preserve"> le cas, la visibilité du yoga était très grande dans le monde, et elle s</w:t>
      </w:r>
      <w:r w:rsidR="00346F1B">
        <w:rPr>
          <w:bCs/>
        </w:rPr>
        <w:t>’</w:t>
      </w:r>
      <w:r>
        <w:rPr>
          <w:bCs/>
        </w:rPr>
        <w:t>est prononcée en faveur d</w:t>
      </w:r>
      <w:r w:rsidR="00346F1B">
        <w:rPr>
          <w:bCs/>
        </w:rPr>
        <w:t>’</w:t>
      </w:r>
      <w:r>
        <w:rPr>
          <w:bCs/>
        </w:rPr>
        <w:t>un soutien à l</w:t>
      </w:r>
      <w:r w:rsidR="00346F1B">
        <w:rPr>
          <w:bCs/>
        </w:rPr>
        <w:t>’</w:t>
      </w:r>
      <w:r w:rsidRPr="00382806">
        <w:rPr>
          <w:bCs/>
        </w:rPr>
        <w:t>inscription</w:t>
      </w:r>
      <w:r w:rsidR="005A12C8">
        <w:rPr>
          <w:bCs/>
        </w:rPr>
        <w:t>.</w:t>
      </w:r>
    </w:p>
    <w:p w14:paraId="7312B32C" w14:textId="6BBF16A3" w:rsidR="00B06FDE" w:rsidRPr="00B06FDE" w:rsidRDefault="00382806" w:rsidP="005A12C8">
      <w:pPr>
        <w:pStyle w:val="Orateurengris"/>
        <w:spacing w:before="120"/>
        <w:ind w:left="709" w:hanging="709"/>
        <w:rPr>
          <w:bCs/>
        </w:rPr>
      </w:pPr>
      <w:r>
        <w:rPr>
          <w:bCs/>
        </w:rPr>
        <w:t xml:space="preserve">La </w:t>
      </w:r>
      <w:r w:rsidRPr="00382806">
        <w:rPr>
          <w:bCs/>
        </w:rPr>
        <w:t>délégation</w:t>
      </w:r>
      <w:r>
        <w:rPr>
          <w:bCs/>
        </w:rPr>
        <w:t xml:space="preserve"> de la </w:t>
      </w:r>
      <w:r w:rsidRPr="00B06FDE">
        <w:rPr>
          <w:b/>
          <w:bCs/>
        </w:rPr>
        <w:t>Colombie</w:t>
      </w:r>
      <w:r>
        <w:rPr>
          <w:bCs/>
        </w:rPr>
        <w:t xml:space="preserve"> </w:t>
      </w:r>
      <w:r w:rsidR="00B06FDE">
        <w:rPr>
          <w:bCs/>
        </w:rPr>
        <w:t>a déclaré que l</w:t>
      </w:r>
      <w:r w:rsidR="00346F1B">
        <w:rPr>
          <w:bCs/>
        </w:rPr>
        <w:t>’</w:t>
      </w:r>
      <w:r w:rsidR="00B06FDE">
        <w:rPr>
          <w:bCs/>
        </w:rPr>
        <w:t>importance mondiale du yoga, une pratique originaire de l</w:t>
      </w:r>
      <w:r w:rsidR="00346F1B">
        <w:rPr>
          <w:bCs/>
        </w:rPr>
        <w:t>’</w:t>
      </w:r>
      <w:r w:rsidR="00B06FDE">
        <w:rPr>
          <w:bCs/>
        </w:rPr>
        <w:t>Inde, avait certainement permis à des millions de gens d</w:t>
      </w:r>
      <w:r w:rsidR="00346F1B">
        <w:rPr>
          <w:bCs/>
        </w:rPr>
        <w:t>’</w:t>
      </w:r>
      <w:r w:rsidR="00B06FDE">
        <w:rPr>
          <w:bCs/>
        </w:rPr>
        <w:t>améliorer la qualité de leur vie. Un grand nombre de manifestations étaient organisées dans le monde entier, nécessitant d</w:t>
      </w:r>
      <w:r w:rsidR="00346F1B">
        <w:rPr>
          <w:bCs/>
        </w:rPr>
        <w:t>’</w:t>
      </w:r>
      <w:r w:rsidR="00B06FDE">
        <w:rPr>
          <w:bCs/>
        </w:rPr>
        <w:t xml:space="preserve">être soutenues par les États, afin de conserver les principes, les racines et la philosophie qui sous-tendaient cette pratique. La </w:t>
      </w:r>
      <w:r w:rsidR="00B06FDE" w:rsidRPr="00B06FDE">
        <w:rPr>
          <w:bCs/>
        </w:rPr>
        <w:t>délégation</w:t>
      </w:r>
      <w:r w:rsidR="00B06FDE">
        <w:rPr>
          <w:bCs/>
        </w:rPr>
        <w:t xml:space="preserve"> a félicité l</w:t>
      </w:r>
      <w:r w:rsidR="00346F1B">
        <w:rPr>
          <w:bCs/>
        </w:rPr>
        <w:t>’</w:t>
      </w:r>
      <w:r w:rsidR="00B06FDE">
        <w:rPr>
          <w:bCs/>
        </w:rPr>
        <w:t>Inde d</w:t>
      </w:r>
      <w:r w:rsidR="00346F1B">
        <w:rPr>
          <w:bCs/>
        </w:rPr>
        <w:t>’</w:t>
      </w:r>
      <w:r w:rsidR="00B06FDE">
        <w:rPr>
          <w:bCs/>
        </w:rPr>
        <w:t xml:space="preserve">avoir soumis cette </w:t>
      </w:r>
      <w:r w:rsidR="00B06FDE" w:rsidRPr="00B06FDE">
        <w:rPr>
          <w:bCs/>
        </w:rPr>
        <w:t>candidature</w:t>
      </w:r>
      <w:r w:rsidR="00B06FDE">
        <w:rPr>
          <w:bCs/>
        </w:rPr>
        <w:t xml:space="preserve"> et a recommandé son </w:t>
      </w:r>
      <w:r w:rsidR="00B06FDE" w:rsidRPr="00B06FDE">
        <w:rPr>
          <w:bCs/>
        </w:rPr>
        <w:t>inscription</w:t>
      </w:r>
      <w:r w:rsidR="00B06FDE">
        <w:rPr>
          <w:bCs/>
        </w:rPr>
        <w:t>, ajoutant que des éclaircissements pouvaient être apportés par l</w:t>
      </w:r>
      <w:r w:rsidR="00346F1B">
        <w:rPr>
          <w:bCs/>
        </w:rPr>
        <w:t>’</w:t>
      </w:r>
      <w:r w:rsidR="00B06FDE" w:rsidRPr="00B06FDE">
        <w:rPr>
          <w:bCs/>
        </w:rPr>
        <w:t>État partie</w:t>
      </w:r>
      <w:r w:rsidR="00B06FDE">
        <w:rPr>
          <w:bCs/>
        </w:rPr>
        <w:t xml:space="preserve"> aux arguments avancés par l</w:t>
      </w:r>
      <w:r w:rsidR="00346F1B">
        <w:rPr>
          <w:bCs/>
        </w:rPr>
        <w:t>’</w:t>
      </w:r>
      <w:r w:rsidR="00B06FDE">
        <w:rPr>
          <w:bCs/>
        </w:rPr>
        <w:t>Organe d</w:t>
      </w:r>
      <w:r w:rsidR="00346F1B">
        <w:rPr>
          <w:bCs/>
        </w:rPr>
        <w:t>’</w:t>
      </w:r>
      <w:r w:rsidR="005A12C8">
        <w:rPr>
          <w:bCs/>
        </w:rPr>
        <w:t>évaluation.</w:t>
      </w:r>
    </w:p>
    <w:p w14:paraId="48B1AEA8" w14:textId="4E2FA0C1" w:rsidR="00E3360E" w:rsidRPr="00E3360E" w:rsidRDefault="00B06FDE" w:rsidP="005A12C8">
      <w:pPr>
        <w:pStyle w:val="Orateurengris"/>
        <w:spacing w:before="120"/>
        <w:ind w:left="709" w:hanging="709"/>
        <w:rPr>
          <w:bCs/>
        </w:rPr>
      </w:pPr>
      <w:r>
        <w:rPr>
          <w:bCs/>
        </w:rPr>
        <w:t xml:space="preserve">La </w:t>
      </w:r>
      <w:r w:rsidRPr="00B06FDE">
        <w:rPr>
          <w:bCs/>
        </w:rPr>
        <w:t>délégation</w:t>
      </w:r>
      <w:r>
        <w:rPr>
          <w:bCs/>
        </w:rPr>
        <w:t xml:space="preserve"> de la </w:t>
      </w:r>
      <w:r w:rsidRPr="00B06FDE">
        <w:rPr>
          <w:b/>
          <w:bCs/>
        </w:rPr>
        <w:t>République de Corée</w:t>
      </w:r>
      <w:r>
        <w:rPr>
          <w:bCs/>
        </w:rPr>
        <w:t xml:space="preserve"> soutenait l</w:t>
      </w:r>
      <w:r w:rsidR="00346F1B">
        <w:rPr>
          <w:bCs/>
        </w:rPr>
        <w:t>’</w:t>
      </w:r>
      <w:r w:rsidRPr="00B06FDE">
        <w:rPr>
          <w:bCs/>
        </w:rPr>
        <w:t>inscription</w:t>
      </w:r>
      <w:r>
        <w:rPr>
          <w:bCs/>
        </w:rPr>
        <w:t xml:space="preserve"> et l</w:t>
      </w:r>
      <w:r w:rsidR="00346F1B">
        <w:rPr>
          <w:bCs/>
        </w:rPr>
        <w:t>’</w:t>
      </w:r>
      <w:r w:rsidRPr="00B06FDE">
        <w:rPr>
          <w:bCs/>
        </w:rPr>
        <w:t>amendement</w:t>
      </w:r>
      <w:r>
        <w:rPr>
          <w:bCs/>
        </w:rPr>
        <w:t xml:space="preserve"> proposé sur le yoga. S</w:t>
      </w:r>
      <w:r w:rsidR="00346F1B">
        <w:rPr>
          <w:bCs/>
        </w:rPr>
        <w:t>’</w:t>
      </w:r>
      <w:r>
        <w:rPr>
          <w:bCs/>
        </w:rPr>
        <w:t xml:space="preserve">agissant du </w:t>
      </w:r>
      <w:r w:rsidRPr="00B06FDE">
        <w:rPr>
          <w:bCs/>
        </w:rPr>
        <w:t>critère</w:t>
      </w:r>
      <w:r>
        <w:rPr>
          <w:bCs/>
        </w:rPr>
        <w:t xml:space="preserve"> R.2, elle pensait que personne ne saurait doutait de la valeur commu</w:t>
      </w:r>
      <w:r w:rsidR="00E3360E">
        <w:rPr>
          <w:bCs/>
        </w:rPr>
        <w:t>ne que représentait le</w:t>
      </w:r>
      <w:r>
        <w:rPr>
          <w:bCs/>
        </w:rPr>
        <w:t xml:space="preserve"> yoga en tant qu</w:t>
      </w:r>
      <w:r w:rsidR="00346F1B">
        <w:rPr>
          <w:bCs/>
        </w:rPr>
        <w:t>’</w:t>
      </w:r>
      <w:r w:rsidRPr="00B06FDE">
        <w:rPr>
          <w:bCs/>
        </w:rPr>
        <w:t>élément</w:t>
      </w:r>
      <w:r w:rsidR="00E3360E">
        <w:rPr>
          <w:bCs/>
        </w:rPr>
        <w:t xml:space="preserve"> du PCI. L</w:t>
      </w:r>
      <w:r w:rsidR="00346F1B">
        <w:rPr>
          <w:bCs/>
        </w:rPr>
        <w:t>’</w:t>
      </w:r>
      <w:r w:rsidR="00E3360E" w:rsidRPr="00E3360E">
        <w:rPr>
          <w:bCs/>
        </w:rPr>
        <w:t>élément</w:t>
      </w:r>
      <w:r w:rsidR="00E3360E">
        <w:rPr>
          <w:bCs/>
        </w:rPr>
        <w:t xml:space="preserve"> était déjà très largement reconnu et il serait difficile d</w:t>
      </w:r>
      <w:r w:rsidR="00346F1B">
        <w:rPr>
          <w:bCs/>
        </w:rPr>
        <w:t>’</w:t>
      </w:r>
      <w:r w:rsidR="00E3360E">
        <w:rPr>
          <w:bCs/>
        </w:rPr>
        <w:t>expliquer de façon plus convaincante comment l</w:t>
      </w:r>
      <w:r w:rsidR="00346F1B">
        <w:rPr>
          <w:bCs/>
        </w:rPr>
        <w:t>’</w:t>
      </w:r>
      <w:r w:rsidR="00E3360E" w:rsidRPr="00E3360E">
        <w:rPr>
          <w:bCs/>
        </w:rPr>
        <w:t>inscription</w:t>
      </w:r>
      <w:r w:rsidR="00E3360E">
        <w:rPr>
          <w:bCs/>
        </w:rPr>
        <w:t xml:space="preserve"> contribuerait encore plus à sa </w:t>
      </w:r>
      <w:r w:rsidR="00E3360E" w:rsidRPr="00E3360E">
        <w:rPr>
          <w:bCs/>
        </w:rPr>
        <w:t>visibilité</w:t>
      </w:r>
      <w:r w:rsidR="00E3360E">
        <w:rPr>
          <w:bCs/>
        </w:rPr>
        <w:t>. Toutefois, l</w:t>
      </w:r>
      <w:r w:rsidR="00346F1B">
        <w:rPr>
          <w:bCs/>
        </w:rPr>
        <w:t>’</w:t>
      </w:r>
      <w:r w:rsidR="00E3360E" w:rsidRPr="00E3360E">
        <w:rPr>
          <w:bCs/>
        </w:rPr>
        <w:t>inscription</w:t>
      </w:r>
      <w:r w:rsidR="00E3360E">
        <w:rPr>
          <w:bCs/>
        </w:rPr>
        <w:t xml:space="preserve"> du yoga contribuerait certainement à sauvegarder sa pratique a</w:t>
      </w:r>
      <w:r w:rsidR="005A12C8">
        <w:rPr>
          <w:bCs/>
        </w:rPr>
        <w:t>ux niveaux national et mondial.</w:t>
      </w:r>
    </w:p>
    <w:p w14:paraId="36A1AF7E" w14:textId="70146D7B" w:rsidR="00E3360E" w:rsidRPr="00E3360E" w:rsidRDefault="00E3360E" w:rsidP="005A12C8">
      <w:pPr>
        <w:pStyle w:val="Orateurengris"/>
        <w:spacing w:before="120"/>
        <w:ind w:left="709" w:hanging="709"/>
        <w:rPr>
          <w:bCs/>
        </w:rPr>
      </w:pPr>
      <w:r>
        <w:rPr>
          <w:bCs/>
        </w:rPr>
        <w:t xml:space="preserve">La </w:t>
      </w:r>
      <w:r w:rsidRPr="00E3360E">
        <w:rPr>
          <w:bCs/>
        </w:rPr>
        <w:t>délégation</w:t>
      </w:r>
      <w:r>
        <w:rPr>
          <w:bCs/>
        </w:rPr>
        <w:t xml:space="preserve"> de la </w:t>
      </w:r>
      <w:r w:rsidRPr="00E3360E">
        <w:rPr>
          <w:b/>
          <w:bCs/>
        </w:rPr>
        <w:t>Zambie</w:t>
      </w:r>
      <w:r>
        <w:rPr>
          <w:bCs/>
        </w:rPr>
        <w:t xml:space="preserve"> a félicité l</w:t>
      </w:r>
      <w:r w:rsidR="00346F1B">
        <w:rPr>
          <w:bCs/>
        </w:rPr>
        <w:t>’</w:t>
      </w:r>
      <w:r>
        <w:rPr>
          <w:bCs/>
        </w:rPr>
        <w:t>Inde d</w:t>
      </w:r>
      <w:r w:rsidR="00346F1B">
        <w:rPr>
          <w:bCs/>
        </w:rPr>
        <w:t>’</w:t>
      </w:r>
      <w:r>
        <w:rPr>
          <w:bCs/>
        </w:rPr>
        <w:t xml:space="preserve">avoir soumis la </w:t>
      </w:r>
      <w:r w:rsidRPr="00E3360E">
        <w:rPr>
          <w:bCs/>
        </w:rPr>
        <w:t>candidature</w:t>
      </w:r>
      <w:r>
        <w:rPr>
          <w:bCs/>
        </w:rPr>
        <w:t xml:space="preserve"> du yoga, ajoutant que, concernant le</w:t>
      </w:r>
      <w:r w:rsidRPr="00E3360E">
        <w:rPr>
          <w:bCs/>
        </w:rPr>
        <w:t xml:space="preserve"> critère R.2, le délégué connaissait le yoga depuis environ 30 ans </w:t>
      </w:r>
      <w:r>
        <w:rPr>
          <w:bCs/>
        </w:rPr>
        <w:t xml:space="preserve">et que sa </w:t>
      </w:r>
      <w:r w:rsidRPr="00E3360E">
        <w:rPr>
          <w:bCs/>
        </w:rPr>
        <w:t>visibilité</w:t>
      </w:r>
      <w:r>
        <w:rPr>
          <w:bCs/>
        </w:rPr>
        <w:t xml:space="preserve"> était donc incontestable. L</w:t>
      </w:r>
      <w:r w:rsidR="00346F1B">
        <w:rPr>
          <w:bCs/>
        </w:rPr>
        <w:t>’</w:t>
      </w:r>
      <w:r w:rsidRPr="00E3360E">
        <w:rPr>
          <w:bCs/>
        </w:rPr>
        <w:t>inscription</w:t>
      </w:r>
      <w:r>
        <w:rPr>
          <w:bCs/>
        </w:rPr>
        <w:t xml:space="preserve"> du yoga renforcerait sa </w:t>
      </w:r>
      <w:r w:rsidRPr="00E3360E">
        <w:rPr>
          <w:bCs/>
        </w:rPr>
        <w:t>visibilité</w:t>
      </w:r>
      <w:r>
        <w:rPr>
          <w:bCs/>
        </w:rPr>
        <w:t xml:space="preserve"> dans le monde entier. À cette fin, la </w:t>
      </w:r>
      <w:r w:rsidRPr="00E3360E">
        <w:rPr>
          <w:bCs/>
        </w:rPr>
        <w:t>délégation</w:t>
      </w:r>
      <w:r>
        <w:rPr>
          <w:bCs/>
        </w:rPr>
        <w:t xml:space="preserve"> soutenait son </w:t>
      </w:r>
      <w:r w:rsidRPr="00E3360E">
        <w:rPr>
          <w:bCs/>
        </w:rPr>
        <w:t>inscription</w:t>
      </w:r>
      <w:r w:rsidR="005A12C8">
        <w:rPr>
          <w:bCs/>
        </w:rPr>
        <w:t>.</w:t>
      </w:r>
    </w:p>
    <w:p w14:paraId="7FB79DFC" w14:textId="5728F6BE" w:rsidR="00E3360E" w:rsidRPr="00E3360E" w:rsidRDefault="00E3360E" w:rsidP="005A12C8">
      <w:pPr>
        <w:pStyle w:val="Orateurengris"/>
        <w:spacing w:before="120"/>
        <w:ind w:left="709" w:hanging="709"/>
        <w:rPr>
          <w:bCs/>
        </w:rPr>
      </w:pPr>
      <w:r>
        <w:rPr>
          <w:bCs/>
        </w:rPr>
        <w:t xml:space="preserve">La </w:t>
      </w:r>
      <w:r w:rsidRPr="00E3360E">
        <w:rPr>
          <w:bCs/>
        </w:rPr>
        <w:t>délégation</w:t>
      </w:r>
      <w:r>
        <w:rPr>
          <w:bCs/>
        </w:rPr>
        <w:t xml:space="preserve"> de </w:t>
      </w:r>
      <w:r w:rsidRPr="00E3360E">
        <w:rPr>
          <w:b/>
          <w:bCs/>
        </w:rPr>
        <w:t>Cuba</w:t>
      </w:r>
      <w:r>
        <w:rPr>
          <w:bCs/>
        </w:rPr>
        <w:t xml:space="preserve"> a évoqué la vie sur une petite île des Caraïbes où de nombreuses personnes pratiquaient le yoga, ajoutant que c</w:t>
      </w:r>
      <w:r w:rsidR="00346F1B">
        <w:rPr>
          <w:bCs/>
        </w:rPr>
        <w:t>’</w:t>
      </w:r>
      <w:r>
        <w:rPr>
          <w:bCs/>
        </w:rPr>
        <w:t xml:space="preserve">était </w:t>
      </w:r>
      <w:r w:rsidR="00DC69B5">
        <w:rPr>
          <w:bCs/>
        </w:rPr>
        <w:t xml:space="preserve">bien </w:t>
      </w:r>
      <w:r>
        <w:rPr>
          <w:bCs/>
        </w:rPr>
        <w:t>un exemple de l</w:t>
      </w:r>
      <w:r w:rsidR="00346F1B">
        <w:rPr>
          <w:bCs/>
        </w:rPr>
        <w:t>’</w:t>
      </w:r>
      <w:r>
        <w:rPr>
          <w:bCs/>
        </w:rPr>
        <w:t>universalité de la pratique</w:t>
      </w:r>
      <w:r w:rsidR="00DC69B5">
        <w:rPr>
          <w:bCs/>
        </w:rPr>
        <w:t xml:space="preserve"> et de la capacité du yoga à toucher différentes civilisations dans différentes régions du monde ayant des philosophies et des modes de vie différents. La </w:t>
      </w:r>
      <w:r w:rsidR="00DC69B5" w:rsidRPr="00DC69B5">
        <w:rPr>
          <w:bCs/>
        </w:rPr>
        <w:t>délégation</w:t>
      </w:r>
      <w:r w:rsidR="00DC69B5">
        <w:rPr>
          <w:bCs/>
        </w:rPr>
        <w:t xml:space="preserve"> s</w:t>
      </w:r>
      <w:r w:rsidR="00346F1B">
        <w:rPr>
          <w:bCs/>
        </w:rPr>
        <w:t>’</w:t>
      </w:r>
      <w:r w:rsidR="00DC69B5">
        <w:rPr>
          <w:bCs/>
        </w:rPr>
        <w:t>est dite reconnaissante des explications données par l</w:t>
      </w:r>
      <w:r w:rsidR="00346F1B">
        <w:rPr>
          <w:bCs/>
        </w:rPr>
        <w:t>’</w:t>
      </w:r>
      <w:r w:rsidR="00DC69B5">
        <w:rPr>
          <w:bCs/>
        </w:rPr>
        <w:t xml:space="preserve">Inde, elle avait </w:t>
      </w:r>
      <w:r w:rsidR="00DC69B5" w:rsidRPr="00DC69B5">
        <w:rPr>
          <w:bCs/>
        </w:rPr>
        <w:t>également</w:t>
      </w:r>
      <w:r w:rsidR="002567C8">
        <w:rPr>
          <w:bCs/>
        </w:rPr>
        <w:t xml:space="preserve"> apprécié les commentaires des </w:t>
      </w:r>
      <w:r w:rsidR="00A46CAD">
        <w:rPr>
          <w:bCs/>
        </w:rPr>
        <w:t>membres</w:t>
      </w:r>
      <w:r w:rsidR="00DC69B5">
        <w:rPr>
          <w:bCs/>
        </w:rPr>
        <w:t xml:space="preserve"> qui avaient enrichi le débat. La </w:t>
      </w:r>
      <w:r w:rsidR="00DC69B5" w:rsidRPr="00DC69B5">
        <w:rPr>
          <w:bCs/>
        </w:rPr>
        <w:t>délégation</w:t>
      </w:r>
      <w:r w:rsidR="00DC69B5">
        <w:rPr>
          <w:bCs/>
        </w:rPr>
        <w:t xml:space="preserve"> soutenait donc l</w:t>
      </w:r>
      <w:r w:rsidR="00346F1B">
        <w:rPr>
          <w:bCs/>
        </w:rPr>
        <w:t>’</w:t>
      </w:r>
      <w:r w:rsidR="00DC69B5">
        <w:rPr>
          <w:bCs/>
        </w:rPr>
        <w:t>inscription.</w:t>
      </w:r>
    </w:p>
    <w:p w14:paraId="38D109AF" w14:textId="04AA6116" w:rsidR="00DC69B5" w:rsidRPr="00DC69B5" w:rsidRDefault="00DC69B5" w:rsidP="005A12C8">
      <w:pPr>
        <w:pStyle w:val="Orateurengris"/>
        <w:spacing w:before="120"/>
        <w:ind w:left="709" w:hanging="709"/>
        <w:rPr>
          <w:bCs/>
        </w:rPr>
      </w:pPr>
      <w:r>
        <w:rPr>
          <w:bCs/>
        </w:rPr>
        <w:t xml:space="preserve">La </w:t>
      </w:r>
      <w:r w:rsidRPr="00DC69B5">
        <w:rPr>
          <w:bCs/>
        </w:rPr>
        <w:t>délégation</w:t>
      </w:r>
      <w:r>
        <w:rPr>
          <w:bCs/>
        </w:rPr>
        <w:t xml:space="preserve"> de l</w:t>
      </w:r>
      <w:r w:rsidR="00346F1B">
        <w:rPr>
          <w:bCs/>
        </w:rPr>
        <w:t>’</w:t>
      </w:r>
      <w:r w:rsidRPr="007E1F18">
        <w:rPr>
          <w:b/>
          <w:bCs/>
        </w:rPr>
        <w:t>Afghanistan</w:t>
      </w:r>
      <w:r>
        <w:rPr>
          <w:bCs/>
        </w:rPr>
        <w:t xml:space="preserve"> a félicité l</w:t>
      </w:r>
      <w:r w:rsidR="00346F1B">
        <w:rPr>
          <w:bCs/>
        </w:rPr>
        <w:t>’</w:t>
      </w:r>
      <w:r>
        <w:rPr>
          <w:bCs/>
        </w:rPr>
        <w:t xml:space="preserve">Inde, et a rappelé au Comité la </w:t>
      </w:r>
      <w:r w:rsidR="007E1F18" w:rsidRPr="007E1F18">
        <w:rPr>
          <w:bCs/>
        </w:rPr>
        <w:t>définition</w:t>
      </w:r>
      <w:r w:rsidR="007E1F18">
        <w:rPr>
          <w:bCs/>
        </w:rPr>
        <w:t xml:space="preserve"> du yoga qui était l</w:t>
      </w:r>
      <w:r w:rsidR="00346F1B">
        <w:rPr>
          <w:bCs/>
        </w:rPr>
        <w:t>’</w:t>
      </w:r>
      <w:r w:rsidR="007E1F18">
        <w:rPr>
          <w:bCs/>
        </w:rPr>
        <w:t>art d</w:t>
      </w:r>
      <w:r w:rsidR="00346F1B">
        <w:rPr>
          <w:bCs/>
        </w:rPr>
        <w:t>’</w:t>
      </w:r>
      <w:r w:rsidR="007E1F18">
        <w:rPr>
          <w:bCs/>
        </w:rPr>
        <w:t>accomplir plus en agissant moins. Elle a donc proposé de mettre fin aux interventions et de passer directement aux amendements et à l</w:t>
      </w:r>
      <w:r w:rsidR="00346F1B">
        <w:rPr>
          <w:bCs/>
        </w:rPr>
        <w:t>’</w:t>
      </w:r>
      <w:r w:rsidR="005A12C8">
        <w:rPr>
          <w:bCs/>
        </w:rPr>
        <w:t>adoption.</w:t>
      </w:r>
    </w:p>
    <w:p w14:paraId="51DE9C21" w14:textId="1F6B58F4" w:rsidR="00B778FC" w:rsidRPr="00B778FC" w:rsidRDefault="00EB6F8F" w:rsidP="005A12C8">
      <w:pPr>
        <w:pStyle w:val="Orateurengris"/>
        <w:spacing w:before="120"/>
        <w:ind w:left="709" w:hanging="709"/>
        <w:rPr>
          <w:bCs/>
        </w:rPr>
      </w:pPr>
      <w:r>
        <w:rPr>
          <w:bCs/>
        </w:rPr>
        <w:t xml:space="preserve">La </w:t>
      </w:r>
      <w:r w:rsidRPr="00EB6F8F">
        <w:rPr>
          <w:bCs/>
        </w:rPr>
        <w:t>délégation</w:t>
      </w:r>
      <w:r>
        <w:rPr>
          <w:bCs/>
        </w:rPr>
        <w:t xml:space="preserve"> de la </w:t>
      </w:r>
      <w:r w:rsidRPr="00EB6F8F">
        <w:rPr>
          <w:b/>
          <w:bCs/>
        </w:rPr>
        <w:t>Hongrie</w:t>
      </w:r>
      <w:r>
        <w:rPr>
          <w:bCs/>
        </w:rPr>
        <w:t xml:space="preserve"> a chaleureusement recommandé cette </w:t>
      </w:r>
      <w:r w:rsidRPr="00EB6F8F">
        <w:rPr>
          <w:bCs/>
        </w:rPr>
        <w:t>candidature</w:t>
      </w:r>
      <w:r>
        <w:rPr>
          <w:bCs/>
        </w:rPr>
        <w:t xml:space="preserve"> de l</w:t>
      </w:r>
      <w:r w:rsidR="00346F1B">
        <w:rPr>
          <w:bCs/>
        </w:rPr>
        <w:t>’</w:t>
      </w:r>
      <w:r>
        <w:rPr>
          <w:bCs/>
        </w:rPr>
        <w:t>Inde qu</w:t>
      </w:r>
      <w:r w:rsidR="00346F1B">
        <w:rPr>
          <w:bCs/>
        </w:rPr>
        <w:t>’</w:t>
      </w:r>
      <w:r>
        <w:rPr>
          <w:bCs/>
        </w:rPr>
        <w:t>elle attendait avec impatience depuis un certain temps. S</w:t>
      </w:r>
      <w:r w:rsidR="00346F1B">
        <w:rPr>
          <w:bCs/>
        </w:rPr>
        <w:t>’</w:t>
      </w:r>
      <w:r>
        <w:rPr>
          <w:bCs/>
        </w:rPr>
        <w:t xml:space="preserve">agissant du </w:t>
      </w:r>
      <w:r w:rsidRPr="00EB6F8F">
        <w:rPr>
          <w:bCs/>
        </w:rPr>
        <w:t>critère</w:t>
      </w:r>
      <w:r>
        <w:rPr>
          <w:bCs/>
        </w:rPr>
        <w:t xml:space="preserve"> R.2, elle était d</w:t>
      </w:r>
      <w:r w:rsidR="00346F1B">
        <w:rPr>
          <w:bCs/>
        </w:rPr>
        <w:t>’</w:t>
      </w:r>
      <w:r>
        <w:rPr>
          <w:bCs/>
        </w:rPr>
        <w:t>avis que l</w:t>
      </w:r>
      <w:r w:rsidR="00346F1B">
        <w:rPr>
          <w:bCs/>
        </w:rPr>
        <w:t>’</w:t>
      </w:r>
      <w:r>
        <w:rPr>
          <w:bCs/>
        </w:rPr>
        <w:t xml:space="preserve">État soumissionnaire était </w:t>
      </w:r>
      <w:r w:rsidRPr="00EB6F8F">
        <w:rPr>
          <w:bCs/>
        </w:rPr>
        <w:t>extrêmement</w:t>
      </w:r>
      <w:r>
        <w:rPr>
          <w:bCs/>
        </w:rPr>
        <w:t xml:space="preserve"> modeste dans sa justification de ce critère. Il était évident que, dans le monde entier et de manière générale, le yoga était très connu et </w:t>
      </w:r>
      <w:r w:rsidR="00B778FC">
        <w:rPr>
          <w:bCs/>
        </w:rPr>
        <w:t>bénéficiait d</w:t>
      </w:r>
      <w:r w:rsidR="00346F1B">
        <w:rPr>
          <w:bCs/>
        </w:rPr>
        <w:t>’</w:t>
      </w:r>
      <w:r w:rsidR="00B778FC">
        <w:rPr>
          <w:bCs/>
        </w:rPr>
        <w:t>un grand attrait</w:t>
      </w:r>
      <w:r>
        <w:rPr>
          <w:bCs/>
        </w:rPr>
        <w:t xml:space="preserve">. </w:t>
      </w:r>
      <w:r w:rsidR="00B778FC">
        <w:rPr>
          <w:bCs/>
        </w:rPr>
        <w:t>Afin d</w:t>
      </w:r>
      <w:r w:rsidR="00346F1B">
        <w:rPr>
          <w:bCs/>
        </w:rPr>
        <w:t>’</w:t>
      </w:r>
      <w:r w:rsidR="00B778FC">
        <w:rPr>
          <w:bCs/>
        </w:rPr>
        <w:t xml:space="preserve">ajouter une touche plus personnelle à son </w:t>
      </w:r>
      <w:r w:rsidR="00B778FC" w:rsidRPr="00B778FC">
        <w:rPr>
          <w:bCs/>
        </w:rPr>
        <w:t>intervention</w:t>
      </w:r>
      <w:r w:rsidR="00B778FC">
        <w:rPr>
          <w:bCs/>
        </w:rPr>
        <w:t xml:space="preserve">, le </w:t>
      </w:r>
      <w:r w:rsidR="00B778FC" w:rsidRPr="00B778FC">
        <w:rPr>
          <w:bCs/>
        </w:rPr>
        <w:t>représentant</w:t>
      </w:r>
      <w:r w:rsidR="00B778FC">
        <w:rPr>
          <w:bCs/>
        </w:rPr>
        <w:t xml:space="preserve"> de la </w:t>
      </w:r>
      <w:r w:rsidR="00B778FC" w:rsidRPr="00B778FC">
        <w:rPr>
          <w:bCs/>
        </w:rPr>
        <w:t>délégation</w:t>
      </w:r>
      <w:r w:rsidR="00B778FC">
        <w:rPr>
          <w:bCs/>
        </w:rPr>
        <w:t xml:space="preserve"> a évoqué son expérience d</w:t>
      </w:r>
      <w:r w:rsidR="00346F1B">
        <w:rPr>
          <w:bCs/>
        </w:rPr>
        <w:t>’</w:t>
      </w:r>
      <w:r w:rsidR="00B778FC">
        <w:rPr>
          <w:bCs/>
        </w:rPr>
        <w:t>un cours de yoga à Budapest la semaine précédente où l</w:t>
      </w:r>
      <w:r w:rsidR="00346F1B">
        <w:rPr>
          <w:bCs/>
        </w:rPr>
        <w:t>’</w:t>
      </w:r>
      <w:r w:rsidR="00B778FC">
        <w:rPr>
          <w:bCs/>
        </w:rPr>
        <w:t>enseignant avait admis n</w:t>
      </w:r>
      <w:r w:rsidR="00346F1B">
        <w:rPr>
          <w:bCs/>
        </w:rPr>
        <w:t>’</w:t>
      </w:r>
      <w:r w:rsidR="00B778FC">
        <w:rPr>
          <w:bCs/>
        </w:rPr>
        <w:t xml:space="preserve">avoir jamais entendu parler du PCI. La </w:t>
      </w:r>
      <w:r w:rsidR="00B778FC" w:rsidRPr="00B778FC">
        <w:rPr>
          <w:bCs/>
        </w:rPr>
        <w:t>délégation</w:t>
      </w:r>
      <w:r w:rsidR="00B778FC">
        <w:rPr>
          <w:bCs/>
        </w:rPr>
        <w:t xml:space="preserve"> a ajouté que c</w:t>
      </w:r>
      <w:r w:rsidR="00346F1B">
        <w:rPr>
          <w:bCs/>
        </w:rPr>
        <w:t>’</w:t>
      </w:r>
      <w:r w:rsidR="00B778FC">
        <w:rPr>
          <w:bCs/>
        </w:rPr>
        <w:t xml:space="preserve">était la Liste représentative qui avait besoin du yoga et non le contraire. Elle soutenait donc sincèrement cette </w:t>
      </w:r>
      <w:r w:rsidR="00B778FC" w:rsidRPr="00B778FC">
        <w:rPr>
          <w:bCs/>
        </w:rPr>
        <w:t>candidature</w:t>
      </w:r>
      <w:r w:rsidR="00B778FC">
        <w:rPr>
          <w:bCs/>
        </w:rPr>
        <w:t xml:space="preserve"> et se réjouissait de son </w:t>
      </w:r>
      <w:r w:rsidR="00B778FC" w:rsidRPr="00B778FC">
        <w:rPr>
          <w:bCs/>
        </w:rPr>
        <w:t>inscription</w:t>
      </w:r>
      <w:r w:rsidR="005A12C8">
        <w:rPr>
          <w:bCs/>
        </w:rPr>
        <w:t>.</w:t>
      </w:r>
    </w:p>
    <w:p w14:paraId="06690C11" w14:textId="61126844" w:rsidR="00B778FC" w:rsidRPr="00B778FC" w:rsidRDefault="00B778FC" w:rsidP="005A12C8">
      <w:pPr>
        <w:pStyle w:val="Orateurengris"/>
        <w:spacing w:before="120"/>
        <w:ind w:left="709" w:hanging="709"/>
        <w:rPr>
          <w:bCs/>
        </w:rPr>
      </w:pPr>
      <w:r>
        <w:rPr>
          <w:bCs/>
        </w:rPr>
        <w:t xml:space="preserve">La </w:t>
      </w:r>
      <w:r w:rsidRPr="00B778FC">
        <w:rPr>
          <w:bCs/>
        </w:rPr>
        <w:t>délégation</w:t>
      </w:r>
      <w:r>
        <w:rPr>
          <w:bCs/>
        </w:rPr>
        <w:t xml:space="preserve"> du </w:t>
      </w:r>
      <w:r w:rsidRPr="00B778FC">
        <w:rPr>
          <w:b/>
          <w:bCs/>
        </w:rPr>
        <w:t>Congo</w:t>
      </w:r>
      <w:r>
        <w:rPr>
          <w:bCs/>
        </w:rPr>
        <w:t xml:space="preserve"> a félicité l</w:t>
      </w:r>
      <w:r w:rsidR="00346F1B">
        <w:rPr>
          <w:bCs/>
        </w:rPr>
        <w:t>’</w:t>
      </w:r>
      <w:r>
        <w:rPr>
          <w:bCs/>
        </w:rPr>
        <w:t>Inde d</w:t>
      </w:r>
      <w:r w:rsidR="00346F1B">
        <w:rPr>
          <w:bCs/>
        </w:rPr>
        <w:t>’</w:t>
      </w:r>
      <w:r>
        <w:rPr>
          <w:bCs/>
        </w:rPr>
        <w:t>avoir pris l</w:t>
      </w:r>
      <w:r w:rsidR="00346F1B">
        <w:rPr>
          <w:bCs/>
        </w:rPr>
        <w:t>’</w:t>
      </w:r>
      <w:r w:rsidRPr="00B778FC">
        <w:rPr>
          <w:bCs/>
        </w:rPr>
        <w:t>initiative</w:t>
      </w:r>
      <w:r>
        <w:rPr>
          <w:bCs/>
        </w:rPr>
        <w:t xml:space="preserve"> de présenter cette </w:t>
      </w:r>
      <w:r w:rsidRPr="00B778FC">
        <w:rPr>
          <w:bCs/>
        </w:rPr>
        <w:t>candidature</w:t>
      </w:r>
      <w:r>
        <w:rPr>
          <w:bCs/>
        </w:rPr>
        <w:t>, et a dit soutenir l</w:t>
      </w:r>
      <w:r w:rsidR="00346F1B">
        <w:rPr>
          <w:bCs/>
        </w:rPr>
        <w:t>’</w:t>
      </w:r>
      <w:r w:rsidRPr="00B778FC">
        <w:rPr>
          <w:bCs/>
        </w:rPr>
        <w:t>inscription</w:t>
      </w:r>
      <w:r>
        <w:rPr>
          <w:bCs/>
        </w:rPr>
        <w:t xml:space="preserve"> de l</w:t>
      </w:r>
      <w:r w:rsidR="00346F1B">
        <w:rPr>
          <w:bCs/>
        </w:rPr>
        <w:t>’</w:t>
      </w:r>
      <w:r w:rsidRPr="00B778FC">
        <w:rPr>
          <w:bCs/>
        </w:rPr>
        <w:t>élément</w:t>
      </w:r>
      <w:r w:rsidR="005A12C8">
        <w:rPr>
          <w:bCs/>
        </w:rPr>
        <w:t xml:space="preserve"> sur la Liste représentative.</w:t>
      </w:r>
    </w:p>
    <w:p w14:paraId="2F29789F" w14:textId="44EFE7E4" w:rsidR="00B778FC" w:rsidRPr="00B778FC" w:rsidRDefault="00B778FC" w:rsidP="005A12C8">
      <w:pPr>
        <w:pStyle w:val="Orateurengris"/>
        <w:spacing w:before="120"/>
        <w:ind w:left="709" w:hanging="709"/>
        <w:rPr>
          <w:bCs/>
        </w:rPr>
      </w:pPr>
      <w:r>
        <w:rPr>
          <w:bCs/>
        </w:rPr>
        <w:t xml:space="preserve">La </w:t>
      </w:r>
      <w:r w:rsidRPr="00B778FC">
        <w:rPr>
          <w:bCs/>
        </w:rPr>
        <w:t>délégation</w:t>
      </w:r>
      <w:r>
        <w:rPr>
          <w:bCs/>
        </w:rPr>
        <w:t xml:space="preserve"> de </w:t>
      </w:r>
      <w:r>
        <w:rPr>
          <w:b/>
          <w:bCs/>
        </w:rPr>
        <w:t xml:space="preserve">Sainte-Lucie </w:t>
      </w:r>
      <w:r>
        <w:rPr>
          <w:bCs/>
        </w:rPr>
        <w:t xml:space="preserve">soutenait résolument la </w:t>
      </w:r>
      <w:r w:rsidRPr="00B778FC">
        <w:rPr>
          <w:bCs/>
        </w:rPr>
        <w:t>candidature</w:t>
      </w:r>
      <w:r>
        <w:rPr>
          <w:bCs/>
        </w:rPr>
        <w:t xml:space="preserve"> du yoga pour </w:t>
      </w:r>
      <w:r w:rsidRPr="00B778FC">
        <w:rPr>
          <w:bCs/>
        </w:rPr>
        <w:t>inscription</w:t>
      </w:r>
      <w:r>
        <w:rPr>
          <w:bCs/>
        </w:rPr>
        <w:t xml:space="preserve"> sur la Liste représentative et, venant d</w:t>
      </w:r>
      <w:r w:rsidR="00346F1B">
        <w:rPr>
          <w:bCs/>
        </w:rPr>
        <w:t>’</w:t>
      </w:r>
      <w:r>
        <w:rPr>
          <w:bCs/>
        </w:rPr>
        <w:t>un tout petit pays des Caraïbes, bien loin de l</w:t>
      </w:r>
      <w:r w:rsidR="00346F1B">
        <w:rPr>
          <w:bCs/>
        </w:rPr>
        <w:t>’</w:t>
      </w:r>
      <w:r>
        <w:rPr>
          <w:bCs/>
        </w:rPr>
        <w:t xml:space="preserve">Inde, elle a reconnu que le yoga était </w:t>
      </w:r>
      <w:r w:rsidR="002A4FA3">
        <w:rPr>
          <w:bCs/>
        </w:rPr>
        <w:t>l</w:t>
      </w:r>
      <w:r w:rsidR="00346F1B">
        <w:rPr>
          <w:bCs/>
        </w:rPr>
        <w:t>’</w:t>
      </w:r>
      <w:r w:rsidR="002A4FA3">
        <w:rPr>
          <w:bCs/>
        </w:rPr>
        <w:t xml:space="preserve">une des candidatures les plus logiques pour </w:t>
      </w:r>
      <w:r w:rsidR="002A4FA3" w:rsidRPr="002A4FA3">
        <w:rPr>
          <w:bCs/>
        </w:rPr>
        <w:t>inscription</w:t>
      </w:r>
      <w:r w:rsidR="00F978E2">
        <w:rPr>
          <w:bCs/>
        </w:rPr>
        <w:t xml:space="preserve"> sur les L</w:t>
      </w:r>
      <w:r w:rsidR="002A4FA3">
        <w:rPr>
          <w:bCs/>
        </w:rPr>
        <w:t xml:space="preserve">istes du PCI. La </w:t>
      </w:r>
      <w:r w:rsidR="002A4FA3" w:rsidRPr="002A4FA3">
        <w:rPr>
          <w:bCs/>
        </w:rPr>
        <w:t>délégation</w:t>
      </w:r>
      <w:r w:rsidR="002A4FA3">
        <w:rPr>
          <w:bCs/>
        </w:rPr>
        <w:t xml:space="preserve"> était quelque peu décontenancée par l</w:t>
      </w:r>
      <w:r w:rsidR="00346F1B">
        <w:rPr>
          <w:bCs/>
        </w:rPr>
        <w:t>’</w:t>
      </w:r>
      <w:r w:rsidR="002A4FA3">
        <w:rPr>
          <w:bCs/>
        </w:rPr>
        <w:t xml:space="preserve">absence de mise en avant du </w:t>
      </w:r>
      <w:r w:rsidR="002A4FA3" w:rsidRPr="002A4FA3">
        <w:rPr>
          <w:bCs/>
        </w:rPr>
        <w:t>critère</w:t>
      </w:r>
      <w:r w:rsidR="002A4FA3">
        <w:rPr>
          <w:bCs/>
        </w:rPr>
        <w:t xml:space="preserve"> R.2 relatif à la </w:t>
      </w:r>
      <w:r w:rsidR="002A4FA3" w:rsidRPr="002A4FA3">
        <w:rPr>
          <w:bCs/>
        </w:rPr>
        <w:t>visibilité</w:t>
      </w:r>
      <w:r w:rsidR="002A4FA3">
        <w:rPr>
          <w:bCs/>
        </w:rPr>
        <w:t>, par les rédacteurs du dossier, ajoutant qu</w:t>
      </w:r>
      <w:r w:rsidR="00346F1B">
        <w:rPr>
          <w:bCs/>
        </w:rPr>
        <w:t>’</w:t>
      </w:r>
      <w:r w:rsidR="002A4FA3">
        <w:rPr>
          <w:bCs/>
        </w:rPr>
        <w:t>un échange même limité entre l</w:t>
      </w:r>
      <w:r w:rsidR="00346F1B">
        <w:rPr>
          <w:bCs/>
        </w:rPr>
        <w:t>’</w:t>
      </w:r>
      <w:r w:rsidR="002A4FA3">
        <w:rPr>
          <w:bCs/>
        </w:rPr>
        <w:t>Organe d</w:t>
      </w:r>
      <w:r w:rsidR="00346F1B">
        <w:rPr>
          <w:bCs/>
        </w:rPr>
        <w:t>’</w:t>
      </w:r>
      <w:r w:rsidR="002A4FA3">
        <w:rPr>
          <w:bCs/>
        </w:rPr>
        <w:t>évaluation et l</w:t>
      </w:r>
      <w:r w:rsidR="00346F1B">
        <w:rPr>
          <w:bCs/>
        </w:rPr>
        <w:t>’</w:t>
      </w:r>
      <w:r w:rsidR="002A4FA3">
        <w:rPr>
          <w:bCs/>
        </w:rPr>
        <w:t>État soumissionnaire aurait résolu ce problème. Néanmoins, il était logique d</w:t>
      </w:r>
      <w:r w:rsidR="00346F1B">
        <w:rPr>
          <w:bCs/>
        </w:rPr>
        <w:t>’</w:t>
      </w:r>
      <w:r w:rsidR="002A4FA3">
        <w:rPr>
          <w:bCs/>
        </w:rPr>
        <w:t xml:space="preserve">inscrire le yoga et elle soutenait résolument la </w:t>
      </w:r>
      <w:r w:rsidR="002A4FA3" w:rsidRPr="002A4FA3">
        <w:rPr>
          <w:bCs/>
        </w:rPr>
        <w:t>candidature</w:t>
      </w:r>
      <w:r w:rsidR="005A12C8">
        <w:rPr>
          <w:bCs/>
        </w:rPr>
        <w:t>.</w:t>
      </w:r>
    </w:p>
    <w:p w14:paraId="4E70B2D5" w14:textId="0D60FD4C" w:rsidR="002A4FA3" w:rsidRPr="002A4FA3" w:rsidRDefault="002A4FA3" w:rsidP="005A12C8">
      <w:pPr>
        <w:pStyle w:val="Orateurengris"/>
        <w:spacing w:before="120"/>
        <w:ind w:left="709" w:hanging="709"/>
        <w:rPr>
          <w:bCs/>
        </w:rPr>
      </w:pPr>
      <w:r>
        <w:rPr>
          <w:bCs/>
        </w:rPr>
        <w:t xml:space="preserve">La </w:t>
      </w:r>
      <w:r w:rsidRPr="002A4FA3">
        <w:rPr>
          <w:bCs/>
        </w:rPr>
        <w:t>délégation</w:t>
      </w:r>
      <w:r>
        <w:rPr>
          <w:bCs/>
        </w:rPr>
        <w:t xml:space="preserve"> de l</w:t>
      </w:r>
      <w:r w:rsidR="00346F1B">
        <w:rPr>
          <w:bCs/>
        </w:rPr>
        <w:t>’</w:t>
      </w:r>
      <w:r w:rsidRPr="00855A3E">
        <w:rPr>
          <w:b/>
          <w:bCs/>
        </w:rPr>
        <w:t>Autriche</w:t>
      </w:r>
      <w:r w:rsidR="00855A3E">
        <w:rPr>
          <w:bCs/>
        </w:rPr>
        <w:t xml:space="preserve"> avait </w:t>
      </w:r>
      <w:r>
        <w:rPr>
          <w:bCs/>
        </w:rPr>
        <w:t xml:space="preserve">souhaité </w:t>
      </w:r>
      <w:r w:rsidR="00855A3E">
        <w:rPr>
          <w:bCs/>
        </w:rPr>
        <w:t xml:space="preserve">un temps </w:t>
      </w:r>
      <w:r>
        <w:rPr>
          <w:bCs/>
        </w:rPr>
        <w:t>demander à l</w:t>
      </w:r>
      <w:r w:rsidR="00346F1B">
        <w:rPr>
          <w:bCs/>
        </w:rPr>
        <w:t>’</w:t>
      </w:r>
      <w:r w:rsidRPr="002A4FA3">
        <w:rPr>
          <w:bCs/>
        </w:rPr>
        <w:t>État partie</w:t>
      </w:r>
      <w:r>
        <w:rPr>
          <w:bCs/>
        </w:rPr>
        <w:t xml:space="preserve"> des éclaircissements sur le </w:t>
      </w:r>
      <w:r w:rsidRPr="002A4FA3">
        <w:rPr>
          <w:bCs/>
        </w:rPr>
        <w:t>critère</w:t>
      </w:r>
      <w:r>
        <w:rPr>
          <w:bCs/>
        </w:rPr>
        <w:t xml:space="preserve"> R.5, mais elle avait le sentiment que ce</w:t>
      </w:r>
      <w:r w:rsidR="005A12C8">
        <w:rPr>
          <w:bCs/>
        </w:rPr>
        <w:t xml:space="preserve"> point avait déjà été éclairci.</w:t>
      </w:r>
    </w:p>
    <w:p w14:paraId="6BF0D896" w14:textId="63C5ADB3" w:rsidR="00855A3E" w:rsidRPr="00855A3E" w:rsidRDefault="00855A3E" w:rsidP="005A12C8">
      <w:pPr>
        <w:pStyle w:val="Orateurengris"/>
        <w:spacing w:before="120"/>
        <w:ind w:left="709" w:hanging="709"/>
        <w:rPr>
          <w:bCs/>
        </w:rPr>
      </w:pPr>
      <w:r>
        <w:rPr>
          <w:bCs/>
        </w:rPr>
        <w:t xml:space="preserve">La </w:t>
      </w:r>
      <w:r w:rsidRPr="00855A3E">
        <w:rPr>
          <w:bCs/>
        </w:rPr>
        <w:t>délégation</w:t>
      </w:r>
      <w:r>
        <w:rPr>
          <w:bCs/>
        </w:rPr>
        <w:t xml:space="preserve"> de la </w:t>
      </w:r>
      <w:r w:rsidRPr="00855A3E">
        <w:rPr>
          <w:b/>
          <w:bCs/>
        </w:rPr>
        <w:t>Côte d</w:t>
      </w:r>
      <w:r w:rsidR="00346F1B">
        <w:rPr>
          <w:b/>
          <w:bCs/>
        </w:rPr>
        <w:t>’</w:t>
      </w:r>
      <w:r w:rsidRPr="00855A3E">
        <w:rPr>
          <w:b/>
          <w:bCs/>
        </w:rPr>
        <w:t>Ivoire</w:t>
      </w:r>
      <w:r>
        <w:rPr>
          <w:bCs/>
        </w:rPr>
        <w:t xml:space="preserve"> a remarqué l</w:t>
      </w:r>
      <w:r w:rsidR="00346F1B">
        <w:rPr>
          <w:bCs/>
        </w:rPr>
        <w:t>’</w:t>
      </w:r>
      <w:r>
        <w:rPr>
          <w:bCs/>
        </w:rPr>
        <w:t>enthousiasme suscité par la culture du yoga et a félicité l</w:t>
      </w:r>
      <w:r w:rsidR="00346F1B">
        <w:rPr>
          <w:bCs/>
        </w:rPr>
        <w:t>’</w:t>
      </w:r>
      <w:r>
        <w:rPr>
          <w:bCs/>
        </w:rPr>
        <w:t>Inde d</w:t>
      </w:r>
      <w:r w:rsidR="00346F1B">
        <w:rPr>
          <w:bCs/>
        </w:rPr>
        <w:t>’</w:t>
      </w:r>
      <w:r>
        <w:rPr>
          <w:bCs/>
        </w:rPr>
        <w:t xml:space="preserve">avoir soumis la </w:t>
      </w:r>
      <w:r w:rsidRPr="00855A3E">
        <w:rPr>
          <w:bCs/>
        </w:rPr>
        <w:t>candidature</w:t>
      </w:r>
      <w:r>
        <w:rPr>
          <w:bCs/>
        </w:rPr>
        <w:t xml:space="preserve">. Le yoga était </w:t>
      </w:r>
      <w:r w:rsidRPr="00855A3E">
        <w:rPr>
          <w:bCs/>
        </w:rPr>
        <w:t>également</w:t>
      </w:r>
      <w:r>
        <w:rPr>
          <w:bCs/>
        </w:rPr>
        <w:t xml:space="preserve"> pratiqué en Côte d</w:t>
      </w:r>
      <w:r w:rsidR="00346F1B">
        <w:rPr>
          <w:bCs/>
        </w:rPr>
        <w:t>’</w:t>
      </w:r>
      <w:r>
        <w:rPr>
          <w:bCs/>
        </w:rPr>
        <w:t xml:space="preserve">Ivoire, où des instituts de yoga étaient </w:t>
      </w:r>
      <w:r w:rsidR="00D84045">
        <w:rPr>
          <w:bCs/>
        </w:rPr>
        <w:t xml:space="preserve">présents </w:t>
      </w:r>
      <w:r>
        <w:rPr>
          <w:bCs/>
        </w:rPr>
        <w:t xml:space="preserve">partout. La </w:t>
      </w:r>
      <w:r w:rsidRPr="00855A3E">
        <w:rPr>
          <w:bCs/>
        </w:rPr>
        <w:t>délégation</w:t>
      </w:r>
      <w:r>
        <w:rPr>
          <w:bCs/>
        </w:rPr>
        <w:t xml:space="preserve"> pensait que cette </w:t>
      </w:r>
      <w:r w:rsidRPr="00855A3E">
        <w:rPr>
          <w:bCs/>
        </w:rPr>
        <w:t>inscription</w:t>
      </w:r>
      <w:r>
        <w:rPr>
          <w:bCs/>
        </w:rPr>
        <w:t xml:space="preserve"> accroitrait réellement la </w:t>
      </w:r>
      <w:r w:rsidRPr="00855A3E">
        <w:rPr>
          <w:bCs/>
        </w:rPr>
        <w:t>visibilité</w:t>
      </w:r>
      <w:r>
        <w:rPr>
          <w:bCs/>
        </w:rPr>
        <w:t xml:space="preserve"> du PCI. Elle soutenait donc son </w:t>
      </w:r>
      <w:r w:rsidRPr="00855A3E">
        <w:rPr>
          <w:bCs/>
        </w:rPr>
        <w:t>inscription</w:t>
      </w:r>
      <w:r w:rsidR="005A12C8">
        <w:rPr>
          <w:bCs/>
        </w:rPr>
        <w:t>.</w:t>
      </w:r>
    </w:p>
    <w:p w14:paraId="2E95297E" w14:textId="37D392E3" w:rsidR="00855A3E" w:rsidRPr="00855A3E" w:rsidRDefault="00855A3E" w:rsidP="005A12C8">
      <w:pPr>
        <w:pStyle w:val="Orateurengris"/>
        <w:spacing w:before="120"/>
        <w:ind w:left="709" w:hanging="709"/>
        <w:rPr>
          <w:bCs/>
        </w:rPr>
      </w:pPr>
      <w:r>
        <w:rPr>
          <w:bCs/>
        </w:rPr>
        <w:t xml:space="preserve">La </w:t>
      </w:r>
      <w:r w:rsidRPr="00855A3E">
        <w:rPr>
          <w:bCs/>
        </w:rPr>
        <w:t>délégation</w:t>
      </w:r>
      <w:r>
        <w:rPr>
          <w:bCs/>
        </w:rPr>
        <w:t xml:space="preserve"> de </w:t>
      </w:r>
      <w:r w:rsidRPr="00855A3E">
        <w:rPr>
          <w:b/>
          <w:bCs/>
        </w:rPr>
        <w:t>Chypre</w:t>
      </w:r>
      <w:r>
        <w:rPr>
          <w:bCs/>
        </w:rPr>
        <w:t xml:space="preserve"> a précisé que sa question avait déjà été posée par l</w:t>
      </w:r>
      <w:r w:rsidR="00346F1B">
        <w:rPr>
          <w:bCs/>
        </w:rPr>
        <w:t>’</w:t>
      </w:r>
      <w:r>
        <w:rPr>
          <w:bCs/>
        </w:rPr>
        <w:t>Algérie et – suite aux éclaircissements apportés par l</w:t>
      </w:r>
      <w:r w:rsidR="00346F1B">
        <w:rPr>
          <w:bCs/>
        </w:rPr>
        <w:t>’</w:t>
      </w:r>
      <w:r>
        <w:rPr>
          <w:bCs/>
        </w:rPr>
        <w:t>Inde – elle soutenait résolument l</w:t>
      </w:r>
      <w:r w:rsidR="00346F1B">
        <w:rPr>
          <w:bCs/>
        </w:rPr>
        <w:t>’</w:t>
      </w:r>
      <w:r w:rsidRPr="00855A3E">
        <w:rPr>
          <w:bCs/>
        </w:rPr>
        <w:t>inscription</w:t>
      </w:r>
      <w:r w:rsidR="005A12C8">
        <w:rPr>
          <w:bCs/>
        </w:rPr>
        <w:t>.</w:t>
      </w:r>
    </w:p>
    <w:p w14:paraId="068E3C24" w14:textId="677A9D47" w:rsidR="00855A3E" w:rsidRPr="00855A3E" w:rsidRDefault="00855A3E" w:rsidP="005A12C8">
      <w:pPr>
        <w:pStyle w:val="Orateurengris"/>
        <w:spacing w:before="120"/>
        <w:ind w:left="709" w:hanging="709"/>
        <w:rPr>
          <w:bCs/>
        </w:rPr>
      </w:pPr>
      <w:r>
        <w:rPr>
          <w:bCs/>
        </w:rPr>
        <w:t xml:space="preserve">Le </w:t>
      </w:r>
      <w:r w:rsidRPr="00855A3E">
        <w:rPr>
          <w:b/>
          <w:bCs/>
        </w:rPr>
        <w:t>Président</w:t>
      </w:r>
      <w:r>
        <w:rPr>
          <w:bCs/>
        </w:rPr>
        <w:t xml:space="preserve"> est passé à l</w:t>
      </w:r>
      <w:r w:rsidR="00346F1B">
        <w:rPr>
          <w:bCs/>
        </w:rPr>
        <w:t>’</w:t>
      </w:r>
      <w:r>
        <w:rPr>
          <w:bCs/>
        </w:rPr>
        <w:t xml:space="preserve">adoption du projet de décision </w:t>
      </w:r>
      <w:r w:rsidRPr="00855A3E">
        <w:rPr>
          <w:bCs/>
        </w:rPr>
        <w:t>paragraphe</w:t>
      </w:r>
      <w:r>
        <w:rPr>
          <w:bCs/>
        </w:rPr>
        <w:t xml:space="preserve"> par </w:t>
      </w:r>
      <w:r w:rsidRPr="00855A3E">
        <w:rPr>
          <w:bCs/>
        </w:rPr>
        <w:t>paragraphe</w:t>
      </w:r>
      <w:r>
        <w:rPr>
          <w:bCs/>
        </w:rPr>
        <w:t>. E</w:t>
      </w:r>
      <w:r w:rsidRPr="00855A3E">
        <w:rPr>
          <w:bCs/>
        </w:rPr>
        <w:t>n l</w:t>
      </w:r>
      <w:r w:rsidR="00346F1B">
        <w:rPr>
          <w:bCs/>
        </w:rPr>
        <w:t>’</w:t>
      </w:r>
      <w:r w:rsidRPr="00855A3E">
        <w:rPr>
          <w:bCs/>
        </w:rPr>
        <w:t>absence</w:t>
      </w:r>
      <w:r>
        <w:rPr>
          <w:bCs/>
        </w:rPr>
        <w:t xml:space="preserve"> de commentaires ou d</w:t>
      </w:r>
      <w:r w:rsidR="00346F1B">
        <w:rPr>
          <w:bCs/>
        </w:rPr>
        <w:t>’</w:t>
      </w:r>
      <w:r>
        <w:rPr>
          <w:bCs/>
        </w:rPr>
        <w:t xml:space="preserve">objections au </w:t>
      </w:r>
      <w:r w:rsidRPr="00855A3E">
        <w:rPr>
          <w:bCs/>
        </w:rPr>
        <w:t>paragraphe</w:t>
      </w:r>
      <w:r>
        <w:rPr>
          <w:bCs/>
        </w:rPr>
        <w:t xml:space="preserve"> 1, celui-ci a été </w:t>
      </w:r>
      <w:r w:rsidR="008052AC">
        <w:rPr>
          <w:bCs/>
        </w:rPr>
        <w:t>dûment</w:t>
      </w:r>
      <w:r>
        <w:rPr>
          <w:bCs/>
        </w:rPr>
        <w:t xml:space="preserve"> adopté. Puis, </w:t>
      </w:r>
      <w:r w:rsidR="00024AAA">
        <w:rPr>
          <w:bCs/>
        </w:rPr>
        <w:t>s</w:t>
      </w:r>
      <w:r w:rsidR="00346F1B">
        <w:rPr>
          <w:bCs/>
        </w:rPr>
        <w:t>’</w:t>
      </w:r>
      <w:r w:rsidR="00024AAA">
        <w:rPr>
          <w:bCs/>
        </w:rPr>
        <w:t xml:space="preserve">agissant du </w:t>
      </w:r>
      <w:r w:rsidRPr="00855A3E">
        <w:rPr>
          <w:bCs/>
        </w:rPr>
        <w:t>paragraphe</w:t>
      </w:r>
      <w:r>
        <w:rPr>
          <w:bCs/>
        </w:rPr>
        <w:t xml:space="preserve"> 2, le </w:t>
      </w:r>
      <w:r w:rsidRPr="00855A3E">
        <w:rPr>
          <w:bCs/>
        </w:rPr>
        <w:t>critère</w:t>
      </w:r>
      <w:r>
        <w:rPr>
          <w:bCs/>
        </w:rPr>
        <w:t xml:space="preserve"> R.1 a été adopté, le </w:t>
      </w:r>
      <w:r w:rsidRPr="00855A3E">
        <w:rPr>
          <w:bCs/>
        </w:rPr>
        <w:t>critère</w:t>
      </w:r>
      <w:r>
        <w:rPr>
          <w:bCs/>
        </w:rPr>
        <w:t xml:space="preserve"> R.2 a été adopté tel qu</w:t>
      </w:r>
      <w:r w:rsidR="00346F1B">
        <w:rPr>
          <w:bCs/>
        </w:rPr>
        <w:t>’</w:t>
      </w:r>
      <w:r>
        <w:rPr>
          <w:bCs/>
        </w:rPr>
        <w:t xml:space="preserve">amendé par Maurice, le </w:t>
      </w:r>
      <w:r w:rsidRPr="00855A3E">
        <w:rPr>
          <w:bCs/>
        </w:rPr>
        <w:t>critère</w:t>
      </w:r>
      <w:r>
        <w:rPr>
          <w:bCs/>
        </w:rPr>
        <w:t xml:space="preserve"> R.3 a été adopté, le </w:t>
      </w:r>
      <w:r w:rsidRPr="00855A3E">
        <w:rPr>
          <w:bCs/>
        </w:rPr>
        <w:t>critère</w:t>
      </w:r>
      <w:r w:rsidR="00024AAA">
        <w:rPr>
          <w:bCs/>
        </w:rPr>
        <w:t xml:space="preserve"> R.4 a été adopté</w:t>
      </w:r>
      <w:r>
        <w:rPr>
          <w:bCs/>
        </w:rPr>
        <w:t xml:space="preserve"> et le </w:t>
      </w:r>
      <w:r w:rsidRPr="00855A3E">
        <w:rPr>
          <w:bCs/>
        </w:rPr>
        <w:t>critère</w:t>
      </w:r>
      <w:r>
        <w:rPr>
          <w:bCs/>
        </w:rPr>
        <w:t xml:space="preserve"> R.5 a été adopté tel qu</w:t>
      </w:r>
      <w:r w:rsidR="00346F1B">
        <w:rPr>
          <w:bCs/>
        </w:rPr>
        <w:t>’</w:t>
      </w:r>
      <w:r>
        <w:rPr>
          <w:bCs/>
        </w:rPr>
        <w:t xml:space="preserve">amendé par Maurice. </w:t>
      </w:r>
      <w:r w:rsidR="00024AAA">
        <w:rPr>
          <w:bCs/>
        </w:rPr>
        <w:t>En l</w:t>
      </w:r>
      <w:r w:rsidR="00346F1B">
        <w:rPr>
          <w:bCs/>
        </w:rPr>
        <w:t>’</w:t>
      </w:r>
      <w:r w:rsidR="00024AAA">
        <w:rPr>
          <w:bCs/>
        </w:rPr>
        <w:t>absence d</w:t>
      </w:r>
      <w:r w:rsidR="00346F1B">
        <w:rPr>
          <w:bCs/>
        </w:rPr>
        <w:t>’</w:t>
      </w:r>
      <w:r w:rsidR="00024AAA">
        <w:rPr>
          <w:bCs/>
        </w:rPr>
        <w:t xml:space="preserve">objections, le </w:t>
      </w:r>
      <w:r w:rsidR="00024AAA" w:rsidRPr="00024AAA">
        <w:rPr>
          <w:bCs/>
        </w:rPr>
        <w:t>paragraphe</w:t>
      </w:r>
      <w:r w:rsidR="00024AAA">
        <w:rPr>
          <w:bCs/>
        </w:rPr>
        <w:t xml:space="preserve"> 3 « Inscrit » a </w:t>
      </w:r>
      <w:r w:rsidR="008052AC">
        <w:rPr>
          <w:bCs/>
        </w:rPr>
        <w:t>dûment</w:t>
      </w:r>
      <w:r w:rsidR="00024AAA">
        <w:rPr>
          <w:bCs/>
        </w:rPr>
        <w:t xml:space="preserve"> été adopté. Le </w:t>
      </w:r>
      <w:r w:rsidR="00024AAA" w:rsidRPr="00024AAA">
        <w:rPr>
          <w:bCs/>
        </w:rPr>
        <w:t>paragraphe</w:t>
      </w:r>
      <w:r w:rsidR="00024AAA">
        <w:rPr>
          <w:bCs/>
        </w:rPr>
        <w:t xml:space="preserve"> standard a été inséré en tant que nouveau </w:t>
      </w:r>
      <w:r w:rsidR="00024AAA" w:rsidRPr="00024AAA">
        <w:rPr>
          <w:bCs/>
        </w:rPr>
        <w:t>paragraphe</w:t>
      </w:r>
      <w:r w:rsidR="00024AAA">
        <w:rPr>
          <w:bCs/>
        </w:rPr>
        <w:t xml:space="preserve"> 4.</w:t>
      </w:r>
    </w:p>
    <w:p w14:paraId="7A6F5A4E" w14:textId="1B1FC583" w:rsidR="00024AAA" w:rsidRPr="00024AAA" w:rsidRDefault="00024AAA" w:rsidP="005A12C8">
      <w:pPr>
        <w:pStyle w:val="Orateurengris"/>
        <w:spacing w:before="120"/>
        <w:ind w:left="709" w:hanging="709"/>
        <w:rPr>
          <w:bCs/>
        </w:rPr>
      </w:pPr>
      <w:r>
        <w:rPr>
          <w:bCs/>
        </w:rPr>
        <w:t xml:space="preserve">La </w:t>
      </w:r>
      <w:r w:rsidRPr="00024AAA">
        <w:rPr>
          <w:bCs/>
        </w:rPr>
        <w:t>délégation</w:t>
      </w:r>
      <w:r>
        <w:rPr>
          <w:bCs/>
        </w:rPr>
        <w:t xml:space="preserve"> de la </w:t>
      </w:r>
      <w:r w:rsidRPr="00024AAA">
        <w:rPr>
          <w:b/>
          <w:bCs/>
        </w:rPr>
        <w:t>Hongrie</w:t>
      </w:r>
      <w:r w:rsidR="00B76E62">
        <w:rPr>
          <w:bCs/>
        </w:rPr>
        <w:t xml:space="preserve"> souhaitait</w:t>
      </w:r>
      <w:r>
        <w:rPr>
          <w:bCs/>
        </w:rPr>
        <w:t xml:space="preserve"> </w:t>
      </w:r>
      <w:r w:rsidR="00B76E62">
        <w:rPr>
          <w:bCs/>
        </w:rPr>
        <w:t xml:space="preserve">faire référence à </w:t>
      </w:r>
      <w:r>
        <w:rPr>
          <w:bCs/>
        </w:rPr>
        <w:t>l</w:t>
      </w:r>
      <w:r w:rsidR="00346F1B">
        <w:rPr>
          <w:bCs/>
        </w:rPr>
        <w:t>’</w:t>
      </w:r>
      <w:r>
        <w:rPr>
          <w:bCs/>
        </w:rPr>
        <w:t xml:space="preserve">autre </w:t>
      </w:r>
      <w:r w:rsidRPr="00024AAA">
        <w:rPr>
          <w:bCs/>
        </w:rPr>
        <w:t>paragraphe</w:t>
      </w:r>
      <w:r w:rsidR="00B76E62">
        <w:rPr>
          <w:bCs/>
        </w:rPr>
        <w:t xml:space="preserve"> standard, adopté dans toutes les décisions relatives au </w:t>
      </w:r>
      <w:r w:rsidR="00B76E62" w:rsidRPr="00B76E62">
        <w:rPr>
          <w:bCs/>
        </w:rPr>
        <w:t>critère</w:t>
      </w:r>
      <w:r w:rsidR="00B76E62">
        <w:rPr>
          <w:bCs/>
        </w:rPr>
        <w:t xml:space="preserve"> R.5, c.-à-d. </w:t>
      </w:r>
      <w:r w:rsidR="00D56240">
        <w:rPr>
          <w:bCs/>
        </w:rPr>
        <w:t>« </w:t>
      </w:r>
      <w:r w:rsidR="00B76E62">
        <w:rPr>
          <w:bCs/>
        </w:rPr>
        <w:t>l</w:t>
      </w:r>
      <w:r w:rsidR="00346F1B">
        <w:rPr>
          <w:bCs/>
        </w:rPr>
        <w:t>’</w:t>
      </w:r>
      <w:r w:rsidR="00B76E62" w:rsidRPr="00B76E62">
        <w:rPr>
          <w:bCs/>
        </w:rPr>
        <w:t>inventaire</w:t>
      </w:r>
      <w:r w:rsidR="00B76E62">
        <w:rPr>
          <w:bCs/>
        </w:rPr>
        <w:t xml:space="preserve"> a été dressé avec la </w:t>
      </w:r>
      <w:r w:rsidR="00B76E62" w:rsidRPr="00B76E62">
        <w:rPr>
          <w:bCs/>
        </w:rPr>
        <w:t>participation</w:t>
      </w:r>
      <w:r w:rsidR="00B76E62">
        <w:rPr>
          <w:bCs/>
        </w:rPr>
        <w:t xml:space="preserve"> des communautés et est </w:t>
      </w:r>
      <w:r w:rsidR="00B76E62" w:rsidRPr="00B76E62">
        <w:rPr>
          <w:bCs/>
        </w:rPr>
        <w:t>régulièrement</w:t>
      </w:r>
      <w:r w:rsidR="00B76E62">
        <w:rPr>
          <w:bCs/>
        </w:rPr>
        <w:t xml:space="preserve"> mis à jour</w:t>
      </w:r>
      <w:r w:rsidR="00D56240">
        <w:rPr>
          <w:bCs/>
        </w:rPr>
        <w:t> »</w:t>
      </w:r>
      <w:r w:rsidR="00B76E62">
        <w:rPr>
          <w:bCs/>
        </w:rPr>
        <w:t>. Pour des raisons de cohérence, et l</w:t>
      </w:r>
      <w:r w:rsidR="00346F1B">
        <w:rPr>
          <w:bCs/>
        </w:rPr>
        <w:t>’</w:t>
      </w:r>
      <w:r w:rsidR="00B76E62">
        <w:rPr>
          <w:bCs/>
        </w:rPr>
        <w:t xml:space="preserve">Inde ayant confirmé cette information, la </w:t>
      </w:r>
      <w:r w:rsidR="00B76E62" w:rsidRPr="00B76E62">
        <w:rPr>
          <w:bCs/>
        </w:rPr>
        <w:t>délégation</w:t>
      </w:r>
      <w:r w:rsidR="00B76E62">
        <w:rPr>
          <w:bCs/>
        </w:rPr>
        <w:t xml:space="preserve"> a proposé d</w:t>
      </w:r>
      <w:r w:rsidR="00346F1B">
        <w:rPr>
          <w:bCs/>
        </w:rPr>
        <w:t>’</w:t>
      </w:r>
      <w:r w:rsidR="00B76E62">
        <w:rPr>
          <w:bCs/>
        </w:rPr>
        <w:t xml:space="preserve">inclure cet ajout au </w:t>
      </w:r>
      <w:r w:rsidR="00B76E62" w:rsidRPr="00B76E62">
        <w:rPr>
          <w:bCs/>
        </w:rPr>
        <w:t>paragraphe</w:t>
      </w:r>
      <w:r w:rsidR="00B76E62">
        <w:rPr>
          <w:bCs/>
        </w:rPr>
        <w:t xml:space="preserve"> sur le </w:t>
      </w:r>
      <w:r w:rsidR="00B76E62" w:rsidRPr="00B76E62">
        <w:rPr>
          <w:bCs/>
        </w:rPr>
        <w:t>critère</w:t>
      </w:r>
      <w:r w:rsidR="00B76E62">
        <w:rPr>
          <w:bCs/>
        </w:rPr>
        <w:t xml:space="preserve"> R.5.</w:t>
      </w:r>
    </w:p>
    <w:p w14:paraId="708A6C18" w14:textId="6611C8F9" w:rsidR="00B76E62" w:rsidRDefault="00B76E62" w:rsidP="005A12C8">
      <w:pPr>
        <w:pStyle w:val="Orateurengris"/>
        <w:spacing w:before="120"/>
        <w:ind w:left="709" w:hanging="709"/>
        <w:rPr>
          <w:bCs/>
        </w:rPr>
      </w:pPr>
      <w:r>
        <w:rPr>
          <w:bCs/>
        </w:rPr>
        <w:t xml:space="preserve">Remarquant que le </w:t>
      </w:r>
      <w:r w:rsidRPr="00B76E62">
        <w:rPr>
          <w:bCs/>
        </w:rPr>
        <w:t>paragraphe</w:t>
      </w:r>
      <w:r>
        <w:rPr>
          <w:bCs/>
        </w:rPr>
        <w:t xml:space="preserve"> sur le </w:t>
      </w:r>
      <w:r w:rsidRPr="00B76E62">
        <w:rPr>
          <w:bCs/>
        </w:rPr>
        <w:t>critère</w:t>
      </w:r>
      <w:r>
        <w:rPr>
          <w:bCs/>
        </w:rPr>
        <w:t xml:space="preserve"> R.5 avait déjà été adopté, le </w:t>
      </w:r>
      <w:r w:rsidRPr="00B76E62">
        <w:rPr>
          <w:b/>
          <w:bCs/>
        </w:rPr>
        <w:t>Président</w:t>
      </w:r>
      <w:r>
        <w:rPr>
          <w:bCs/>
        </w:rPr>
        <w:t xml:space="preserve"> a demandé au Comité s</w:t>
      </w:r>
      <w:r w:rsidR="00346F1B">
        <w:rPr>
          <w:bCs/>
        </w:rPr>
        <w:t>’</w:t>
      </w:r>
      <w:r>
        <w:rPr>
          <w:bCs/>
        </w:rPr>
        <w:t xml:space="preserve">il consentirait à rouvrir le </w:t>
      </w:r>
      <w:r w:rsidRPr="00B76E62">
        <w:rPr>
          <w:bCs/>
        </w:rPr>
        <w:t>paragraphe</w:t>
      </w:r>
      <w:r>
        <w:rPr>
          <w:bCs/>
        </w:rPr>
        <w:t xml:space="preserve"> pour inclure ce texte </w:t>
      </w:r>
      <w:r w:rsidRPr="00B76E62">
        <w:rPr>
          <w:bCs/>
        </w:rPr>
        <w:t>complémentaire</w:t>
      </w:r>
      <w:r w:rsidR="005A12C8">
        <w:rPr>
          <w:bCs/>
        </w:rPr>
        <w:t>.</w:t>
      </w:r>
    </w:p>
    <w:p w14:paraId="2E0508CE" w14:textId="6BE936BE" w:rsidR="00BD6748" w:rsidRDefault="00B76E62" w:rsidP="005A12C8">
      <w:pPr>
        <w:pStyle w:val="Orateurengris"/>
        <w:spacing w:before="120"/>
        <w:ind w:left="709" w:hanging="709"/>
        <w:rPr>
          <w:bCs/>
        </w:rPr>
      </w:pPr>
      <w:r>
        <w:rPr>
          <w:bCs/>
        </w:rPr>
        <w:t xml:space="preserve">La </w:t>
      </w:r>
      <w:r w:rsidRPr="00B76E62">
        <w:rPr>
          <w:bCs/>
        </w:rPr>
        <w:t>délégation</w:t>
      </w:r>
      <w:r>
        <w:rPr>
          <w:bCs/>
        </w:rPr>
        <w:t xml:space="preserve"> de la </w:t>
      </w:r>
      <w:r w:rsidRPr="00BD6748">
        <w:rPr>
          <w:b/>
          <w:bCs/>
        </w:rPr>
        <w:t>Hongrie</w:t>
      </w:r>
      <w:r>
        <w:rPr>
          <w:bCs/>
        </w:rPr>
        <w:t xml:space="preserve"> a précisé qu</w:t>
      </w:r>
      <w:r w:rsidR="00346F1B">
        <w:rPr>
          <w:bCs/>
        </w:rPr>
        <w:t>’</w:t>
      </w:r>
      <w:r>
        <w:rPr>
          <w:bCs/>
        </w:rPr>
        <w:t>elle souhaitait ajouter : « l</w:t>
      </w:r>
      <w:r w:rsidR="00346F1B">
        <w:rPr>
          <w:bCs/>
        </w:rPr>
        <w:t>’</w:t>
      </w:r>
      <w:r w:rsidRPr="00B76E62">
        <w:rPr>
          <w:bCs/>
        </w:rPr>
        <w:t>inventaire</w:t>
      </w:r>
      <w:r>
        <w:rPr>
          <w:bCs/>
        </w:rPr>
        <w:t xml:space="preserve"> est élaboré avec la </w:t>
      </w:r>
      <w:r w:rsidRPr="00B76E62">
        <w:rPr>
          <w:bCs/>
        </w:rPr>
        <w:t>participation</w:t>
      </w:r>
      <w:r>
        <w:rPr>
          <w:bCs/>
        </w:rPr>
        <w:t xml:space="preserve"> des communautés et est </w:t>
      </w:r>
      <w:r w:rsidRPr="00B76E62">
        <w:rPr>
          <w:bCs/>
        </w:rPr>
        <w:t>régulièrement</w:t>
      </w:r>
      <w:r>
        <w:rPr>
          <w:bCs/>
        </w:rPr>
        <w:t xml:space="preserve"> mis à jour. ». Elle a toutefois </w:t>
      </w:r>
      <w:r w:rsidR="00BD6748">
        <w:rPr>
          <w:bCs/>
        </w:rPr>
        <w:t xml:space="preserve">précisé </w:t>
      </w:r>
      <w:r>
        <w:rPr>
          <w:bCs/>
        </w:rPr>
        <w:t xml:space="preserve">que le processus de mise à jour était déjà mentionné dans le </w:t>
      </w:r>
      <w:r w:rsidRPr="00B76E62">
        <w:rPr>
          <w:bCs/>
        </w:rPr>
        <w:t>paragraphe</w:t>
      </w:r>
      <w:r>
        <w:rPr>
          <w:bCs/>
        </w:rPr>
        <w:t xml:space="preserve"> sur le </w:t>
      </w:r>
      <w:r w:rsidRPr="00B76E62">
        <w:rPr>
          <w:bCs/>
        </w:rPr>
        <w:t>critère</w:t>
      </w:r>
      <w:r>
        <w:rPr>
          <w:bCs/>
        </w:rPr>
        <w:t xml:space="preserve"> R.5 </w:t>
      </w:r>
      <w:r w:rsidR="00BD6748">
        <w:rPr>
          <w:bCs/>
        </w:rPr>
        <w:t>tel qu</w:t>
      </w:r>
      <w:r w:rsidR="00346F1B">
        <w:rPr>
          <w:bCs/>
        </w:rPr>
        <w:t>’</w:t>
      </w:r>
      <w:r>
        <w:rPr>
          <w:bCs/>
        </w:rPr>
        <w:t xml:space="preserve">adopté. </w:t>
      </w:r>
      <w:r w:rsidRPr="00B76E62">
        <w:rPr>
          <w:bCs/>
        </w:rPr>
        <w:t>En ce qui concerne</w:t>
      </w:r>
      <w:r>
        <w:rPr>
          <w:bCs/>
        </w:rPr>
        <w:t xml:space="preserve"> la partie de la phrase « avec la </w:t>
      </w:r>
      <w:r w:rsidRPr="00B76E62">
        <w:rPr>
          <w:bCs/>
        </w:rPr>
        <w:t>participation</w:t>
      </w:r>
      <w:r>
        <w:rPr>
          <w:bCs/>
        </w:rPr>
        <w:t xml:space="preserve"> et le </w:t>
      </w:r>
      <w:r w:rsidRPr="00B76E62">
        <w:rPr>
          <w:bCs/>
        </w:rPr>
        <w:t>consentement</w:t>
      </w:r>
      <w:r>
        <w:rPr>
          <w:bCs/>
        </w:rPr>
        <w:t xml:space="preserve"> des praticiens et </w:t>
      </w:r>
      <w:r w:rsidRPr="00B76E62">
        <w:rPr>
          <w:bCs/>
        </w:rPr>
        <w:t>parties prenantes</w:t>
      </w:r>
      <w:r>
        <w:rPr>
          <w:bCs/>
        </w:rPr>
        <w:t xml:space="preserve"> », </w:t>
      </w:r>
      <w:r w:rsidR="00BD6748">
        <w:rPr>
          <w:bCs/>
        </w:rPr>
        <w:t>on ne comprenait pas si l</w:t>
      </w:r>
      <w:r w:rsidR="00346F1B">
        <w:rPr>
          <w:bCs/>
        </w:rPr>
        <w:t>’</w:t>
      </w:r>
      <w:r w:rsidR="00BD6748">
        <w:rPr>
          <w:bCs/>
        </w:rPr>
        <w:t>on faisait référence au yoga ou à l</w:t>
      </w:r>
      <w:r w:rsidR="00346F1B">
        <w:rPr>
          <w:bCs/>
        </w:rPr>
        <w:t>’</w:t>
      </w:r>
      <w:r w:rsidR="00BD6748" w:rsidRPr="00BD6748">
        <w:rPr>
          <w:bCs/>
        </w:rPr>
        <w:t>inventaire</w:t>
      </w:r>
      <w:r w:rsidR="00BD6748">
        <w:rPr>
          <w:bCs/>
        </w:rPr>
        <w:t xml:space="preserve"> en général, et la </w:t>
      </w:r>
      <w:r w:rsidR="00BD6748" w:rsidRPr="00BD6748">
        <w:rPr>
          <w:bCs/>
        </w:rPr>
        <w:t>délégation</w:t>
      </w:r>
      <w:r w:rsidR="00BD6748">
        <w:rPr>
          <w:bCs/>
        </w:rPr>
        <w:t xml:space="preserve"> a demandé son aide au </w:t>
      </w:r>
      <w:r w:rsidR="00BD6748" w:rsidRPr="00BD6748">
        <w:rPr>
          <w:bCs/>
        </w:rPr>
        <w:t>Secré</w:t>
      </w:r>
      <w:r w:rsidR="005A12C8">
        <w:rPr>
          <w:bCs/>
        </w:rPr>
        <w:t>taire pour le libellé du texte.</w:t>
      </w:r>
    </w:p>
    <w:p w14:paraId="7C2DDCA1" w14:textId="5180648B" w:rsidR="007E473F" w:rsidRDefault="00AF0F0B" w:rsidP="005A12C8">
      <w:pPr>
        <w:pStyle w:val="Orateurengris"/>
        <w:spacing w:before="120"/>
        <w:ind w:left="709" w:hanging="709"/>
        <w:rPr>
          <w:bCs/>
        </w:rPr>
      </w:pPr>
      <w:r>
        <w:rPr>
          <w:bCs/>
        </w:rPr>
        <w:t xml:space="preserve">Le </w:t>
      </w:r>
      <w:r w:rsidRPr="00AF0F0B">
        <w:rPr>
          <w:b/>
          <w:bCs/>
        </w:rPr>
        <w:t>Secrétaire</w:t>
      </w:r>
      <w:r>
        <w:rPr>
          <w:bCs/>
        </w:rPr>
        <w:t xml:space="preserve"> </w:t>
      </w:r>
      <w:r w:rsidR="003B43B0">
        <w:rPr>
          <w:bCs/>
        </w:rPr>
        <w:t xml:space="preserve">avait le sentiment que la réponse aux préoccupations exprimées par la Hongrie se trouvait déjà dans le libellé du </w:t>
      </w:r>
      <w:r w:rsidR="003B43B0" w:rsidRPr="003B43B0">
        <w:rPr>
          <w:bCs/>
        </w:rPr>
        <w:t>paragraphe</w:t>
      </w:r>
      <w:r w:rsidR="003B43B0">
        <w:rPr>
          <w:bCs/>
        </w:rPr>
        <w:t xml:space="preserve"> consacré au </w:t>
      </w:r>
      <w:r w:rsidR="003B43B0" w:rsidRPr="003B43B0">
        <w:rPr>
          <w:bCs/>
        </w:rPr>
        <w:t>critère</w:t>
      </w:r>
      <w:r w:rsidR="003B43B0">
        <w:rPr>
          <w:bCs/>
        </w:rPr>
        <w:t xml:space="preserve"> R.5 ainsi rédigé : « Le yoga est inventorié </w:t>
      </w:r>
      <w:r w:rsidR="007E473F">
        <w:rPr>
          <w:bCs/>
        </w:rPr>
        <w:t xml:space="preserve">par plusieurs </w:t>
      </w:r>
      <w:r w:rsidR="007E473F" w:rsidRPr="007E473F">
        <w:rPr>
          <w:bCs/>
        </w:rPr>
        <w:t>institutions</w:t>
      </w:r>
      <w:r w:rsidR="007E473F">
        <w:rPr>
          <w:bCs/>
        </w:rPr>
        <w:t xml:space="preserve"> […] avec la </w:t>
      </w:r>
      <w:r w:rsidR="007E473F" w:rsidRPr="007E473F">
        <w:rPr>
          <w:bCs/>
        </w:rPr>
        <w:t>participation</w:t>
      </w:r>
      <w:r w:rsidR="007E473F">
        <w:rPr>
          <w:bCs/>
        </w:rPr>
        <w:t xml:space="preserve"> et le </w:t>
      </w:r>
      <w:r w:rsidR="007E473F" w:rsidRPr="007E473F">
        <w:rPr>
          <w:bCs/>
        </w:rPr>
        <w:t>consentement</w:t>
      </w:r>
      <w:r w:rsidR="007E473F">
        <w:rPr>
          <w:bCs/>
        </w:rPr>
        <w:t xml:space="preserve"> des praticiens et des </w:t>
      </w:r>
      <w:r w:rsidR="007E473F" w:rsidRPr="007E473F">
        <w:rPr>
          <w:bCs/>
        </w:rPr>
        <w:t>parties prenantes</w:t>
      </w:r>
      <w:r w:rsidR="007E473F">
        <w:rPr>
          <w:bCs/>
        </w:rPr>
        <w:t xml:space="preserve">. », car ce passage faisait référence aux inventaires, tandis que la Sangeet Natak Akademi « met </w:t>
      </w:r>
      <w:r w:rsidR="007E473F" w:rsidRPr="007E473F">
        <w:rPr>
          <w:bCs/>
        </w:rPr>
        <w:t>également</w:t>
      </w:r>
      <w:r w:rsidR="007E473F">
        <w:rPr>
          <w:bCs/>
        </w:rPr>
        <w:t xml:space="preserve"> à jour </w:t>
      </w:r>
      <w:r w:rsidR="007E473F" w:rsidRPr="007E473F">
        <w:rPr>
          <w:bCs/>
        </w:rPr>
        <w:t>régulièrement</w:t>
      </w:r>
      <w:r w:rsidR="007E473F">
        <w:rPr>
          <w:bCs/>
        </w:rPr>
        <w:t xml:space="preserve"> l</w:t>
      </w:r>
      <w:r w:rsidR="00346F1B">
        <w:rPr>
          <w:bCs/>
        </w:rPr>
        <w:t>’</w:t>
      </w:r>
      <w:r w:rsidR="007E473F" w:rsidRPr="007E473F">
        <w:rPr>
          <w:bCs/>
        </w:rPr>
        <w:t>inventaire</w:t>
      </w:r>
      <w:r w:rsidR="005A12C8">
        <w:rPr>
          <w:bCs/>
        </w:rPr>
        <w:t xml:space="preserve"> national ».</w:t>
      </w:r>
    </w:p>
    <w:p w14:paraId="55BA5D72" w14:textId="5867FEF3" w:rsidR="007E473F" w:rsidRPr="007E473F" w:rsidRDefault="007E473F" w:rsidP="005A12C8">
      <w:pPr>
        <w:pStyle w:val="Orateurengris"/>
        <w:spacing w:before="120"/>
        <w:ind w:left="709" w:hanging="709"/>
        <w:rPr>
          <w:bCs/>
        </w:rPr>
      </w:pPr>
      <w:r>
        <w:rPr>
          <w:bCs/>
        </w:rPr>
        <w:t xml:space="preserve">La </w:t>
      </w:r>
      <w:r w:rsidRPr="007E473F">
        <w:rPr>
          <w:bCs/>
        </w:rPr>
        <w:t>délégation</w:t>
      </w:r>
      <w:r>
        <w:rPr>
          <w:bCs/>
        </w:rPr>
        <w:t xml:space="preserve"> de la </w:t>
      </w:r>
      <w:r w:rsidRPr="007E473F">
        <w:rPr>
          <w:b/>
          <w:bCs/>
        </w:rPr>
        <w:t>Hongrie</w:t>
      </w:r>
      <w:r>
        <w:rPr>
          <w:bCs/>
        </w:rPr>
        <w:t xml:space="preserve"> a souscrit aux propos du </w:t>
      </w:r>
      <w:r w:rsidRPr="007E473F">
        <w:rPr>
          <w:bCs/>
        </w:rPr>
        <w:t>Secrétaire</w:t>
      </w:r>
      <w:r>
        <w:rPr>
          <w:bCs/>
        </w:rPr>
        <w:t xml:space="preserve"> et a retiré son </w:t>
      </w:r>
      <w:r w:rsidRPr="007E473F">
        <w:rPr>
          <w:bCs/>
        </w:rPr>
        <w:t>amendement</w:t>
      </w:r>
      <w:r w:rsidR="005A12C8">
        <w:rPr>
          <w:bCs/>
        </w:rPr>
        <w:t>.</w:t>
      </w:r>
    </w:p>
    <w:p w14:paraId="13DF147B" w14:textId="00019E24" w:rsidR="007E473F" w:rsidRPr="007E473F" w:rsidRDefault="007E473F" w:rsidP="005A12C8">
      <w:pPr>
        <w:pStyle w:val="Orateurengris"/>
        <w:keepNext/>
        <w:keepLines/>
        <w:tabs>
          <w:tab w:val="left" w:pos="567"/>
        </w:tabs>
        <w:spacing w:before="120"/>
        <w:ind w:left="709" w:hanging="709"/>
        <w:rPr>
          <w:bCs/>
        </w:rPr>
      </w:pPr>
      <w:r w:rsidRPr="007E473F">
        <w:rPr>
          <w:bCs/>
        </w:rPr>
        <w:t xml:space="preserve">Le </w:t>
      </w:r>
      <w:r w:rsidRPr="007E473F">
        <w:rPr>
          <w:b/>
          <w:bCs/>
        </w:rPr>
        <w:t>Président</w:t>
      </w:r>
      <w:r w:rsidRPr="007E473F">
        <w:rPr>
          <w:bCs/>
        </w:rPr>
        <w:t xml:space="preserve"> est revenu à l</w:t>
      </w:r>
      <w:r w:rsidR="00346F1B">
        <w:rPr>
          <w:bCs/>
        </w:rPr>
        <w:t>’</w:t>
      </w:r>
      <w:r w:rsidRPr="007E473F">
        <w:rPr>
          <w:bCs/>
        </w:rPr>
        <w:t>adoption du paragraphe</w:t>
      </w:r>
      <w:r>
        <w:rPr>
          <w:bCs/>
        </w:rPr>
        <w:t xml:space="preserve"> 4, et en l</w:t>
      </w:r>
      <w:r w:rsidR="00346F1B">
        <w:rPr>
          <w:bCs/>
        </w:rPr>
        <w:t>’</w:t>
      </w:r>
      <w:r>
        <w:rPr>
          <w:bCs/>
        </w:rPr>
        <w:t>absence d</w:t>
      </w:r>
      <w:r w:rsidR="00346F1B">
        <w:rPr>
          <w:bCs/>
        </w:rPr>
        <w:t>’</w:t>
      </w:r>
      <w:r>
        <w:rPr>
          <w:bCs/>
        </w:rPr>
        <w:t xml:space="preserve">objections, celui-ci a été </w:t>
      </w:r>
      <w:r w:rsidR="008052AC">
        <w:rPr>
          <w:bCs/>
        </w:rPr>
        <w:t>dûment</w:t>
      </w:r>
      <w:r>
        <w:rPr>
          <w:bCs/>
        </w:rPr>
        <w:t xml:space="preserve"> adopté. En l</w:t>
      </w:r>
      <w:r w:rsidR="00346F1B">
        <w:rPr>
          <w:bCs/>
        </w:rPr>
        <w:t>’</w:t>
      </w:r>
      <w:r>
        <w:rPr>
          <w:bCs/>
        </w:rPr>
        <w:t>absence d</w:t>
      </w:r>
      <w:r w:rsidR="00346F1B">
        <w:rPr>
          <w:bCs/>
        </w:rPr>
        <w:t>’</w:t>
      </w:r>
      <w:r>
        <w:rPr>
          <w:bCs/>
        </w:rPr>
        <w:t xml:space="preserve">autres commentaires ou </w:t>
      </w:r>
      <w:r w:rsidRPr="007E473F">
        <w:rPr>
          <w:bCs/>
        </w:rPr>
        <w:t>objections</w:t>
      </w:r>
      <w:r>
        <w:rPr>
          <w:bCs/>
        </w:rPr>
        <w:t xml:space="preserve">, le </w:t>
      </w:r>
      <w:r w:rsidRPr="007E473F">
        <w:rPr>
          <w:b/>
          <w:bCs/>
        </w:rPr>
        <w:t>Président a déclaré adoptée la décision 11.COM 10.b.17 d</w:t>
      </w:r>
      <w:r w:rsidR="00346F1B">
        <w:rPr>
          <w:b/>
          <w:bCs/>
        </w:rPr>
        <w:t>’</w:t>
      </w:r>
      <w:r w:rsidRPr="007E473F">
        <w:rPr>
          <w:b/>
          <w:bCs/>
        </w:rPr>
        <w:t>inscrire le yoga sur la Liste représentative du patrimoine culturel immatériel de l</w:t>
      </w:r>
      <w:r w:rsidR="00346F1B">
        <w:rPr>
          <w:b/>
          <w:bCs/>
        </w:rPr>
        <w:t>’</w:t>
      </w:r>
      <w:r w:rsidRPr="007E473F">
        <w:rPr>
          <w:b/>
          <w:bCs/>
        </w:rPr>
        <w:t>humanité</w:t>
      </w:r>
      <w:r w:rsidR="005A12C8">
        <w:rPr>
          <w:bCs/>
        </w:rPr>
        <w:t>.</w:t>
      </w:r>
    </w:p>
    <w:p w14:paraId="2225F00D" w14:textId="3546DE3A" w:rsidR="006C6017" w:rsidRPr="006C6017" w:rsidRDefault="00C9307B" w:rsidP="005A12C8">
      <w:pPr>
        <w:pStyle w:val="Orateurengris"/>
        <w:keepNext/>
        <w:keepLines/>
        <w:tabs>
          <w:tab w:val="left" w:pos="567"/>
        </w:tabs>
        <w:spacing w:before="120"/>
        <w:ind w:left="709" w:hanging="709"/>
        <w:rPr>
          <w:bCs/>
        </w:rPr>
      </w:pPr>
      <w:r>
        <w:rPr>
          <w:bCs/>
        </w:rPr>
        <w:t>Au nom du 1,3 milliard d</w:t>
      </w:r>
      <w:r w:rsidR="00346F1B">
        <w:rPr>
          <w:bCs/>
        </w:rPr>
        <w:t>’</w:t>
      </w:r>
      <w:r>
        <w:rPr>
          <w:bCs/>
        </w:rPr>
        <w:t xml:space="preserve">Indiens, la </w:t>
      </w:r>
      <w:r w:rsidRPr="00C9307B">
        <w:rPr>
          <w:bCs/>
        </w:rPr>
        <w:t>délégation</w:t>
      </w:r>
      <w:r>
        <w:rPr>
          <w:bCs/>
        </w:rPr>
        <w:t xml:space="preserve"> de l</w:t>
      </w:r>
      <w:r w:rsidR="00346F1B">
        <w:rPr>
          <w:bCs/>
        </w:rPr>
        <w:t>’</w:t>
      </w:r>
      <w:r w:rsidRPr="00C9307B">
        <w:rPr>
          <w:b/>
          <w:bCs/>
        </w:rPr>
        <w:t>Inde</w:t>
      </w:r>
      <w:r>
        <w:rPr>
          <w:bCs/>
        </w:rPr>
        <w:t xml:space="preserve"> a exprimé ses remerciements les plus sincères pour l</w:t>
      </w:r>
      <w:r w:rsidR="00346F1B">
        <w:rPr>
          <w:bCs/>
        </w:rPr>
        <w:t>’</w:t>
      </w:r>
      <w:r w:rsidRPr="00C9307B">
        <w:rPr>
          <w:bCs/>
        </w:rPr>
        <w:t>inscription</w:t>
      </w:r>
      <w:r>
        <w:rPr>
          <w:bCs/>
        </w:rPr>
        <w:t xml:space="preserve"> du yoga en tant que trésor humain. Le premier ministre de l</w:t>
      </w:r>
      <w:r w:rsidR="00346F1B">
        <w:rPr>
          <w:bCs/>
        </w:rPr>
        <w:t>’</w:t>
      </w:r>
      <w:r>
        <w:rPr>
          <w:bCs/>
        </w:rPr>
        <w:t>Inde, Sri Narendra Modi, avait capturé l</w:t>
      </w:r>
      <w:r w:rsidR="00346F1B">
        <w:rPr>
          <w:bCs/>
        </w:rPr>
        <w:t>’</w:t>
      </w:r>
      <w:r>
        <w:rPr>
          <w:bCs/>
        </w:rPr>
        <w:t>essence du yoga lorsqu</w:t>
      </w:r>
      <w:r w:rsidR="00346F1B">
        <w:rPr>
          <w:bCs/>
        </w:rPr>
        <w:t>’</w:t>
      </w:r>
      <w:r>
        <w:rPr>
          <w:bCs/>
        </w:rPr>
        <w:t>il avait déclaré devant l</w:t>
      </w:r>
      <w:r w:rsidR="00346F1B">
        <w:rPr>
          <w:bCs/>
        </w:rPr>
        <w:t>’</w:t>
      </w:r>
      <w:r>
        <w:rPr>
          <w:bCs/>
        </w:rPr>
        <w:t>Assemblée générale des Nations Unies</w:t>
      </w:r>
      <w:r w:rsidR="003B06A8">
        <w:rPr>
          <w:bCs/>
        </w:rPr>
        <w:t xml:space="preserve">, le 27 septembre 2014 </w:t>
      </w:r>
      <w:r>
        <w:rPr>
          <w:bCs/>
        </w:rPr>
        <w:t>: « Le yoga est un cadeau précieux de la tradition ancienne de l</w:t>
      </w:r>
      <w:r w:rsidR="00346F1B">
        <w:rPr>
          <w:bCs/>
        </w:rPr>
        <w:t>’</w:t>
      </w:r>
      <w:r>
        <w:rPr>
          <w:bCs/>
        </w:rPr>
        <w:t xml:space="preserve">Inde. Il incarne </w:t>
      </w:r>
      <w:r w:rsidR="003B06A8">
        <w:rPr>
          <w:bCs/>
        </w:rPr>
        <w:t>l</w:t>
      </w:r>
      <w:r w:rsidR="00346F1B">
        <w:rPr>
          <w:bCs/>
        </w:rPr>
        <w:t>’</w:t>
      </w:r>
      <w:r w:rsidR="003B06A8">
        <w:rPr>
          <w:bCs/>
        </w:rPr>
        <w:t>unité de l</w:t>
      </w:r>
      <w:r w:rsidR="00346F1B">
        <w:rPr>
          <w:bCs/>
        </w:rPr>
        <w:t>’</w:t>
      </w:r>
      <w:r w:rsidR="003B06A8">
        <w:rPr>
          <w:bCs/>
        </w:rPr>
        <w:t>esprit et du corps, de la pensée et de l</w:t>
      </w:r>
      <w:r w:rsidR="00346F1B">
        <w:rPr>
          <w:bCs/>
        </w:rPr>
        <w:t>’</w:t>
      </w:r>
      <w:r w:rsidR="003B06A8">
        <w:rPr>
          <w:bCs/>
        </w:rPr>
        <w:t>action, de la contrainte et de la réalisation, l</w:t>
      </w:r>
      <w:r w:rsidR="00346F1B">
        <w:rPr>
          <w:bCs/>
        </w:rPr>
        <w:t>’</w:t>
      </w:r>
      <w:r w:rsidR="003B06A8">
        <w:rPr>
          <w:bCs/>
        </w:rPr>
        <w:t>harmonie entre l</w:t>
      </w:r>
      <w:r w:rsidR="00346F1B">
        <w:rPr>
          <w:bCs/>
        </w:rPr>
        <w:t>’</w:t>
      </w:r>
      <w:r w:rsidR="003B06A8">
        <w:rPr>
          <w:bCs/>
        </w:rPr>
        <w:t>homme et la nature, une approche holistiq</w:t>
      </w:r>
      <w:r w:rsidR="001734F2">
        <w:rPr>
          <w:bCs/>
        </w:rPr>
        <w:t xml:space="preserve">ue de la santé et du bien-être. Le yoga </w:t>
      </w:r>
      <w:r w:rsidR="003B06A8">
        <w:rPr>
          <w:bCs/>
        </w:rPr>
        <w:t>n</w:t>
      </w:r>
      <w:r w:rsidR="00346F1B">
        <w:rPr>
          <w:bCs/>
        </w:rPr>
        <w:t>’</w:t>
      </w:r>
      <w:r w:rsidR="003B06A8">
        <w:rPr>
          <w:bCs/>
        </w:rPr>
        <w:t>est pas un exe</w:t>
      </w:r>
      <w:r w:rsidR="006C6017">
        <w:rPr>
          <w:bCs/>
        </w:rPr>
        <w:t xml:space="preserve">rcice mais </w:t>
      </w:r>
      <w:r w:rsidR="001734F2">
        <w:rPr>
          <w:bCs/>
        </w:rPr>
        <w:t>la découverte du</w:t>
      </w:r>
      <w:r w:rsidR="006C6017">
        <w:rPr>
          <w:bCs/>
        </w:rPr>
        <w:t xml:space="preserve"> se</w:t>
      </w:r>
      <w:r w:rsidR="001734F2">
        <w:rPr>
          <w:bCs/>
        </w:rPr>
        <w:t>ns de l</w:t>
      </w:r>
      <w:r w:rsidR="00346F1B">
        <w:rPr>
          <w:bCs/>
        </w:rPr>
        <w:t>’</w:t>
      </w:r>
      <w:r w:rsidR="001734F2">
        <w:rPr>
          <w:bCs/>
        </w:rPr>
        <w:t>harmonie au sein de soi</w:t>
      </w:r>
      <w:r w:rsidR="006C6017">
        <w:rPr>
          <w:bCs/>
        </w:rPr>
        <w:t xml:space="preserve">-même, du monde et de la nature ». La </w:t>
      </w:r>
      <w:r w:rsidR="006C6017" w:rsidRPr="006C6017">
        <w:rPr>
          <w:bCs/>
        </w:rPr>
        <w:t>délégation</w:t>
      </w:r>
      <w:r w:rsidR="006C6017">
        <w:rPr>
          <w:bCs/>
        </w:rPr>
        <w:t xml:space="preserve"> a ajouté que le yoga, tel que défini par les anciens textes sacrés indiens, était u</w:t>
      </w:r>
      <w:r w:rsidR="002C6DE3">
        <w:rPr>
          <w:bCs/>
        </w:rPr>
        <w:t>n contrôle complet de l</w:t>
      </w:r>
      <w:r w:rsidR="00346F1B">
        <w:rPr>
          <w:bCs/>
        </w:rPr>
        <w:t>’</w:t>
      </w:r>
      <w:r w:rsidR="002C6DE3">
        <w:rPr>
          <w:bCs/>
        </w:rPr>
        <w:t xml:space="preserve">esprit </w:t>
      </w:r>
      <w:r w:rsidR="006C6017">
        <w:rPr>
          <w:bCs/>
        </w:rPr>
        <w:t>et</w:t>
      </w:r>
      <w:r w:rsidR="002C6DE3">
        <w:rPr>
          <w:bCs/>
        </w:rPr>
        <w:t>,</w:t>
      </w:r>
      <w:r w:rsidR="006C6017">
        <w:rPr>
          <w:bCs/>
        </w:rPr>
        <w:t xml:space="preserve"> par ce contrôle, perm</w:t>
      </w:r>
      <w:r w:rsidR="001734F2">
        <w:rPr>
          <w:bCs/>
        </w:rPr>
        <w:t>ettait d</w:t>
      </w:r>
      <w:r w:rsidR="00346F1B">
        <w:rPr>
          <w:bCs/>
        </w:rPr>
        <w:t>’</w:t>
      </w:r>
      <w:r w:rsidR="001734F2">
        <w:rPr>
          <w:bCs/>
        </w:rPr>
        <w:t>obtenir</w:t>
      </w:r>
      <w:r w:rsidR="006C6017">
        <w:rPr>
          <w:bCs/>
        </w:rPr>
        <w:t xml:space="preserve"> l</w:t>
      </w:r>
      <w:r w:rsidR="00346F1B">
        <w:rPr>
          <w:bCs/>
        </w:rPr>
        <w:t>’</w:t>
      </w:r>
      <w:r w:rsidR="006C6017">
        <w:rPr>
          <w:bCs/>
        </w:rPr>
        <w:t>efficacité dans l</w:t>
      </w:r>
      <w:r w:rsidR="00346F1B">
        <w:rPr>
          <w:bCs/>
        </w:rPr>
        <w:t>’</w:t>
      </w:r>
      <w:r w:rsidR="006C6017">
        <w:rPr>
          <w:bCs/>
        </w:rPr>
        <w:t xml:space="preserve">action. Une personne qui contrôlait son esprit était comme une lampe qui ne vacillait pas dans un lieu sans vent. </w:t>
      </w:r>
      <w:r w:rsidR="001734F2">
        <w:rPr>
          <w:bCs/>
        </w:rPr>
        <w:t>Cela signifiait que la sérénité pouvait être acquise par un esprit contrôlé et concentré. Entre d</w:t>
      </w:r>
      <w:r w:rsidR="00346F1B">
        <w:rPr>
          <w:bCs/>
        </w:rPr>
        <w:t>’</w:t>
      </w:r>
      <w:r w:rsidR="001734F2">
        <w:rPr>
          <w:bCs/>
        </w:rPr>
        <w:t>une part, l</w:t>
      </w:r>
      <w:r w:rsidR="00346F1B">
        <w:rPr>
          <w:bCs/>
        </w:rPr>
        <w:t>’</w:t>
      </w:r>
      <w:r w:rsidR="001734F2">
        <w:rPr>
          <w:bCs/>
        </w:rPr>
        <w:t>abstraction et l</w:t>
      </w:r>
      <w:r w:rsidR="00346F1B">
        <w:rPr>
          <w:bCs/>
        </w:rPr>
        <w:t>’</w:t>
      </w:r>
      <w:r w:rsidR="001734F2">
        <w:rPr>
          <w:bCs/>
        </w:rPr>
        <w:t>esprit et, d</w:t>
      </w:r>
      <w:r w:rsidR="00346F1B">
        <w:rPr>
          <w:bCs/>
        </w:rPr>
        <w:t>’</w:t>
      </w:r>
      <w:r w:rsidR="001734F2">
        <w:rPr>
          <w:bCs/>
        </w:rPr>
        <w:t>autre part, l</w:t>
      </w:r>
      <w:r w:rsidR="00346F1B">
        <w:rPr>
          <w:bCs/>
        </w:rPr>
        <w:t>’</w:t>
      </w:r>
      <w:r w:rsidR="001734F2">
        <w:rPr>
          <w:bCs/>
        </w:rPr>
        <w:t xml:space="preserve">action concrète, il y avait une séquence. Le yoga symbolisait cette séquence. La </w:t>
      </w:r>
      <w:r w:rsidR="001734F2" w:rsidRPr="001734F2">
        <w:rPr>
          <w:bCs/>
        </w:rPr>
        <w:t>délégation</w:t>
      </w:r>
      <w:r w:rsidR="001734F2">
        <w:rPr>
          <w:bCs/>
        </w:rPr>
        <w:t xml:space="preserve"> a sollicité l</w:t>
      </w:r>
      <w:r w:rsidR="00346F1B">
        <w:rPr>
          <w:bCs/>
        </w:rPr>
        <w:t>’</w:t>
      </w:r>
      <w:r w:rsidR="001734F2">
        <w:rPr>
          <w:bCs/>
        </w:rPr>
        <w:t>indulgence du Président afin de pouvoir projeter un film sur le yoga, suivi d</w:t>
      </w:r>
      <w:r w:rsidR="00346F1B">
        <w:rPr>
          <w:bCs/>
        </w:rPr>
        <w:t>’</w:t>
      </w:r>
      <w:r w:rsidR="001734F2">
        <w:rPr>
          <w:bCs/>
        </w:rPr>
        <w:t xml:space="preserve">une </w:t>
      </w:r>
      <w:r w:rsidR="001734F2" w:rsidRPr="001734F2">
        <w:rPr>
          <w:bCs/>
        </w:rPr>
        <w:t>démonstration</w:t>
      </w:r>
      <w:r w:rsidR="001734F2">
        <w:rPr>
          <w:bCs/>
        </w:rPr>
        <w:t xml:space="preserve"> de respiration yogique qui, espérait-elle, donnerait de l</w:t>
      </w:r>
      <w:r w:rsidR="00346F1B">
        <w:rPr>
          <w:bCs/>
        </w:rPr>
        <w:t>’</w:t>
      </w:r>
      <w:r w:rsidR="005A12C8">
        <w:rPr>
          <w:bCs/>
        </w:rPr>
        <w:t>énergie au Comité.</w:t>
      </w:r>
    </w:p>
    <w:p w14:paraId="0CFEC538" w14:textId="1436EF06" w:rsidR="00E36A4B" w:rsidRPr="007E473F" w:rsidRDefault="002C6DE3" w:rsidP="002B4948">
      <w:pPr>
        <w:pStyle w:val="Orateurengris"/>
        <w:numPr>
          <w:ilvl w:val="0"/>
          <w:numId w:val="0"/>
        </w:numPr>
        <w:spacing w:before="240" w:after="240"/>
        <w:ind w:left="709" w:hanging="709"/>
        <w:jc w:val="center"/>
        <w:rPr>
          <w:bCs/>
        </w:rPr>
      </w:pPr>
      <w:r>
        <w:rPr>
          <w:i/>
        </w:rPr>
        <w:t>[Un film sur le yoga a été présenté</w:t>
      </w:r>
      <w:r w:rsidR="00333D38" w:rsidRPr="007E473F">
        <w:rPr>
          <w:i/>
        </w:rPr>
        <w:t>]</w:t>
      </w:r>
    </w:p>
    <w:p w14:paraId="588FD5E7" w14:textId="3C19B994" w:rsidR="002C6DE3" w:rsidRPr="002C6DE3" w:rsidRDefault="000725D2" w:rsidP="005A12C8">
      <w:pPr>
        <w:pStyle w:val="Orateurengris"/>
        <w:spacing w:before="120"/>
        <w:ind w:left="709" w:hanging="709"/>
        <w:rPr>
          <w:b/>
          <w:i/>
        </w:rPr>
      </w:pPr>
      <w:r>
        <w:rPr>
          <w:b/>
        </w:rPr>
        <w:t>D</w:t>
      </w:r>
      <w:r w:rsidRPr="000725D2">
        <w:rPr>
          <w:b/>
        </w:rPr>
        <w:t>émonstration</w:t>
      </w:r>
      <w:r w:rsidR="002C6DE3">
        <w:rPr>
          <w:b/>
        </w:rPr>
        <w:t xml:space="preserve"> de yoga. </w:t>
      </w:r>
      <w:r>
        <w:t>L</w:t>
      </w:r>
      <w:r w:rsidR="00346F1B">
        <w:t>’</w:t>
      </w:r>
      <w:r>
        <w:t xml:space="preserve">intervenant </w:t>
      </w:r>
      <w:r w:rsidR="002C6DE3">
        <w:t xml:space="preserve">a salué les délégués avec un chaleureux </w:t>
      </w:r>
      <w:r w:rsidR="002C6DE3" w:rsidRPr="002C6DE3">
        <w:rPr>
          <w:i/>
        </w:rPr>
        <w:t>namaste</w:t>
      </w:r>
      <w:r w:rsidR="002C6DE3">
        <w:t>,</w:t>
      </w:r>
      <w:r w:rsidR="0064661A">
        <w:t xml:space="preserve"> et</w:t>
      </w:r>
      <w:r w:rsidR="002C6DE3">
        <w:t xml:space="preserve"> il a exprimé sa gratitude et ses sincères remerciements </w:t>
      </w:r>
      <w:r>
        <w:t xml:space="preserve">pour ce </w:t>
      </w:r>
      <w:r w:rsidR="002C6DE3">
        <w:t>précieux cadeau, l</w:t>
      </w:r>
      <w:r w:rsidR="00346F1B">
        <w:t>’</w:t>
      </w:r>
      <w:r w:rsidR="002C6DE3">
        <w:t>inscription du yoga en tant qu</w:t>
      </w:r>
      <w:r w:rsidR="00346F1B">
        <w:t>’</w:t>
      </w:r>
      <w:r w:rsidR="002C6DE3">
        <w:t>élément du PCI de l</w:t>
      </w:r>
      <w:r w:rsidR="00346F1B">
        <w:t>’</w:t>
      </w:r>
      <w:r w:rsidR="002C6DE3">
        <w:t xml:space="preserve">humanité. </w:t>
      </w:r>
      <w:r>
        <w:t>Il s</w:t>
      </w:r>
      <w:r w:rsidR="00346F1B">
        <w:t>’</w:t>
      </w:r>
      <w:r>
        <w:t>est dit honoré d</w:t>
      </w:r>
      <w:r w:rsidR="00346F1B">
        <w:t>’</w:t>
      </w:r>
      <w:r>
        <w:t>être sur l</w:t>
      </w:r>
      <w:r w:rsidR="00D56240">
        <w:t>a terre sacrée d</w:t>
      </w:r>
      <w:r w:rsidR="00346F1B">
        <w:t>’</w:t>
      </w:r>
      <w:r w:rsidR="00D56240">
        <w:t>Éthiopie. Il souhaitait</w:t>
      </w:r>
      <w:r>
        <w:t xml:space="preserve"> marquer cette occasion historique avec une matinée de bonheur et de grand plaisir</w:t>
      </w:r>
      <w:r w:rsidR="00EE6254">
        <w:t xml:space="preserve"> qui prendrait </w:t>
      </w:r>
      <w:r>
        <w:t>la forme d</w:t>
      </w:r>
      <w:r w:rsidR="00346F1B">
        <w:t>’</w:t>
      </w:r>
      <w:r>
        <w:t xml:space="preserve">une brève </w:t>
      </w:r>
      <w:r w:rsidR="00EE6254">
        <w:t xml:space="preserve">séance de </w:t>
      </w:r>
      <w:r>
        <w:t xml:space="preserve">technique de respiration yogique avec des ujjayi pranayama. Ujjayi était un mot sanscrit qui signifiait triompher. </w:t>
      </w:r>
      <w:r w:rsidR="00EE6254">
        <w:t>Dans le monde contemporain où tout allait très vite, on oubliait parfois de se retrouver soi-même, et le but de cette technique de respir</w:t>
      </w:r>
      <w:r w:rsidR="00C2197D">
        <w:t>ation était de reconquérir le centre</w:t>
      </w:r>
      <w:r w:rsidR="00EE6254">
        <w:t xml:space="preserve"> de notre être en suivant notre propre respiration</w:t>
      </w:r>
      <w:r w:rsidR="00C2197D">
        <w:t>, de façon totale et holistique</w:t>
      </w:r>
      <w:r w:rsidR="00EE6254">
        <w:t xml:space="preserve"> et</w:t>
      </w:r>
      <w:r w:rsidR="00C2197D">
        <w:t>,</w:t>
      </w:r>
      <w:r w:rsidR="00EE6254">
        <w:t xml:space="preserve"> en le faisant tous ensemble, on se rappelait le véritable objectif du yoga qui était de triompher de toutes les adversités qui barraient la route à l</w:t>
      </w:r>
      <w:r w:rsidR="00346F1B">
        <w:t>’</w:t>
      </w:r>
      <w:r w:rsidR="00EE6254">
        <w:t>humanité. Faire cet exercice tous ensemble nous aiderait à trouver les valeurs partagées et l</w:t>
      </w:r>
      <w:r w:rsidR="00346F1B">
        <w:t>’</w:t>
      </w:r>
      <w:r w:rsidR="00EE6254">
        <w:t xml:space="preserve">amour qui nous unissaient </w:t>
      </w:r>
      <w:r w:rsidR="005A12C8">
        <w:t>au-delà</w:t>
      </w:r>
      <w:r w:rsidR="00EE6254">
        <w:t xml:space="preserve"> des océans, </w:t>
      </w:r>
      <w:r w:rsidR="005A12C8">
        <w:t>au-delà</w:t>
      </w:r>
      <w:r w:rsidR="00D60DA5">
        <w:t xml:space="preserve"> </w:t>
      </w:r>
      <w:r w:rsidR="00EE6254">
        <w:t>des lan</w:t>
      </w:r>
      <w:r w:rsidR="00D60DA5">
        <w:t xml:space="preserve">gues, </w:t>
      </w:r>
      <w:r w:rsidR="005A12C8">
        <w:t>au-dessus</w:t>
      </w:r>
      <w:r w:rsidR="00D60DA5">
        <w:t xml:space="preserve"> de la religion ; le yoga devenait ainsi la voix la solidarité. [Autre intervenant] </w:t>
      </w:r>
      <w:r w:rsidR="00D60DA5" w:rsidRPr="00D60DA5">
        <w:rPr>
          <w:b/>
        </w:rPr>
        <w:t>M. BR Sharma</w:t>
      </w:r>
      <w:r w:rsidR="00D60DA5">
        <w:t xml:space="preserve"> a expliqué que le souffle était le principe même de la vie. La vie commençait avec le premier souffle et s</w:t>
      </w:r>
      <w:r w:rsidR="00346F1B">
        <w:t>’</w:t>
      </w:r>
      <w:r w:rsidR="00D60DA5">
        <w:t>achevait avec le dernier souffle</w:t>
      </w:r>
      <w:r w:rsidR="00C2197D">
        <w:t xml:space="preserve"> rendu</w:t>
      </w:r>
      <w:r w:rsidR="00D60DA5">
        <w:t xml:space="preserve">. En apprenant à manipuler ce souffle, cette respiration, </w:t>
      </w:r>
      <w:r w:rsidR="00C2197D">
        <w:t>on pouvait</w:t>
      </w:r>
      <w:r w:rsidR="00D60DA5">
        <w:t xml:space="preserve"> développer</w:t>
      </w:r>
      <w:r w:rsidR="00C2197D">
        <w:t xml:space="preserve"> un type d</w:t>
      </w:r>
      <w:r w:rsidR="00346F1B">
        <w:t>’</w:t>
      </w:r>
      <w:r w:rsidR="00D60DA5">
        <w:t xml:space="preserve">harmonie au sein de </w:t>
      </w:r>
      <w:r w:rsidR="00C2197D">
        <w:t xml:space="preserve">son </w:t>
      </w:r>
      <w:r w:rsidR="00D60DA5">
        <w:t xml:space="preserve">corps et de </w:t>
      </w:r>
      <w:r w:rsidR="00C2197D">
        <w:t>son esprit. Mr Sharma a présenté la</w:t>
      </w:r>
      <w:r w:rsidR="00D60DA5">
        <w:t xml:space="preserve"> technique de respiration yogi en demandant aux délégués de</w:t>
      </w:r>
      <w:r w:rsidR="00C2197D">
        <w:t xml:space="preserve"> s</w:t>
      </w:r>
      <w:r w:rsidR="00346F1B">
        <w:t>’</w:t>
      </w:r>
      <w:r w:rsidR="00C2197D">
        <w:t>asseoir bien droit, de fermer leurs yeux, d</w:t>
      </w:r>
      <w:r w:rsidR="00346F1B">
        <w:t>’</w:t>
      </w:r>
      <w:r w:rsidR="00C2197D">
        <w:t>inspirer (pour ajouter de la conscience à la respiration) et d</w:t>
      </w:r>
      <w:r w:rsidR="00346F1B">
        <w:t>’</w:t>
      </w:r>
      <w:r w:rsidR="00C2197D">
        <w:t>expirer (et d</w:t>
      </w:r>
      <w:r w:rsidR="00346F1B">
        <w:t>’</w:t>
      </w:r>
      <w:r w:rsidR="00C2197D">
        <w:t>être à l</w:t>
      </w:r>
      <w:r w:rsidR="00346F1B">
        <w:t>’</w:t>
      </w:r>
      <w:r w:rsidR="00C2197D">
        <w:t>écoute de ce son particulier). Répéter dix à quinze fois cet exercice provoquerait immédiatement un changement de l</w:t>
      </w:r>
      <w:r w:rsidR="00346F1B">
        <w:t>’</w:t>
      </w:r>
      <w:r w:rsidR="00C2197D">
        <w:t>expression</w:t>
      </w:r>
      <w:r w:rsidR="005A12C8">
        <w:t xml:space="preserve"> faciale ainsi que des pensées.</w:t>
      </w:r>
    </w:p>
    <w:p w14:paraId="7FD42901" w14:textId="2EC96EF4" w:rsidR="00C2197D" w:rsidRPr="00C2197D" w:rsidRDefault="00C2197D" w:rsidP="005A12C8">
      <w:pPr>
        <w:pStyle w:val="Orateurengris"/>
        <w:spacing w:before="120"/>
        <w:ind w:left="709" w:hanging="709"/>
        <w:rPr>
          <w:b/>
          <w:i/>
        </w:rPr>
      </w:pPr>
      <w:r>
        <w:t xml:space="preserve">Le </w:t>
      </w:r>
      <w:r w:rsidRPr="00C2197D">
        <w:rPr>
          <w:b/>
        </w:rPr>
        <w:t>Président</w:t>
      </w:r>
      <w:r>
        <w:t xml:space="preserve"> a remercié l</w:t>
      </w:r>
      <w:r w:rsidR="00346F1B">
        <w:t>’</w:t>
      </w:r>
      <w:r>
        <w:t>enseignant pour cette excellente présentation, et est passé au dossier de candidature suivant, soumis par l</w:t>
      </w:r>
      <w:r w:rsidR="00346F1B">
        <w:t>’</w:t>
      </w:r>
      <w:r w:rsidR="00F723A2">
        <w:t>Iraq.</w:t>
      </w:r>
    </w:p>
    <w:p w14:paraId="6C1ACE99" w14:textId="5496D297" w:rsidR="001730BB" w:rsidRPr="001730BB" w:rsidRDefault="00950FB7" w:rsidP="005A12C8">
      <w:pPr>
        <w:pStyle w:val="Orateurengris"/>
        <w:spacing w:before="120"/>
        <w:ind w:left="709" w:hanging="709"/>
        <w:rPr>
          <w:b/>
        </w:rPr>
      </w:pPr>
      <w:r>
        <w:t xml:space="preserve">Le </w:t>
      </w:r>
      <w:r w:rsidRPr="00950FB7">
        <w:rPr>
          <w:b/>
        </w:rPr>
        <w:t>Vice-Président de l</w:t>
      </w:r>
      <w:r w:rsidR="00346F1B">
        <w:rPr>
          <w:b/>
        </w:rPr>
        <w:t>’</w:t>
      </w:r>
      <w:r w:rsidRPr="00950FB7">
        <w:rPr>
          <w:b/>
        </w:rPr>
        <w:t>Organe d</w:t>
      </w:r>
      <w:r w:rsidR="00346F1B">
        <w:rPr>
          <w:b/>
        </w:rPr>
        <w:t>’</w:t>
      </w:r>
      <w:r w:rsidRPr="00950FB7">
        <w:rPr>
          <w:b/>
        </w:rPr>
        <w:t>évaluation</w:t>
      </w:r>
      <w:r>
        <w:t xml:space="preserve"> est passé à la candidature suivante, </w:t>
      </w:r>
      <w:bookmarkStart w:id="38" w:name="Decision10b18"/>
      <w:r w:rsidRPr="00950FB7">
        <w:rPr>
          <w:b/>
        </w:rPr>
        <w:t>la fête de Khidr Elias et l</w:t>
      </w:r>
      <w:r w:rsidR="00346F1B">
        <w:rPr>
          <w:b/>
        </w:rPr>
        <w:t>’</w:t>
      </w:r>
      <w:r w:rsidRPr="00950FB7">
        <w:rPr>
          <w:b/>
        </w:rPr>
        <w:t>expression des vœux</w:t>
      </w:r>
      <w:bookmarkEnd w:id="38"/>
      <w:r w:rsidRPr="00950FB7">
        <w:rPr>
          <w:b/>
        </w:rPr>
        <w:t xml:space="preserve"> </w:t>
      </w:r>
      <w:r>
        <w:t>[projet de décision 11.COM 10.b.18], soumis par l</w:t>
      </w:r>
      <w:r w:rsidR="00346F1B">
        <w:t>’</w:t>
      </w:r>
      <w:r>
        <w:t>Iraq. Tous les ans en février, les communautés iraq</w:t>
      </w:r>
      <w:r w:rsidR="00D56240">
        <w:t>uiennes honoraient un saint censé exaucer</w:t>
      </w:r>
      <w:r>
        <w:t xml:space="preserve"> les vœux des participants, en particulier ceux dans l</w:t>
      </w:r>
      <w:r w:rsidR="00D56240">
        <w:t xml:space="preserve">e besoin. Les familles, habillées de </w:t>
      </w:r>
      <w:r>
        <w:t xml:space="preserve">vêtements traditionnels, se rassemblaient sur une colline sacrée </w:t>
      </w:r>
      <w:r w:rsidR="00D94AC5">
        <w:t>pour ma</w:t>
      </w:r>
      <w:r>
        <w:t>n</w:t>
      </w:r>
      <w:r w:rsidR="00D94AC5">
        <w:t>g</w:t>
      </w:r>
      <w:r>
        <w:t>er des plats spécialement préparés et exécuter la dabka (une danse populaire), ou faire des offrandes sur la rive du Tigre en demandant que leurs vœux soient exaucés et en faisant flotter des bougies sur la rivière. Cette pr</w:t>
      </w:r>
      <w:r w:rsidR="009370EB">
        <w:t>atique culturelle, qui renforcer</w:t>
      </w:r>
      <w:r>
        <w:t>ait la cohésion sociale, était transmise au sein du cercle familial et à l</w:t>
      </w:r>
      <w:r w:rsidR="00346F1B">
        <w:t>’</w:t>
      </w:r>
      <w:r>
        <w:t>école. L</w:t>
      </w:r>
      <w:r w:rsidR="00346F1B">
        <w:t>’</w:t>
      </w:r>
      <w:r>
        <w:t>Organe d</w:t>
      </w:r>
      <w:r w:rsidR="00346F1B">
        <w:t>’</w:t>
      </w:r>
      <w:r>
        <w:t>évaluation avait estimé que</w:t>
      </w:r>
      <w:r w:rsidR="009370EB">
        <w:t xml:space="preserve"> la candidature satisfaisait les</w:t>
      </w:r>
      <w:r>
        <w:t xml:space="preserve"> critères R.1, R.3, R.4 et R.5. L</w:t>
      </w:r>
      <w:r w:rsidR="001730BB">
        <w:t xml:space="preserve">a fête de Khidr Elias était un </w:t>
      </w:r>
      <w:r>
        <w:t>élément du PCI partagé</w:t>
      </w:r>
      <w:r w:rsidR="001730BB">
        <w:t xml:space="preserve"> par de nombreuses composantes de la population iraquienne au delà des groupes ethniques et des croyances religieuses. Plusieurs mesures de sauvegarde étaient proposées. Les communautés, groupes et individus concernés avaient participé à la planification de ces mesures. L</w:t>
      </w:r>
      <w:r w:rsidR="00346F1B">
        <w:t>’</w:t>
      </w:r>
      <w:r w:rsidR="001730BB">
        <w:t>Organe d</w:t>
      </w:r>
      <w:r w:rsidR="00346F1B">
        <w:t>’</w:t>
      </w:r>
      <w:r w:rsidR="001730BB">
        <w:t>évaluation avait toutefois estimé que les informations contenues dans le dossier n</w:t>
      </w:r>
      <w:r w:rsidR="00346F1B">
        <w:t>’</w:t>
      </w:r>
      <w:r w:rsidR="001730BB">
        <w:t>étaient pas suffisantes pour déterminer si le critère R.2 était satisfait. Le dossier démontrait de manière convaincante comment l</w:t>
      </w:r>
      <w:r w:rsidR="00346F1B">
        <w:t>’</w:t>
      </w:r>
      <w:r w:rsidR="001730BB">
        <w:t>inscription pourrait promouvoir un élément cap</w:t>
      </w:r>
      <w:r w:rsidR="00D94AC5">
        <w:t xml:space="preserve">able de </w:t>
      </w:r>
      <w:r w:rsidR="008B538E">
        <w:t xml:space="preserve">colmater </w:t>
      </w:r>
      <w:r w:rsidR="00D94AC5">
        <w:t xml:space="preserve">les divisions </w:t>
      </w:r>
      <w:r w:rsidR="008B538E">
        <w:t xml:space="preserve">au sein </w:t>
      </w:r>
      <w:r w:rsidR="00D94AC5">
        <w:t>du</w:t>
      </w:r>
      <w:r w:rsidR="001730BB">
        <w:t xml:space="preserve"> pays, et comment elle encouragerait les détenteurs de l</w:t>
      </w:r>
      <w:r w:rsidR="00346F1B">
        <w:t>’</w:t>
      </w:r>
      <w:r w:rsidR="001730BB">
        <w:t>élément à renouveler leurs pratiques. La candidature indiquait clairement que l</w:t>
      </w:r>
      <w:r w:rsidR="00346F1B">
        <w:t>’</w:t>
      </w:r>
      <w:r w:rsidR="001730BB">
        <w:t>inscription encouragerait le dialogue, la collaboration et la solidarité entre les différents groupes ethniques et communautés religieuses. Toutefois, l</w:t>
      </w:r>
      <w:r w:rsidR="00346F1B">
        <w:t>’</w:t>
      </w:r>
      <w:r w:rsidR="001730BB">
        <w:t>État soumissionnaire ne démontrait pas comment l</w:t>
      </w:r>
      <w:r w:rsidR="00346F1B">
        <w:t>’</w:t>
      </w:r>
      <w:r w:rsidR="001730BB">
        <w:t>inscription pourrait améliorer la visibilité et la prise de conscience de l</w:t>
      </w:r>
      <w:r w:rsidR="00346F1B">
        <w:t>’</w:t>
      </w:r>
      <w:r w:rsidR="001730BB">
        <w:t>importance du PCI en général. L</w:t>
      </w:r>
      <w:r w:rsidR="00346F1B">
        <w:t>’</w:t>
      </w:r>
      <w:r w:rsidR="001730BB">
        <w:t>Organe avait décidé de recommander le renvoi de la fête de Khidr Elias et l</w:t>
      </w:r>
      <w:r w:rsidR="00346F1B">
        <w:t>’</w:t>
      </w:r>
      <w:r w:rsidR="001730BB">
        <w:t>expression des vœux à l</w:t>
      </w:r>
      <w:r w:rsidR="00346F1B">
        <w:t>’</w:t>
      </w:r>
      <w:r w:rsidR="001730BB">
        <w:t>État soumissionnaire pour complément d</w:t>
      </w:r>
      <w:r w:rsidR="00346F1B">
        <w:t>’</w:t>
      </w:r>
      <w:r w:rsidR="001730BB">
        <w:t>inf</w:t>
      </w:r>
      <w:r w:rsidR="00F723A2">
        <w:t>ormation.</w:t>
      </w:r>
    </w:p>
    <w:p w14:paraId="79C7A092" w14:textId="2D6214E1" w:rsidR="00D94AC5" w:rsidRPr="00D94AC5" w:rsidRDefault="00D94AC5" w:rsidP="005A12C8">
      <w:pPr>
        <w:pStyle w:val="Orateurengris"/>
        <w:spacing w:before="120"/>
        <w:ind w:left="709" w:hanging="709"/>
        <w:rPr>
          <w:b/>
        </w:rPr>
      </w:pPr>
      <w:r>
        <w:t xml:space="preserve">Le </w:t>
      </w:r>
      <w:r w:rsidRPr="00D94AC5">
        <w:rPr>
          <w:b/>
        </w:rPr>
        <w:t>Président</w:t>
      </w:r>
      <w:r>
        <w:t xml:space="preserve"> a pris note d</w:t>
      </w:r>
      <w:r w:rsidR="00346F1B">
        <w:t>’</w:t>
      </w:r>
      <w:r>
        <w:t>un amend</w:t>
      </w:r>
      <w:r w:rsidR="002567C8">
        <w:t xml:space="preserve">ement et a donné la parole aux </w:t>
      </w:r>
      <w:r w:rsidR="00A46CAD">
        <w:t>membres</w:t>
      </w:r>
      <w:r>
        <w:t xml:space="preserve"> du Comité afin qu</w:t>
      </w:r>
      <w:r w:rsidR="00346F1B">
        <w:t>’</w:t>
      </w:r>
      <w:r w:rsidR="00F723A2">
        <w:t>ils débattent.</w:t>
      </w:r>
    </w:p>
    <w:p w14:paraId="66F4AA95" w14:textId="57B60A57" w:rsidR="00775D4F" w:rsidRPr="00775D4F" w:rsidRDefault="00775D4F" w:rsidP="005A12C8">
      <w:pPr>
        <w:pStyle w:val="Orateurengris"/>
        <w:spacing w:before="120"/>
        <w:ind w:left="709" w:hanging="709"/>
        <w:rPr>
          <w:b/>
        </w:rPr>
      </w:pPr>
      <w:r>
        <w:t xml:space="preserve">La délégation du </w:t>
      </w:r>
      <w:r w:rsidRPr="0048493B">
        <w:rPr>
          <w:b/>
        </w:rPr>
        <w:t>Liban</w:t>
      </w:r>
      <w:r>
        <w:t xml:space="preserve"> a remercié l</w:t>
      </w:r>
      <w:r w:rsidR="00346F1B">
        <w:t>’</w:t>
      </w:r>
      <w:r>
        <w:t>Organe d</w:t>
      </w:r>
      <w:r w:rsidR="00346F1B">
        <w:t>’</w:t>
      </w:r>
      <w:r>
        <w:t>évaluation pour son travail et a également adressé ses très sincères remerciements à l</w:t>
      </w:r>
      <w:r w:rsidR="00346F1B">
        <w:t>’</w:t>
      </w:r>
      <w:r>
        <w:t>Iraq pour la présentation de cet élément à inscrire sur la Liste représentative, en particulier parce que c</w:t>
      </w:r>
      <w:r w:rsidR="00346F1B">
        <w:t>’</w:t>
      </w:r>
      <w:r>
        <w:t>était un symbole très important pour l</w:t>
      </w:r>
      <w:r w:rsidR="00346F1B">
        <w:t>’</w:t>
      </w:r>
      <w:r>
        <w:t>Iraq</w:t>
      </w:r>
      <w:r w:rsidR="003266E0">
        <w:t>,</w:t>
      </w:r>
      <w:r>
        <w:t xml:space="preserve"> qui rassemblait plusieurs religions et groupes ethniques. </w:t>
      </w:r>
      <w:r w:rsidR="003266E0">
        <w:t>Il a été rappelé que l</w:t>
      </w:r>
      <w:r w:rsidR="00346F1B">
        <w:t>’</w:t>
      </w:r>
      <w:r w:rsidR="003266E0">
        <w:t>Organe d</w:t>
      </w:r>
      <w:r w:rsidR="00346F1B">
        <w:t>’</w:t>
      </w:r>
      <w:r w:rsidR="003266E0">
        <w:t>évaluation avait estimé que des informations faisaient défaut dans la candidature. C</w:t>
      </w:r>
      <w:r w:rsidR="009370EB">
        <w:t xml:space="preserve">elle-ci satisfaisait toutefois </w:t>
      </w:r>
      <w:r w:rsidR="003266E0">
        <w:t>plusieurs critères et l</w:t>
      </w:r>
      <w:r w:rsidR="00346F1B">
        <w:t>’</w:t>
      </w:r>
      <w:r w:rsidR="003266E0">
        <w:t>élément était considéré comme un symbole très important pour un pays divisé qui avait subi de nombreuses guerres et en subissait encore. Cet élément représentait l</w:t>
      </w:r>
      <w:r w:rsidR="00346F1B">
        <w:t>’</w:t>
      </w:r>
      <w:r w:rsidR="003266E0">
        <w:t>union entre plusieurs confessions et plusieurs gro</w:t>
      </w:r>
      <w:r w:rsidR="0048493B">
        <w:t>upes ethniques qui se rassemblaient</w:t>
      </w:r>
      <w:r w:rsidR="003266E0">
        <w:t xml:space="preserve"> pour honorer le Khidr Elias. Ces communautés qui se réunissaient ressentaient très profondément le lien qui les unissait, et la délégation était convaincue que l</w:t>
      </w:r>
      <w:r w:rsidR="00346F1B">
        <w:t>’</w:t>
      </w:r>
      <w:r w:rsidR="003266E0">
        <w:t>inscription contribuerait à un renforcement de ce que l</w:t>
      </w:r>
      <w:r w:rsidR="00346F1B">
        <w:t>’</w:t>
      </w:r>
      <w:r w:rsidR="003266E0">
        <w:t>élément représentait, à savoir la cohésion sociale. À</w:t>
      </w:r>
      <w:r w:rsidR="0048493B">
        <w:t xml:space="preserve"> cette fin</w:t>
      </w:r>
      <w:r w:rsidR="003266E0">
        <w:t>, la délégation, en collaboration avec la Palestine, avait présenté un amendement au projet de décision</w:t>
      </w:r>
      <w:r w:rsidR="0048493B">
        <w:t xml:space="preserve"> visant à accepter l</w:t>
      </w:r>
      <w:r w:rsidR="00346F1B">
        <w:t>’</w:t>
      </w:r>
      <w:r w:rsidR="0048493B">
        <w:t>inscription de cet élément sur la Liste représentative, en gardant à l</w:t>
      </w:r>
      <w:r w:rsidR="00346F1B">
        <w:t>’</w:t>
      </w:r>
      <w:r w:rsidR="0048493B">
        <w:t>esprit que le peuple iraquien avait grand besoin d</w:t>
      </w:r>
      <w:r w:rsidR="00346F1B">
        <w:t>’</w:t>
      </w:r>
      <w:r w:rsidR="00F723A2">
        <w:t>un tel symbole.</w:t>
      </w:r>
    </w:p>
    <w:p w14:paraId="54750970" w14:textId="035685CC" w:rsidR="000C2754" w:rsidRPr="000C2754" w:rsidRDefault="0048493B" w:rsidP="005A12C8">
      <w:pPr>
        <w:pStyle w:val="Orateurengris"/>
        <w:spacing w:before="120"/>
        <w:ind w:left="709" w:hanging="709"/>
        <w:rPr>
          <w:b/>
        </w:rPr>
      </w:pPr>
      <w:r w:rsidRPr="0048493B">
        <w:t>La délégation de la</w:t>
      </w:r>
      <w:r>
        <w:rPr>
          <w:b/>
        </w:rPr>
        <w:t xml:space="preserve"> Palestine </w:t>
      </w:r>
      <w:r>
        <w:t>a expliqué que Khidr Elias ne concernait pas uniquement les Iraquiens mais était également important pour toute la région. C</w:t>
      </w:r>
      <w:r w:rsidR="00346F1B">
        <w:t>’</w:t>
      </w:r>
      <w:r>
        <w:t xml:space="preserve">était un symbole de sainteté pour les musulmans et les chrétiens du Moyen-Orient. Trois fêtes lui étaient consacrées en Turquie, en Jordanie, en Palestine et au Liban ; la figure sainte de Khidr Elias était connue dans toute la région et </w:t>
      </w:r>
      <w:r w:rsidR="000C2754">
        <w:t>était célébrée par l</w:t>
      </w:r>
      <w:r w:rsidR="00346F1B">
        <w:t>’</w:t>
      </w:r>
      <w:r w:rsidR="000C2754">
        <w:t>islam et le c</w:t>
      </w:r>
      <w:r>
        <w:t xml:space="preserve">hristianisme. La délégation a </w:t>
      </w:r>
      <w:r w:rsidR="000C2754">
        <w:t xml:space="preserve">repris à son compte </w:t>
      </w:r>
      <w:r>
        <w:t xml:space="preserve">les </w:t>
      </w:r>
      <w:r w:rsidR="000C2754">
        <w:t xml:space="preserve">propos du </w:t>
      </w:r>
      <w:r>
        <w:t xml:space="preserve">Liban </w:t>
      </w:r>
      <w:r w:rsidR="000C2754">
        <w:t xml:space="preserve">remerciant </w:t>
      </w:r>
      <w:r>
        <w:t>l</w:t>
      </w:r>
      <w:r w:rsidR="00346F1B">
        <w:t>’</w:t>
      </w:r>
      <w:r>
        <w:t>Organe d</w:t>
      </w:r>
      <w:r w:rsidR="00346F1B">
        <w:t>’</w:t>
      </w:r>
      <w:r>
        <w:t xml:space="preserve">évaluation, </w:t>
      </w:r>
      <w:r w:rsidR="000C2754">
        <w:t>ajoutant que son évaluation du critère R.2, à propos de la visibilité et de la prise de conscience des populations locales, était juste mais que le problème résidait dans la formulation. La délégation s</w:t>
      </w:r>
      <w:r w:rsidR="00346F1B">
        <w:t>’</w:t>
      </w:r>
      <w:r w:rsidR="000C2754">
        <w:t>est intéressée au critère R.2 et à sa satisfaction à l</w:t>
      </w:r>
      <w:r w:rsidR="00346F1B">
        <w:t>’</w:t>
      </w:r>
      <w:r w:rsidR="000C2754">
        <w:t>égard de la visibilité et de la prise de conscience de l</w:t>
      </w:r>
      <w:r w:rsidR="00346F1B">
        <w:t>’</w:t>
      </w:r>
      <w:r w:rsidR="000C2754">
        <w:t>importance du patrimoine culturel. Elle a expliqué que comme l</w:t>
      </w:r>
      <w:r w:rsidR="00346F1B">
        <w:t>’</w:t>
      </w:r>
      <w:r w:rsidR="000C2754">
        <w:t>Iraq subissait un conflit armé et souffrait du terrorisme, les médias insisteraient sur l</w:t>
      </w:r>
      <w:r w:rsidR="00346F1B">
        <w:t>’</w:t>
      </w:r>
      <w:r w:rsidR="000C2754">
        <w:t>inscription de l</w:t>
      </w:r>
      <w:r w:rsidR="00346F1B">
        <w:t>’</w:t>
      </w:r>
      <w:r w:rsidR="000C2754">
        <w:t>élément car celui-ci rassemblait les populations et encourageait le dialogue entre les différentes communautés ethniques et religieuses. Cette couverture médiatique contribuerait à accroitre la visibilité de la Convention et la prise de conscience de l</w:t>
      </w:r>
      <w:r w:rsidR="00346F1B">
        <w:t>’</w:t>
      </w:r>
      <w:r w:rsidR="000C2754">
        <w:t>importance du patrimoine culturel en général. Ainsi, le critère R.2 serait clairement satisfait. La délégation convenait toutefois avec l</w:t>
      </w:r>
      <w:r w:rsidR="00346F1B">
        <w:t>’</w:t>
      </w:r>
      <w:r w:rsidR="000C2754">
        <w:t>Organe d</w:t>
      </w:r>
      <w:r w:rsidR="00346F1B">
        <w:t>’</w:t>
      </w:r>
      <w:r w:rsidR="000C2754">
        <w:t>évaluation que le dossier de candidature était mal rédigé, d</w:t>
      </w:r>
      <w:r w:rsidR="00346F1B">
        <w:t>’</w:t>
      </w:r>
      <w:r w:rsidR="000C2754">
        <w:t>où l</w:t>
      </w:r>
      <w:r w:rsidR="00346F1B">
        <w:t>’</w:t>
      </w:r>
      <w:r w:rsidR="000C2754">
        <w:t>importance de ce genre d</w:t>
      </w:r>
      <w:r w:rsidR="00346F1B">
        <w:t>’</w:t>
      </w:r>
      <w:r w:rsidR="000C2754">
        <w:t>échange. Elle a bien insisté pour rappeler que cet élément était une expression du PCI et que l</w:t>
      </w:r>
      <w:r w:rsidR="00346F1B">
        <w:t>’</w:t>
      </w:r>
      <w:r w:rsidR="000C2754">
        <w:t>Organe d</w:t>
      </w:r>
      <w:r w:rsidR="00346F1B">
        <w:t>’</w:t>
      </w:r>
      <w:r w:rsidR="000C2754">
        <w:t>évaluation avait raison dans son évaluation, c</w:t>
      </w:r>
      <w:r w:rsidR="00346F1B">
        <w:t>’</w:t>
      </w:r>
      <w:r w:rsidR="000C2754">
        <w:t>était la formulation qui était incorrecte. Elle espérait que cet éclaircissement dissiperai</w:t>
      </w:r>
      <w:r w:rsidR="00F723A2">
        <w:t>t les préoccupations exprimées.</w:t>
      </w:r>
    </w:p>
    <w:p w14:paraId="6F316D35" w14:textId="2260B156" w:rsidR="000C2754" w:rsidRPr="000C2754" w:rsidRDefault="000C2754" w:rsidP="005A12C8">
      <w:pPr>
        <w:pStyle w:val="Orateurengris"/>
        <w:spacing w:before="120"/>
        <w:ind w:left="709" w:hanging="709"/>
      </w:pPr>
      <w:r w:rsidRPr="000C2754">
        <w:t>La délégation</w:t>
      </w:r>
      <w:r>
        <w:t xml:space="preserve"> de l</w:t>
      </w:r>
      <w:r w:rsidR="00346F1B">
        <w:t>’</w:t>
      </w:r>
      <w:r w:rsidRPr="000C2754">
        <w:rPr>
          <w:b/>
        </w:rPr>
        <w:t>Afghanistan</w:t>
      </w:r>
      <w:r>
        <w:t xml:space="preserve"> a dit souscrire aux remarques formulées par les précédents intervenants, soulignant </w:t>
      </w:r>
      <w:r w:rsidR="00B72243">
        <w:t>les similitudes entre</w:t>
      </w:r>
      <w:r>
        <w:t xml:space="preserve"> les communautés chrétiennes et musulmanes. En outre, le patrimoine culturel du pays ayant souffert depuis si longtemps et si terriblement, la délégation pensait que l</w:t>
      </w:r>
      <w:r w:rsidR="00346F1B">
        <w:t>’</w:t>
      </w:r>
      <w:r>
        <w:t>attention particulière accordée au PCI en Iraq célébrerait automatiquement le patrimoine culturel en général. Elle a également félicité l</w:t>
      </w:r>
      <w:r w:rsidR="00346F1B">
        <w:t>’</w:t>
      </w:r>
      <w:r>
        <w:t>Organe d</w:t>
      </w:r>
      <w:r w:rsidR="00346F1B">
        <w:t>’</w:t>
      </w:r>
      <w:r>
        <w:t>évaluation</w:t>
      </w:r>
      <w:r w:rsidR="00B72243">
        <w:t xml:space="preserve"> pour son travail a</w:t>
      </w:r>
      <w:r>
        <w:t>joutant q</w:t>
      </w:r>
      <w:r w:rsidR="00B72243">
        <w:t>ue le nom mythique du</w:t>
      </w:r>
      <w:r>
        <w:t xml:space="preserve"> Khidr </w:t>
      </w:r>
      <w:r w:rsidR="00B72243">
        <w:t>évoquait la renaissance et le renouvellement. En conclusion, la délégation a recommandé d</w:t>
      </w:r>
      <w:r w:rsidR="00346F1B">
        <w:t>’</w:t>
      </w:r>
      <w:r w:rsidR="00B72243">
        <w:t xml:space="preserve">accorder une attention toute particulière </w:t>
      </w:r>
      <w:r w:rsidR="00F723A2">
        <w:t>à ce dossier et de le soutenir.</w:t>
      </w:r>
    </w:p>
    <w:p w14:paraId="2CB2ECAF" w14:textId="31668376" w:rsidR="00B72243" w:rsidRPr="00B72243" w:rsidRDefault="00B72243" w:rsidP="005A12C8">
      <w:pPr>
        <w:pStyle w:val="Orateurengris"/>
        <w:spacing w:before="120"/>
        <w:ind w:left="709" w:hanging="709"/>
        <w:rPr>
          <w:b/>
        </w:rPr>
      </w:pPr>
      <w:r w:rsidRPr="00B72243">
        <w:t>La délégation de la</w:t>
      </w:r>
      <w:r>
        <w:rPr>
          <w:b/>
        </w:rPr>
        <w:t xml:space="preserve"> Mongolie </w:t>
      </w:r>
      <w:r>
        <w:t>a de nouveau exprimé sa satisfaction pour le travail accompli par le Président et l</w:t>
      </w:r>
      <w:r w:rsidR="00346F1B">
        <w:t>’</w:t>
      </w:r>
      <w:r>
        <w:t>Organe d</w:t>
      </w:r>
      <w:r w:rsidR="00346F1B">
        <w:t>’</w:t>
      </w:r>
      <w:r>
        <w:t>évaluation. Elle soutenait l</w:t>
      </w:r>
      <w:r w:rsidR="00346F1B">
        <w:t>’</w:t>
      </w:r>
      <w:r>
        <w:t>amendement du Liban, confirmé par la Palestine, et s</w:t>
      </w:r>
      <w:r w:rsidR="00346F1B">
        <w:t>’</w:t>
      </w:r>
      <w:r>
        <w:t>est dite favorable à l</w:t>
      </w:r>
      <w:r w:rsidR="00346F1B">
        <w:t>’</w:t>
      </w:r>
      <w:r>
        <w:t>inscription de l</w:t>
      </w:r>
      <w:r w:rsidR="00346F1B">
        <w:t>’</w:t>
      </w:r>
      <w:r>
        <w:t>élément sur la Liste représentative. La délégation a encouragé l</w:t>
      </w:r>
      <w:r w:rsidR="00346F1B">
        <w:t>’</w:t>
      </w:r>
      <w:r>
        <w:t>Iraq à continuer de promouvoir ses écrivains, poètes, danseurs, musiciens et artistes afin qu</w:t>
      </w:r>
      <w:r w:rsidR="00346F1B">
        <w:t>’</w:t>
      </w:r>
      <w:r>
        <w:t>à l</w:t>
      </w:r>
      <w:r w:rsidR="00346F1B">
        <w:t>’</w:t>
      </w:r>
      <w:r>
        <w:t>avenir, se poursuive la renaissance du PCI en Iraq. Elle soutenait résolument l</w:t>
      </w:r>
      <w:r w:rsidR="00346F1B">
        <w:t>’</w:t>
      </w:r>
      <w:r>
        <w:t>inscription de l</w:t>
      </w:r>
      <w:r w:rsidR="00346F1B">
        <w:t>’</w:t>
      </w:r>
      <w:r w:rsidR="00F723A2">
        <w:t>élément.</w:t>
      </w:r>
    </w:p>
    <w:p w14:paraId="12AD9449" w14:textId="32AEB3E9" w:rsidR="00B72243" w:rsidRPr="00B72243" w:rsidRDefault="00B72243" w:rsidP="005A12C8">
      <w:pPr>
        <w:pStyle w:val="Orateurengris"/>
        <w:spacing w:before="120"/>
        <w:ind w:left="709" w:hanging="709"/>
      </w:pPr>
      <w:r w:rsidRPr="00B72243">
        <w:t>La délégation de l</w:t>
      </w:r>
      <w:r w:rsidR="00346F1B">
        <w:t>’</w:t>
      </w:r>
      <w:r w:rsidRPr="00B72243">
        <w:rPr>
          <w:b/>
        </w:rPr>
        <w:t>Algérie</w:t>
      </w:r>
      <w:r>
        <w:t xml:space="preserve"> a remercié le Président de l</w:t>
      </w:r>
      <w:r w:rsidR="00346F1B">
        <w:t>’</w:t>
      </w:r>
      <w:r>
        <w:t>Organe d</w:t>
      </w:r>
      <w:r w:rsidR="00346F1B">
        <w:t>’</w:t>
      </w:r>
      <w:r>
        <w:t>évaluation et tous ses collègues pour leur travail et les remarques pertinentes sur la candidature iraquienne. La délégation espérait toutefois que le Comité examinerait la candidature avec indulgence compte tenu des temps difficiles que connaissait l</w:t>
      </w:r>
      <w:r w:rsidR="00346F1B">
        <w:t>’</w:t>
      </w:r>
      <w:r>
        <w:t>Iraq. Le patrimoine culturel iraquien était attaqué sur tous les fronts et la délégation pensait que l</w:t>
      </w:r>
      <w:r w:rsidR="00346F1B">
        <w:t>’</w:t>
      </w:r>
      <w:r>
        <w:t>inscription de cet élément sur la Liste représentative servirait de symbole et donnerait du courage au peuple iraquien. Cet élément était avant tout un exemple vivant du vivre ensemble, et tout particulièrement d</w:t>
      </w:r>
      <w:r w:rsidR="00F723A2">
        <w:t>u dialogue entre les religions.</w:t>
      </w:r>
    </w:p>
    <w:p w14:paraId="44DDBED4" w14:textId="612C6ACF" w:rsidR="00B72243" w:rsidRPr="00B72243" w:rsidRDefault="00B72243" w:rsidP="005A12C8">
      <w:pPr>
        <w:pStyle w:val="Orateurengris"/>
        <w:spacing w:before="120"/>
        <w:ind w:left="709" w:hanging="709"/>
        <w:rPr>
          <w:b/>
        </w:rPr>
      </w:pPr>
      <w:r w:rsidRPr="00B72243">
        <w:t>Le</w:t>
      </w:r>
      <w:r>
        <w:rPr>
          <w:b/>
        </w:rPr>
        <w:t xml:space="preserve"> Président </w:t>
      </w:r>
      <w:r>
        <w:t>a pris note du large sou</w:t>
      </w:r>
      <w:r w:rsidR="002567C8">
        <w:t>tien à l</w:t>
      </w:r>
      <w:r w:rsidR="00346F1B">
        <w:t>’</w:t>
      </w:r>
      <w:r w:rsidR="002567C8">
        <w:t xml:space="preserve">inscription parmi les </w:t>
      </w:r>
      <w:r w:rsidR="00A46CAD">
        <w:t>membres</w:t>
      </w:r>
      <w:r>
        <w:t xml:space="preserve"> du Comité.</w:t>
      </w:r>
    </w:p>
    <w:p w14:paraId="3A4D701C" w14:textId="012B96D2" w:rsidR="00B72243" w:rsidRPr="00B72243" w:rsidRDefault="00B72243" w:rsidP="005A12C8">
      <w:pPr>
        <w:pStyle w:val="Orateurengris"/>
        <w:spacing w:before="120"/>
        <w:ind w:left="709" w:hanging="709"/>
      </w:pPr>
      <w:r w:rsidRPr="00B72243">
        <w:t xml:space="preserve">La délégation de </w:t>
      </w:r>
      <w:r w:rsidRPr="00B72243">
        <w:rPr>
          <w:b/>
        </w:rPr>
        <w:t>Sainte-Lucie</w:t>
      </w:r>
      <w:r>
        <w:t xml:space="preserve"> a souscrit aux commentaires formulés par la Palestine à propos du rôle de l</w:t>
      </w:r>
      <w:r w:rsidR="00346F1B">
        <w:t>’</w:t>
      </w:r>
      <w:r>
        <w:t>inscription en matière de visibilité au sein des communautés d</w:t>
      </w:r>
      <w:r w:rsidR="00346F1B">
        <w:t>’</w:t>
      </w:r>
      <w:r>
        <w:t>Iraq, ainsi qu</w:t>
      </w:r>
      <w:r w:rsidR="00346F1B">
        <w:t>’</w:t>
      </w:r>
      <w:r>
        <w:t>à la déclaration de l</w:t>
      </w:r>
      <w:r w:rsidR="00346F1B">
        <w:t>’</w:t>
      </w:r>
      <w:r>
        <w:t>Algérie et son appel à l</w:t>
      </w:r>
      <w:r w:rsidR="00346F1B">
        <w:t>’</w:t>
      </w:r>
      <w:r>
        <w:t>indulgence. Cela soulevait une question très importante dont on débattrait plus tard [au titre du point 15 de l</w:t>
      </w:r>
      <w:r w:rsidR="00346F1B">
        <w:t>’</w:t>
      </w:r>
      <w:r>
        <w:t>ordre du jour] sur le rôle du patrimoine immatériel dans les situations d</w:t>
      </w:r>
      <w:r w:rsidR="00346F1B">
        <w:t>’</w:t>
      </w:r>
      <w:r>
        <w:t>urgence. La délégation a dit soutenir résolument l</w:t>
      </w:r>
      <w:r w:rsidR="00346F1B">
        <w:t>’</w:t>
      </w:r>
      <w:r>
        <w:t>inscription de l</w:t>
      </w:r>
      <w:r w:rsidR="00346F1B">
        <w:t>’</w:t>
      </w:r>
      <w:r>
        <w:t>élément.</w:t>
      </w:r>
    </w:p>
    <w:p w14:paraId="480D78E8" w14:textId="037E9512" w:rsidR="00B72243" w:rsidRDefault="00B72243" w:rsidP="005A12C8">
      <w:pPr>
        <w:pStyle w:val="Orateurengris"/>
        <w:spacing w:before="120"/>
        <w:ind w:left="709" w:hanging="709"/>
      </w:pPr>
      <w:r>
        <w:t>La délégation de l</w:t>
      </w:r>
      <w:r w:rsidR="00346F1B">
        <w:t>’</w:t>
      </w:r>
      <w:r w:rsidRPr="00B72243">
        <w:rPr>
          <w:b/>
        </w:rPr>
        <w:t>Éthiopie</w:t>
      </w:r>
      <w:r>
        <w:t xml:space="preserve"> a déclaré vouloir </w:t>
      </w:r>
      <w:r w:rsidR="00E96F2F">
        <w:t xml:space="preserve">ajouter son nom à la liste des </w:t>
      </w:r>
      <w:r>
        <w:t>coauteur</w:t>
      </w:r>
      <w:r w:rsidR="00E96F2F">
        <w:t>s de l</w:t>
      </w:r>
      <w:r w:rsidR="00346F1B">
        <w:t>’</w:t>
      </w:r>
      <w:r w:rsidR="00E96F2F">
        <w:t xml:space="preserve">amendement au </w:t>
      </w:r>
      <w:r w:rsidR="00A31001">
        <w:t>côté</w:t>
      </w:r>
      <w:r w:rsidR="00E96F2F">
        <w:t xml:space="preserve"> du</w:t>
      </w:r>
      <w:r>
        <w:t xml:space="preserve"> Liban et </w:t>
      </w:r>
      <w:r w:rsidR="00E96F2F">
        <w:t xml:space="preserve">de </w:t>
      </w:r>
      <w:r w:rsidR="00F723A2">
        <w:t>la Palestine.</w:t>
      </w:r>
    </w:p>
    <w:p w14:paraId="6628FE81" w14:textId="1A7C63AB" w:rsidR="00B72243" w:rsidRDefault="009370EB" w:rsidP="005A12C8">
      <w:pPr>
        <w:pStyle w:val="Orateurengris"/>
        <w:spacing w:before="120"/>
        <w:ind w:left="709" w:hanging="709"/>
      </w:pPr>
      <w:r>
        <w:t>Joignant</w:t>
      </w:r>
      <w:r w:rsidR="00B72243">
        <w:t xml:space="preserve"> sa voix aux déclarations des différentes délégations</w:t>
      </w:r>
      <w:r>
        <w:t>,</w:t>
      </w:r>
      <w:r w:rsidR="00B72243">
        <w:t xml:space="preserve"> </w:t>
      </w:r>
      <w:r>
        <w:t>la délégation de l</w:t>
      </w:r>
      <w:r w:rsidR="00346F1B">
        <w:t>’</w:t>
      </w:r>
      <w:r w:rsidRPr="00B72243">
        <w:rPr>
          <w:b/>
        </w:rPr>
        <w:t>Inde</w:t>
      </w:r>
      <w:r>
        <w:t xml:space="preserve"> </w:t>
      </w:r>
      <w:r w:rsidR="00B72243">
        <w:t>soutenait l</w:t>
      </w:r>
      <w:r w:rsidR="00346F1B">
        <w:t>’</w:t>
      </w:r>
      <w:r w:rsidR="00B72243">
        <w:t>inscription de l</w:t>
      </w:r>
      <w:r w:rsidR="00346F1B">
        <w:t>’</w:t>
      </w:r>
      <w:r w:rsidR="00B72243">
        <w:t>élément.</w:t>
      </w:r>
    </w:p>
    <w:p w14:paraId="3F8302C3" w14:textId="183C16FD" w:rsidR="00B72243" w:rsidRDefault="00B72243" w:rsidP="005A12C8">
      <w:pPr>
        <w:pStyle w:val="Orateurengris"/>
        <w:spacing w:before="120"/>
        <w:ind w:left="709" w:hanging="709"/>
      </w:pPr>
      <w:r>
        <w:t xml:space="preserve">La délégation du </w:t>
      </w:r>
      <w:r w:rsidRPr="00B72243">
        <w:rPr>
          <w:b/>
        </w:rPr>
        <w:t>Guatemala</w:t>
      </w:r>
      <w:r>
        <w:t xml:space="preserve"> soutenait l</w:t>
      </w:r>
      <w:r w:rsidR="00346F1B">
        <w:t>’</w:t>
      </w:r>
      <w:r>
        <w:t>inscription de l</w:t>
      </w:r>
      <w:r w:rsidR="00346F1B">
        <w:t>’</w:t>
      </w:r>
      <w:r>
        <w:t>élément.</w:t>
      </w:r>
    </w:p>
    <w:p w14:paraId="2D55F457" w14:textId="13174733" w:rsidR="00B72243" w:rsidRDefault="00B72243" w:rsidP="005A12C8">
      <w:pPr>
        <w:pStyle w:val="Orateurengris"/>
        <w:spacing w:before="120"/>
        <w:ind w:left="709" w:hanging="709"/>
      </w:pPr>
      <w:r>
        <w:t>Prenant en considération les dommages considérables infligés à la culture iraquienne par le terrorisme, la délégation de l</w:t>
      </w:r>
      <w:r w:rsidR="00346F1B">
        <w:t>’</w:t>
      </w:r>
      <w:r w:rsidRPr="00B72243">
        <w:rPr>
          <w:b/>
        </w:rPr>
        <w:t>Arménie</w:t>
      </w:r>
      <w:r>
        <w:t xml:space="preserve"> estimait que l</w:t>
      </w:r>
      <w:r w:rsidR="00346F1B">
        <w:t>’</w:t>
      </w:r>
      <w:r>
        <w:t>inscription attirerait une attention tout à fait positive sur le patrimoine culturel et la culture en général pour le peuple iraquien. Cela constituerait un excellent objectif et le meilleur message possible à envoyer, et elle soutenait donc l</w:t>
      </w:r>
      <w:r w:rsidR="00346F1B">
        <w:t>’</w:t>
      </w:r>
      <w:r w:rsidR="00F723A2">
        <w:t>inscription.</w:t>
      </w:r>
    </w:p>
    <w:p w14:paraId="7CBC35D8" w14:textId="1E6055F3" w:rsidR="00B72243" w:rsidRDefault="00B72243" w:rsidP="005A12C8">
      <w:pPr>
        <w:pStyle w:val="Orateurengris"/>
        <w:spacing w:before="120"/>
        <w:ind w:left="709" w:hanging="709"/>
      </w:pPr>
      <w:r>
        <w:t xml:space="preserve">La délégation de la </w:t>
      </w:r>
      <w:r w:rsidRPr="00B72243">
        <w:rPr>
          <w:b/>
        </w:rPr>
        <w:t>Côte d</w:t>
      </w:r>
      <w:r w:rsidR="00346F1B">
        <w:rPr>
          <w:b/>
        </w:rPr>
        <w:t>’</w:t>
      </w:r>
      <w:r w:rsidRPr="00B72243">
        <w:rPr>
          <w:b/>
        </w:rPr>
        <w:t>Ivoire</w:t>
      </w:r>
      <w:r>
        <w:t xml:space="preserve"> soutenait l</w:t>
      </w:r>
      <w:r w:rsidR="00346F1B">
        <w:t>’</w:t>
      </w:r>
      <w:r>
        <w:t>inscription de l</w:t>
      </w:r>
      <w:r w:rsidR="00346F1B">
        <w:t>’</w:t>
      </w:r>
      <w:r>
        <w:t>éléme</w:t>
      </w:r>
      <w:r w:rsidR="00F723A2">
        <w:t>nt sur la Liste représentative.</w:t>
      </w:r>
    </w:p>
    <w:p w14:paraId="3C0F4AA2" w14:textId="0019CF2A" w:rsidR="00B72243" w:rsidRDefault="00B72243" w:rsidP="005A12C8">
      <w:pPr>
        <w:pStyle w:val="Orateurengris"/>
        <w:spacing w:before="120"/>
        <w:ind w:left="709" w:hanging="709"/>
      </w:pPr>
      <w:r>
        <w:t xml:space="preserve">Le </w:t>
      </w:r>
      <w:r w:rsidRPr="00B72243">
        <w:rPr>
          <w:b/>
        </w:rPr>
        <w:t>Président</w:t>
      </w:r>
      <w:r>
        <w:t xml:space="preserve"> a procédé à l</w:t>
      </w:r>
      <w:r w:rsidR="00346F1B">
        <w:t>’</w:t>
      </w:r>
      <w:r>
        <w:t>adoption du projet de décision paragraphe par paragraphe. En l</w:t>
      </w:r>
      <w:r w:rsidR="00346F1B">
        <w:t>’</w:t>
      </w:r>
      <w:r>
        <w:t>absence d</w:t>
      </w:r>
      <w:r w:rsidR="00346F1B">
        <w:t>’</w:t>
      </w:r>
      <w:r>
        <w:t xml:space="preserve">objections au paragraphe 1, celui-ci a été </w:t>
      </w:r>
      <w:r w:rsidR="008052AC">
        <w:t>dûment</w:t>
      </w:r>
      <w:r>
        <w:t xml:space="preserve"> adopté. En l</w:t>
      </w:r>
      <w:r w:rsidR="00346F1B">
        <w:t>’</w:t>
      </w:r>
      <w:r>
        <w:t>absence d</w:t>
      </w:r>
      <w:r w:rsidR="00346F1B">
        <w:t>’</w:t>
      </w:r>
      <w:r>
        <w:t xml:space="preserve">objections aux paragraphes consacrés aux critères R.1, R.3, R.4 et R.5, ceux-ci ont été </w:t>
      </w:r>
      <w:r w:rsidR="008052AC">
        <w:t>dûment</w:t>
      </w:r>
      <w:r>
        <w:t xml:space="preserve"> adoptés. Le Président est ensuite passé au paragraphe consacré au critère R.2 avec les amendements proposés.</w:t>
      </w:r>
    </w:p>
    <w:p w14:paraId="1D70C154" w14:textId="2A8D79F5" w:rsidR="00B72243" w:rsidRDefault="00B72243" w:rsidP="005A12C8">
      <w:pPr>
        <w:pStyle w:val="Orateurengris"/>
        <w:spacing w:before="120"/>
        <w:ind w:left="709" w:hanging="709"/>
      </w:pPr>
      <w:r>
        <w:t xml:space="preserve">La délégation de la </w:t>
      </w:r>
      <w:r w:rsidRPr="008B538E">
        <w:rPr>
          <w:b/>
        </w:rPr>
        <w:t>Hongrie</w:t>
      </w:r>
      <w:r>
        <w:t xml:space="preserve"> soutenait l</w:t>
      </w:r>
      <w:r w:rsidR="00346F1B">
        <w:t>’</w:t>
      </w:r>
      <w:r>
        <w:t>amendement au paragraphe consacré au critère R.2 avec</w:t>
      </w:r>
      <w:r w:rsidR="008B538E">
        <w:t xml:space="preserve"> toutefois</w:t>
      </w:r>
      <w:r>
        <w:t xml:space="preserve"> un</w:t>
      </w:r>
      <w:r w:rsidR="008B538E">
        <w:t>e légère modification, à savoir, ce n</w:t>
      </w:r>
      <w:r w:rsidR="00346F1B">
        <w:t>’</w:t>
      </w:r>
      <w:r w:rsidR="008B538E">
        <w:t xml:space="preserve">était pas la visibilité du Comité qui était attendue dans le critère R.2 mais </w:t>
      </w:r>
      <w:r w:rsidR="00F723A2">
        <w:t>plutôt celle du PCI en général.</w:t>
      </w:r>
    </w:p>
    <w:p w14:paraId="21A54DA9" w14:textId="78FA8C85" w:rsidR="008B538E" w:rsidRDefault="008B538E" w:rsidP="005A12C8">
      <w:pPr>
        <w:pStyle w:val="Orateurengris"/>
        <w:spacing w:before="120"/>
        <w:ind w:left="709" w:hanging="709"/>
      </w:pPr>
      <w:r>
        <w:t xml:space="preserve">Le </w:t>
      </w:r>
      <w:r w:rsidRPr="008B538E">
        <w:rPr>
          <w:b/>
        </w:rPr>
        <w:t>Président</w:t>
      </w:r>
      <w:r>
        <w:t xml:space="preserve"> s</w:t>
      </w:r>
      <w:r w:rsidR="00346F1B">
        <w:t>’</w:t>
      </w:r>
      <w:r>
        <w:t>est adressé à la Palestine afin de savoir si elle accep</w:t>
      </w:r>
      <w:r w:rsidR="00F723A2">
        <w:t>tait cette légère modification.</w:t>
      </w:r>
    </w:p>
    <w:p w14:paraId="1DC704DC" w14:textId="23E853D9" w:rsidR="008B538E" w:rsidRDefault="008B538E" w:rsidP="005A12C8">
      <w:pPr>
        <w:pStyle w:val="Orateurengris"/>
        <w:spacing w:before="120"/>
        <w:ind w:left="709" w:hanging="709"/>
      </w:pPr>
      <w:r>
        <w:t xml:space="preserve">La délégation de la </w:t>
      </w:r>
      <w:r w:rsidRPr="008B538E">
        <w:rPr>
          <w:b/>
        </w:rPr>
        <w:t>Palestine</w:t>
      </w:r>
      <w:r>
        <w:t xml:space="preserve"> l</w:t>
      </w:r>
      <w:r w:rsidR="00346F1B">
        <w:t>’</w:t>
      </w:r>
      <w:r>
        <w:t>a acceptée.</w:t>
      </w:r>
    </w:p>
    <w:p w14:paraId="7A5D8F5D" w14:textId="4049070D" w:rsidR="008B538E" w:rsidRDefault="008B538E" w:rsidP="005A12C8">
      <w:pPr>
        <w:pStyle w:val="Orateurengris"/>
        <w:spacing w:before="120"/>
        <w:ind w:left="709" w:hanging="709"/>
      </w:pPr>
      <w:r>
        <w:t>La délégation de l</w:t>
      </w:r>
      <w:r w:rsidR="00346F1B">
        <w:t>’</w:t>
      </w:r>
      <w:r w:rsidRPr="008B538E">
        <w:rPr>
          <w:b/>
        </w:rPr>
        <w:t>Inde</w:t>
      </w:r>
      <w:r>
        <w:t xml:space="preserve"> s</w:t>
      </w:r>
      <w:r w:rsidR="00346F1B">
        <w:t>’</w:t>
      </w:r>
      <w:r>
        <w:t>est interrogée sur l</w:t>
      </w:r>
      <w:r w:rsidR="00346F1B">
        <w:t>’</w:t>
      </w:r>
      <w:r>
        <w:t>utilisation de « très probablement », ajoutant que l</w:t>
      </w:r>
      <w:r w:rsidR="00346F1B">
        <w:t>’</w:t>
      </w:r>
      <w:r>
        <w:t>inclusion de l</w:t>
      </w:r>
      <w:r w:rsidR="00346F1B">
        <w:t>’</w:t>
      </w:r>
      <w:r>
        <w:t>élément sur la Liste représentative améliorerait la visibilité de la C</w:t>
      </w:r>
      <w:r w:rsidR="00F723A2">
        <w:t>onvention et du PCI en général.</w:t>
      </w:r>
    </w:p>
    <w:p w14:paraId="54638CB6" w14:textId="332409D9" w:rsidR="008B538E" w:rsidRDefault="008B538E" w:rsidP="005A12C8">
      <w:pPr>
        <w:pStyle w:val="Orateurengris"/>
        <w:spacing w:before="120"/>
        <w:ind w:left="709" w:hanging="709"/>
      </w:pPr>
      <w:r>
        <w:t xml:space="preserve">La délégation de la </w:t>
      </w:r>
      <w:r w:rsidRPr="008B538E">
        <w:rPr>
          <w:b/>
        </w:rPr>
        <w:t>Palestine</w:t>
      </w:r>
      <w:r w:rsidR="009370EB">
        <w:t xml:space="preserve"> soutenait cet </w:t>
      </w:r>
      <w:r>
        <w:t>amendement.</w:t>
      </w:r>
    </w:p>
    <w:p w14:paraId="2306069C" w14:textId="0B2D365A" w:rsidR="008B538E" w:rsidRDefault="003A6355" w:rsidP="005A12C8">
      <w:pPr>
        <w:pStyle w:val="Orateurengris"/>
        <w:spacing w:before="120"/>
        <w:ind w:left="709" w:hanging="709"/>
      </w:pPr>
      <w:r>
        <w:t>Le</w:t>
      </w:r>
      <w:r w:rsidR="008B538E">
        <w:t xml:space="preserve"> </w:t>
      </w:r>
      <w:r w:rsidR="008B538E" w:rsidRPr="008B538E">
        <w:rPr>
          <w:b/>
        </w:rPr>
        <w:t>Président</w:t>
      </w:r>
      <w:r w:rsidR="008B538E">
        <w:t xml:space="preserve"> a noté que le Liban soutenait cet amendement. Il est alors passé à l</w:t>
      </w:r>
      <w:r w:rsidR="00346F1B">
        <w:t>’</w:t>
      </w:r>
      <w:r w:rsidR="008B538E">
        <w:t>adoption du paragraphe sur le critère R.2 avec ses amendements. En l</w:t>
      </w:r>
      <w:r w:rsidR="00346F1B">
        <w:t>’</w:t>
      </w:r>
      <w:r w:rsidR="008B538E">
        <w:t>absence d</w:t>
      </w:r>
      <w:r w:rsidR="00346F1B">
        <w:t>’</w:t>
      </w:r>
      <w:r w:rsidR="008B538E">
        <w:t>autres commentaires ou objections, le paragraphe sur le critère R.2 et le paragraphe 2 dans son ensemble ont été adoptés tel qu</w:t>
      </w:r>
      <w:r w:rsidR="00346F1B">
        <w:t>’</w:t>
      </w:r>
      <w:r w:rsidR="008B538E">
        <w:t>amendés. Le paragraphe 4 [nouveau paragraphe 3] « Inscrit » a été adopté. Il est ensuite passé à l</w:t>
      </w:r>
      <w:r w:rsidR="00346F1B">
        <w:t>’</w:t>
      </w:r>
      <w:r w:rsidR="008B538E">
        <w:t>adoption de la décision dans son ensemble. En l</w:t>
      </w:r>
      <w:r w:rsidR="00346F1B">
        <w:t>’</w:t>
      </w:r>
      <w:r w:rsidR="008B538E">
        <w:t>absence d</w:t>
      </w:r>
      <w:r w:rsidR="00346F1B">
        <w:t>’</w:t>
      </w:r>
      <w:r w:rsidR="008B538E">
        <w:t xml:space="preserve">autres objections ou commentaires, le </w:t>
      </w:r>
      <w:r w:rsidR="008B538E" w:rsidRPr="008B538E">
        <w:rPr>
          <w:b/>
        </w:rPr>
        <w:t>Président a déclaré adoptée la décision 11.COM 10.b.18 d</w:t>
      </w:r>
      <w:r w:rsidR="00346F1B">
        <w:rPr>
          <w:b/>
        </w:rPr>
        <w:t>’</w:t>
      </w:r>
      <w:r w:rsidR="008B538E" w:rsidRPr="008B538E">
        <w:rPr>
          <w:b/>
        </w:rPr>
        <w:t>inscrire la fête de Khidr Elias et l</w:t>
      </w:r>
      <w:r w:rsidR="00346F1B">
        <w:rPr>
          <w:b/>
        </w:rPr>
        <w:t>’</w:t>
      </w:r>
      <w:r w:rsidR="008B538E" w:rsidRPr="008B538E">
        <w:rPr>
          <w:b/>
        </w:rPr>
        <w:t xml:space="preserve">expression des vœux </w:t>
      </w:r>
      <w:r w:rsidR="008B538E">
        <w:rPr>
          <w:b/>
        </w:rPr>
        <w:t>sur la</w:t>
      </w:r>
      <w:r w:rsidR="008B538E" w:rsidRPr="008B538E">
        <w:rPr>
          <w:b/>
        </w:rPr>
        <w:t xml:space="preserve"> Liste représentative du patrimoine culturel immatériel de l</w:t>
      </w:r>
      <w:r w:rsidR="00346F1B">
        <w:rPr>
          <w:b/>
        </w:rPr>
        <w:t>’</w:t>
      </w:r>
      <w:r w:rsidR="008B538E" w:rsidRPr="008B538E">
        <w:rPr>
          <w:b/>
        </w:rPr>
        <w:t>humanité</w:t>
      </w:r>
      <w:r w:rsidR="008B538E">
        <w:t>.</w:t>
      </w:r>
    </w:p>
    <w:p w14:paraId="6A6B2B28" w14:textId="3DADE819" w:rsidR="008B538E" w:rsidRPr="008B538E" w:rsidRDefault="008B538E" w:rsidP="002B4948">
      <w:pPr>
        <w:pStyle w:val="Orateurengris"/>
        <w:tabs>
          <w:tab w:val="clear" w:pos="709"/>
          <w:tab w:val="clear" w:pos="1418"/>
          <w:tab w:val="clear" w:pos="2126"/>
          <w:tab w:val="clear" w:pos="2694"/>
          <w:tab w:val="clear" w:pos="2835"/>
          <w:tab w:val="clear" w:pos="3686"/>
        </w:tabs>
        <w:spacing w:before="120"/>
        <w:ind w:left="709" w:hanging="709"/>
      </w:pPr>
      <w:r w:rsidRPr="008B538E">
        <w:t>La délégation de l</w:t>
      </w:r>
      <w:r w:rsidR="00346F1B">
        <w:t>’</w:t>
      </w:r>
      <w:r w:rsidRPr="008B538E">
        <w:rPr>
          <w:b/>
        </w:rPr>
        <w:t>Algérie</w:t>
      </w:r>
      <w:r>
        <w:t xml:space="preserve"> s</w:t>
      </w:r>
      <w:r w:rsidR="00346F1B">
        <w:t>’</w:t>
      </w:r>
      <w:r>
        <w:t>est exprimée au nom du groupe des États arabes et du peuple iraquien pour adresser ses remerciements les plus sincères au Comité. L</w:t>
      </w:r>
      <w:r w:rsidR="00346F1B">
        <w:t>’</w:t>
      </w:r>
      <w:r>
        <w:t>inscription de cet élément représentait un symbole très important pour le peuple iraquien car celui-ci participait à la protection de son patrimoine. La délégation de l</w:t>
      </w:r>
      <w:r w:rsidR="00346F1B">
        <w:t>’</w:t>
      </w:r>
      <w:r>
        <w:t>Iraq n</w:t>
      </w:r>
      <w:r w:rsidR="00346F1B">
        <w:t>’</w:t>
      </w:r>
      <w:r>
        <w:t>était malheureusement pas en mesure de participer à cette session mais, malgré son absence, elle appréciait l</w:t>
      </w:r>
      <w:r w:rsidR="00346F1B">
        <w:t>’</w:t>
      </w:r>
      <w:r>
        <w:t>attention qui lui était accordée dans la situation très difficile à laquelle le pays et son peuple étaient confrontés. Cette décision historique aurait d</w:t>
      </w:r>
      <w:r w:rsidR="00346F1B">
        <w:t>’</w:t>
      </w:r>
      <w:r>
        <w:t>énormes r</w:t>
      </w:r>
      <w:r w:rsidR="00F723A2">
        <w:t>épercussions positives en Iraq.</w:t>
      </w:r>
    </w:p>
    <w:p w14:paraId="6B12B2D0" w14:textId="50023643" w:rsidR="003A6112" w:rsidRDefault="003A6112" w:rsidP="002B4948">
      <w:pPr>
        <w:pStyle w:val="Orateurengris"/>
        <w:tabs>
          <w:tab w:val="clear" w:pos="709"/>
          <w:tab w:val="clear" w:pos="1418"/>
          <w:tab w:val="clear" w:pos="2126"/>
          <w:tab w:val="clear" w:pos="2694"/>
          <w:tab w:val="clear" w:pos="2835"/>
          <w:tab w:val="clear" w:pos="3686"/>
        </w:tabs>
        <w:spacing w:before="120"/>
        <w:ind w:left="709" w:hanging="709"/>
      </w:pPr>
      <w:r>
        <w:t xml:space="preserve">Le </w:t>
      </w:r>
      <w:r w:rsidRPr="003A6112">
        <w:rPr>
          <w:b/>
        </w:rPr>
        <w:t>Président</w:t>
      </w:r>
      <w:r>
        <w:t xml:space="preserve"> a félicité l</w:t>
      </w:r>
      <w:r w:rsidR="00346F1B">
        <w:t>’</w:t>
      </w:r>
      <w:r>
        <w:t>Iraq au nom du Comité. Il a pris note d</w:t>
      </w:r>
      <w:r w:rsidR="00346F1B">
        <w:t>’</w:t>
      </w:r>
      <w:r>
        <w:t xml:space="preserve">une demande </w:t>
      </w:r>
      <w:r w:rsidR="00D80362">
        <w:t xml:space="preserve">de </w:t>
      </w:r>
      <w:r>
        <w:t>la part de l</w:t>
      </w:r>
      <w:r w:rsidR="00346F1B">
        <w:t>’</w:t>
      </w:r>
      <w:r>
        <w:t>Arabie saoudite afin que sa candidature soit examinée avant le déjeuner quand l</w:t>
      </w:r>
      <w:r w:rsidR="00346F1B">
        <w:t>’</w:t>
      </w:r>
      <w:r>
        <w:t xml:space="preserve">interprétation en langue arabe était disponible. Par </w:t>
      </w:r>
      <w:r w:rsidR="00D80362">
        <w:t xml:space="preserve">égard </w:t>
      </w:r>
      <w:r>
        <w:t>pour l</w:t>
      </w:r>
      <w:r w:rsidR="00346F1B">
        <w:t>’</w:t>
      </w:r>
      <w:r>
        <w:t xml:space="preserve">Arabie saoudite, qui avait </w:t>
      </w:r>
      <w:r w:rsidR="00D80362">
        <w:t xml:space="preserve">mis à disposition </w:t>
      </w:r>
      <w:r>
        <w:t>cette interprétation en langue arab</w:t>
      </w:r>
      <w:r w:rsidR="009370EB">
        <w:t>e, le Président souhaitait</w:t>
      </w:r>
      <w:r>
        <w:t xml:space="preserve"> que le Comité examine cette demande. En l</w:t>
      </w:r>
      <w:r w:rsidR="00346F1B">
        <w:t>’</w:t>
      </w:r>
      <w:r>
        <w:t>absence d</w:t>
      </w:r>
      <w:r w:rsidR="00346F1B">
        <w:t>’</w:t>
      </w:r>
      <w:r>
        <w:t>objections, le Président a présenté le d</w:t>
      </w:r>
      <w:r w:rsidR="00F723A2">
        <w:t>ossier de candidature suivant.</w:t>
      </w:r>
    </w:p>
    <w:p w14:paraId="62511306" w14:textId="14026577" w:rsidR="00D80362" w:rsidRPr="00D80362" w:rsidRDefault="00D80362" w:rsidP="005A12C8">
      <w:pPr>
        <w:pStyle w:val="Orateurengris"/>
        <w:spacing w:before="120"/>
        <w:ind w:left="709" w:hanging="709"/>
      </w:pPr>
      <w:r w:rsidRPr="00D80362">
        <w:t xml:space="preserve">Le </w:t>
      </w:r>
      <w:r w:rsidRPr="00D80362">
        <w:rPr>
          <w:b/>
        </w:rPr>
        <w:t>Vice-Président de l</w:t>
      </w:r>
      <w:r w:rsidR="00346F1B">
        <w:rPr>
          <w:b/>
        </w:rPr>
        <w:t>’</w:t>
      </w:r>
      <w:r w:rsidRPr="00D80362">
        <w:rPr>
          <w:b/>
        </w:rPr>
        <w:t>Organe d</w:t>
      </w:r>
      <w:r w:rsidR="00346F1B">
        <w:rPr>
          <w:b/>
        </w:rPr>
        <w:t>’</w:t>
      </w:r>
      <w:r w:rsidRPr="00D80362">
        <w:rPr>
          <w:b/>
        </w:rPr>
        <w:t>évaluation</w:t>
      </w:r>
      <w:r w:rsidRPr="00D80362">
        <w:t xml:space="preserve"> est passé </w:t>
      </w:r>
      <w:r>
        <w:t xml:space="preserve">à la candidature suivante, </w:t>
      </w:r>
      <w:bookmarkStart w:id="39" w:name="Decision10b27"/>
      <w:r w:rsidR="00A449B3" w:rsidRPr="003B2CF8">
        <w:rPr>
          <w:b/>
        </w:rPr>
        <w:t>l</w:t>
      </w:r>
      <w:r w:rsidR="00346F1B">
        <w:rPr>
          <w:b/>
        </w:rPr>
        <w:t>’</w:t>
      </w:r>
      <w:r w:rsidR="00A449B3" w:rsidRPr="003B2CF8">
        <w:rPr>
          <w:b/>
        </w:rPr>
        <w:t xml:space="preserve">Almezmar, danse du bâton au son des tambours </w:t>
      </w:r>
      <w:bookmarkEnd w:id="39"/>
      <w:r w:rsidR="00A449B3">
        <w:t>[projet de décision 11.COM 10.b.27], soumise par l</w:t>
      </w:r>
      <w:r w:rsidR="00346F1B">
        <w:t>’</w:t>
      </w:r>
      <w:r w:rsidR="00A449B3">
        <w:t>Arabie saoudite. L</w:t>
      </w:r>
      <w:r w:rsidR="00346F1B">
        <w:t>’</w:t>
      </w:r>
      <w:r w:rsidR="00A449B3">
        <w:t>Almezmar était une pratique traditionnelle de la communauté hedjazie interprétée à l</w:t>
      </w:r>
      <w:r w:rsidR="00346F1B">
        <w:t>’</w:t>
      </w:r>
      <w:r w:rsidR="00A449B3">
        <w:t>occasion de célébrations familiales et nationales. Jusqu</w:t>
      </w:r>
      <w:r w:rsidR="00346F1B">
        <w:t>’</w:t>
      </w:r>
      <w:r w:rsidR="00A449B3">
        <w:t>à 100 danseurs y participaient, répartis sur deux rangs les uns en face des autres, ils frappaient dans leurs mains et interprétaient des chants qui évoquaient la galanterie ou l</w:t>
      </w:r>
      <w:r w:rsidR="00346F1B">
        <w:t>’</w:t>
      </w:r>
      <w:r w:rsidR="00A449B3">
        <w:t>amour. Au son du martèlement des tambours, des duos d</w:t>
      </w:r>
      <w:r w:rsidR="00346F1B">
        <w:t>’</w:t>
      </w:r>
      <w:r w:rsidR="00A449B3">
        <w:t xml:space="preserve">interprètes </w:t>
      </w:r>
      <w:r w:rsidR="00066BCD">
        <w:t>faisaient tourner leurs grands bâtons en se plaçant au centre du cercle avant que d</w:t>
      </w:r>
      <w:r w:rsidR="00346F1B">
        <w:t>’</w:t>
      </w:r>
      <w:r w:rsidR="00066BCD">
        <w:t>autres interprètes ne les remplacent. Transmise par des troupes d</w:t>
      </w:r>
      <w:r w:rsidR="00346F1B">
        <w:t>’</w:t>
      </w:r>
      <w:r w:rsidR="00066BCD">
        <w:t>artistes et des centres du patrimoine, la pratique constituait un marqueur d</w:t>
      </w:r>
      <w:r w:rsidR="00346F1B">
        <w:t>’</w:t>
      </w:r>
      <w:r w:rsidR="00066BCD">
        <w:t>identité et faisait partie de la mémoire collective de la communauté. À l</w:t>
      </w:r>
      <w:r w:rsidR="00346F1B">
        <w:t>’</w:t>
      </w:r>
      <w:r w:rsidR="00066BCD">
        <w:t>examen des informations contenues dans le dossier, l</w:t>
      </w:r>
      <w:r w:rsidR="00346F1B">
        <w:t>’</w:t>
      </w:r>
      <w:r w:rsidR="00066BCD">
        <w:t>Organe d</w:t>
      </w:r>
      <w:r w:rsidR="00346F1B">
        <w:t>’</w:t>
      </w:r>
      <w:r w:rsidR="00066BCD">
        <w:t>évaluation avait décidé qu</w:t>
      </w:r>
      <w:r w:rsidR="004A6D33">
        <w:t xml:space="preserve">e la candidature satisfaisait </w:t>
      </w:r>
      <w:r w:rsidR="00066BCD">
        <w:t>l</w:t>
      </w:r>
      <w:r w:rsidR="00346F1B">
        <w:t>’</w:t>
      </w:r>
      <w:r w:rsidR="00066BCD">
        <w:t>ensemble des cinq critères. Le dossier précisait que les communautés concernées, qui avaient joué un rôle central tout au long de la procédure, étaient à l</w:t>
      </w:r>
      <w:r w:rsidR="00346F1B">
        <w:t>’</w:t>
      </w:r>
      <w:r w:rsidR="00066BCD">
        <w:t xml:space="preserve">initiative de la candidature. Des preuves de leur information, de leur consentement et de leur engagement en faveur de la candidature étaient jointes au dossier. Certains </w:t>
      </w:r>
      <w:r w:rsidR="00A46CAD">
        <w:t>membres</w:t>
      </w:r>
      <w:r w:rsidR="00066BCD">
        <w:t xml:space="preserve"> de la communauté avaient même utilisé les médias sociaux pour informer un plus </w:t>
      </w:r>
      <w:r w:rsidR="00EE73A2">
        <w:t>large public des différentes étapes de la candidature. Les informations relatives à la candidature avaient également</w:t>
      </w:r>
      <w:r w:rsidR="003B2CF8">
        <w:t xml:space="preserve"> été publiées dans la presse</w:t>
      </w:r>
      <w:r w:rsidR="00EE73A2">
        <w:t>. L</w:t>
      </w:r>
      <w:r w:rsidR="00346F1B">
        <w:t>’</w:t>
      </w:r>
      <w:r w:rsidR="00EE73A2">
        <w:t>Organe d</w:t>
      </w:r>
      <w:r w:rsidR="00346F1B">
        <w:t>’</w:t>
      </w:r>
      <w:r w:rsidR="00EE73A2">
        <w:t>évaluation avait décidé de recommander l</w:t>
      </w:r>
      <w:r w:rsidR="00346F1B">
        <w:t>’</w:t>
      </w:r>
      <w:r w:rsidR="00EE73A2">
        <w:t>inscription d</w:t>
      </w:r>
      <w:r w:rsidR="00346F1B">
        <w:t>’</w:t>
      </w:r>
      <w:r w:rsidR="00EE73A2">
        <w:t xml:space="preserve">Almezmar, danse du bâton au son des tambours </w:t>
      </w:r>
      <w:r w:rsidR="00F723A2">
        <w:t>sur la Liste représentative.</w:t>
      </w:r>
    </w:p>
    <w:p w14:paraId="1840802F" w14:textId="04DA245A" w:rsidR="003B2CF8" w:rsidRPr="003B2CF8" w:rsidRDefault="003B2CF8" w:rsidP="005A12C8">
      <w:pPr>
        <w:pStyle w:val="Orateurengris"/>
        <w:spacing w:before="120"/>
        <w:ind w:left="709" w:hanging="709"/>
      </w:pPr>
      <w:r w:rsidRPr="003B2CF8">
        <w:t xml:space="preserve">Après </w:t>
      </w:r>
      <w:r>
        <w:t xml:space="preserve">avoir remercié le Vice-Président, le </w:t>
      </w:r>
      <w:r w:rsidRPr="003B2CF8">
        <w:rPr>
          <w:b/>
        </w:rPr>
        <w:t>Président</w:t>
      </w:r>
      <w:r>
        <w:t xml:space="preserve"> a signalé qu</w:t>
      </w:r>
      <w:r w:rsidR="00346F1B">
        <w:t>’</w:t>
      </w:r>
      <w:r>
        <w:t>aucun amendement n</w:t>
      </w:r>
      <w:r w:rsidR="00346F1B">
        <w:t>’</w:t>
      </w:r>
      <w:r>
        <w:t>avait été déposé et a donc proposé d</w:t>
      </w:r>
      <w:r w:rsidR="00346F1B">
        <w:t>’</w:t>
      </w:r>
      <w:r>
        <w:t>adopter la décision dans son ensemble. En l</w:t>
      </w:r>
      <w:r w:rsidR="00346F1B">
        <w:t>’</w:t>
      </w:r>
      <w:r>
        <w:t>absence de commentaires ou d</w:t>
      </w:r>
      <w:r w:rsidR="00346F1B">
        <w:t>’</w:t>
      </w:r>
      <w:r>
        <w:t xml:space="preserve">objections, le </w:t>
      </w:r>
      <w:r w:rsidRPr="003B2CF8">
        <w:rPr>
          <w:b/>
        </w:rPr>
        <w:t>Président a déclaré adoptée la décision 11.COM 10.b.27 d</w:t>
      </w:r>
      <w:r w:rsidR="00346F1B">
        <w:rPr>
          <w:b/>
        </w:rPr>
        <w:t>’</w:t>
      </w:r>
      <w:r w:rsidRPr="003B2CF8">
        <w:rPr>
          <w:b/>
        </w:rPr>
        <w:t>inscrire l</w:t>
      </w:r>
      <w:r w:rsidR="00346F1B">
        <w:rPr>
          <w:b/>
        </w:rPr>
        <w:t>’</w:t>
      </w:r>
      <w:r w:rsidRPr="003B2CF8">
        <w:rPr>
          <w:b/>
        </w:rPr>
        <w:t>Almezmar, danse du bâton au son des tambours sur la Liste représentative du patrimoine culturel immatériel de l</w:t>
      </w:r>
      <w:r w:rsidR="00346F1B">
        <w:rPr>
          <w:b/>
        </w:rPr>
        <w:t>’</w:t>
      </w:r>
      <w:r w:rsidRPr="003B2CF8">
        <w:rPr>
          <w:b/>
        </w:rPr>
        <w:t>humanité</w:t>
      </w:r>
      <w:r>
        <w:t>.</w:t>
      </w:r>
    </w:p>
    <w:p w14:paraId="1ABF419A" w14:textId="55C18551" w:rsidR="003B2CF8" w:rsidRDefault="003B2CF8" w:rsidP="005A12C8">
      <w:pPr>
        <w:pStyle w:val="Orateurengris"/>
        <w:spacing w:before="120"/>
        <w:ind w:left="709" w:hanging="709"/>
      </w:pPr>
      <w:r>
        <w:t>La délégation de l</w:t>
      </w:r>
      <w:r w:rsidR="00346F1B">
        <w:t>’</w:t>
      </w:r>
      <w:r w:rsidRPr="003B2CF8">
        <w:rPr>
          <w:b/>
        </w:rPr>
        <w:t xml:space="preserve">Arabie saoudite </w:t>
      </w:r>
      <w:r>
        <w:t>a remercié le Comité, et l</w:t>
      </w:r>
      <w:r w:rsidR="00346F1B">
        <w:t>’</w:t>
      </w:r>
      <w:r>
        <w:t>Organe d</w:t>
      </w:r>
      <w:r w:rsidR="00346F1B">
        <w:t>’</w:t>
      </w:r>
      <w:r>
        <w:t>évaluation d</w:t>
      </w:r>
      <w:r w:rsidR="00346F1B">
        <w:t>’</w:t>
      </w:r>
      <w:r>
        <w:t>avoir recommandé l</w:t>
      </w:r>
      <w:r w:rsidR="00346F1B">
        <w:t>’</w:t>
      </w:r>
      <w:r>
        <w:t>inscription de son dossier, ce dont elle était enchantée. C</w:t>
      </w:r>
      <w:r w:rsidR="00346F1B">
        <w:t>’</w:t>
      </w:r>
      <w:r>
        <w:t>était une pratique très populaire dans certaines régions du pays et la délégation s</w:t>
      </w:r>
      <w:r w:rsidR="00346F1B">
        <w:t>’</w:t>
      </w:r>
      <w:r>
        <w:t>est dite extrêmement heureuse de pouvoir inscrire des éléments originaires de différentes parties d</w:t>
      </w:r>
      <w:r w:rsidR="00346F1B">
        <w:t>’</w:t>
      </w:r>
      <w:r>
        <w:t>Arabie saoudite. Elle a félicité tous ceux qui avaient participé au succès de cet élément du patrimoine, en particulier les prat</w:t>
      </w:r>
      <w:r w:rsidR="00D301C4">
        <w:t>iciens. La délégation souhaitait</w:t>
      </w:r>
      <w:r>
        <w:t xml:space="preserve"> tout particulièrement </w:t>
      </w:r>
      <w:r w:rsidR="00D301C4">
        <w:t xml:space="preserve">mentionner </w:t>
      </w:r>
      <w:r>
        <w:t>le président de l</w:t>
      </w:r>
      <w:r w:rsidR="00346F1B">
        <w:t>’</w:t>
      </w:r>
      <w:r>
        <w:t>Autorité d</w:t>
      </w:r>
      <w:r w:rsidR="00346F1B">
        <w:t>’</w:t>
      </w:r>
      <w:r>
        <w:t xml:space="preserve">Arabie saoudite en charge de la protection du patrimoine national pour les efforts déployés afin de protéger et sauvegarder cet élément. Elle a remercié les amis et les </w:t>
      </w:r>
      <w:r w:rsidR="00A46CAD">
        <w:t>membres</w:t>
      </w:r>
      <w:r>
        <w:t xml:space="preserve"> de la délégation. Elle a conclu son in</w:t>
      </w:r>
      <w:r w:rsidR="00DA554E">
        <w:t>tervention en saluant la famille de M. Mohammed Salim, formateur très qualifié du plus célèbre groupe d</w:t>
      </w:r>
      <w:r w:rsidR="00346F1B">
        <w:t>’</w:t>
      </w:r>
      <w:r w:rsidR="00DA554E">
        <w:t>interprétation de cet élément en Arabie saoudite, dont l</w:t>
      </w:r>
      <w:r w:rsidR="00346F1B">
        <w:t>’</w:t>
      </w:r>
      <w:r w:rsidR="00DA554E">
        <w:t>aide avait été essentielle pour préparer cette candidature. La délégation avait longtemps espéré qu</w:t>
      </w:r>
      <w:r w:rsidR="00346F1B">
        <w:t>’</w:t>
      </w:r>
      <w:r w:rsidR="00DA554E">
        <w:t>il pourrait assister à la session du Comité pour célébrer ce succès, mais il était malheureuseme</w:t>
      </w:r>
      <w:r w:rsidR="00F723A2">
        <w:t>nt décédé deux mois auparavant.</w:t>
      </w:r>
    </w:p>
    <w:p w14:paraId="0F812712" w14:textId="31084A39" w:rsidR="00A9174E" w:rsidRPr="008B538E" w:rsidRDefault="00DA554E" w:rsidP="005A12C8">
      <w:pPr>
        <w:pStyle w:val="Orateurengris"/>
        <w:numPr>
          <w:ilvl w:val="0"/>
          <w:numId w:val="0"/>
        </w:numPr>
        <w:spacing w:before="120"/>
        <w:ind w:left="709" w:hanging="709"/>
        <w:jc w:val="center"/>
        <w:rPr>
          <w:i/>
        </w:rPr>
      </w:pPr>
      <w:r>
        <w:rPr>
          <w:i/>
        </w:rPr>
        <w:t>[Un film sur l</w:t>
      </w:r>
      <w:r w:rsidR="00346F1B">
        <w:rPr>
          <w:i/>
        </w:rPr>
        <w:t>’</w:t>
      </w:r>
      <w:r>
        <w:rPr>
          <w:i/>
        </w:rPr>
        <w:t>Almezmar a été projeté</w:t>
      </w:r>
      <w:r w:rsidR="00A9174E" w:rsidRPr="008B538E">
        <w:rPr>
          <w:i/>
        </w:rPr>
        <w:t>]</w:t>
      </w:r>
    </w:p>
    <w:p w14:paraId="1178EF13" w14:textId="6E65ECB7" w:rsidR="00DA554E" w:rsidRDefault="00DA554E" w:rsidP="005A12C8">
      <w:pPr>
        <w:pStyle w:val="Orateurengris"/>
        <w:spacing w:before="120"/>
        <w:ind w:left="709" w:hanging="709"/>
      </w:pPr>
      <w:r>
        <w:t xml:space="preserve">Le </w:t>
      </w:r>
      <w:r w:rsidRPr="00DA554E">
        <w:rPr>
          <w:b/>
        </w:rPr>
        <w:t>Président</w:t>
      </w:r>
      <w:r>
        <w:t xml:space="preserve"> a remercié l</w:t>
      </w:r>
      <w:r w:rsidR="00346F1B">
        <w:t>’</w:t>
      </w:r>
      <w:r>
        <w:t>Arabie saoudite, et est passé à la candidature suiva</w:t>
      </w:r>
      <w:r w:rsidR="00AE07E0">
        <w:t>nte, soumise par le</w:t>
      </w:r>
      <w:r w:rsidR="00F723A2">
        <w:t xml:space="preserve"> Kazakhstan.</w:t>
      </w:r>
    </w:p>
    <w:p w14:paraId="430434B9" w14:textId="0A9A35A0" w:rsidR="00594C1E" w:rsidRDefault="00DA554E" w:rsidP="005A12C8">
      <w:pPr>
        <w:pStyle w:val="Orateurengris"/>
        <w:spacing w:before="120"/>
        <w:ind w:left="709" w:hanging="709"/>
      </w:pPr>
      <w:r>
        <w:t xml:space="preserve">Le </w:t>
      </w:r>
      <w:r w:rsidRPr="00DA554E">
        <w:rPr>
          <w:b/>
        </w:rPr>
        <w:t>Vice-Président de l</w:t>
      </w:r>
      <w:r w:rsidR="00346F1B">
        <w:rPr>
          <w:b/>
        </w:rPr>
        <w:t>’</w:t>
      </w:r>
      <w:r w:rsidRPr="00DA554E">
        <w:rPr>
          <w:b/>
        </w:rPr>
        <w:t>Organe d</w:t>
      </w:r>
      <w:r w:rsidR="00346F1B">
        <w:rPr>
          <w:b/>
        </w:rPr>
        <w:t>’</w:t>
      </w:r>
      <w:r w:rsidRPr="00DA554E">
        <w:rPr>
          <w:b/>
        </w:rPr>
        <w:t>évaluation</w:t>
      </w:r>
      <w:r>
        <w:t xml:space="preserve"> est passé à la candidature suivante, </w:t>
      </w:r>
      <w:bookmarkStart w:id="40" w:name="Decision10b20"/>
      <w:r w:rsidRPr="00DA554E">
        <w:rPr>
          <w:b/>
        </w:rPr>
        <w:t>le koures au Kazakhstan</w:t>
      </w:r>
      <w:bookmarkEnd w:id="40"/>
      <w:r>
        <w:t xml:space="preserve"> (projet de décision 11.COM 10.b.20), soumis</w:t>
      </w:r>
      <w:r w:rsidR="00594C1E">
        <w:t>e</w:t>
      </w:r>
      <w:r>
        <w:t xml:space="preserve"> par la Kazakhstan. Le koures au Kazakhstan était un type de lutte traditionnelle pratiquée dans les communau</w:t>
      </w:r>
      <w:r w:rsidR="00CA70BC">
        <w:t>tés du pays. L</w:t>
      </w:r>
      <w:r w:rsidR="00EA1D1D">
        <w:t>es lutteurs s</w:t>
      </w:r>
      <w:r w:rsidR="00346F1B">
        <w:t>’</w:t>
      </w:r>
      <w:r w:rsidR="00EA1D1D">
        <w:t>affrontaient debout et l</w:t>
      </w:r>
      <w:r w:rsidR="00346F1B">
        <w:t>’</w:t>
      </w:r>
      <w:r w:rsidR="00EA1D1D">
        <w:t>objectif était de plaquer les épaules de l</w:t>
      </w:r>
      <w:r w:rsidR="00346F1B">
        <w:t>’</w:t>
      </w:r>
      <w:r w:rsidR="00EA1D1D">
        <w:t>adversaire au sol. Auparavant, les entraineurs formaient les jeunes garçons afin qu</w:t>
      </w:r>
      <w:r w:rsidR="00346F1B">
        <w:t>’</w:t>
      </w:r>
      <w:r w:rsidR="00EA1D1D">
        <w:t xml:space="preserve">ils participent à des compétitions locales. Le koures au Kazakhstan était désormais devenu un sport national pratiqué par les hommes et les femmes avec des compétitions internationales diffusées dans de nombreux pays. </w:t>
      </w:r>
      <w:r w:rsidR="00CA70BC">
        <w:t xml:space="preserve">On disait du </w:t>
      </w:r>
      <w:r w:rsidR="00EA1D1D">
        <w:t xml:space="preserve">koures au Kazakhstan </w:t>
      </w:r>
      <w:r w:rsidR="00CA70BC">
        <w:t>qu</w:t>
      </w:r>
      <w:r w:rsidR="00346F1B">
        <w:t>’</w:t>
      </w:r>
      <w:r w:rsidR="00CA70BC">
        <w:t>il contribu</w:t>
      </w:r>
      <w:r w:rsidR="00EA1D1D">
        <w:t xml:space="preserve">ait à renforcer la tolérance, la bonne volonté et la solidarité entre les communautés. Il était transmis dans le cadre de </w:t>
      </w:r>
      <w:r w:rsidR="00EA1D1D" w:rsidRPr="00EA1D1D">
        <w:rPr>
          <w:i/>
        </w:rPr>
        <w:t>master classes</w:t>
      </w:r>
      <w:r w:rsidR="00EA1D1D">
        <w:t xml:space="preserve"> et de clubs sportifs. L</w:t>
      </w:r>
      <w:r w:rsidR="00346F1B">
        <w:t>’</w:t>
      </w:r>
      <w:r w:rsidR="00EA1D1D">
        <w:t>Organe d</w:t>
      </w:r>
      <w:r w:rsidR="00346F1B">
        <w:t>’</w:t>
      </w:r>
      <w:r w:rsidR="00EA1D1D">
        <w:t>évaluation avait rencontré des difficultés avec quatre critères et avait demandé à l</w:t>
      </w:r>
      <w:r w:rsidR="00346F1B">
        <w:t>’</w:t>
      </w:r>
      <w:r w:rsidR="00EA1D1D">
        <w:t>État partie un complément d</w:t>
      </w:r>
      <w:r w:rsidR="00346F1B">
        <w:t>’</w:t>
      </w:r>
      <w:r w:rsidR="00EA1D1D">
        <w:t xml:space="preserve">information. </w:t>
      </w:r>
      <w:r w:rsidR="00D4601B">
        <w:t>S</w:t>
      </w:r>
      <w:r w:rsidR="00346F1B">
        <w:t>’</w:t>
      </w:r>
      <w:r w:rsidR="00D4601B">
        <w:t>agissant du critère R.1, bien que le dossier décrive le koures au Kazakhstan comme un sport populaire, il ne présentait pas suffisamment d</w:t>
      </w:r>
      <w:r w:rsidR="00346F1B">
        <w:t>’</w:t>
      </w:r>
      <w:r w:rsidR="00D4601B">
        <w:t>informations permettant d</w:t>
      </w:r>
      <w:r w:rsidR="00346F1B">
        <w:t>’</w:t>
      </w:r>
      <w:r w:rsidR="00D4601B">
        <w:t>appréhender sa signification culturelle et ses fonctions sociales. En outre, le dossier mettait l</w:t>
      </w:r>
      <w:r w:rsidR="00346F1B">
        <w:t>’</w:t>
      </w:r>
      <w:r w:rsidR="00D4601B">
        <w:t>accent sur l</w:t>
      </w:r>
      <w:r w:rsidR="00346F1B">
        <w:t>’</w:t>
      </w:r>
      <w:r w:rsidR="00D4601B">
        <w:t xml:space="preserve">élite du sport tandis que la dimension relative à la communauté était peu abordée. Bien que le dossier indique que les compétences </w:t>
      </w:r>
      <w:r w:rsidR="00CC4873">
        <w:t xml:space="preserve">et savoir-faire </w:t>
      </w:r>
      <w:r w:rsidR="00D4601B">
        <w:t>des lutteurs, entrain</w:t>
      </w:r>
      <w:r w:rsidR="00CC4873">
        <w:t>eurs et juges étaient transmis</w:t>
      </w:r>
      <w:r w:rsidR="00D4601B">
        <w:t xml:space="preserve"> aux jeunes hommes et aux jeunes femmes, </w:t>
      </w:r>
      <w:r w:rsidR="00CC4873">
        <w:t>la description d</w:t>
      </w:r>
      <w:r w:rsidR="00D4601B">
        <w:t>es mé</w:t>
      </w:r>
      <w:r w:rsidR="00CC4873">
        <w:t>canismes de transmission devait être plus élaborée</w:t>
      </w:r>
      <w:r w:rsidR="00D4601B">
        <w:t>. S</w:t>
      </w:r>
      <w:r w:rsidR="00346F1B">
        <w:t>’</w:t>
      </w:r>
      <w:r w:rsidR="00D4601B">
        <w:t>agissant du critère R.2, le dossier indiquait que l</w:t>
      </w:r>
      <w:r w:rsidR="00346F1B">
        <w:t>’</w:t>
      </w:r>
      <w:r w:rsidR="00D4601B">
        <w:t>inscription renforcerait la reconnaissance publique de l</w:t>
      </w:r>
      <w:r w:rsidR="00346F1B">
        <w:t>’</w:t>
      </w:r>
      <w:r w:rsidR="00D4601B">
        <w:t>élément. Il manquait toutefois d</w:t>
      </w:r>
      <w:r w:rsidR="00346F1B">
        <w:t>’</w:t>
      </w:r>
      <w:r w:rsidR="00D4601B">
        <w:t>informations démontrant comment l</w:t>
      </w:r>
      <w:r w:rsidR="00346F1B">
        <w:t>’</w:t>
      </w:r>
      <w:r w:rsidR="00D4601B">
        <w:t xml:space="preserve">inscription contribuerait à la visibilité du PCI en général. En ce qui concerne le critère R.3, le dossier présentait les futures mesures de sauvegarde. </w:t>
      </w:r>
      <w:r w:rsidR="00594C1E">
        <w:t>Leur approche semblait</w:t>
      </w:r>
      <w:r w:rsidR="00D4601B">
        <w:t xml:space="preserve"> toutefois </w:t>
      </w:r>
      <w:r w:rsidR="00594C1E">
        <w:t>très descendante, tant en ce qui concerne leur conception que leur mise en œuvre à venir : le cercle des détenteurs et praticiens concernés devrait dépasser les lutteurs professionnels puisque les citoyens ordinaires étaient également des praticiens actifs de l</w:t>
      </w:r>
      <w:r w:rsidR="00346F1B">
        <w:t>’</w:t>
      </w:r>
      <w:r w:rsidR="00594C1E">
        <w:t>élément. S</w:t>
      </w:r>
      <w:r w:rsidR="00346F1B">
        <w:t>’</w:t>
      </w:r>
      <w:r w:rsidR="00594C1E">
        <w:t>agissant du critère R.4, l</w:t>
      </w:r>
      <w:r w:rsidR="00346F1B">
        <w:t>’</w:t>
      </w:r>
      <w:r w:rsidR="00594C1E">
        <w:t>Organe d</w:t>
      </w:r>
      <w:r w:rsidR="00346F1B">
        <w:t>’</w:t>
      </w:r>
      <w:r w:rsidR="00594C1E">
        <w:t>évaluation aurait apprécié, d</w:t>
      </w:r>
      <w:r w:rsidR="00346F1B">
        <w:t>’</w:t>
      </w:r>
      <w:r w:rsidR="00594C1E">
        <w:t>une part, des consentements moins standar</w:t>
      </w:r>
      <w:r w:rsidR="004A6D33">
        <w:t>disés, et d</w:t>
      </w:r>
      <w:r w:rsidR="00346F1B">
        <w:t>’</w:t>
      </w:r>
      <w:r w:rsidR="004A6D33">
        <w:t>autre part, un éventail</w:t>
      </w:r>
      <w:r w:rsidR="00594C1E">
        <w:t xml:space="preserve"> plus large de représentants des communautés concernées. L</w:t>
      </w:r>
      <w:r w:rsidR="00346F1B">
        <w:t>’</w:t>
      </w:r>
      <w:r w:rsidR="00594C1E">
        <w:t>Organe avait également remarqué que les texte</w:t>
      </w:r>
      <w:r w:rsidR="00CC4873">
        <w:t>s</w:t>
      </w:r>
      <w:r w:rsidR="00594C1E">
        <w:t xml:space="preserve"> </w:t>
      </w:r>
      <w:r w:rsidR="00CC4873">
        <w:t>soumis au titre des sections 4.a et 4.b</w:t>
      </w:r>
      <w:r w:rsidR="00594C1E">
        <w:t xml:space="preserve"> étaient presque identiques et devaient vraisemblablement être révisés. L</w:t>
      </w:r>
      <w:r w:rsidR="00346F1B">
        <w:t>’</w:t>
      </w:r>
      <w:r w:rsidR="00594C1E">
        <w:t>Organe d</w:t>
      </w:r>
      <w:r w:rsidR="00346F1B">
        <w:t>’</w:t>
      </w:r>
      <w:r w:rsidR="00594C1E">
        <w:t>évaluation avait donc décidé de recommander le renvoi du koures au Kazakhstan à l</w:t>
      </w:r>
      <w:r w:rsidR="00346F1B">
        <w:t>’</w:t>
      </w:r>
      <w:r w:rsidR="00594C1E">
        <w:t>État soumissionnaire pour complément d</w:t>
      </w:r>
      <w:r w:rsidR="00346F1B">
        <w:t>’</w:t>
      </w:r>
      <w:r w:rsidR="00F723A2">
        <w:t>information.</w:t>
      </w:r>
    </w:p>
    <w:p w14:paraId="60B92C2C" w14:textId="1E87B092" w:rsidR="00CC4873" w:rsidRDefault="00CC4873" w:rsidP="005A12C8">
      <w:pPr>
        <w:pStyle w:val="Orateurengris"/>
        <w:spacing w:before="120"/>
        <w:ind w:left="709" w:hanging="709"/>
      </w:pPr>
      <w:r>
        <w:t xml:space="preserve">Le </w:t>
      </w:r>
      <w:r w:rsidRPr="00CC4873">
        <w:rPr>
          <w:b/>
        </w:rPr>
        <w:t>Président</w:t>
      </w:r>
      <w:r>
        <w:t xml:space="preserve"> a remercié le Vice-Président pour les explications détaillées des différents points. Il a noté qu</w:t>
      </w:r>
      <w:r w:rsidR="00346F1B">
        <w:t>’</w:t>
      </w:r>
      <w:r>
        <w:t>il y avait des objections à quatre des cinq critères, avec des amendements de la Bulgarie p</w:t>
      </w:r>
      <w:r w:rsidR="00F723A2">
        <w:t>our chacun des quatre critères.</w:t>
      </w:r>
    </w:p>
    <w:p w14:paraId="67D60BBA" w14:textId="106073C3" w:rsidR="0005692D" w:rsidRDefault="0005692D" w:rsidP="005A12C8">
      <w:pPr>
        <w:pStyle w:val="Orateurengris"/>
        <w:spacing w:before="120"/>
        <w:ind w:left="709" w:hanging="709"/>
      </w:pPr>
      <w:r>
        <w:t xml:space="preserve">Après avoir attentivement examiné le dossier, la délégation de la </w:t>
      </w:r>
      <w:r w:rsidRPr="0005692D">
        <w:rPr>
          <w:b/>
        </w:rPr>
        <w:t>Bulgarie</w:t>
      </w:r>
      <w:r>
        <w:t xml:space="preserve"> </w:t>
      </w:r>
      <w:r w:rsidR="00920EB5">
        <w:t>appréciait</w:t>
      </w:r>
      <w:r>
        <w:t xml:space="preserve"> </w:t>
      </w:r>
      <w:r w:rsidR="00920EB5">
        <w:t xml:space="preserve">beaucoup </w:t>
      </w:r>
      <w:r>
        <w:t>la signification de la pratique présentée et la portée de son impact socioculturel. C</w:t>
      </w:r>
      <w:r w:rsidR="00346F1B">
        <w:t>’</w:t>
      </w:r>
      <w:r>
        <w:t>était un exemple de tradition, présente sur tout le territoire de l</w:t>
      </w:r>
      <w:r w:rsidR="00346F1B">
        <w:t>’</w:t>
      </w:r>
      <w:r>
        <w:t xml:space="preserve">État partie, qui était extrêmement populaire </w:t>
      </w:r>
      <w:r w:rsidR="00920EB5">
        <w:t xml:space="preserve">auprès de </w:t>
      </w:r>
      <w:r>
        <w:t>toutes les générations, viable et bien sauvegardé. On pouvait le décrire comme étant représentatif de l</w:t>
      </w:r>
      <w:r w:rsidR="00346F1B">
        <w:t>’</w:t>
      </w:r>
      <w:r>
        <w:t>État soumissionnaire. L</w:t>
      </w:r>
      <w:r w:rsidR="00346F1B">
        <w:t>’</w:t>
      </w:r>
      <w:r w:rsidR="00920EB5">
        <w:t xml:space="preserve">élément était au cœur </w:t>
      </w:r>
      <w:r>
        <w:t>des efforts de sauvegarde déployés par de nombreuses communautés au Kazakhstan, ainsi que par différentes organisations gouvernementales et non gouvernementales impliquées dans la promotion des connaissances et savoir-faire associés à cette forme et ce style particuliers de lutte traditionnelle kazakh. La délégation respectait les observations formulées par l</w:t>
      </w:r>
      <w:r w:rsidR="00346F1B">
        <w:t>’</w:t>
      </w:r>
      <w:r>
        <w:t>Organe d</w:t>
      </w:r>
      <w:r w:rsidR="00346F1B">
        <w:t>’</w:t>
      </w:r>
      <w:r>
        <w:t xml:space="preserve">évaluation à propos du dossier. Elle considérait toutefois que certains des aspects positifs de cette pratique très répandue et </w:t>
      </w:r>
      <w:r w:rsidR="00920EB5">
        <w:t>bien conservée n</w:t>
      </w:r>
      <w:r w:rsidR="00346F1B">
        <w:t>’</w:t>
      </w:r>
      <w:r w:rsidR="00920EB5">
        <w:t xml:space="preserve">avaient pas été suffisamment mis en évidence, et elle souhaitait donc ouvrir </w:t>
      </w:r>
      <w:r w:rsidR="00F723A2">
        <w:t>un débat sur cette candidature.</w:t>
      </w:r>
    </w:p>
    <w:p w14:paraId="493CF028" w14:textId="12E29ABC" w:rsidR="00920EB5" w:rsidRDefault="00920EB5" w:rsidP="005A12C8">
      <w:pPr>
        <w:pStyle w:val="Orateurengris"/>
        <w:spacing w:before="120"/>
        <w:ind w:left="709" w:hanging="709"/>
      </w:pPr>
      <w:r>
        <w:t>La délégation de l</w:t>
      </w:r>
      <w:r w:rsidR="00346F1B">
        <w:t>’</w:t>
      </w:r>
      <w:r w:rsidRPr="00920EB5">
        <w:rPr>
          <w:b/>
        </w:rPr>
        <w:t>Afghanistan</w:t>
      </w:r>
      <w:r w:rsidR="004A6D33">
        <w:t xml:space="preserve"> souhaitait</w:t>
      </w:r>
      <w:r>
        <w:t xml:space="preserve"> que la délégation du Kazakhstan apporte des éclaircissements sur le projet de décision de l</w:t>
      </w:r>
      <w:r w:rsidR="00346F1B">
        <w:t>’</w:t>
      </w:r>
      <w:r>
        <w:t>Organe d</w:t>
      </w:r>
      <w:r w:rsidR="00346F1B">
        <w:t>’</w:t>
      </w:r>
      <w:r>
        <w:t>évaluation, à propos de l</w:t>
      </w:r>
      <w:r w:rsidR="00346F1B">
        <w:t>’</w:t>
      </w:r>
      <w:r>
        <w:t>implication des communautés et du mécanisme de transmission de l</w:t>
      </w:r>
      <w:r w:rsidR="00346F1B">
        <w:t>’</w:t>
      </w:r>
      <w:r w:rsidR="00F723A2">
        <w:t>élément.</w:t>
      </w:r>
    </w:p>
    <w:p w14:paraId="7A19AB11" w14:textId="114CD880" w:rsidR="00920EB5" w:rsidRDefault="00920EB5" w:rsidP="005A12C8">
      <w:pPr>
        <w:pStyle w:val="Orateurengris"/>
        <w:spacing w:before="120"/>
        <w:ind w:left="709" w:hanging="709"/>
      </w:pPr>
      <w:r>
        <w:t xml:space="preserve">Le </w:t>
      </w:r>
      <w:r w:rsidRPr="00920EB5">
        <w:rPr>
          <w:b/>
        </w:rPr>
        <w:t>Président</w:t>
      </w:r>
      <w:r>
        <w:t xml:space="preserve"> a donné la parole au Kazakhstan afin qu</w:t>
      </w:r>
      <w:r w:rsidR="00346F1B">
        <w:t>’</w:t>
      </w:r>
      <w:r>
        <w:t>il répon</w:t>
      </w:r>
      <w:r w:rsidR="00F723A2">
        <w:t>de à cette question spécifique.</w:t>
      </w:r>
    </w:p>
    <w:p w14:paraId="30C1D0FB" w14:textId="266744F2" w:rsidR="00047C3D" w:rsidRDefault="00920EB5" w:rsidP="005A12C8">
      <w:pPr>
        <w:pStyle w:val="Orateurengris"/>
        <w:spacing w:before="120"/>
        <w:ind w:left="709" w:hanging="709"/>
      </w:pPr>
      <w:r>
        <w:t xml:space="preserve">La délégation du </w:t>
      </w:r>
      <w:r w:rsidRPr="00920EB5">
        <w:rPr>
          <w:b/>
        </w:rPr>
        <w:t>Kazakhstan</w:t>
      </w:r>
      <w:r>
        <w:t xml:space="preserve"> a exprimé sa </w:t>
      </w:r>
      <w:r w:rsidR="00047C3D">
        <w:t xml:space="preserve">reconnaissance </w:t>
      </w:r>
      <w:r>
        <w:t>à l</w:t>
      </w:r>
      <w:r w:rsidR="00346F1B">
        <w:t>’</w:t>
      </w:r>
      <w:r>
        <w:t>Afghanistan pour sa question. Elle a rappelé que le Kazakhstan n</w:t>
      </w:r>
      <w:r w:rsidR="00346F1B">
        <w:t>’</w:t>
      </w:r>
      <w:r>
        <w:t>avait ratifié la Convention qu</w:t>
      </w:r>
      <w:r w:rsidR="00346F1B">
        <w:t>’</w:t>
      </w:r>
      <w:r>
        <w:t>en 2012, ajoutant qu</w:t>
      </w:r>
      <w:r w:rsidR="00346F1B">
        <w:t>’</w:t>
      </w:r>
      <w:r>
        <w:t>elle était consciente de ses responsabilités et engagements au titre de la Convention, tant au niveau national qu</w:t>
      </w:r>
      <w:r w:rsidR="00346F1B">
        <w:t>’</w:t>
      </w:r>
      <w:r>
        <w:t xml:space="preserve">international. </w:t>
      </w:r>
      <w:r w:rsidR="00E5728F">
        <w:t xml:space="preserve">Elle </w:t>
      </w:r>
      <w:r w:rsidR="00047C3D">
        <w:t>était en train de travailler</w:t>
      </w:r>
      <w:r w:rsidR="00E5728F">
        <w:t xml:space="preserve"> à la réalisation de son inventaire du PCI avec la participation active des communautés concernées. Conformément aux recommandations du Comité, le pays avait accordé la priorité à la préparation de dossiers</w:t>
      </w:r>
      <w:r w:rsidR="00047C3D">
        <w:t xml:space="preserve"> multinationaux et prenait part</w:t>
      </w:r>
      <w:r w:rsidR="00E5728F">
        <w:t xml:space="preserve"> à cinq candidatures multinationales. Une seule candidature nationale était inscrite sur la Liste représentative. Le 16 décembre, le pays célébrerait le 25</w:t>
      </w:r>
      <w:r w:rsidR="00E5728F" w:rsidRPr="00E5728F">
        <w:rPr>
          <w:vertAlign w:val="superscript"/>
        </w:rPr>
        <w:t>e</w:t>
      </w:r>
      <w:r w:rsidR="00E5728F">
        <w:t xml:space="preserve"> anniversaire de son indépendance et, dans tout le pays, des compétitions se dérouleraient, notamment du sport traditionnel préféré des kazakhs, le koures. Les deux détenteurs du koures, qui avaient directement participé à la préparation du dossier, étaient présents. La lutte était considérée comme un sport masculin mais des femmes pratiquaient également le koures. La délégation comptait parmi ses </w:t>
      </w:r>
      <w:r w:rsidR="00A46CAD">
        <w:t>membres</w:t>
      </w:r>
      <w:r w:rsidR="00E5728F">
        <w:t xml:space="preserve"> des représentants du ministère de la Culture et des Sports, ainsi que le président du Comité national du patrimoine culturel immatériel qui avait également participé à la préparation de la candidature. La délégation a fait référence à la section 2 du dossier de candidature qui indiquait que cet élément était très pratiqué dans chaque communauté et village du pays depuis les </w:t>
      </w:r>
      <w:r w:rsidR="00047C3D">
        <w:t xml:space="preserve">temps anciens. Les </w:t>
      </w:r>
      <w:r w:rsidR="00E5728F">
        <w:t xml:space="preserve">entraineurs locaux formaient les jeunes garçons aux fondamentaux de la lutte traditionnelle et des sections sportives étaient désormais disponibles dans toutes les régions du Kazakhstan. Les communautés et les </w:t>
      </w:r>
      <w:r w:rsidR="00B01298">
        <w:t>organismes publics participaient à la sauvegarde et à la candidature de l</w:t>
      </w:r>
      <w:r w:rsidR="00346F1B">
        <w:t>’</w:t>
      </w:r>
      <w:r w:rsidR="00B01298">
        <w:t>élément, notamment le ministère de la Culture et des Sports, la Fédération nationale de koures</w:t>
      </w:r>
      <w:r w:rsidR="00210DE6">
        <w:t xml:space="preserve"> kazakh</w:t>
      </w:r>
      <w:r w:rsidR="00B01298">
        <w:t>, le Fonds pour le développement du koures kazakh appelé Kazakhstan Barysy, les autorités locales et municipales et les représentants régionau</w:t>
      </w:r>
      <w:r w:rsidR="0033524F">
        <w:t>x</w:t>
      </w:r>
      <w:r w:rsidR="00B01298">
        <w:t xml:space="preserve"> de la Fédération de koures</w:t>
      </w:r>
      <w:r w:rsidR="00210DE6">
        <w:t xml:space="preserve"> kazakh</w:t>
      </w:r>
      <w:r w:rsidR="00B01298">
        <w:t>. S</w:t>
      </w:r>
      <w:r w:rsidR="00346F1B">
        <w:t>’</w:t>
      </w:r>
      <w:r w:rsidR="00B01298">
        <w:t>agissant de la transmission, les mécanismes étaient correctement décrits dans la candidature. En outre, ces mécanismes étaient efficaces car l</w:t>
      </w:r>
      <w:r w:rsidR="00346F1B">
        <w:t>’</w:t>
      </w:r>
      <w:r w:rsidR="00B01298">
        <w:t>élément avait été sauvegardé avec succès et transmis au cours des siècles. La délégation a fait référence à la section 3 qui indiquait que les connaissances et savoir-faire associés à l</w:t>
      </w:r>
      <w:r w:rsidR="00346F1B">
        <w:t>’</w:t>
      </w:r>
      <w:r w:rsidR="00B01298">
        <w:t xml:space="preserve">élément étaient transmis </w:t>
      </w:r>
      <w:r w:rsidR="0033524F">
        <w:t xml:space="preserve">dans le cadre </w:t>
      </w:r>
      <w:r w:rsidR="00B01298">
        <w:t>de co</w:t>
      </w:r>
      <w:r w:rsidR="0033524F">
        <w:t xml:space="preserve">ncours, de tournois et </w:t>
      </w:r>
      <w:r w:rsidR="00B01298">
        <w:t>de master classes, et dans des sections sportives, et</w:t>
      </w:r>
      <w:r w:rsidR="00047C3D">
        <w:t xml:space="preserve"> étaient</w:t>
      </w:r>
      <w:r w:rsidR="00B01298">
        <w:t xml:space="preserve"> popularisés </w:t>
      </w:r>
      <w:r w:rsidR="00047C3D">
        <w:t xml:space="preserve">grâce à </w:t>
      </w:r>
      <w:r w:rsidR="00B01298">
        <w:t xml:space="preserve">une vaste couverture </w:t>
      </w:r>
      <w:r w:rsidR="00047C3D">
        <w:t>de l</w:t>
      </w:r>
      <w:r w:rsidR="00346F1B">
        <w:t>’</w:t>
      </w:r>
      <w:r w:rsidR="00047C3D">
        <w:t xml:space="preserve">élément </w:t>
      </w:r>
      <w:r w:rsidR="00B01298">
        <w:t xml:space="preserve">par les médias. </w:t>
      </w:r>
      <w:r w:rsidR="00047C3D">
        <w:t>L</w:t>
      </w:r>
      <w:r w:rsidR="00346F1B">
        <w:t>’</w:t>
      </w:r>
      <w:r w:rsidR="00047C3D">
        <w:t>élément était donc vivant, très pratiqué et transmis de génération en génération, ce qui était précisé dans la candidature. La délégation a attiré l</w:t>
      </w:r>
      <w:r w:rsidR="00346F1B">
        <w:t>’</w:t>
      </w:r>
      <w:r w:rsidR="00047C3D">
        <w:t>attention du Comité sur le fait que la Fédération de koures</w:t>
      </w:r>
      <w:r w:rsidR="00210DE6">
        <w:t xml:space="preserve"> kazakh</w:t>
      </w:r>
      <w:r w:rsidR="00047C3D">
        <w:t xml:space="preserve"> était une association publique destinée à promou</w:t>
      </w:r>
      <w:r w:rsidR="0033524F">
        <w:t>voir et développer cet élément et qu</w:t>
      </w:r>
      <w:r w:rsidR="00346F1B">
        <w:t>’</w:t>
      </w:r>
      <w:r w:rsidR="0033524F">
        <w:t xml:space="preserve">elle rassemblait </w:t>
      </w:r>
      <w:r w:rsidR="00047C3D">
        <w:t>les lutteurs de koures professionnels et amate</w:t>
      </w:r>
      <w:r w:rsidR="0033524F">
        <w:t>urs.</w:t>
      </w:r>
    </w:p>
    <w:p w14:paraId="0CFCBB2F" w14:textId="29AFE0DB" w:rsidR="0033524F" w:rsidRDefault="003A6355" w:rsidP="005A12C8">
      <w:pPr>
        <w:pStyle w:val="Orateurengris"/>
        <w:spacing w:before="120"/>
        <w:ind w:left="709" w:hanging="709"/>
      </w:pPr>
      <w:r>
        <w:t>Le</w:t>
      </w:r>
      <w:r w:rsidR="0033524F">
        <w:t xml:space="preserve"> </w:t>
      </w:r>
      <w:r w:rsidR="0033524F" w:rsidRPr="0033524F">
        <w:rPr>
          <w:b/>
        </w:rPr>
        <w:t>Président</w:t>
      </w:r>
      <w:r w:rsidR="0033524F">
        <w:t xml:space="preserve"> a prié instamment le Kazakhstan de répondre spécifiquement à </w:t>
      </w:r>
      <w:r w:rsidR="00F723A2">
        <w:t>la question posée.</w:t>
      </w:r>
    </w:p>
    <w:p w14:paraId="4FAFBB2F" w14:textId="744A2835" w:rsidR="0033524F" w:rsidRDefault="0033524F" w:rsidP="005A12C8">
      <w:pPr>
        <w:pStyle w:val="Orateurengris"/>
        <w:spacing w:before="120"/>
        <w:ind w:left="709" w:hanging="709"/>
      </w:pPr>
      <w:r>
        <w:t xml:space="preserve">La délégation du </w:t>
      </w:r>
      <w:r w:rsidRPr="0033524F">
        <w:rPr>
          <w:b/>
        </w:rPr>
        <w:t>Kazakhstan</w:t>
      </w:r>
      <w:r w:rsidR="00D301C4">
        <w:t xml:space="preserve"> souhaitait </w:t>
      </w:r>
      <w:r>
        <w:t xml:space="preserve">souligner que la Fédération de koures </w:t>
      </w:r>
      <w:r w:rsidR="00210DE6">
        <w:t xml:space="preserve">kazakh </w:t>
      </w:r>
      <w:r>
        <w:t>n</w:t>
      </w:r>
      <w:r w:rsidR="00346F1B">
        <w:t>’</w:t>
      </w:r>
      <w:r>
        <w:t>était pas un organisme d</w:t>
      </w:r>
      <w:r w:rsidR="00346F1B">
        <w:t>’</w:t>
      </w:r>
      <w:r w:rsidR="00D90FE8">
        <w:t>é</w:t>
      </w:r>
      <w:r>
        <w:t>tat</w:t>
      </w:r>
      <w:r w:rsidR="00D90FE8">
        <w:t xml:space="preserve"> ou une instance gouvernementale </w:t>
      </w:r>
      <w:r>
        <w:t>mais une as</w:t>
      </w:r>
      <w:r w:rsidR="00CF3458">
        <w:t xml:space="preserve">sociation publique </w:t>
      </w:r>
      <w:r>
        <w:t>qui</w:t>
      </w:r>
      <w:r w:rsidR="00CF3458">
        <w:t>, sur la base du volontariat,</w:t>
      </w:r>
      <w:r>
        <w:t xml:space="preserve"> rassemblait des amateurs et des professionnels d</w:t>
      </w:r>
      <w:r w:rsidR="00346F1B">
        <w:t>’</w:t>
      </w:r>
      <w:r>
        <w:t>âges différents, et organisait des compétitions et des représentations. Tout le monde pouvait rejo</w:t>
      </w:r>
      <w:r w:rsidR="00210DE6">
        <w:t>i</w:t>
      </w:r>
      <w:r>
        <w:t>ndre la famille du koures quel que soit son niveau d</w:t>
      </w:r>
      <w:r w:rsidR="00346F1B">
        <w:t>’</w:t>
      </w:r>
      <w:r>
        <w:t>ent</w:t>
      </w:r>
      <w:r w:rsidR="00210DE6">
        <w:t>rainement ou son st</w:t>
      </w:r>
      <w:r w:rsidR="00902A38">
        <w:t>atut social. L</w:t>
      </w:r>
      <w:r w:rsidR="00346F1B">
        <w:t>’</w:t>
      </w:r>
      <w:r w:rsidR="00902A38">
        <w:t xml:space="preserve">élément était transmis </w:t>
      </w:r>
      <w:r w:rsidR="00210DE6">
        <w:t>dans le cadre de grands événements culturels et de festivals traditionnels au cours desquels tout un chacun, homme ou femme, pouvait tester sa force. Les baluans, d</w:t>
      </w:r>
      <w:r w:rsidR="00346F1B">
        <w:t>’</w:t>
      </w:r>
      <w:r w:rsidR="00210DE6">
        <w:t>héroïques lutteurs, étaient invités à ces événements, et les lutteurs les plus talentueux étaient autorisés à s</w:t>
      </w:r>
      <w:r w:rsidR="00346F1B">
        <w:t>’</w:t>
      </w:r>
      <w:r w:rsidR="00210DE6">
        <w:t xml:space="preserve">entrainer avec eux à un niveau plus professionnel. Le koures kazakh </w:t>
      </w:r>
      <w:r w:rsidR="00AD7846">
        <w:t>était pratiqué dans le cadre d</w:t>
      </w:r>
      <w:r w:rsidR="00346F1B">
        <w:t>’</w:t>
      </w:r>
      <w:r w:rsidR="00AD7846">
        <w:t>événements de la vie sociale, de rituels et de fêtes. Le niveau de promot</w:t>
      </w:r>
      <w:r w:rsidR="00902A38">
        <w:t>ion de cet</w:t>
      </w:r>
      <w:r w:rsidR="00AD7846">
        <w:t xml:space="preserve"> élément au sein des communautés dépendait du nombre de lutteurs célèbres que comptait cette communauté et qui définissait son statut. Les baluans étaient invités dans d</w:t>
      </w:r>
      <w:r w:rsidR="00346F1B">
        <w:t>’</w:t>
      </w:r>
      <w:r w:rsidR="00AD7846">
        <w:t>autres communautés pour élever le niveau d</w:t>
      </w:r>
      <w:r w:rsidR="00346F1B">
        <w:t>’</w:t>
      </w:r>
      <w:r w:rsidR="00AD7846">
        <w:t xml:space="preserve">entrainement des détenteurs locaux. Ce type de rencontres débouchait sur des compétitions et rassemblait de nouveaux adeptes. </w:t>
      </w:r>
      <w:r w:rsidR="00D90FE8">
        <w:t>La délégation a évoqué les caractéristiques essentielles de la transmission avec, par exemple, la cérémonie de bénédiction par les lutteurs les plus âgés, qui étaient respectés par toute la communauté et qui bénissaient le début de chaque compétition afin qu</w:t>
      </w:r>
      <w:r w:rsidR="00346F1B">
        <w:t>’</w:t>
      </w:r>
      <w:r w:rsidR="00D90FE8">
        <w:t>elle se déroule dans un esprit de paix. En outre, la cérémonie, les techniques de lutte et les noms des lutteurs avaient été sauvegardés depuis les temps les plus anciens, reflétant ainsi le caractère particulier de la vie nomade. Le koures kazakh s</w:t>
      </w:r>
      <w:r w:rsidR="00346F1B">
        <w:t>’</w:t>
      </w:r>
      <w:r w:rsidR="00D90FE8">
        <w:t>inspirait en effet de la lutte à cheval, symbole de l</w:t>
      </w:r>
      <w:r w:rsidR="00346F1B">
        <w:t>’</w:t>
      </w:r>
      <w:r w:rsidR="00D90FE8">
        <w:t>i</w:t>
      </w:r>
      <w:r w:rsidR="00F723A2">
        <w:t>dentité culturelle des nomades.</w:t>
      </w:r>
    </w:p>
    <w:p w14:paraId="65EA632B" w14:textId="735E0DF4" w:rsidR="00902A38" w:rsidRDefault="00902A38" w:rsidP="005A12C8">
      <w:pPr>
        <w:pStyle w:val="Orateurengris"/>
        <w:spacing w:before="120"/>
        <w:ind w:left="709" w:hanging="709"/>
      </w:pPr>
      <w:r>
        <w:t xml:space="preserve">Après avoir noté que le Kazakhstan avait répondu à la question, le </w:t>
      </w:r>
      <w:r w:rsidRPr="00902A38">
        <w:rPr>
          <w:b/>
        </w:rPr>
        <w:t>Président</w:t>
      </w:r>
      <w:r>
        <w:t xml:space="preserve"> </w:t>
      </w:r>
      <w:r w:rsidR="00F723A2">
        <w:t>a donné la parole au Guatemala.</w:t>
      </w:r>
    </w:p>
    <w:p w14:paraId="0ABC8C77" w14:textId="0F8C8ECF" w:rsidR="00902A38" w:rsidRPr="00902A38" w:rsidRDefault="00902A38" w:rsidP="005A12C8">
      <w:pPr>
        <w:pStyle w:val="Orateurengris"/>
        <w:spacing w:before="120"/>
        <w:ind w:left="709" w:hanging="709"/>
      </w:pPr>
      <w:r w:rsidRPr="00902A38">
        <w:t xml:space="preserve">La délégation du </w:t>
      </w:r>
      <w:r w:rsidRPr="00902A38">
        <w:rPr>
          <w:b/>
        </w:rPr>
        <w:t>Guatemala</w:t>
      </w:r>
      <w:r>
        <w:t xml:space="preserve"> a fait remarquer que les bases du koures, le sport national, se trouvaient dans la communauté, qu</w:t>
      </w:r>
      <w:r w:rsidR="00346F1B">
        <w:t>’</w:t>
      </w:r>
      <w:r>
        <w:t>il était pratiqué par toutes les générations, jeunes ou anciennes, et que les formateurs transmettaient les traditions anciennes aux jeunes générations. L</w:t>
      </w:r>
      <w:r w:rsidR="00346F1B">
        <w:t>’</w:t>
      </w:r>
      <w:r>
        <w:t>élément symbolisait l</w:t>
      </w:r>
      <w:r w:rsidR="00346F1B">
        <w:t>’</w:t>
      </w:r>
      <w:r>
        <w:t>histoire, la tolérance, la bonne volonté et la solidar</w:t>
      </w:r>
      <w:r w:rsidR="00CF3458">
        <w:t>ité entre les communautés. C</w:t>
      </w:r>
      <w:r>
        <w:t xml:space="preserve">omme pour toute </w:t>
      </w:r>
      <w:r w:rsidR="00CF3458">
        <w:t xml:space="preserve">pratique </w:t>
      </w:r>
      <w:r>
        <w:t xml:space="preserve">sportive, les </w:t>
      </w:r>
      <w:r w:rsidR="00CF3458">
        <w:t>praticiens avaient besoin d</w:t>
      </w:r>
      <w:r w:rsidR="00346F1B">
        <w:t>’</w:t>
      </w:r>
      <w:r w:rsidR="00CF3458">
        <w:t xml:space="preserve">une élite qui servait de modèle. La </w:t>
      </w:r>
      <w:r w:rsidR="00B254BA">
        <w:t>délégation estimait que le koures était représentatif du PCI et que, s</w:t>
      </w:r>
      <w:r w:rsidR="00346F1B">
        <w:t>’</w:t>
      </w:r>
      <w:r w:rsidR="00B254BA">
        <w:t>il était inscrit, la connaissance des techniques anciennes associées à l</w:t>
      </w:r>
      <w:r w:rsidR="00346F1B">
        <w:t>’</w:t>
      </w:r>
      <w:r w:rsidR="00B254BA">
        <w:t>élément serait renforcée, tant au niveau national qu</w:t>
      </w:r>
      <w:r w:rsidR="00346F1B">
        <w:t>’</w:t>
      </w:r>
      <w:r w:rsidR="00B254BA">
        <w:t>international. Convaincue que la candidature du koures satisfaisait tous les critères, la déléga</w:t>
      </w:r>
      <w:r w:rsidR="00F723A2">
        <w:t>tion soutenait son inscription.</w:t>
      </w:r>
    </w:p>
    <w:p w14:paraId="56425F7D" w14:textId="61F7A6A0" w:rsidR="00B254BA" w:rsidRDefault="00B254BA" w:rsidP="005A12C8">
      <w:pPr>
        <w:pStyle w:val="Orateurengris"/>
        <w:spacing w:before="120"/>
        <w:ind w:left="709" w:hanging="709"/>
      </w:pPr>
      <w:r>
        <w:t xml:space="preserve">La délégation de la </w:t>
      </w:r>
      <w:r w:rsidRPr="00B254BA">
        <w:rPr>
          <w:b/>
        </w:rPr>
        <w:t>Mongolie</w:t>
      </w:r>
      <w:r>
        <w:t xml:space="preserve"> soutenait l</w:t>
      </w:r>
      <w:r w:rsidR="00346F1B">
        <w:t>’</w:t>
      </w:r>
      <w:r>
        <w:t>amendement de la Bulgarie à prop</w:t>
      </w:r>
      <w:r w:rsidR="00A250F4">
        <w:t xml:space="preserve">os du critère R.2, ajoutant que, dans la section 2, </w:t>
      </w:r>
      <w:r>
        <w:t>paragraphe 3, le dossier de candidature précisait comment l</w:t>
      </w:r>
      <w:r w:rsidR="00346F1B">
        <w:t>’</w:t>
      </w:r>
      <w:r>
        <w:t>inscription de l</w:t>
      </w:r>
      <w:r w:rsidR="00346F1B">
        <w:t>’</w:t>
      </w:r>
      <w:r>
        <w:t>élément pour</w:t>
      </w:r>
      <w:r w:rsidR="00A250F4">
        <w:t>rait</w:t>
      </w:r>
      <w:r>
        <w:t xml:space="preserve"> améliorer la visibilité du PCI en général. Le Kazakhstan était très proche de la Mongolie, et la délégation était consciente de l</w:t>
      </w:r>
      <w:r w:rsidR="00346F1B">
        <w:t>’</w:t>
      </w:r>
      <w:r>
        <w:t>importance du koures au Kazakhstan qui était plus qu</w:t>
      </w:r>
      <w:r w:rsidR="00346F1B">
        <w:t>’</w:t>
      </w:r>
      <w:r>
        <w:t>un sport. La réponse à la question qu</w:t>
      </w:r>
      <w:r w:rsidR="00346F1B">
        <w:t>’</w:t>
      </w:r>
      <w:r>
        <w:t>elle souhaitait poser au Ka</w:t>
      </w:r>
      <w:r w:rsidR="00F723A2">
        <w:t>zakhstan avait déjà été donnée.</w:t>
      </w:r>
    </w:p>
    <w:p w14:paraId="4CAC6C20" w14:textId="0A0C1098" w:rsidR="00A250F4" w:rsidRDefault="00A250F4" w:rsidP="005A12C8">
      <w:pPr>
        <w:pStyle w:val="Orateurengris"/>
        <w:spacing w:before="120"/>
        <w:ind w:left="709" w:hanging="709"/>
      </w:pPr>
      <w:r>
        <w:t xml:space="preserve">La délégation de la </w:t>
      </w:r>
      <w:r w:rsidRPr="00A250F4">
        <w:rPr>
          <w:b/>
        </w:rPr>
        <w:t>Palestine</w:t>
      </w:r>
      <w:r>
        <w:t xml:space="preserve"> a souligné que, s</w:t>
      </w:r>
      <w:r w:rsidR="00346F1B">
        <w:t>’</w:t>
      </w:r>
      <w:r>
        <w:t>agissant de la viabilité de l</w:t>
      </w:r>
      <w:r w:rsidR="00346F1B">
        <w:t>’</w:t>
      </w:r>
      <w:r>
        <w:t>élément, des mesures de sauvegarde et de la participation des communautés, le Kazakhstan avait été très clair. Toutefois, elle souhaitait des éclaircissements de la part de l</w:t>
      </w:r>
      <w:r w:rsidR="00346F1B">
        <w:t>’</w:t>
      </w:r>
      <w:r>
        <w:t>État soumissionnaire quant au critère R.1 qui selon l</w:t>
      </w:r>
      <w:r w:rsidR="00346F1B">
        <w:t>’</w:t>
      </w:r>
      <w:r>
        <w:t>Organe d</w:t>
      </w:r>
      <w:r w:rsidR="00346F1B">
        <w:t>’</w:t>
      </w:r>
      <w:r>
        <w:t>évaluation n</w:t>
      </w:r>
      <w:r w:rsidR="00346F1B">
        <w:t>’</w:t>
      </w:r>
      <w:r w:rsidR="00F723A2">
        <w:t>était pas satisfait.</w:t>
      </w:r>
    </w:p>
    <w:p w14:paraId="7DAAE193" w14:textId="79384043" w:rsidR="00A250F4" w:rsidRDefault="003A6355" w:rsidP="005A12C8">
      <w:pPr>
        <w:pStyle w:val="Orateurengris"/>
        <w:spacing w:before="120"/>
        <w:ind w:left="709" w:hanging="709"/>
      </w:pPr>
      <w:r>
        <w:t>Le</w:t>
      </w:r>
      <w:r w:rsidR="00A250F4">
        <w:t xml:space="preserve"> </w:t>
      </w:r>
      <w:r w:rsidR="00A250F4" w:rsidRPr="00A250F4">
        <w:rPr>
          <w:b/>
        </w:rPr>
        <w:t>Président</w:t>
      </w:r>
      <w:r w:rsidR="00A250F4">
        <w:t xml:space="preserve"> a invité le Kazakhstan à répon</w:t>
      </w:r>
      <w:r w:rsidR="00F723A2">
        <w:t>dre à cette question spécifique.</w:t>
      </w:r>
    </w:p>
    <w:p w14:paraId="23BEF93F" w14:textId="4EA67370" w:rsidR="00A250F4" w:rsidRDefault="002178E5" w:rsidP="005A12C8">
      <w:pPr>
        <w:pStyle w:val="Orateurengris"/>
        <w:spacing w:before="120"/>
        <w:ind w:left="709" w:hanging="709"/>
      </w:pPr>
      <w:r>
        <w:t xml:space="preserve">La délégation du </w:t>
      </w:r>
      <w:r w:rsidRPr="002178E5">
        <w:rPr>
          <w:b/>
        </w:rPr>
        <w:t>Kazakhstan</w:t>
      </w:r>
      <w:r>
        <w:t xml:space="preserve"> a remercié la Palestine pour cette question, ajoutant que des éclaircissements sur le critère R.1 avai</w:t>
      </w:r>
      <w:r w:rsidR="0085623E">
        <w:t>en</w:t>
      </w:r>
      <w:r>
        <w:t>t déjà été donnés, notamment les références au caractère particulier de la vie nomade et à l</w:t>
      </w:r>
      <w:r w:rsidR="00346F1B">
        <w:t>’</w:t>
      </w:r>
      <w:r>
        <w:t>identité culturelle des nomades qui luttaient à cheval. Le koures kazakh était dérivé de cette forme de lutte. Cette pratique incarnait l</w:t>
      </w:r>
      <w:r w:rsidR="00346F1B">
        <w:t>’</w:t>
      </w:r>
      <w:r>
        <w:t>esprit libre et fier des nomades ainsi que le respect de l</w:t>
      </w:r>
      <w:r w:rsidR="00346F1B">
        <w:t>’</w:t>
      </w:r>
      <w:r>
        <w:t xml:space="preserve">adversaire car la lutte </w:t>
      </w:r>
      <w:r w:rsidR="00563CA4">
        <w:t xml:space="preserve">avait une signification sacrée, aucun des deux lutteurs ne devant se pencher ou mettre genou à terre. La délégation a évoqué la </w:t>
      </w:r>
      <w:r w:rsidR="0085623E">
        <w:t xml:space="preserve">taille impressionnante </w:t>
      </w:r>
      <w:r w:rsidR="00563CA4">
        <w:t>des communautés qui sauv</w:t>
      </w:r>
      <w:r w:rsidR="0085623E">
        <w:t xml:space="preserve">egardaient et assuraient la promotion de cet élément, comme par exemple, la Fédération nationale de koures kazakh qui </w:t>
      </w:r>
      <w:r w:rsidR="008F3828">
        <w:t xml:space="preserve">comptait </w:t>
      </w:r>
      <w:r w:rsidR="0085623E">
        <w:t>plus de 100</w:t>
      </w:r>
      <w:r w:rsidR="00346F1B">
        <w:t> 000</w:t>
      </w:r>
      <w:r w:rsidR="008F3828">
        <w:t xml:space="preserve"> </w:t>
      </w:r>
      <w:r w:rsidR="00A46CAD">
        <w:t>membres</w:t>
      </w:r>
      <w:r w:rsidR="00F723A2">
        <w:t>.</w:t>
      </w:r>
    </w:p>
    <w:p w14:paraId="36A90FEE" w14:textId="4FE53A01" w:rsidR="008F3828" w:rsidRDefault="003A6355" w:rsidP="005A12C8">
      <w:pPr>
        <w:pStyle w:val="Orateurengris"/>
        <w:spacing w:before="120"/>
        <w:ind w:left="709" w:hanging="709"/>
      </w:pPr>
      <w:r>
        <w:t>Le</w:t>
      </w:r>
      <w:r w:rsidR="008F3828">
        <w:t xml:space="preserve"> </w:t>
      </w:r>
      <w:r w:rsidR="008F3828" w:rsidRPr="008F3828">
        <w:rPr>
          <w:b/>
        </w:rPr>
        <w:t>Président</w:t>
      </w:r>
      <w:r w:rsidR="008F3828">
        <w:t xml:space="preserve"> a remercié le Kazakhstan de sa réponse claire à propos du critère R.1.</w:t>
      </w:r>
    </w:p>
    <w:p w14:paraId="3BEF45A7" w14:textId="760ED406" w:rsidR="008F3828" w:rsidRDefault="008F3828" w:rsidP="005A12C8">
      <w:pPr>
        <w:pStyle w:val="Orateurengris"/>
        <w:spacing w:before="120"/>
        <w:ind w:left="709" w:hanging="709"/>
      </w:pPr>
      <w:r>
        <w:t>La délégation de l</w:t>
      </w:r>
      <w:r w:rsidR="00346F1B">
        <w:t>’</w:t>
      </w:r>
      <w:r w:rsidRPr="008F3828">
        <w:rPr>
          <w:b/>
        </w:rPr>
        <w:t>Algérie</w:t>
      </w:r>
      <w:r>
        <w:t xml:space="preserve"> a demandé au Kazakhstan d</w:t>
      </w:r>
      <w:r w:rsidR="00346F1B">
        <w:t>’</w:t>
      </w:r>
      <w:r>
        <w:t>expliquer le processus d</w:t>
      </w:r>
      <w:r w:rsidR="00346F1B">
        <w:t>’</w:t>
      </w:r>
      <w:r>
        <w:t>obtention du consentement des communautés, en particulier s</w:t>
      </w:r>
      <w:r w:rsidR="00346F1B">
        <w:t>’</w:t>
      </w:r>
      <w:r>
        <w:t xml:space="preserve">agissant de la mise à jour </w:t>
      </w:r>
      <w:r w:rsidR="00F723A2">
        <w:t>des inventaires</w:t>
      </w:r>
      <w:r>
        <w:t xml:space="preserve">. </w:t>
      </w:r>
    </w:p>
    <w:p w14:paraId="23327030" w14:textId="261441E7" w:rsidR="00771840" w:rsidRDefault="008F3828" w:rsidP="005A12C8">
      <w:pPr>
        <w:pStyle w:val="Orateurengris"/>
        <w:spacing w:before="120"/>
        <w:ind w:left="709" w:hanging="709"/>
      </w:pPr>
      <w:r>
        <w:t xml:space="preserve">La délégation du </w:t>
      </w:r>
      <w:r w:rsidRPr="00771840">
        <w:rPr>
          <w:b/>
        </w:rPr>
        <w:t>Kazakhstan</w:t>
      </w:r>
      <w:r>
        <w:t xml:space="preserve"> a rappelé que la communauté des détenteurs et praticiens du koures au Kazakhstan était </w:t>
      </w:r>
      <w:r w:rsidR="00771840">
        <w:t>énorme. Le Comité national du patrimoine culturel immatériel, qui relevait de la Commission nationale du Kazakhstan, rassemblait des représentants des différents détenteurs, praticiens et communautés. Des représentants de la communauté scientifique et des universités avaient activement participé au processus d</w:t>
      </w:r>
      <w:r w:rsidR="00346F1B">
        <w:t>’</w:t>
      </w:r>
      <w:r w:rsidR="00771840">
        <w:t>inventaire de l</w:t>
      </w:r>
      <w:r w:rsidR="00346F1B">
        <w:t>’</w:t>
      </w:r>
      <w:r w:rsidR="00771840">
        <w:t>élément sur la liste nationale. En fait, le dossier de candidature avait été préparé par la communauté elle-même, ce qui pouvait peut-être expliquer les imprécisions du texte de la candidature et la nécessité d</w:t>
      </w:r>
      <w:r w:rsidR="00346F1B">
        <w:t>’</w:t>
      </w:r>
      <w:r w:rsidR="00F723A2">
        <w:t>éclaircissements.</w:t>
      </w:r>
    </w:p>
    <w:p w14:paraId="742B5CDA" w14:textId="35BE3C47" w:rsidR="00771840" w:rsidRDefault="00771840" w:rsidP="005A12C8">
      <w:pPr>
        <w:pStyle w:val="Orateurengris"/>
        <w:spacing w:before="120"/>
        <w:ind w:left="709" w:hanging="709"/>
      </w:pPr>
      <w:r>
        <w:t>La délégation de l</w:t>
      </w:r>
      <w:r w:rsidR="00346F1B">
        <w:t>’</w:t>
      </w:r>
      <w:r w:rsidRPr="00771840">
        <w:rPr>
          <w:b/>
        </w:rPr>
        <w:t>Arménie</w:t>
      </w:r>
      <w:r w:rsidR="00D301C4">
        <w:t xml:space="preserve"> souhaitait </w:t>
      </w:r>
      <w:r>
        <w:t>que le Kazakhstan s</w:t>
      </w:r>
      <w:r w:rsidR="00346F1B">
        <w:t>’</w:t>
      </w:r>
      <w:r>
        <w:t>explique sur deux points : i) l</w:t>
      </w:r>
      <w:r w:rsidR="00346F1B">
        <w:t>’</w:t>
      </w:r>
      <w:r>
        <w:t>élément était-il pratiqué dans les minorités ethniques vivant au Kazakhstan ? ; et ii) de quelle manière l</w:t>
      </w:r>
      <w:r w:rsidR="00346F1B">
        <w:t>’</w:t>
      </w:r>
      <w:r>
        <w:t>inscription contribuerait-elle au dialogue interculturel dans le pays et à la visibilité du PCI au Kazakhstan ?</w:t>
      </w:r>
    </w:p>
    <w:p w14:paraId="45B7C414" w14:textId="584C18DE" w:rsidR="008210B6" w:rsidRDefault="003A6355" w:rsidP="005A12C8">
      <w:pPr>
        <w:pStyle w:val="Orateurengris"/>
        <w:spacing w:before="120"/>
        <w:ind w:left="709" w:hanging="709"/>
      </w:pPr>
      <w:r>
        <w:t>Le</w:t>
      </w:r>
      <w:r w:rsidR="00E96F2F">
        <w:t xml:space="preserve"> </w:t>
      </w:r>
      <w:r w:rsidR="00E96F2F" w:rsidRPr="00E96F2F">
        <w:rPr>
          <w:b/>
        </w:rPr>
        <w:t>Président</w:t>
      </w:r>
      <w:r w:rsidR="00D301C4">
        <w:t xml:space="preserve"> souhaitait</w:t>
      </w:r>
      <w:r w:rsidR="00AA62A1">
        <w:t xml:space="preserve"> donner</w:t>
      </w:r>
      <w:r w:rsidR="002567C8">
        <w:t xml:space="preserve"> d</w:t>
      </w:r>
      <w:r w:rsidR="00346F1B">
        <w:t>’</w:t>
      </w:r>
      <w:r w:rsidR="002567C8">
        <w:t xml:space="preserve">abord la parole aux </w:t>
      </w:r>
      <w:r w:rsidR="00A46CAD">
        <w:t>membres</w:t>
      </w:r>
      <w:r w:rsidR="00E96F2F">
        <w:t xml:space="preserve"> du Comité.</w:t>
      </w:r>
    </w:p>
    <w:p w14:paraId="583570EC" w14:textId="4A00EFAE" w:rsidR="00D95350" w:rsidRDefault="00D95350" w:rsidP="005A12C8">
      <w:pPr>
        <w:pStyle w:val="Orateurengris"/>
        <w:spacing w:before="120"/>
        <w:ind w:left="709" w:hanging="709"/>
      </w:pPr>
      <w:r>
        <w:t xml:space="preserve">La délégation des </w:t>
      </w:r>
      <w:r w:rsidRPr="00D95350">
        <w:rPr>
          <w:b/>
        </w:rPr>
        <w:t>Philippines</w:t>
      </w:r>
      <w:r>
        <w:t xml:space="preserve"> a demandé au Kazakhstan d</w:t>
      </w:r>
      <w:r w:rsidR="00346F1B">
        <w:t>’</w:t>
      </w:r>
      <w:r>
        <w:t>éclairer le Comité sur le critère R.4 car le dossier de candidature indiquait que seule une partie de la communauté avait donné son consentement libre, préalable et éclairé. Elle souhaitait donc des éclaircissements sur les modalités d</w:t>
      </w:r>
      <w:r w:rsidR="00346F1B">
        <w:t>’</w:t>
      </w:r>
      <w:r>
        <w:t>obtention de ce consentement dans les diffé</w:t>
      </w:r>
      <w:r w:rsidR="00F723A2">
        <w:t>rents secteurs de la communauté</w:t>
      </w:r>
      <w:r>
        <w:t xml:space="preserve"> des déte</w:t>
      </w:r>
      <w:r w:rsidR="00F723A2">
        <w:t>nteurs et praticiens du koures.</w:t>
      </w:r>
    </w:p>
    <w:p w14:paraId="1F8BED37" w14:textId="5A4D92E1" w:rsidR="00D95350" w:rsidRDefault="00D95350" w:rsidP="005A12C8">
      <w:pPr>
        <w:pStyle w:val="Orateurengris"/>
        <w:spacing w:before="120"/>
        <w:ind w:left="709" w:hanging="709"/>
      </w:pPr>
      <w:r>
        <w:t>La délégation de l</w:t>
      </w:r>
      <w:r w:rsidR="00346F1B">
        <w:t>’</w:t>
      </w:r>
      <w:r w:rsidRPr="00D95350">
        <w:rPr>
          <w:b/>
        </w:rPr>
        <w:t>Autriche</w:t>
      </w:r>
      <w:r>
        <w:t xml:space="preserve"> trouvait l</w:t>
      </w:r>
      <w:r w:rsidR="00346F1B">
        <w:t>’</w:t>
      </w:r>
      <w:r>
        <w:t>élément intéressant car elle avait elle-même entamé des discussions en vue d</w:t>
      </w:r>
      <w:r w:rsidR="00346F1B">
        <w:t>’</w:t>
      </w:r>
      <w:r>
        <w:t xml:space="preserve">une </w:t>
      </w:r>
      <w:r w:rsidR="00E04471">
        <w:t>éventuelle inscription similaire</w:t>
      </w:r>
      <w:r>
        <w:t xml:space="preserve"> de pratiques sportives à l</w:t>
      </w:r>
      <w:r w:rsidR="00346F1B">
        <w:t>’</w:t>
      </w:r>
      <w:r>
        <w:t>inventaire national.</w:t>
      </w:r>
      <w:r w:rsidR="00E04471">
        <w:t xml:space="preserve"> Elle souhaitait entendre le Vice-Président de l</w:t>
      </w:r>
      <w:r w:rsidR="00346F1B">
        <w:t>’</w:t>
      </w:r>
      <w:r w:rsidR="00E04471">
        <w:t>Organe d</w:t>
      </w:r>
      <w:r w:rsidR="00346F1B">
        <w:t>’</w:t>
      </w:r>
      <w:r w:rsidR="00E04471">
        <w:t>évaluation et savoir si les éclaircissements donnés jusqu</w:t>
      </w:r>
      <w:r w:rsidR="00346F1B">
        <w:t>’</w:t>
      </w:r>
      <w:r w:rsidR="00E04471">
        <w:t>alors semblaient permet</w:t>
      </w:r>
      <w:r w:rsidR="00AA62A1">
        <w:t>tre au dossier de satisfaire les</w:t>
      </w:r>
      <w:r w:rsidR="00E04471">
        <w:t xml:space="preserve"> critères,</w:t>
      </w:r>
      <w:r w:rsidR="00F723A2">
        <w:t xml:space="preserve"> en particulier le critère R.1.</w:t>
      </w:r>
    </w:p>
    <w:p w14:paraId="01E394F2" w14:textId="4374E8CC" w:rsidR="00020E97" w:rsidRDefault="00E04471" w:rsidP="005A12C8">
      <w:pPr>
        <w:pStyle w:val="Orateurengris"/>
        <w:tabs>
          <w:tab w:val="left" w:pos="6663"/>
        </w:tabs>
        <w:spacing w:before="120"/>
        <w:ind w:left="709" w:hanging="709"/>
      </w:pPr>
      <w:r>
        <w:t xml:space="preserve">Le </w:t>
      </w:r>
      <w:r w:rsidRPr="00E04471">
        <w:rPr>
          <w:b/>
        </w:rPr>
        <w:t>Vice-Président de l</w:t>
      </w:r>
      <w:r w:rsidR="00346F1B">
        <w:rPr>
          <w:b/>
        </w:rPr>
        <w:t>’</w:t>
      </w:r>
      <w:r w:rsidRPr="00E04471">
        <w:rPr>
          <w:b/>
        </w:rPr>
        <w:t>Organe d</w:t>
      </w:r>
      <w:r w:rsidR="00346F1B">
        <w:rPr>
          <w:b/>
        </w:rPr>
        <w:t>’</w:t>
      </w:r>
      <w:r w:rsidRPr="00E04471">
        <w:rPr>
          <w:b/>
        </w:rPr>
        <w:t>évaluation</w:t>
      </w:r>
      <w:r w:rsidR="00020E97">
        <w:t xml:space="preserve"> a expliqué que</w:t>
      </w:r>
      <w:r>
        <w:t xml:space="preserve"> l</w:t>
      </w:r>
      <w:r w:rsidR="00346F1B">
        <w:t>’</w:t>
      </w:r>
      <w:r>
        <w:t>Organe d</w:t>
      </w:r>
      <w:r w:rsidR="00346F1B">
        <w:t>’</w:t>
      </w:r>
      <w:r>
        <w:t>évaluation</w:t>
      </w:r>
      <w:r w:rsidR="00020E97">
        <w:t xml:space="preserve"> s</w:t>
      </w:r>
      <w:r w:rsidR="00346F1B">
        <w:t>’</w:t>
      </w:r>
      <w:r w:rsidR="00020E97">
        <w:t>était tenu</w:t>
      </w:r>
      <w:r>
        <w:t xml:space="preserve"> aux informations contenues dans le dossier de candidature. </w:t>
      </w:r>
      <w:r w:rsidR="00020E97">
        <w:t>S</w:t>
      </w:r>
      <w:r w:rsidR="00346F1B">
        <w:t>’</w:t>
      </w:r>
      <w:r w:rsidR="00020E97">
        <w:t>agissant des informations complémentaires et des éclaircissement</w:t>
      </w:r>
      <w:r w:rsidR="00AA62A1">
        <w:t>s apportés, il estimait</w:t>
      </w:r>
      <w:r w:rsidR="00020E97">
        <w:t xml:space="preserve"> que la dimension communautaire et la signification culturelle de ce sport, bien qu</w:t>
      </w:r>
      <w:r w:rsidR="00346F1B">
        <w:t>’</w:t>
      </w:r>
      <w:r w:rsidR="00020E97">
        <w:t>elles puissent exister, n</w:t>
      </w:r>
      <w:r w:rsidR="00346F1B">
        <w:t>’</w:t>
      </w:r>
      <w:r w:rsidR="00020E97">
        <w:t>étaient pas suffisamment détaillées dans le dossier et que les éclaircissements apportés ne comblaient pas pleinement ces lacunes. Le Vice-Président avait encore le sentiment que la candidature avait été rédigée en privilégiant la dimension compétitive, professionnelle et élitiste de l</w:t>
      </w:r>
      <w:r w:rsidR="00346F1B">
        <w:t>’</w:t>
      </w:r>
      <w:r w:rsidR="00020E97">
        <w:t>élément plutôt que son enracinement dans les communautés, son incarnation de l</w:t>
      </w:r>
      <w:r w:rsidR="00346F1B">
        <w:t>’</w:t>
      </w:r>
      <w:r w:rsidR="00020E97">
        <w:t>identité culturelle et la dimension culturelle qu</w:t>
      </w:r>
      <w:r w:rsidR="00346F1B">
        <w:t>’</w:t>
      </w:r>
      <w:r w:rsidR="00020E97">
        <w:t>il procurait aux communautés concernées. C</w:t>
      </w:r>
      <w:r w:rsidR="00346F1B">
        <w:t>’</w:t>
      </w:r>
      <w:r w:rsidR="00020E97">
        <w:t>était donc une question de priorité accordée dans le dossier, et le Vice-Président de l</w:t>
      </w:r>
      <w:r w:rsidR="00346F1B">
        <w:t>’</w:t>
      </w:r>
      <w:r w:rsidR="00AA62A1">
        <w:t>Organe d</w:t>
      </w:r>
      <w:r w:rsidR="00346F1B">
        <w:t>’</w:t>
      </w:r>
      <w:r w:rsidR="00AA62A1">
        <w:t>évaluation préférait s</w:t>
      </w:r>
      <w:r w:rsidR="00346F1B">
        <w:t>’</w:t>
      </w:r>
      <w:r w:rsidR="00020E97">
        <w:t>en tenir à la recommandation selon laquelle un complément d</w:t>
      </w:r>
      <w:r w:rsidR="00346F1B">
        <w:t>’</w:t>
      </w:r>
      <w:r w:rsidR="00020E97">
        <w:t>information serait le bienvenu.</w:t>
      </w:r>
    </w:p>
    <w:p w14:paraId="3557515A" w14:textId="04486518" w:rsidR="00E04471" w:rsidRDefault="00020E97" w:rsidP="005A12C8">
      <w:pPr>
        <w:pStyle w:val="Orateurengris"/>
        <w:spacing w:before="120"/>
        <w:ind w:left="709" w:hanging="709"/>
      </w:pPr>
      <w:r>
        <w:t xml:space="preserve">La délégation de la </w:t>
      </w:r>
      <w:r w:rsidRPr="00020E97">
        <w:rPr>
          <w:b/>
        </w:rPr>
        <w:t>Turquie</w:t>
      </w:r>
      <w:r>
        <w:t xml:space="preserve"> a félicité le Kazakhstan pour son dossier de candidature, ajoutant que le koures kazakh était un élément important du PCI. Après avoir écouté les éclaircissements apportés par l</w:t>
      </w:r>
      <w:r w:rsidR="00346F1B">
        <w:t>’</w:t>
      </w:r>
      <w:r>
        <w:t xml:space="preserve">État soumissionnaire à propos de la participation des communautés et des mesures de sauvegarde, la délégation était convaincue que le koures, </w:t>
      </w:r>
      <w:r w:rsidR="00AA62A1">
        <w:t>sport national, satisfaisait les</w:t>
      </w:r>
      <w:r>
        <w:t xml:space="preserve"> critères R.3 et R.4. L</w:t>
      </w:r>
      <w:r w:rsidR="00346F1B">
        <w:t>’</w:t>
      </w:r>
      <w:r>
        <w:t>État soumissionnaire s</w:t>
      </w:r>
      <w:r w:rsidR="00346F1B">
        <w:t>’</w:t>
      </w:r>
      <w:r>
        <w:t>était clairement engagé en faveur de la sauvegarde et du développement de l</w:t>
      </w:r>
      <w:r w:rsidR="00346F1B">
        <w:t>’</w:t>
      </w:r>
      <w:r>
        <w:t>élément,</w:t>
      </w:r>
      <w:r w:rsidR="002C117B">
        <w:t xml:space="preserve"> et les institutions concernées étaient conjointement</w:t>
      </w:r>
      <w:r>
        <w:t xml:space="preserve">, avec </w:t>
      </w:r>
      <w:r w:rsidR="002C117B">
        <w:t>les communautés concernées, à l</w:t>
      </w:r>
      <w:r w:rsidR="00346F1B">
        <w:t>’</w:t>
      </w:r>
      <w:r w:rsidR="002C117B">
        <w:t>initiative des mesures de sauvegarde proposées. Elle estimait donc que le dossier présentait suffisamment d</w:t>
      </w:r>
      <w:r w:rsidR="00346F1B">
        <w:t>’</w:t>
      </w:r>
      <w:r w:rsidR="002C117B">
        <w:t>informations pour sa</w:t>
      </w:r>
      <w:r w:rsidR="00AA62A1">
        <w:t>tisfaire les</w:t>
      </w:r>
      <w:r w:rsidR="002C117B">
        <w:t xml:space="preserve"> critères R.3 et R.4.</w:t>
      </w:r>
    </w:p>
    <w:p w14:paraId="69831733" w14:textId="4C46E7CA" w:rsidR="002C117B" w:rsidRDefault="002C117B" w:rsidP="005A12C8">
      <w:pPr>
        <w:pStyle w:val="Orateurengris"/>
        <w:spacing w:before="120"/>
        <w:ind w:left="709" w:hanging="709"/>
      </w:pPr>
      <w:r>
        <w:t xml:space="preserve">La délégation de </w:t>
      </w:r>
      <w:r w:rsidRPr="002C117B">
        <w:rPr>
          <w:b/>
        </w:rPr>
        <w:t>Chypre</w:t>
      </w:r>
      <w:r>
        <w:t xml:space="preserve"> avait le sentiment que l</w:t>
      </w:r>
      <w:r w:rsidR="00346F1B">
        <w:t>’</w:t>
      </w:r>
      <w:r>
        <w:t>Organe d</w:t>
      </w:r>
      <w:r w:rsidR="00346F1B">
        <w:t>’</w:t>
      </w:r>
      <w:r>
        <w:t>évaluation avait très bien répondu, ajoutant qu</w:t>
      </w:r>
      <w:r w:rsidR="00346F1B">
        <w:t>’</w:t>
      </w:r>
      <w:r>
        <w:t>elle doutait fort que les quatre critères puissent être satisfaits en l</w:t>
      </w:r>
      <w:r w:rsidR="00346F1B">
        <w:t>’</w:t>
      </w:r>
      <w:r>
        <w:t>espace d</w:t>
      </w:r>
      <w:r w:rsidR="00346F1B">
        <w:t>’</w:t>
      </w:r>
      <w:r w:rsidR="00F723A2">
        <w:t>une demi-heure.</w:t>
      </w:r>
    </w:p>
    <w:p w14:paraId="5B4A0814" w14:textId="7231028C" w:rsidR="002C117B" w:rsidRDefault="002C117B" w:rsidP="005A12C8">
      <w:pPr>
        <w:pStyle w:val="Orateurengris"/>
        <w:spacing w:before="120"/>
        <w:ind w:left="709" w:hanging="709"/>
      </w:pPr>
      <w:r>
        <w:t xml:space="preserve">La délégation de </w:t>
      </w:r>
      <w:r w:rsidRPr="002C117B">
        <w:rPr>
          <w:b/>
        </w:rPr>
        <w:t>Cuba</w:t>
      </w:r>
      <w:r>
        <w:t xml:space="preserve"> n</w:t>
      </w:r>
      <w:r w:rsidR="00346F1B">
        <w:t>’</w:t>
      </w:r>
      <w:r>
        <w:t>avait pas eu l</w:t>
      </w:r>
      <w:r w:rsidR="00346F1B">
        <w:t>’</w:t>
      </w:r>
      <w:r>
        <w:t>intention de prendre la parole mais le faisait quand même car le sile</w:t>
      </w:r>
      <w:r w:rsidR="00EE78F7">
        <w:t>nce signifiait le consentement. C</w:t>
      </w:r>
      <w:r>
        <w:t xml:space="preserve">ette interprétation du silence était </w:t>
      </w:r>
      <w:r w:rsidR="00EE78F7">
        <w:t>d</w:t>
      </w:r>
      <w:r w:rsidR="00346F1B">
        <w:t>’</w:t>
      </w:r>
      <w:r w:rsidR="00EE78F7">
        <w:t xml:space="preserve">ailleurs </w:t>
      </w:r>
      <w:r>
        <w:t xml:space="preserve">assez dangereuse pour ce Comité compte tenu des débats </w:t>
      </w:r>
      <w:r w:rsidR="0026563E">
        <w:t>qui s</w:t>
      </w:r>
      <w:r w:rsidR="00346F1B">
        <w:t>’</w:t>
      </w:r>
      <w:r w:rsidR="0026563E">
        <w:t>étaient déroulés</w:t>
      </w:r>
      <w:r>
        <w:t xml:space="preserve"> au cours de cette session. La délégation se réjouissait que l</w:t>
      </w:r>
      <w:r w:rsidR="00346F1B">
        <w:t>’</w:t>
      </w:r>
      <w:r>
        <w:t>opinion de l</w:t>
      </w:r>
      <w:r w:rsidR="00346F1B">
        <w:t>’</w:t>
      </w:r>
      <w:r>
        <w:t>Organe d</w:t>
      </w:r>
      <w:r w:rsidR="00346F1B">
        <w:t>’</w:t>
      </w:r>
      <w:r>
        <w:t>évaluation ait été sollicitée car cela n</w:t>
      </w:r>
      <w:r w:rsidR="00346F1B">
        <w:t>’</w:t>
      </w:r>
      <w:r>
        <w:t>avait pas été le cas lors de l</w:t>
      </w:r>
      <w:r w:rsidR="00346F1B">
        <w:t>’</w:t>
      </w:r>
      <w:r>
        <w:t xml:space="preserve">examen des autres candidatures, ajoutant </w:t>
      </w:r>
      <w:r w:rsidR="00846C78">
        <w:t>que c</w:t>
      </w:r>
      <w:r w:rsidR="00346F1B">
        <w:t>’</w:t>
      </w:r>
      <w:r w:rsidR="00846C78">
        <w:t xml:space="preserve">était important car il semblait que le Comité ne prenne pas en considération les </w:t>
      </w:r>
      <w:r w:rsidR="0026563E">
        <w:t xml:space="preserve">avis </w:t>
      </w:r>
      <w:r w:rsidR="00846C78">
        <w:t xml:space="preserve">et le travail des douze </w:t>
      </w:r>
      <w:r w:rsidR="00A46CAD">
        <w:t>membres</w:t>
      </w:r>
      <w:r w:rsidR="00846C78">
        <w:t xml:space="preserve"> qu</w:t>
      </w:r>
      <w:r w:rsidR="00346F1B">
        <w:t>’</w:t>
      </w:r>
      <w:r w:rsidR="00846C78">
        <w:t>il avait lui-même élus l</w:t>
      </w:r>
      <w:r w:rsidR="00346F1B">
        <w:t>’</w:t>
      </w:r>
      <w:r w:rsidR="00846C78">
        <w:t>année précédente. La délégation avait le sentiment qu</w:t>
      </w:r>
      <w:r w:rsidR="00346F1B">
        <w:t>’</w:t>
      </w:r>
      <w:r w:rsidR="00846C78">
        <w:t>au cours des jours précédents, le Comité</w:t>
      </w:r>
      <w:r w:rsidR="00EE78F7">
        <w:t xml:space="preserve"> s</w:t>
      </w:r>
      <w:r w:rsidR="00346F1B">
        <w:t>’</w:t>
      </w:r>
      <w:r w:rsidR="00EE78F7">
        <w:t>était engagé</w:t>
      </w:r>
      <w:r w:rsidR="00846C78">
        <w:t xml:space="preserve"> </w:t>
      </w:r>
      <w:r w:rsidR="0095401D">
        <w:t xml:space="preserve">sur </w:t>
      </w:r>
      <w:r w:rsidR="00846C78">
        <w:t>une voie compliquée et dangereuse pour sa pratique, qui rendait impossible de prendre des décisions sans se contredire. Elle s</w:t>
      </w:r>
      <w:r w:rsidR="00346F1B">
        <w:t>’</w:t>
      </w:r>
      <w:r w:rsidR="00846C78">
        <w:t>est donc prononcée en faveur de la création d</w:t>
      </w:r>
      <w:r w:rsidR="00346F1B">
        <w:t>’</w:t>
      </w:r>
      <w:r w:rsidR="00846C78">
        <w:t>un groupe de travail sur l</w:t>
      </w:r>
      <w:r w:rsidR="00346F1B">
        <w:t>’</w:t>
      </w:r>
      <w:r w:rsidR="00846C78">
        <w:t>harmonisation et le renforcement des méthodes de travail de l</w:t>
      </w:r>
      <w:r w:rsidR="00346F1B">
        <w:t>’</w:t>
      </w:r>
      <w:r w:rsidR="00846C78">
        <w:t>Organe d</w:t>
      </w:r>
      <w:r w:rsidR="00346F1B">
        <w:t>’</w:t>
      </w:r>
      <w:r w:rsidR="00846C78">
        <w:t>évaluation</w:t>
      </w:r>
      <w:r w:rsidR="0026563E">
        <w:t>.</w:t>
      </w:r>
      <w:r w:rsidR="00846C78">
        <w:t xml:space="preserve"> </w:t>
      </w:r>
      <w:r w:rsidR="0026563E">
        <w:t xml:space="preserve">La délégation a ajouté </w:t>
      </w:r>
      <w:r w:rsidR="00846C78">
        <w:t>que cette session du Comité ne constitua</w:t>
      </w:r>
      <w:r w:rsidR="0026563E">
        <w:t>it pas le meilleur exemple de</w:t>
      </w:r>
      <w:r w:rsidR="00846C78">
        <w:t xml:space="preserve"> bonne gouvernance et de</w:t>
      </w:r>
      <w:r w:rsidR="0026563E">
        <w:t xml:space="preserve"> bonne relation</w:t>
      </w:r>
      <w:r w:rsidR="00846C78">
        <w:t xml:space="preserve"> entre l</w:t>
      </w:r>
      <w:r w:rsidR="00346F1B">
        <w:t>’</w:t>
      </w:r>
      <w:r w:rsidR="00846C78">
        <w:t>ensemble de</w:t>
      </w:r>
      <w:r w:rsidR="00F723A2">
        <w:t>s différents organes concernés.</w:t>
      </w:r>
    </w:p>
    <w:p w14:paraId="463B80C6" w14:textId="5D3BA793" w:rsidR="0026563E" w:rsidRDefault="0026563E" w:rsidP="005A12C8">
      <w:pPr>
        <w:pStyle w:val="Orateurengris"/>
        <w:spacing w:before="120"/>
        <w:ind w:left="709" w:hanging="709"/>
      </w:pPr>
      <w:r>
        <w:t>La délégation de l</w:t>
      </w:r>
      <w:r w:rsidR="00346F1B">
        <w:t>’</w:t>
      </w:r>
      <w:r w:rsidRPr="0026563E">
        <w:rPr>
          <w:b/>
        </w:rPr>
        <w:t>Inde</w:t>
      </w:r>
      <w:r>
        <w:t xml:space="preserve"> a remercié le Kazakhstan d</w:t>
      </w:r>
      <w:r w:rsidR="00346F1B">
        <w:t>’</w:t>
      </w:r>
      <w:r>
        <w:t>avoir présenté sa candidature et d</w:t>
      </w:r>
      <w:r w:rsidR="00346F1B">
        <w:t>’</w:t>
      </w:r>
      <w:r>
        <w:t>avoir apporté des éclaircissements sur la dimension communautaire de l</w:t>
      </w:r>
      <w:r w:rsidR="00346F1B">
        <w:t>’</w:t>
      </w:r>
      <w:r>
        <w:t>élément et les mécanismes de transmission. Toutefois, elle avait noté que l</w:t>
      </w:r>
      <w:r w:rsidR="00346F1B">
        <w:t>’</w:t>
      </w:r>
      <w:r>
        <w:t>Organe d</w:t>
      </w:r>
      <w:r w:rsidR="00346F1B">
        <w:t>’</w:t>
      </w:r>
      <w:r>
        <w:t xml:space="preserve">évaluation, au titre du critère R.3, avait signalé que les mesures de sauvegarde étaient caractérisées par une approche descendante, tant en ce qui concerne leur conception que leur mise en œuvre. </w:t>
      </w:r>
      <w:r w:rsidR="00792670">
        <w:t>Le périmètre des détenteurs et praticiens impliqués devraient aller au delà des lutteurs professionnels car des citoyens ordinaires étaient également des praticiens actifs. En outre, l</w:t>
      </w:r>
      <w:r w:rsidR="00346F1B">
        <w:t>’</w:t>
      </w:r>
      <w:r w:rsidR="00792670">
        <w:t>Organe d</w:t>
      </w:r>
      <w:r w:rsidR="00346F1B">
        <w:t>’</w:t>
      </w:r>
      <w:r w:rsidR="00792670">
        <w:t>évaluation avait mentionné que certaines des mesures semblaient suggérer que la viabilité de l</w:t>
      </w:r>
      <w:r w:rsidR="00346F1B">
        <w:t>’</w:t>
      </w:r>
      <w:r w:rsidR="00792670">
        <w:t>élément était en danger alors que le reste du dossier indiquait le contraire. Elle souhaitait que le Kazakhstan donne son avis sur l</w:t>
      </w:r>
      <w:r w:rsidR="00346F1B">
        <w:t>’</w:t>
      </w:r>
      <w:r w:rsidR="00792670">
        <w:t>évaluation de l</w:t>
      </w:r>
      <w:r w:rsidR="00346F1B">
        <w:t>’</w:t>
      </w:r>
      <w:r w:rsidR="00792670">
        <w:t>Organe d</w:t>
      </w:r>
      <w:r w:rsidR="00346F1B">
        <w:t>’</w:t>
      </w:r>
      <w:r w:rsidR="00F723A2">
        <w:t>évaluation.</w:t>
      </w:r>
    </w:p>
    <w:p w14:paraId="3DF58AF2" w14:textId="18BB1108" w:rsidR="00792670" w:rsidRDefault="00792670" w:rsidP="005A12C8">
      <w:pPr>
        <w:pStyle w:val="Orateurengris"/>
        <w:spacing w:before="120"/>
        <w:ind w:left="709" w:hanging="709"/>
      </w:pPr>
      <w:r>
        <w:t xml:space="preserve">La délégation de la </w:t>
      </w:r>
      <w:r w:rsidRPr="00792670">
        <w:rPr>
          <w:b/>
        </w:rPr>
        <w:t>Côte d</w:t>
      </w:r>
      <w:r w:rsidR="00346F1B">
        <w:rPr>
          <w:b/>
        </w:rPr>
        <w:t>’</w:t>
      </w:r>
      <w:r w:rsidRPr="00792670">
        <w:rPr>
          <w:b/>
        </w:rPr>
        <w:t>Ivoire</w:t>
      </w:r>
      <w:r>
        <w:t xml:space="preserve"> a félicité le Kazakhstan pour les efforts déployés pour l</w:t>
      </w:r>
      <w:r w:rsidR="00346F1B">
        <w:t>’</w:t>
      </w:r>
      <w:r>
        <w:t>élément proposé, ainsi que l</w:t>
      </w:r>
      <w:r w:rsidR="00346F1B">
        <w:t>’</w:t>
      </w:r>
      <w:r>
        <w:t>Organe d</w:t>
      </w:r>
      <w:r w:rsidR="00346F1B">
        <w:t>’</w:t>
      </w:r>
      <w:r>
        <w:t xml:space="preserve">évaluation pour le travail réalisé. Elle a dit souscrire aux propos de Chypre </w:t>
      </w:r>
      <w:r w:rsidR="00FC61CF">
        <w:t>qui s</w:t>
      </w:r>
      <w:r w:rsidR="00346F1B">
        <w:t>’</w:t>
      </w:r>
      <w:r w:rsidR="00FC61CF">
        <w:t>était réjoui que l</w:t>
      </w:r>
      <w:r w:rsidR="00346F1B">
        <w:t>’</w:t>
      </w:r>
      <w:r w:rsidR="00FC61CF">
        <w:t>on ait donné la parole à l</w:t>
      </w:r>
      <w:r w:rsidR="00346F1B">
        <w:t>’</w:t>
      </w:r>
      <w:r w:rsidR="00FC61CF">
        <w:t>Organe d</w:t>
      </w:r>
      <w:r w:rsidR="00346F1B">
        <w:t>’</w:t>
      </w:r>
      <w:r w:rsidR="00FC61CF">
        <w:t>évaluation. La délégation a mis en garde le Comité en lui rappelant que partout dans le monde, les populations l</w:t>
      </w:r>
      <w:r w:rsidR="00346F1B">
        <w:t>’</w:t>
      </w:r>
      <w:r w:rsidR="00FC61CF">
        <w:t>écoutaient et accordaient une grande attention aux décisions qu</w:t>
      </w:r>
      <w:r w:rsidR="00346F1B">
        <w:t>’</w:t>
      </w:r>
      <w:r w:rsidR="00F723A2">
        <w:t>il prenait.</w:t>
      </w:r>
    </w:p>
    <w:p w14:paraId="79412465" w14:textId="72DE5FA7" w:rsidR="00FC61CF" w:rsidRDefault="00FC61CF" w:rsidP="005A12C8">
      <w:pPr>
        <w:pStyle w:val="Orateurengris"/>
        <w:spacing w:before="120"/>
        <w:ind w:left="709" w:hanging="709"/>
      </w:pPr>
      <w:r>
        <w:t xml:space="preserve">La délégation de la </w:t>
      </w:r>
      <w:r w:rsidRPr="00FC61CF">
        <w:rPr>
          <w:b/>
        </w:rPr>
        <w:t>Palestine</w:t>
      </w:r>
      <w:r>
        <w:t xml:space="preserve"> a parlé du grave problème que le Comité était en train de rencontrer, </w:t>
      </w:r>
      <w:r w:rsidR="0095401D">
        <w:t xml:space="preserve">à savoir, </w:t>
      </w:r>
      <w:r>
        <w:t xml:space="preserve">son manque de cohérence. </w:t>
      </w:r>
      <w:r w:rsidR="0095401D">
        <w:t>On avait en effet</w:t>
      </w:r>
      <w:r>
        <w:t xml:space="preserve"> entendu ce jour des interventions que l</w:t>
      </w:r>
      <w:r w:rsidR="00346F1B">
        <w:t>’</w:t>
      </w:r>
      <w:r>
        <w:t>on n</w:t>
      </w:r>
      <w:r w:rsidR="00346F1B">
        <w:t>’</w:t>
      </w:r>
      <w:r>
        <w:t>avait pas ente</w:t>
      </w:r>
      <w:r w:rsidR="0095401D">
        <w:t>ndues les jours précédents pour</w:t>
      </w:r>
      <w:r>
        <w:t xml:space="preserve"> des candidatures semblables, ce que la délégation jug</w:t>
      </w:r>
      <w:r w:rsidR="0095401D">
        <w:t>eait inacceptable. Elle</w:t>
      </w:r>
      <w:r>
        <w:t xml:space="preserve"> a </w:t>
      </w:r>
      <w:r w:rsidR="0095401D">
        <w:t>suggéré de mettre fin au débat e</w:t>
      </w:r>
      <w:r>
        <w:t xml:space="preserve">t de passer aux amendements afin de décider </w:t>
      </w:r>
      <w:r w:rsidR="0095401D">
        <w:t>de les adopter ou non, les objections pourraient alors être entendues.</w:t>
      </w:r>
    </w:p>
    <w:p w14:paraId="0EAC2739" w14:textId="34C7C7A1" w:rsidR="0095401D" w:rsidRPr="0095401D" w:rsidRDefault="0095401D" w:rsidP="005A12C8">
      <w:pPr>
        <w:pStyle w:val="Orateurengris"/>
        <w:spacing w:before="120"/>
        <w:ind w:left="709" w:hanging="709"/>
      </w:pPr>
      <w:r w:rsidRPr="0095401D">
        <w:t>La délégation</w:t>
      </w:r>
      <w:r>
        <w:t xml:space="preserve"> de la </w:t>
      </w:r>
      <w:r w:rsidRPr="0095401D">
        <w:rPr>
          <w:b/>
        </w:rPr>
        <w:t>Turquie</w:t>
      </w:r>
      <w:r>
        <w:t xml:space="preserve"> a dit souscrire</w:t>
      </w:r>
      <w:r w:rsidR="00F723A2">
        <w:t xml:space="preserve"> aux remarques de la Palestine.</w:t>
      </w:r>
    </w:p>
    <w:p w14:paraId="69324723" w14:textId="5942BD87" w:rsidR="0095401D" w:rsidRDefault="0095401D" w:rsidP="005A12C8">
      <w:pPr>
        <w:pStyle w:val="Orateurengris"/>
        <w:spacing w:before="120"/>
        <w:ind w:left="709" w:hanging="709"/>
      </w:pPr>
      <w:r>
        <w:t xml:space="preserve">La délégation de </w:t>
      </w:r>
      <w:r w:rsidRPr="0095401D">
        <w:rPr>
          <w:b/>
        </w:rPr>
        <w:t>Cuba</w:t>
      </w:r>
      <w:r>
        <w:t xml:space="preserve"> partageait les préoccupations exprimées par la Palestine. Elle a rappelé son inquiétude réelle à propos de la méthodologie adoptée et a réaffirmé la nécessité de rester cohérent. Elle ne pensait pas que le Comité s</w:t>
      </w:r>
      <w:r w:rsidR="00346F1B">
        <w:t>’</w:t>
      </w:r>
      <w:r w:rsidR="00F723A2">
        <w:t>engageait sur la bonne voie.</w:t>
      </w:r>
    </w:p>
    <w:p w14:paraId="7699A575" w14:textId="3E1D0D22" w:rsidR="0095401D" w:rsidRDefault="00B77A3F" w:rsidP="005A12C8">
      <w:pPr>
        <w:pStyle w:val="Orateurengris"/>
        <w:spacing w:before="120"/>
        <w:ind w:left="709" w:hanging="709"/>
      </w:pPr>
      <w:r>
        <w:t>Compte tenu des avis divergents dans l</w:t>
      </w:r>
      <w:r w:rsidR="00346F1B">
        <w:t>’</w:t>
      </w:r>
      <w:r>
        <w:t>assemblée, la délégation de l</w:t>
      </w:r>
      <w:r w:rsidR="00346F1B">
        <w:t>’</w:t>
      </w:r>
      <w:r w:rsidRPr="00410B04">
        <w:rPr>
          <w:b/>
        </w:rPr>
        <w:t>Autriche</w:t>
      </w:r>
      <w:r>
        <w:t xml:space="preserve"> souhaitait que l</w:t>
      </w:r>
      <w:r w:rsidR="00346F1B">
        <w:t>’</w:t>
      </w:r>
      <w:r>
        <w:t>on donne la parole aux observateurs et aux ONG avant de</w:t>
      </w:r>
      <w:r w:rsidR="00F723A2">
        <w:t xml:space="preserve"> passer à la prise de décision.</w:t>
      </w:r>
    </w:p>
    <w:p w14:paraId="1BFB1992" w14:textId="06C4B344" w:rsidR="00B77A3F" w:rsidRDefault="00B77A3F" w:rsidP="005A12C8">
      <w:pPr>
        <w:pStyle w:val="Orateurengris"/>
        <w:spacing w:before="120"/>
        <w:ind w:left="709" w:hanging="709"/>
      </w:pPr>
      <w:r>
        <w:t xml:space="preserve">Le </w:t>
      </w:r>
      <w:r w:rsidRPr="00B77A3F">
        <w:rPr>
          <w:b/>
        </w:rPr>
        <w:t>Président</w:t>
      </w:r>
      <w:r>
        <w:t xml:space="preserve"> a signalé une motion d</w:t>
      </w:r>
      <w:r w:rsidR="00346F1B">
        <w:t>’</w:t>
      </w:r>
      <w:r>
        <w:t>or</w:t>
      </w:r>
      <w:r w:rsidR="00F723A2">
        <w:t>dre de la part de la Palestine.</w:t>
      </w:r>
    </w:p>
    <w:p w14:paraId="06AAC21A" w14:textId="6FFBFC8D" w:rsidR="00B77A3F" w:rsidRDefault="00B77A3F" w:rsidP="005A12C8">
      <w:pPr>
        <w:pStyle w:val="Orateurengris"/>
        <w:spacing w:before="120"/>
        <w:ind w:left="709" w:hanging="709"/>
      </w:pPr>
      <w:r>
        <w:t xml:space="preserve">La délégation de la </w:t>
      </w:r>
      <w:r w:rsidRPr="00B77A3F">
        <w:rPr>
          <w:b/>
        </w:rPr>
        <w:t>Palestine</w:t>
      </w:r>
      <w:r>
        <w:t xml:space="preserve"> a expliqué que cette demande devrait obtenir le consentement de tous les</w:t>
      </w:r>
      <w:r w:rsidR="002567C8">
        <w:t xml:space="preserve"> </w:t>
      </w:r>
      <w:r w:rsidR="00A46CAD">
        <w:t>membres</w:t>
      </w:r>
      <w:r>
        <w:t xml:space="preserve"> du Comité, aucune demande similaire n</w:t>
      </w:r>
      <w:r w:rsidR="00346F1B">
        <w:t>’</w:t>
      </w:r>
      <w:r>
        <w:t>ayant été formulée auparavant. Elle était donc opposée à ce qu</w:t>
      </w:r>
      <w:r w:rsidR="00346F1B">
        <w:t>’</w:t>
      </w:r>
      <w:r>
        <w:t>on donne la parole aux ob</w:t>
      </w:r>
      <w:r w:rsidR="00F723A2">
        <w:t>servateurs à ce stade du débat.</w:t>
      </w:r>
    </w:p>
    <w:p w14:paraId="1CBE404B" w14:textId="7DA4EA80" w:rsidR="00B77A3F" w:rsidRDefault="00B77A3F" w:rsidP="005A12C8">
      <w:pPr>
        <w:pStyle w:val="Orateurengris"/>
        <w:spacing w:before="120"/>
        <w:ind w:left="709" w:hanging="709"/>
      </w:pPr>
      <w:r>
        <w:t xml:space="preserve">Le </w:t>
      </w:r>
      <w:r w:rsidRPr="00B77A3F">
        <w:rPr>
          <w:b/>
        </w:rPr>
        <w:t>Président</w:t>
      </w:r>
      <w:r>
        <w:t xml:space="preserve"> a précisé que le Comité n</w:t>
      </w:r>
      <w:r w:rsidR="00346F1B">
        <w:t>’</w:t>
      </w:r>
      <w:r>
        <w:t>en était pas encore à la décision et qu</w:t>
      </w:r>
      <w:r w:rsidR="00346F1B">
        <w:t>’</w:t>
      </w:r>
      <w:r>
        <w:t>aucune demande de la part des observateurs n</w:t>
      </w:r>
      <w:r w:rsidR="00346F1B">
        <w:t>’</w:t>
      </w:r>
      <w:r>
        <w:t>avait été reçue. Il a donc procédé à l</w:t>
      </w:r>
      <w:r w:rsidR="00346F1B">
        <w:t>’</w:t>
      </w:r>
      <w:r>
        <w:t>adoption de la décision paragraphe par paragraphe. En l</w:t>
      </w:r>
      <w:r w:rsidR="00346F1B">
        <w:t>’</w:t>
      </w:r>
      <w:r>
        <w:t>absence d</w:t>
      </w:r>
      <w:r w:rsidR="00346F1B">
        <w:t>’</w:t>
      </w:r>
      <w:r>
        <w:t>objections, le paragraphe 1 a été adopté. Il est ensuite passé au paragraphe consacré au critère R.1 dans le paragraphe 2, tel qu</w:t>
      </w:r>
      <w:r w:rsidR="00346F1B">
        <w:t>’</w:t>
      </w:r>
      <w:r w:rsidR="00F723A2">
        <w:t>amendé par la Bulgarie.</w:t>
      </w:r>
    </w:p>
    <w:p w14:paraId="3DABE782" w14:textId="57E7D912" w:rsidR="00B77A3F" w:rsidRDefault="00B77A3F" w:rsidP="005A12C8">
      <w:pPr>
        <w:pStyle w:val="Orateurengris"/>
        <w:spacing w:before="120"/>
        <w:ind w:left="709" w:hanging="709"/>
      </w:pPr>
      <w:r>
        <w:t>Compte tenu des explications données par l</w:t>
      </w:r>
      <w:r w:rsidR="00346F1B">
        <w:t>’</w:t>
      </w:r>
      <w:r>
        <w:t>Organe d</w:t>
      </w:r>
      <w:r w:rsidR="00346F1B">
        <w:t>’</w:t>
      </w:r>
      <w:r>
        <w:t>évaluation, la délégation de l</w:t>
      </w:r>
      <w:r w:rsidR="00346F1B">
        <w:t>’</w:t>
      </w:r>
      <w:r w:rsidRPr="00410B04">
        <w:rPr>
          <w:b/>
        </w:rPr>
        <w:t>Autriche</w:t>
      </w:r>
      <w:r>
        <w:t xml:space="preserve"> a af</w:t>
      </w:r>
      <w:r w:rsidR="00410B04">
        <w:t>f</w:t>
      </w:r>
      <w:r>
        <w:t>irmé ne pas être</w:t>
      </w:r>
      <w:r w:rsidR="00410B04">
        <w:t xml:space="preserve"> convaincue que les questions relatives au sport</w:t>
      </w:r>
      <w:r>
        <w:t xml:space="preserve"> et </w:t>
      </w:r>
      <w:r w:rsidR="00410B04">
        <w:t xml:space="preserve">aux </w:t>
      </w:r>
      <w:r>
        <w:t xml:space="preserve">communautés avaient été </w:t>
      </w:r>
      <w:r w:rsidR="00410B04">
        <w:t>traitées.</w:t>
      </w:r>
    </w:p>
    <w:p w14:paraId="37A233F8" w14:textId="3B010E85" w:rsidR="00410B04" w:rsidRDefault="00410B04" w:rsidP="005A12C8">
      <w:pPr>
        <w:pStyle w:val="Orateurengris"/>
        <w:spacing w:before="120"/>
        <w:ind w:left="709" w:hanging="709"/>
      </w:pPr>
      <w:r>
        <w:t xml:space="preserve">Le </w:t>
      </w:r>
      <w:r w:rsidRPr="00410B04">
        <w:rPr>
          <w:b/>
        </w:rPr>
        <w:t>Président</w:t>
      </w:r>
      <w:r>
        <w:t xml:space="preserve"> a confirmé que l</w:t>
      </w:r>
      <w:r w:rsidR="00346F1B">
        <w:t>’</w:t>
      </w:r>
      <w:r>
        <w:t>on ne pouvait donner la parole au Kazakhstan car le Comité était en</w:t>
      </w:r>
      <w:r w:rsidR="00F723A2">
        <w:t xml:space="preserve"> train de prendre une décision.</w:t>
      </w:r>
    </w:p>
    <w:p w14:paraId="160F030D" w14:textId="5E5A32C8" w:rsidR="00410B04" w:rsidRDefault="00410B04" w:rsidP="005A12C8">
      <w:pPr>
        <w:pStyle w:val="Orateurengris"/>
        <w:spacing w:before="120"/>
        <w:ind w:left="709" w:hanging="709"/>
      </w:pPr>
      <w:r>
        <w:t xml:space="preserve">La délégation de la </w:t>
      </w:r>
      <w:r w:rsidRPr="00410B04">
        <w:rPr>
          <w:b/>
        </w:rPr>
        <w:t>Turquie</w:t>
      </w:r>
      <w:r w:rsidR="00AA62A1">
        <w:t xml:space="preserve"> souhaitait</w:t>
      </w:r>
      <w:r>
        <w:t xml:space="preserve"> ajouter son nom aux amend</w:t>
      </w:r>
      <w:r w:rsidR="00F723A2">
        <w:t>ements déposés par la Bulgarie.</w:t>
      </w:r>
    </w:p>
    <w:p w14:paraId="5B42A991" w14:textId="52C59592" w:rsidR="00410B04" w:rsidRDefault="00410B04" w:rsidP="005A12C8">
      <w:pPr>
        <w:pStyle w:val="Orateurengris"/>
        <w:spacing w:before="120"/>
        <w:ind w:left="709" w:hanging="709"/>
      </w:pPr>
      <w:r>
        <w:t xml:space="preserve">La délégation de la </w:t>
      </w:r>
      <w:r w:rsidRPr="00410B04">
        <w:rPr>
          <w:b/>
        </w:rPr>
        <w:t>Palestine</w:t>
      </w:r>
      <w:r>
        <w:t xml:space="preserve"> s</w:t>
      </w:r>
      <w:r w:rsidR="00346F1B">
        <w:t>’</w:t>
      </w:r>
      <w:r>
        <w:t>est dite satisfaite des éclaircissements donnés</w:t>
      </w:r>
      <w:r w:rsidR="00AA62A1">
        <w:t>,</w:t>
      </w:r>
      <w:r>
        <w:t xml:space="preserve"> et </w:t>
      </w:r>
      <w:r w:rsidR="00AA62A1">
        <w:t>souhaitait</w:t>
      </w:r>
      <w:r>
        <w:t xml:space="preserve"> ajouter son nom à la liste des coauteurs de l</w:t>
      </w:r>
      <w:r w:rsidR="00346F1B">
        <w:t>’</w:t>
      </w:r>
      <w:r w:rsidR="00F723A2">
        <w:t>amendement.</w:t>
      </w:r>
    </w:p>
    <w:p w14:paraId="67B7CBAA" w14:textId="4207FBA7" w:rsidR="00410B04" w:rsidRDefault="00410B04" w:rsidP="005A12C8">
      <w:pPr>
        <w:pStyle w:val="Orateurengris"/>
        <w:spacing w:before="120"/>
        <w:ind w:left="709" w:hanging="709"/>
      </w:pPr>
      <w:r>
        <w:t xml:space="preserve">La délégation du </w:t>
      </w:r>
      <w:r w:rsidRPr="00410B04">
        <w:rPr>
          <w:b/>
        </w:rPr>
        <w:t>Sénégal</w:t>
      </w:r>
      <w:r>
        <w:t xml:space="preserve"> soutenait l</w:t>
      </w:r>
      <w:r w:rsidR="00346F1B">
        <w:t>’</w:t>
      </w:r>
      <w:r>
        <w:t>amendement de la Bulgarie.</w:t>
      </w:r>
    </w:p>
    <w:p w14:paraId="2360148F" w14:textId="6B78EAC4" w:rsidR="00410B04" w:rsidRDefault="00410B04" w:rsidP="005A12C8">
      <w:pPr>
        <w:pStyle w:val="Orateurengris"/>
        <w:spacing w:before="120"/>
        <w:ind w:left="709" w:hanging="709"/>
      </w:pPr>
      <w:r>
        <w:t>La délégation de l</w:t>
      </w:r>
      <w:r w:rsidR="00346F1B">
        <w:t>’</w:t>
      </w:r>
      <w:r w:rsidRPr="00410B04">
        <w:rPr>
          <w:b/>
        </w:rPr>
        <w:t>Inde</w:t>
      </w:r>
      <w:r>
        <w:t xml:space="preserve"> a trouvé les éclaircissements de l</w:t>
      </w:r>
      <w:r w:rsidR="00346F1B">
        <w:t>’</w:t>
      </w:r>
      <w:r>
        <w:t>État soumissionnaire sur le critère R.1 satisfaisants et soutenait l</w:t>
      </w:r>
      <w:r w:rsidR="00346F1B">
        <w:t>’</w:t>
      </w:r>
      <w:r>
        <w:t>amendement.</w:t>
      </w:r>
    </w:p>
    <w:p w14:paraId="4A34EA0F" w14:textId="25153DB7" w:rsidR="00802D37" w:rsidRDefault="00802D37" w:rsidP="005A12C8">
      <w:pPr>
        <w:pStyle w:val="Orateurengris"/>
        <w:spacing w:before="120"/>
        <w:ind w:left="709" w:hanging="709"/>
      </w:pPr>
      <w:r>
        <w:t>Après avoir entendu les éclaircissements de l</w:t>
      </w:r>
      <w:r w:rsidR="00346F1B">
        <w:t>’</w:t>
      </w:r>
      <w:r>
        <w:t xml:space="preserve">État soumissionnaire, la délégation de </w:t>
      </w:r>
      <w:r w:rsidRPr="00802D37">
        <w:rPr>
          <w:b/>
        </w:rPr>
        <w:t>Sainte-Lucie</w:t>
      </w:r>
      <w:r>
        <w:t xml:space="preserve"> soutenait l</w:t>
      </w:r>
      <w:r w:rsidR="00346F1B">
        <w:t>’</w:t>
      </w:r>
      <w:r>
        <w:t>adoption de l</w:t>
      </w:r>
      <w:r w:rsidR="00346F1B">
        <w:t>’</w:t>
      </w:r>
      <w:r w:rsidR="00F723A2">
        <w:t>amendement.</w:t>
      </w:r>
    </w:p>
    <w:p w14:paraId="6A0F3323" w14:textId="3E56822F" w:rsidR="00802D37" w:rsidRPr="00802D37" w:rsidRDefault="00802D37" w:rsidP="005A12C8">
      <w:pPr>
        <w:pStyle w:val="Orateurengris"/>
        <w:spacing w:before="120"/>
        <w:ind w:left="709" w:hanging="709"/>
      </w:pPr>
      <w:r w:rsidRPr="00802D37">
        <w:t xml:space="preserve">Les délégations de </w:t>
      </w:r>
      <w:r w:rsidRPr="00802D37">
        <w:rPr>
          <w:b/>
        </w:rPr>
        <w:t>Maurice</w:t>
      </w:r>
      <w:r>
        <w:t xml:space="preserve">, des </w:t>
      </w:r>
      <w:r w:rsidRPr="00802D37">
        <w:rPr>
          <w:b/>
        </w:rPr>
        <w:t>Philippines</w:t>
      </w:r>
      <w:r>
        <w:t xml:space="preserve">, du </w:t>
      </w:r>
      <w:r w:rsidRPr="00802D37">
        <w:rPr>
          <w:b/>
        </w:rPr>
        <w:t>Guatemala</w:t>
      </w:r>
      <w:r>
        <w:t xml:space="preserve"> et du </w:t>
      </w:r>
      <w:r w:rsidRPr="00802D37">
        <w:rPr>
          <w:b/>
        </w:rPr>
        <w:t>Congo</w:t>
      </w:r>
      <w:r>
        <w:t xml:space="preserve"> soutenaient l</w:t>
      </w:r>
      <w:r w:rsidR="00346F1B">
        <w:t>’</w:t>
      </w:r>
      <w:r w:rsidR="00F723A2">
        <w:t>amendement.</w:t>
      </w:r>
    </w:p>
    <w:p w14:paraId="2D6B4290" w14:textId="374030AF" w:rsidR="00802D37" w:rsidRDefault="00802D37" w:rsidP="005A12C8">
      <w:pPr>
        <w:pStyle w:val="Orateurengris"/>
        <w:spacing w:before="120"/>
        <w:ind w:left="709" w:hanging="709"/>
      </w:pPr>
      <w:r>
        <w:t>En l</w:t>
      </w:r>
      <w:r w:rsidR="00346F1B">
        <w:t>’</w:t>
      </w:r>
      <w:r>
        <w:t>absence d</w:t>
      </w:r>
      <w:r w:rsidR="00346F1B">
        <w:t>’</w:t>
      </w:r>
      <w:r>
        <w:t xml:space="preserve">autres commentaires ou objections, le </w:t>
      </w:r>
      <w:r w:rsidRPr="00802D37">
        <w:rPr>
          <w:b/>
        </w:rPr>
        <w:t>Président</w:t>
      </w:r>
      <w:r>
        <w:t xml:space="preserve"> a déclaré le paragraphe consacré au critère R.1 dans le paragraphe 2 adopté. Il est ensuite passé au paragraphe consacré au critère R.2 dans ce même paragraphe 2.</w:t>
      </w:r>
    </w:p>
    <w:p w14:paraId="1689B6A9" w14:textId="2EAD0383" w:rsidR="00802D37" w:rsidRPr="00802D37" w:rsidRDefault="00802D37" w:rsidP="005A12C8">
      <w:pPr>
        <w:pStyle w:val="Orateurengris"/>
        <w:spacing w:before="120"/>
        <w:ind w:left="709" w:hanging="709"/>
      </w:pPr>
      <w:r>
        <w:t xml:space="preserve">Les délégations de la </w:t>
      </w:r>
      <w:r w:rsidRPr="00802D37">
        <w:rPr>
          <w:b/>
        </w:rPr>
        <w:t>Mongolie</w:t>
      </w:r>
      <w:r>
        <w:t xml:space="preserve">, de la </w:t>
      </w:r>
      <w:r w:rsidRPr="00802D37">
        <w:rPr>
          <w:b/>
        </w:rPr>
        <w:t>Turquie</w:t>
      </w:r>
      <w:r>
        <w:t xml:space="preserve">, du </w:t>
      </w:r>
      <w:r w:rsidRPr="00802D37">
        <w:rPr>
          <w:b/>
        </w:rPr>
        <w:t xml:space="preserve">Guatemala </w:t>
      </w:r>
      <w:r>
        <w:t>et de l</w:t>
      </w:r>
      <w:r w:rsidR="00346F1B">
        <w:t>’</w:t>
      </w:r>
      <w:r w:rsidRPr="00802D37">
        <w:rPr>
          <w:b/>
        </w:rPr>
        <w:t>Inde</w:t>
      </w:r>
      <w:r>
        <w:t xml:space="preserve"> soutenaient l</w:t>
      </w:r>
      <w:r w:rsidR="00346F1B">
        <w:t>’</w:t>
      </w:r>
      <w:r>
        <w:t>amendement.</w:t>
      </w:r>
    </w:p>
    <w:p w14:paraId="2BB1A948" w14:textId="31E2F74B" w:rsidR="00802D37" w:rsidRDefault="00802D37" w:rsidP="005A12C8">
      <w:pPr>
        <w:pStyle w:val="Orateurengris"/>
        <w:spacing w:before="120"/>
        <w:ind w:left="709" w:hanging="709"/>
      </w:pPr>
      <w:r>
        <w:t xml:space="preserve">La délégation de la </w:t>
      </w:r>
      <w:r w:rsidRPr="00802D37">
        <w:rPr>
          <w:b/>
        </w:rPr>
        <w:t>Palestine</w:t>
      </w:r>
      <w:r>
        <w:t xml:space="preserve"> se demandait s</w:t>
      </w:r>
      <w:r w:rsidR="00346F1B">
        <w:t>’</w:t>
      </w:r>
      <w:r>
        <w:t>il était vraiment nécessaire d</w:t>
      </w:r>
      <w:r w:rsidR="00346F1B">
        <w:t>’</w:t>
      </w:r>
      <w:r>
        <w:t>écouter toutes les expressions de soutien à l</w:t>
      </w:r>
      <w:r w:rsidR="00346F1B">
        <w:t>’</w:t>
      </w:r>
      <w:r>
        <w:t>adoption d</w:t>
      </w:r>
      <w:r w:rsidR="00346F1B">
        <w:t>’</w:t>
      </w:r>
      <w:r>
        <w:t>un paragraphe et, s</w:t>
      </w:r>
      <w:r w:rsidR="00346F1B">
        <w:t>’</w:t>
      </w:r>
      <w:r>
        <w:t>il n</w:t>
      </w:r>
      <w:r w:rsidR="00346F1B">
        <w:t>’</w:t>
      </w:r>
      <w:r>
        <w:t>y avait pas d</w:t>
      </w:r>
      <w:r w:rsidR="00346F1B">
        <w:t>’</w:t>
      </w:r>
      <w:r>
        <w:t>objections, le Com</w:t>
      </w:r>
      <w:r w:rsidR="00F723A2">
        <w:t>ité pourrait avancer plus vite.</w:t>
      </w:r>
    </w:p>
    <w:p w14:paraId="347F95A7" w14:textId="041E79D9" w:rsidR="00802D37" w:rsidRDefault="00802D37" w:rsidP="005A12C8">
      <w:pPr>
        <w:pStyle w:val="Orateurengris"/>
        <w:spacing w:before="120"/>
        <w:ind w:left="709" w:hanging="709"/>
      </w:pPr>
      <w:r>
        <w:t xml:space="preserve">Le </w:t>
      </w:r>
      <w:r w:rsidRPr="00802D37">
        <w:rPr>
          <w:b/>
        </w:rPr>
        <w:t>Président</w:t>
      </w:r>
      <w:r>
        <w:t xml:space="preserve"> n</w:t>
      </w:r>
      <w:r w:rsidR="00346F1B">
        <w:t>’</w:t>
      </w:r>
      <w:r>
        <w:t>a pas noté d</w:t>
      </w:r>
      <w:r w:rsidR="00346F1B">
        <w:t>’</w:t>
      </w:r>
      <w:r>
        <w:t>objections à la proposition de la Palestine et, en l</w:t>
      </w:r>
      <w:r w:rsidR="00346F1B">
        <w:t>’</w:t>
      </w:r>
      <w:r>
        <w:t>absence d</w:t>
      </w:r>
      <w:r w:rsidR="00346F1B">
        <w:t>’</w:t>
      </w:r>
      <w:r>
        <w:t>autres commentaires, le paragraphe consacré au critère R.2 dans le paragraphe 2 a été adopté tel qu</w:t>
      </w:r>
      <w:r w:rsidR="00346F1B">
        <w:t>’</w:t>
      </w:r>
      <w:r>
        <w:t xml:space="preserve">amendé par la Bulgarie. Il est ensuite passé au paragraphe consacré au </w:t>
      </w:r>
      <w:r w:rsidR="00183575">
        <w:t>critère R.</w:t>
      </w:r>
      <w:r>
        <w:t>3 dans ce même paragraphe 2.</w:t>
      </w:r>
    </w:p>
    <w:p w14:paraId="475B5460" w14:textId="0B843F43" w:rsidR="00802D37" w:rsidRDefault="00802D37" w:rsidP="005A12C8">
      <w:pPr>
        <w:pStyle w:val="Orateurengris"/>
        <w:spacing w:before="120"/>
        <w:ind w:left="709" w:hanging="709"/>
      </w:pPr>
      <w:r>
        <w:t xml:space="preserve">Les délégations de la </w:t>
      </w:r>
      <w:r w:rsidRPr="00802D37">
        <w:rPr>
          <w:b/>
        </w:rPr>
        <w:t xml:space="preserve">Turquie </w:t>
      </w:r>
      <w:r>
        <w:t>et de l</w:t>
      </w:r>
      <w:r w:rsidR="00346F1B">
        <w:t>’</w:t>
      </w:r>
      <w:r w:rsidRPr="00802D37">
        <w:rPr>
          <w:b/>
        </w:rPr>
        <w:t>Éthiopie</w:t>
      </w:r>
      <w:r>
        <w:t xml:space="preserve"> soutenaient l</w:t>
      </w:r>
      <w:r w:rsidR="00346F1B">
        <w:t>’</w:t>
      </w:r>
      <w:r w:rsidR="00F723A2">
        <w:t>amendement de la Bulgarie.</w:t>
      </w:r>
    </w:p>
    <w:p w14:paraId="01283AF8" w14:textId="7E98C107" w:rsidR="00183575" w:rsidRDefault="00183575" w:rsidP="005A12C8">
      <w:pPr>
        <w:pStyle w:val="Orateurengris"/>
        <w:spacing w:before="120"/>
        <w:ind w:left="709" w:hanging="709"/>
      </w:pPr>
      <w:r>
        <w:t>En l</w:t>
      </w:r>
      <w:r w:rsidR="00346F1B">
        <w:t>’</w:t>
      </w:r>
      <w:r>
        <w:t>absence d</w:t>
      </w:r>
      <w:r w:rsidR="00346F1B">
        <w:t>’</w:t>
      </w:r>
      <w:r>
        <w:t xml:space="preserve">objections, le </w:t>
      </w:r>
      <w:r w:rsidRPr="00183575">
        <w:rPr>
          <w:b/>
        </w:rPr>
        <w:t>Président</w:t>
      </w:r>
      <w:r>
        <w:t xml:space="preserve"> a déclaré le paragraphe consacré au critère R.3 dans le paragraphe 2 adopté. Il est ensuite passé au paragraphe consacré au critère R.4 dans ce même paragraphe 2.</w:t>
      </w:r>
    </w:p>
    <w:p w14:paraId="2C62C8B6" w14:textId="00E0C316" w:rsidR="00183575" w:rsidRDefault="00183575" w:rsidP="005A12C8">
      <w:pPr>
        <w:pStyle w:val="Orateurengris"/>
        <w:spacing w:before="120"/>
        <w:ind w:left="709" w:hanging="709"/>
      </w:pPr>
      <w:r>
        <w:t xml:space="preserve">La délégation de la </w:t>
      </w:r>
      <w:r w:rsidRPr="00183575">
        <w:rPr>
          <w:b/>
        </w:rPr>
        <w:t>Turquie</w:t>
      </w:r>
      <w:r>
        <w:t xml:space="preserve"> soutenait l</w:t>
      </w:r>
      <w:r w:rsidR="00346F1B">
        <w:t>’</w:t>
      </w:r>
      <w:r w:rsidR="00F723A2">
        <w:t>amendement.</w:t>
      </w:r>
    </w:p>
    <w:p w14:paraId="7A4DFBF0" w14:textId="5508513B" w:rsidR="00183575" w:rsidRDefault="00183575" w:rsidP="005A12C8">
      <w:pPr>
        <w:pStyle w:val="Orateurengris"/>
        <w:spacing w:before="120"/>
        <w:ind w:left="709" w:hanging="709"/>
      </w:pPr>
      <w:r>
        <w:t xml:space="preserve">La délégation de </w:t>
      </w:r>
      <w:r w:rsidRPr="00183575">
        <w:rPr>
          <w:b/>
        </w:rPr>
        <w:t>l</w:t>
      </w:r>
      <w:r w:rsidR="00346F1B">
        <w:rPr>
          <w:b/>
        </w:rPr>
        <w:t>’</w:t>
      </w:r>
      <w:r w:rsidRPr="00183575">
        <w:rPr>
          <w:b/>
        </w:rPr>
        <w:t>Afghanistan</w:t>
      </w:r>
      <w:r>
        <w:t xml:space="preserve"> a signalé que, dans les éclaircissements apportés par le Kazakhstan, le nom de l</w:t>
      </w:r>
      <w:r w:rsidR="00346F1B">
        <w:t>’</w:t>
      </w:r>
      <w:r>
        <w:t>association avait été mentionné. Elle se demandait s</w:t>
      </w:r>
      <w:r w:rsidR="00346F1B">
        <w:t>’</w:t>
      </w:r>
      <w:r>
        <w:t>il ne serait pas approprié d</w:t>
      </w:r>
      <w:r w:rsidR="00346F1B">
        <w:t>’</w:t>
      </w:r>
      <w:r>
        <w:t>inclure ce nom afin de renforcer l</w:t>
      </w:r>
      <w:r w:rsidR="00346F1B">
        <w:t>’</w:t>
      </w:r>
      <w:r>
        <w:t>aspect culturel.</w:t>
      </w:r>
    </w:p>
    <w:p w14:paraId="0C2B3DFC" w14:textId="6AB4A83C" w:rsidR="00E03C46" w:rsidRDefault="00E03C46" w:rsidP="005A12C8">
      <w:pPr>
        <w:pStyle w:val="Orateurengris"/>
        <w:spacing w:before="120"/>
        <w:ind w:left="709" w:hanging="709"/>
      </w:pPr>
      <w:r>
        <w:t xml:space="preserve">Le </w:t>
      </w:r>
      <w:r w:rsidRPr="00E03C46">
        <w:rPr>
          <w:b/>
        </w:rPr>
        <w:t>Président</w:t>
      </w:r>
      <w:r>
        <w:t xml:space="preserve"> a demandé à l</w:t>
      </w:r>
      <w:r w:rsidR="00346F1B">
        <w:t>’</w:t>
      </w:r>
      <w:r>
        <w:t>Afghanistan de citer explicitem</w:t>
      </w:r>
      <w:r w:rsidR="001C08F3">
        <w:t xml:space="preserve">ent le texte à </w:t>
      </w:r>
      <w:r w:rsidR="00F723A2">
        <w:t>insérer.</w:t>
      </w:r>
    </w:p>
    <w:p w14:paraId="6E8C5159" w14:textId="31E0CABD" w:rsidR="001C08F3" w:rsidRDefault="001C08F3" w:rsidP="005A12C8">
      <w:pPr>
        <w:pStyle w:val="Orateurengris"/>
        <w:spacing w:before="120"/>
        <w:ind w:left="709" w:hanging="709"/>
      </w:pPr>
      <w:r>
        <w:t>La délégation de l</w:t>
      </w:r>
      <w:r w:rsidR="00346F1B">
        <w:t>’</w:t>
      </w:r>
      <w:r w:rsidRPr="001C08F3">
        <w:rPr>
          <w:b/>
        </w:rPr>
        <w:t>Afghanistan</w:t>
      </w:r>
      <w:r>
        <w:t xml:space="preserve"> a suggéré de </w:t>
      </w:r>
      <w:r w:rsidR="00F723A2">
        <w:t>donner la parole au Kazakhstan.</w:t>
      </w:r>
    </w:p>
    <w:p w14:paraId="59148A6C" w14:textId="68DC0614" w:rsidR="001C08F3" w:rsidRDefault="008A3699" w:rsidP="005A12C8">
      <w:pPr>
        <w:pStyle w:val="Orateurengris"/>
        <w:spacing w:before="120"/>
        <w:ind w:left="709" w:hanging="709"/>
      </w:pPr>
      <w:r>
        <w:t xml:space="preserve">Le </w:t>
      </w:r>
      <w:r w:rsidRPr="008A3699">
        <w:rPr>
          <w:b/>
        </w:rPr>
        <w:t>Président</w:t>
      </w:r>
      <w:r>
        <w:t xml:space="preserve"> ne pouvait pas donner la parole à l</w:t>
      </w:r>
      <w:r w:rsidR="00346F1B">
        <w:t>’</w:t>
      </w:r>
      <w:r>
        <w:t>État soumissionnaire car le Comité était en</w:t>
      </w:r>
      <w:r w:rsidR="00F723A2">
        <w:t xml:space="preserve"> train de prendre une décision.</w:t>
      </w:r>
    </w:p>
    <w:p w14:paraId="071E934F" w14:textId="0A5F7B2A" w:rsidR="006B6034" w:rsidRDefault="006B6034" w:rsidP="005A12C8">
      <w:pPr>
        <w:pStyle w:val="Orateurengris"/>
        <w:spacing w:before="120"/>
        <w:ind w:left="709" w:hanging="709"/>
      </w:pPr>
      <w:r>
        <w:t xml:space="preserve">La délégation de </w:t>
      </w:r>
      <w:r w:rsidRPr="006B6034">
        <w:rPr>
          <w:b/>
        </w:rPr>
        <w:t>l</w:t>
      </w:r>
      <w:r w:rsidR="00346F1B">
        <w:rPr>
          <w:b/>
        </w:rPr>
        <w:t>’</w:t>
      </w:r>
      <w:r w:rsidRPr="006B6034">
        <w:rPr>
          <w:b/>
        </w:rPr>
        <w:t>Afghanistan</w:t>
      </w:r>
      <w:r>
        <w:t xml:space="preserve"> a proposé d</w:t>
      </w:r>
      <w:r w:rsidR="00346F1B">
        <w:t>’</w:t>
      </w:r>
      <w:r>
        <w:t>insérer « et l</w:t>
      </w:r>
      <w:r w:rsidR="00346F1B">
        <w:t>’</w:t>
      </w:r>
      <w:r>
        <w:t>Association des baluans » après « des représentants de l</w:t>
      </w:r>
      <w:r w:rsidR="00346F1B">
        <w:t>’</w:t>
      </w:r>
      <w:r>
        <w:t>Agence des spor</w:t>
      </w:r>
      <w:r w:rsidR="00F723A2">
        <w:t>ts et de la culture physique ».</w:t>
      </w:r>
    </w:p>
    <w:p w14:paraId="52D5E356" w14:textId="2A19BC04" w:rsidR="006B6034" w:rsidRDefault="006B6034" w:rsidP="005A12C8">
      <w:pPr>
        <w:pStyle w:val="Orateurengris"/>
        <w:spacing w:before="120"/>
        <w:ind w:left="709" w:hanging="709"/>
      </w:pPr>
      <w:r>
        <w:t>La délégation de l</w:t>
      </w:r>
      <w:r w:rsidR="00346F1B">
        <w:t>’</w:t>
      </w:r>
      <w:r w:rsidRPr="006B6034">
        <w:rPr>
          <w:b/>
        </w:rPr>
        <w:t>Inde</w:t>
      </w:r>
      <w:r>
        <w:t xml:space="preserve"> soutenait l</w:t>
      </w:r>
      <w:r w:rsidR="00346F1B">
        <w:t>’</w:t>
      </w:r>
      <w:r>
        <w:t>amendement de l</w:t>
      </w:r>
      <w:r w:rsidR="00346F1B">
        <w:t>’</w:t>
      </w:r>
      <w:r w:rsidR="00F723A2">
        <w:t>Afghanistan.</w:t>
      </w:r>
    </w:p>
    <w:p w14:paraId="711135A4" w14:textId="3B53485D" w:rsidR="006B6034" w:rsidRDefault="006B6034" w:rsidP="005A12C8">
      <w:pPr>
        <w:pStyle w:val="Orateurengris"/>
        <w:spacing w:before="120"/>
        <w:ind w:left="709" w:hanging="709"/>
      </w:pPr>
      <w:r>
        <w:t xml:space="preserve">La délégation de la </w:t>
      </w:r>
      <w:r w:rsidRPr="006B6034">
        <w:rPr>
          <w:b/>
        </w:rPr>
        <w:t>Palestine</w:t>
      </w:r>
      <w:r>
        <w:t xml:space="preserve"> soutenait l</w:t>
      </w:r>
      <w:r w:rsidR="00346F1B">
        <w:t>’</w:t>
      </w:r>
      <w:r>
        <w:t>amendement de la Bulgarie et l</w:t>
      </w:r>
      <w:r w:rsidR="00346F1B">
        <w:t>’</w:t>
      </w:r>
      <w:r>
        <w:t>ajout de l</w:t>
      </w:r>
      <w:r w:rsidR="00346F1B">
        <w:t>’</w:t>
      </w:r>
      <w:r>
        <w:t>Afghanistan. Elle se demandait à nouveau s</w:t>
      </w:r>
      <w:r w:rsidR="00346F1B">
        <w:t>’</w:t>
      </w:r>
      <w:r>
        <w:t>il n</w:t>
      </w:r>
      <w:r w:rsidR="00346F1B">
        <w:t>’</w:t>
      </w:r>
      <w:r>
        <w:t>était pas préférable d</w:t>
      </w:r>
      <w:r w:rsidR="00346F1B">
        <w:t>’</w:t>
      </w:r>
      <w:r>
        <w:t>écouter les objections plutôt que les expressions de soutien, et ce, afin que le</w:t>
      </w:r>
      <w:r w:rsidR="00F723A2">
        <w:t xml:space="preserve"> Comité avance plus rapidement.</w:t>
      </w:r>
    </w:p>
    <w:p w14:paraId="64C56220" w14:textId="377AAAB3" w:rsidR="006B6034" w:rsidRDefault="006B6034" w:rsidP="005A12C8">
      <w:pPr>
        <w:pStyle w:val="Orateurengris"/>
        <w:spacing w:before="120"/>
        <w:ind w:left="709" w:hanging="709"/>
      </w:pPr>
      <w:r>
        <w:t xml:space="preserve">Le </w:t>
      </w:r>
      <w:r w:rsidRPr="006B6034">
        <w:rPr>
          <w:b/>
        </w:rPr>
        <w:t>Président</w:t>
      </w:r>
      <w:r>
        <w:t xml:space="preserve"> a assuré la Palestine qu</w:t>
      </w:r>
      <w:r w:rsidR="00346F1B">
        <w:t>’</w:t>
      </w:r>
      <w:r>
        <w:t xml:space="preserve">il </w:t>
      </w:r>
      <w:r w:rsidR="00926012">
        <w:t xml:space="preserve">avait une bonne connaissance </w:t>
      </w:r>
      <w:r>
        <w:t xml:space="preserve">des recommandations </w:t>
      </w:r>
      <w:r w:rsidR="00926012">
        <w:t xml:space="preserve">faites </w:t>
      </w:r>
      <w:r>
        <w:t>au Comité et</w:t>
      </w:r>
      <w:r w:rsidR="00926012">
        <w:t>,</w:t>
      </w:r>
      <w:r>
        <w:t xml:space="preserve"> en l</w:t>
      </w:r>
      <w:r w:rsidR="00346F1B">
        <w:t>’</w:t>
      </w:r>
      <w:r>
        <w:t>absence de demande de parole, il est passé à l</w:t>
      </w:r>
      <w:r w:rsidR="00346F1B">
        <w:t>’</w:t>
      </w:r>
      <w:r>
        <w:t>adoption du paragraphe consacré au critère R.4. En l</w:t>
      </w:r>
      <w:r w:rsidR="00346F1B">
        <w:t>’</w:t>
      </w:r>
      <w:r>
        <w:t>absence d</w:t>
      </w:r>
      <w:r w:rsidR="00346F1B">
        <w:t>’</w:t>
      </w:r>
      <w:r>
        <w:t xml:space="preserve"> d</w:t>
      </w:r>
      <w:r w:rsidR="00346F1B">
        <w:t>’</w:t>
      </w:r>
      <w:r>
        <w:t xml:space="preserve">objections, celui-ci a été </w:t>
      </w:r>
      <w:r w:rsidR="008052AC">
        <w:t>dûment</w:t>
      </w:r>
      <w:r>
        <w:t xml:space="preserve"> adopté.</w:t>
      </w:r>
      <w:r w:rsidR="00926012">
        <w:t xml:space="preserve"> Il est ensuite passé au paragraphe consacré au critère R.5 tel qu</w:t>
      </w:r>
      <w:r w:rsidR="00346F1B">
        <w:t>’</w:t>
      </w:r>
      <w:r w:rsidR="00F723A2">
        <w:t>amendé par la Bulgarie.</w:t>
      </w:r>
    </w:p>
    <w:p w14:paraId="19C2951A" w14:textId="528C19D3" w:rsidR="00926012" w:rsidRDefault="00926012" w:rsidP="005A12C8">
      <w:pPr>
        <w:pStyle w:val="Orateurengris"/>
        <w:spacing w:before="120"/>
        <w:ind w:left="709" w:hanging="709"/>
      </w:pPr>
      <w:r>
        <w:t>Concernant l</w:t>
      </w:r>
      <w:r w:rsidR="00346F1B">
        <w:t>’</w:t>
      </w:r>
      <w:r>
        <w:t>actualisation de l</w:t>
      </w:r>
      <w:r w:rsidR="00346F1B">
        <w:t>’</w:t>
      </w:r>
      <w:r>
        <w:t xml:space="preserve">inventaire, la délégation de </w:t>
      </w:r>
      <w:r w:rsidRPr="00926012">
        <w:rPr>
          <w:b/>
        </w:rPr>
        <w:t>Maurice</w:t>
      </w:r>
      <w:r>
        <w:t xml:space="preserve"> souhaitait savoir si elle serait réalisée après l</w:t>
      </w:r>
      <w:r w:rsidR="00346F1B">
        <w:t>’</w:t>
      </w:r>
      <w:r>
        <w:t>inscription ou si elle était déjà en cours et pré</w:t>
      </w:r>
      <w:r w:rsidR="00F723A2">
        <w:t>vue tous les deux ou trois ans.</w:t>
      </w:r>
    </w:p>
    <w:p w14:paraId="71E184D9" w14:textId="798C5BEF" w:rsidR="00926012" w:rsidRDefault="00926012" w:rsidP="005A12C8">
      <w:pPr>
        <w:pStyle w:val="Orateurengris"/>
        <w:spacing w:before="120"/>
        <w:ind w:left="709" w:hanging="709"/>
      </w:pPr>
      <w:r>
        <w:t xml:space="preserve">Le </w:t>
      </w:r>
      <w:r w:rsidRPr="00926012">
        <w:rPr>
          <w:b/>
        </w:rPr>
        <w:t>Président</w:t>
      </w:r>
      <w:r>
        <w:t xml:space="preserve"> a demandé à qui la délégation de M</w:t>
      </w:r>
      <w:r w:rsidR="00F723A2">
        <w:t>aurice adressait cette question</w:t>
      </w:r>
      <w:r w:rsidR="00AE07E0">
        <w:t>.</w:t>
      </w:r>
    </w:p>
    <w:p w14:paraId="0EE87C38" w14:textId="5C74506D" w:rsidR="00926012" w:rsidRDefault="00926012" w:rsidP="005A12C8">
      <w:pPr>
        <w:pStyle w:val="Orateurengris"/>
        <w:spacing w:before="120"/>
        <w:ind w:left="709" w:hanging="709"/>
      </w:pPr>
      <w:r>
        <w:t xml:space="preserve">La délégation de </w:t>
      </w:r>
      <w:r w:rsidRPr="00926012">
        <w:rPr>
          <w:b/>
        </w:rPr>
        <w:t>Maurice</w:t>
      </w:r>
      <w:r>
        <w:t xml:space="preserve"> a expliqué qu</w:t>
      </w:r>
      <w:r w:rsidR="00346F1B">
        <w:t>’</w:t>
      </w:r>
      <w:r>
        <w:t>à la lecture du paragraphe, on ne saurait dire si l</w:t>
      </w:r>
      <w:r w:rsidR="00346F1B">
        <w:t>’</w:t>
      </w:r>
      <w:r>
        <w:t>inventaire serait actualisé à l</w:t>
      </w:r>
      <w:r w:rsidR="00346F1B">
        <w:t>’</w:t>
      </w:r>
      <w:r>
        <w:t>avenir ou s</w:t>
      </w:r>
      <w:r w:rsidR="00346F1B">
        <w:t>’</w:t>
      </w:r>
      <w:r>
        <w:t>il l</w:t>
      </w:r>
      <w:r w:rsidR="00346F1B">
        <w:t>’</w:t>
      </w:r>
      <w:r>
        <w:t>était en cours d</w:t>
      </w:r>
      <w:r w:rsidR="00346F1B">
        <w:t>’</w:t>
      </w:r>
      <w:r w:rsidR="00F723A2">
        <w:t>actualisation.</w:t>
      </w:r>
    </w:p>
    <w:p w14:paraId="798B2EF9" w14:textId="718D0C6A" w:rsidR="00926012" w:rsidRDefault="00926012" w:rsidP="005A12C8">
      <w:pPr>
        <w:pStyle w:val="Orateurengris"/>
        <w:spacing w:before="120"/>
        <w:ind w:left="709" w:hanging="709"/>
      </w:pPr>
      <w:r>
        <w:t xml:space="preserve">Le </w:t>
      </w:r>
      <w:r w:rsidRPr="00926012">
        <w:rPr>
          <w:b/>
        </w:rPr>
        <w:t>Président</w:t>
      </w:r>
      <w:r>
        <w:t xml:space="preserve"> a précisé que le paragraphe sur le critère R.5 mentionnait </w:t>
      </w:r>
      <w:r w:rsidR="00F723A2">
        <w:t>« tous les deux ou trois ans ».</w:t>
      </w:r>
    </w:p>
    <w:p w14:paraId="11E83F92" w14:textId="7B53E34B" w:rsidR="00581126" w:rsidRDefault="00581126" w:rsidP="005A12C8">
      <w:pPr>
        <w:pStyle w:val="Orateurengris"/>
        <w:spacing w:before="120"/>
        <w:ind w:left="709" w:hanging="709"/>
      </w:pPr>
      <w:r>
        <w:t xml:space="preserve">La délégation de </w:t>
      </w:r>
      <w:r w:rsidRPr="00581126">
        <w:rPr>
          <w:b/>
        </w:rPr>
        <w:t>Maurice</w:t>
      </w:r>
      <w:r>
        <w:t xml:space="preserve"> a expliqué que le paragraphe mentionnait « sera actualisé », et elle a donc proposé «</w:t>
      </w:r>
      <w:r w:rsidR="00F723A2">
        <w:t> est régulièrement actualisé ».</w:t>
      </w:r>
    </w:p>
    <w:p w14:paraId="4C8FB010" w14:textId="2A99E688" w:rsidR="00581126" w:rsidRDefault="00581126" w:rsidP="005A12C8">
      <w:pPr>
        <w:pStyle w:val="Orateurengris"/>
        <w:spacing w:before="120"/>
        <w:ind w:left="709" w:hanging="709"/>
      </w:pPr>
      <w:r>
        <w:t xml:space="preserve">La délégation de la </w:t>
      </w:r>
      <w:r w:rsidRPr="00581126">
        <w:rPr>
          <w:b/>
        </w:rPr>
        <w:t>Zambie</w:t>
      </w:r>
      <w:r>
        <w:t xml:space="preserve"> soutenait l</w:t>
      </w:r>
      <w:r w:rsidR="00346F1B">
        <w:t>’</w:t>
      </w:r>
      <w:r>
        <w:t>amendement de Maurice. Elle a ajouté qu</w:t>
      </w:r>
      <w:r w:rsidR="00346F1B">
        <w:t>’</w:t>
      </w:r>
      <w:r>
        <w:t>elle n</w:t>
      </w:r>
      <w:r w:rsidR="00346F1B">
        <w:t>’</w:t>
      </w:r>
      <w:r>
        <w:t>était pas certaine qu</w:t>
      </w:r>
      <w:r w:rsidR="00346F1B">
        <w:t>’</w:t>
      </w:r>
      <w:r>
        <w:t>il soit nécessaire de préciser « tous les deux ou trois ans » s</w:t>
      </w:r>
      <w:r w:rsidR="00346F1B">
        <w:t>’</w:t>
      </w:r>
      <w:r>
        <w:t>il était « régulièrement actualisé ». En outre, on pourrait inclure « par le ministère concerné » au lieu de « par le ministère de la Culture et du Sport » en cas de transfert de responsabilité de l</w:t>
      </w:r>
      <w:r w:rsidR="00346F1B">
        <w:t>’</w:t>
      </w:r>
      <w:r>
        <w:t>actualisation de l</w:t>
      </w:r>
      <w:r w:rsidR="00346F1B">
        <w:t>’</w:t>
      </w:r>
      <w:r>
        <w:t>i</w:t>
      </w:r>
      <w:r w:rsidR="00F723A2">
        <w:t>nventaire à un autre ministère.</w:t>
      </w:r>
    </w:p>
    <w:p w14:paraId="2704B2C8" w14:textId="0DAB88CC" w:rsidR="00581126" w:rsidRDefault="00581126" w:rsidP="005A12C8">
      <w:pPr>
        <w:pStyle w:val="Orateurengris"/>
        <w:spacing w:before="120"/>
        <w:ind w:left="709" w:hanging="709"/>
      </w:pPr>
      <w:r>
        <w:t>En l</w:t>
      </w:r>
      <w:r w:rsidR="00346F1B">
        <w:t>’</w:t>
      </w:r>
      <w:r>
        <w:t>absence d</w:t>
      </w:r>
      <w:r w:rsidR="00346F1B">
        <w:t>’</w:t>
      </w:r>
      <w:r>
        <w:t xml:space="preserve">autres commentaires ou objections, le </w:t>
      </w:r>
      <w:r w:rsidRPr="00581126">
        <w:rPr>
          <w:b/>
        </w:rPr>
        <w:t>Président</w:t>
      </w:r>
      <w:r>
        <w:t xml:space="preserve"> a déclaré le paragraphe consacré au critère R.5 du paragraphe 2 adopté. Il est ensuite passé à l</w:t>
      </w:r>
      <w:r w:rsidR="00346F1B">
        <w:t>’</w:t>
      </w:r>
      <w:r>
        <w:t xml:space="preserve">adoption du paragraphe 2 dans son ensemble. Celui-ci a été </w:t>
      </w:r>
      <w:r w:rsidR="008052AC">
        <w:t>dûment</w:t>
      </w:r>
      <w:r>
        <w:t xml:space="preserve"> adopté tel qu</w:t>
      </w:r>
      <w:r w:rsidR="00346F1B">
        <w:t>’</w:t>
      </w:r>
      <w:r>
        <w:t>amendé. Le paragraphe 3 « In</w:t>
      </w:r>
      <w:r w:rsidR="00F723A2">
        <w:t>scrit » a également été adopté.</w:t>
      </w:r>
    </w:p>
    <w:p w14:paraId="56960108" w14:textId="409EBD97" w:rsidR="00581126" w:rsidRDefault="00581126" w:rsidP="005A12C8">
      <w:pPr>
        <w:pStyle w:val="Orateurengris"/>
        <w:spacing w:before="120"/>
        <w:ind w:left="709" w:hanging="709"/>
      </w:pPr>
      <w:r>
        <w:t xml:space="preserve">Le </w:t>
      </w:r>
      <w:r w:rsidRPr="00581126">
        <w:rPr>
          <w:b/>
        </w:rPr>
        <w:t>Secrétaire</w:t>
      </w:r>
      <w:r>
        <w:t xml:space="preserve"> a rappelé au Comité le paragraph</w:t>
      </w:r>
      <w:r w:rsidR="003D6ACA">
        <w:t xml:space="preserve">e standard, </w:t>
      </w:r>
      <w:r>
        <w:t>qui avait fai</w:t>
      </w:r>
      <w:r w:rsidR="003D6ACA">
        <w:t>t l</w:t>
      </w:r>
      <w:r w:rsidR="00346F1B">
        <w:t>’</w:t>
      </w:r>
      <w:r w:rsidR="003D6ACA">
        <w:t>objet d</w:t>
      </w:r>
      <w:r w:rsidR="00346F1B">
        <w:t>’</w:t>
      </w:r>
      <w:r w:rsidR="003D6ACA">
        <w:t>un précédent débat, qui évoquerait tous les éclaircissements apportés. Afin de gagner du temps et d</w:t>
      </w:r>
      <w:r w:rsidR="00346F1B">
        <w:t>’</w:t>
      </w:r>
      <w:r w:rsidR="003D6ACA">
        <w:t>être cohérent, le Secrétaire a proposé de supprimer les deux paragraphes 4 et 5 et de les remplacer par le paragraphe standard qui avait été utilisé pour tous les dossiers dans lesquels l</w:t>
      </w:r>
      <w:r w:rsidR="00346F1B">
        <w:t>’</w:t>
      </w:r>
      <w:r w:rsidR="003D6ACA">
        <w:t>État partie avai</w:t>
      </w:r>
      <w:r w:rsidR="00F723A2">
        <w:t>t apporté des éclaircissements.</w:t>
      </w:r>
    </w:p>
    <w:p w14:paraId="4A2A8DB3" w14:textId="7DEFF04A" w:rsidR="003D6ACA" w:rsidRDefault="003D6ACA" w:rsidP="005A12C8">
      <w:pPr>
        <w:pStyle w:val="Orateurengris"/>
        <w:spacing w:before="120"/>
        <w:ind w:left="709" w:hanging="709"/>
      </w:pPr>
      <w:r>
        <w:t xml:space="preserve">Le </w:t>
      </w:r>
      <w:r w:rsidRPr="003D6ACA">
        <w:rPr>
          <w:b/>
        </w:rPr>
        <w:t>Président</w:t>
      </w:r>
      <w:r>
        <w:t xml:space="preserve"> a demandé au Comité s</w:t>
      </w:r>
      <w:r w:rsidR="00346F1B">
        <w:t>’</w:t>
      </w:r>
      <w:r>
        <w:t>il pouvait souscrire à cette proposition.</w:t>
      </w:r>
    </w:p>
    <w:p w14:paraId="70249764" w14:textId="2CFEAD94" w:rsidR="003D6ACA" w:rsidRDefault="003D6ACA" w:rsidP="005A12C8">
      <w:pPr>
        <w:pStyle w:val="Orateurengris"/>
        <w:spacing w:before="120"/>
        <w:ind w:left="709" w:hanging="709"/>
      </w:pPr>
      <w:r>
        <w:t>La délégation de l</w:t>
      </w:r>
      <w:r w:rsidR="00346F1B">
        <w:t>’</w:t>
      </w:r>
      <w:r w:rsidRPr="003D6ACA">
        <w:rPr>
          <w:b/>
        </w:rPr>
        <w:t>Arménie</w:t>
      </w:r>
      <w:r>
        <w:t xml:space="preserve"> soutenait la proposition du Secrétaire, ajoutant que c</w:t>
      </w:r>
      <w:r w:rsidR="00346F1B">
        <w:t>’</w:t>
      </w:r>
      <w:r>
        <w:t>était ainsi plus conforme au paragraphe que l</w:t>
      </w:r>
      <w:r w:rsidR="00346F1B">
        <w:t>’</w:t>
      </w:r>
      <w:r>
        <w:t>on venait d</w:t>
      </w:r>
      <w:r w:rsidR="00346F1B">
        <w:t>’</w:t>
      </w:r>
      <w:r w:rsidR="00F723A2">
        <w:t>adopter.</w:t>
      </w:r>
    </w:p>
    <w:p w14:paraId="0C47C06E" w14:textId="0EE15737" w:rsidR="003D6ACA" w:rsidRDefault="003D6ACA" w:rsidP="005A12C8">
      <w:pPr>
        <w:pStyle w:val="Orateurengris"/>
        <w:spacing w:before="120"/>
        <w:ind w:left="709" w:hanging="709"/>
      </w:pPr>
      <w:r>
        <w:t xml:space="preserve">Les délégations de la </w:t>
      </w:r>
      <w:r w:rsidRPr="003D6ACA">
        <w:rPr>
          <w:b/>
        </w:rPr>
        <w:t>Palestine</w:t>
      </w:r>
      <w:r>
        <w:t xml:space="preserve"> et de la </w:t>
      </w:r>
      <w:r w:rsidRPr="003D6ACA">
        <w:rPr>
          <w:b/>
        </w:rPr>
        <w:t>Turquie</w:t>
      </w:r>
      <w:r>
        <w:t xml:space="preserve"> ont approuvé la proposition du Secrétariat.</w:t>
      </w:r>
    </w:p>
    <w:p w14:paraId="7C4767D4" w14:textId="13F5CA3F" w:rsidR="00DA037A" w:rsidRDefault="00DA037A" w:rsidP="005A12C8">
      <w:pPr>
        <w:pStyle w:val="Orateurengris"/>
        <w:spacing w:before="120"/>
        <w:ind w:left="709" w:hanging="709"/>
      </w:pPr>
      <w:r>
        <w:t xml:space="preserve">Le </w:t>
      </w:r>
      <w:r w:rsidRPr="00DA037A">
        <w:rPr>
          <w:b/>
        </w:rPr>
        <w:t>Président</w:t>
      </w:r>
      <w:r>
        <w:t xml:space="preserve"> est passé à l</w:t>
      </w:r>
      <w:r w:rsidR="00346F1B">
        <w:t>’</w:t>
      </w:r>
      <w:r>
        <w:t>adoption du paragraphe standard [désormais paragraphe 4]</w:t>
      </w:r>
      <w:r w:rsidR="00201C55">
        <w:t>,</w:t>
      </w:r>
      <w:r>
        <w:t xml:space="preserve"> après la suppression des deux paragraphes 4 et 5 d</w:t>
      </w:r>
      <w:r w:rsidR="00346F1B">
        <w:t>’</w:t>
      </w:r>
      <w:r>
        <w:t>origin</w:t>
      </w:r>
      <w:r w:rsidR="00201C55">
        <w:t>e. En l</w:t>
      </w:r>
      <w:r w:rsidR="00346F1B">
        <w:t>’</w:t>
      </w:r>
      <w:r w:rsidR="00201C55">
        <w:t>absence d</w:t>
      </w:r>
      <w:r w:rsidR="00346F1B">
        <w:t>’</w:t>
      </w:r>
      <w:r w:rsidR="00201C55">
        <w:t>objections, le</w:t>
      </w:r>
      <w:r>
        <w:t xml:space="preserve"> paragraphe 4 a été adopté. Le Président a proposé d</w:t>
      </w:r>
      <w:r w:rsidR="00346F1B">
        <w:t>’</w:t>
      </w:r>
      <w:r>
        <w:t>adopter la décision dans son ensemble. En l</w:t>
      </w:r>
      <w:r w:rsidR="00346F1B">
        <w:t>’</w:t>
      </w:r>
      <w:r>
        <w:t>absence de commentaires ou d</w:t>
      </w:r>
      <w:r w:rsidR="00346F1B">
        <w:t>’</w:t>
      </w:r>
      <w:r>
        <w:t xml:space="preserve">objections, le </w:t>
      </w:r>
      <w:r w:rsidRPr="00201C55">
        <w:rPr>
          <w:b/>
        </w:rPr>
        <w:t>Président a déclaré adoptée la décision 11.COM 10.b.20 d</w:t>
      </w:r>
      <w:r w:rsidR="00346F1B">
        <w:rPr>
          <w:b/>
        </w:rPr>
        <w:t>’</w:t>
      </w:r>
      <w:r w:rsidRPr="00201C55">
        <w:rPr>
          <w:b/>
        </w:rPr>
        <w:t>inscrire le koures au Kazakhstan sur la Liste représentative du patrimoine culturel immatériel de l</w:t>
      </w:r>
      <w:r w:rsidR="00346F1B">
        <w:rPr>
          <w:b/>
        </w:rPr>
        <w:t>’</w:t>
      </w:r>
      <w:r w:rsidRPr="00201C55">
        <w:rPr>
          <w:b/>
        </w:rPr>
        <w:t>humanité</w:t>
      </w:r>
      <w:r w:rsidR="00F723A2">
        <w:t>.</w:t>
      </w:r>
    </w:p>
    <w:p w14:paraId="20ADC376" w14:textId="7B568E80" w:rsidR="00201C55" w:rsidRPr="00201C55" w:rsidRDefault="00201C55" w:rsidP="005A12C8">
      <w:pPr>
        <w:pStyle w:val="Orateurengris"/>
        <w:spacing w:before="120"/>
        <w:ind w:left="709" w:hanging="709"/>
      </w:pPr>
      <w:r w:rsidRPr="00201C55">
        <w:t xml:space="preserve">La délégation du </w:t>
      </w:r>
      <w:r w:rsidRPr="00201C55">
        <w:rPr>
          <w:b/>
        </w:rPr>
        <w:t>Kazakhstan</w:t>
      </w:r>
      <w:r>
        <w:t xml:space="preserve"> a évoqué le grand honneur qu</w:t>
      </w:r>
      <w:r w:rsidR="00346F1B">
        <w:t>’</w:t>
      </w:r>
      <w:r>
        <w:t>elle ressentait à l</w:t>
      </w:r>
      <w:r w:rsidR="00346F1B">
        <w:t>’</w:t>
      </w:r>
      <w:r>
        <w:t>occasion de l</w:t>
      </w:r>
      <w:r w:rsidR="00346F1B">
        <w:t>’</w:t>
      </w:r>
      <w:r>
        <w:t xml:space="preserve">inscription du koures. Elle a remercié le Président, et le Comité pour son extraordinaire soutien. </w:t>
      </w:r>
      <w:r w:rsidR="0063426D">
        <w:t>Le koures au Kazakhstan était un art ancien de la lutte traditionnelle et l</w:t>
      </w:r>
      <w:r w:rsidR="00346F1B">
        <w:t>’</w:t>
      </w:r>
      <w:r w:rsidR="0063426D">
        <w:t>un des principaux éléments des fêtes et de l</w:t>
      </w:r>
      <w:r w:rsidR="00346F1B">
        <w:t>’</w:t>
      </w:r>
      <w:r w:rsidR="0063426D">
        <w:t xml:space="preserve">identité nationale du peuple kazakh. Depuis les temps les plus anciens, la beauté de ce sport et la puissance de la lutte héroïque des baluans étaient </w:t>
      </w:r>
      <w:r w:rsidR="00765B07">
        <w:t xml:space="preserve">évoquées </w:t>
      </w:r>
      <w:r w:rsidR="0063426D">
        <w:t>dans les épopées nationales et les contes et légendes de la littérature kazakhe. Une forme identique de lutte existait également chez les autres peuples d</w:t>
      </w:r>
      <w:r w:rsidR="00346F1B">
        <w:t>’</w:t>
      </w:r>
      <w:r w:rsidR="0063426D">
        <w:t>Asie centrale. Le koures était désormais un sport traditionnel très populaire. L</w:t>
      </w:r>
      <w:r w:rsidR="00346F1B">
        <w:t>’</w:t>
      </w:r>
      <w:r w:rsidR="0063426D">
        <w:t>inscription de cet élément permettrait d</w:t>
      </w:r>
      <w:r w:rsidR="00346F1B">
        <w:t>’</w:t>
      </w:r>
      <w:r w:rsidR="0063426D">
        <w:t>accroitre l</w:t>
      </w:r>
      <w:r w:rsidR="00346F1B">
        <w:t>’</w:t>
      </w:r>
      <w:r w:rsidR="0063426D">
        <w:t>intérêt du public pour l</w:t>
      </w:r>
      <w:r w:rsidR="00346F1B">
        <w:t>’</w:t>
      </w:r>
      <w:r w:rsidR="0063426D">
        <w:t>histoire et la culture des civilisations nomades, et de promouvoir les sports nationaux et la recherche scientifique dans le monde entier. La délégation a félicité les détenteurs et praticiens, ainsi que toutes les organisations participant à la transmission de cet art de génération en génération, en particulier la Fédération national</w:t>
      </w:r>
      <w:r w:rsidR="00765B07">
        <w:t>e de koures kazakh et le fonds</w:t>
      </w:r>
      <w:r w:rsidR="0063426D">
        <w:t xml:space="preserve"> </w:t>
      </w:r>
      <w:r w:rsidR="00765B07">
        <w:t>public Kazakhstan Barysy. La délégation a signalé qu</w:t>
      </w:r>
      <w:r w:rsidR="00346F1B">
        <w:t>’</w:t>
      </w:r>
      <w:r w:rsidR="00765B07">
        <w:t xml:space="preserve">un baluan était </w:t>
      </w:r>
      <w:r w:rsidR="00A46CAD">
        <w:t>membre</w:t>
      </w:r>
      <w:r w:rsidR="00765B07">
        <w:t xml:space="preserve"> de la délégation, et que l</w:t>
      </w:r>
      <w:r w:rsidR="00346F1B">
        <w:t>’</w:t>
      </w:r>
      <w:r w:rsidR="00765B07">
        <w:t>on pourrait assister à de belles rencontres sportives lors de « l</w:t>
      </w:r>
      <w:r w:rsidR="00346F1B">
        <w:t>’</w:t>
      </w:r>
      <w:r w:rsidR="00765B07">
        <w:t>Expo » qui se tiendrait à Astana en 2017.</w:t>
      </w:r>
    </w:p>
    <w:p w14:paraId="5286ADE7" w14:textId="68FCE73A" w:rsidR="00E62E21" w:rsidRDefault="00E62E21" w:rsidP="005A12C8">
      <w:pPr>
        <w:pStyle w:val="Orateurengris"/>
        <w:spacing w:before="120"/>
        <w:ind w:left="709" w:hanging="709"/>
      </w:pPr>
      <w:r>
        <w:t xml:space="preserve">Le </w:t>
      </w:r>
      <w:r w:rsidRPr="00E62E21">
        <w:rPr>
          <w:b/>
        </w:rPr>
        <w:t>Président</w:t>
      </w:r>
      <w:r>
        <w:t xml:space="preserve"> a félicité le Kazakhstan, et a donné la parole au Secrétaire pour quelques annonces d</w:t>
      </w:r>
      <w:r w:rsidR="00346F1B">
        <w:t>’</w:t>
      </w:r>
      <w:r>
        <w:t>ordre pratique.</w:t>
      </w:r>
    </w:p>
    <w:p w14:paraId="37836A21" w14:textId="1453672F" w:rsidR="00E62E21" w:rsidRDefault="00E62E21" w:rsidP="005A12C8">
      <w:pPr>
        <w:pStyle w:val="Orateurengris"/>
        <w:spacing w:before="120"/>
        <w:ind w:left="709" w:hanging="709"/>
      </w:pPr>
      <w:r>
        <w:t xml:space="preserve">Le </w:t>
      </w:r>
      <w:r w:rsidRPr="00E62E21">
        <w:rPr>
          <w:b/>
        </w:rPr>
        <w:t>Secrétaire</w:t>
      </w:r>
      <w:r>
        <w:t xml:space="preserve"> a informé le Comité des activités se déroulant pendant l</w:t>
      </w:r>
      <w:r w:rsidR="00346F1B">
        <w:t>’</w:t>
      </w:r>
      <w:r>
        <w:t>heure du déjeuner. Les facilitateurs de l</w:t>
      </w:r>
      <w:r w:rsidR="00346F1B">
        <w:t>’</w:t>
      </w:r>
      <w:r>
        <w:t>UNESCO se rencontreraient pour la deuxième fois. Le Forum des ONG du PCI consacré au renforcement des capacités se réunirait également et, enfin, un cocktail serait organisé par la Turquie après la séance de cette jour</w:t>
      </w:r>
      <w:r w:rsidR="00F723A2">
        <w:t>née.</w:t>
      </w:r>
    </w:p>
    <w:p w14:paraId="35F07995" w14:textId="54988FD6" w:rsidR="006844BD" w:rsidRPr="000A6378" w:rsidRDefault="00E62E21" w:rsidP="002B4948">
      <w:pPr>
        <w:pStyle w:val="Orateurengris"/>
        <w:numPr>
          <w:ilvl w:val="0"/>
          <w:numId w:val="0"/>
        </w:numPr>
        <w:spacing w:before="120"/>
        <w:ind w:left="709" w:hanging="709"/>
        <w:jc w:val="center"/>
        <w:outlineLvl w:val="0"/>
        <w:rPr>
          <w:i/>
        </w:rPr>
      </w:pPr>
      <w:r>
        <w:rPr>
          <w:rFonts w:eastAsia="Cambria"/>
          <w:i/>
        </w:rPr>
        <w:t>[Jeudi 1</w:t>
      </w:r>
      <w:r w:rsidRPr="00E62E21">
        <w:rPr>
          <w:rFonts w:eastAsia="Cambria"/>
          <w:i/>
          <w:vertAlign w:val="superscript"/>
        </w:rPr>
        <w:t>er</w:t>
      </w:r>
      <w:r>
        <w:rPr>
          <w:rFonts w:eastAsia="Cambria"/>
          <w:i/>
        </w:rPr>
        <w:t xml:space="preserve"> décembre, séance de l</w:t>
      </w:r>
      <w:r w:rsidR="00346F1B">
        <w:rPr>
          <w:rFonts w:eastAsia="Cambria"/>
          <w:i/>
        </w:rPr>
        <w:t>’</w:t>
      </w:r>
      <w:r>
        <w:rPr>
          <w:rFonts w:eastAsia="Cambria"/>
          <w:i/>
        </w:rPr>
        <w:t>après-midi</w:t>
      </w:r>
      <w:r w:rsidR="00F723A2">
        <w:rPr>
          <w:i/>
        </w:rPr>
        <w:t>]</w:t>
      </w:r>
    </w:p>
    <w:p w14:paraId="5DFB7629" w14:textId="60C98AFC" w:rsidR="006844BD" w:rsidRPr="00E62E21" w:rsidRDefault="00E62E21" w:rsidP="00F723A2">
      <w:pPr>
        <w:pStyle w:val="Orateurengris"/>
        <w:numPr>
          <w:ilvl w:val="0"/>
          <w:numId w:val="0"/>
        </w:numPr>
        <w:spacing w:before="360" w:after="60"/>
        <w:ind w:left="567" w:hanging="567"/>
        <w:outlineLvl w:val="0"/>
        <w:rPr>
          <w:rFonts w:eastAsiaTheme="minorEastAsia"/>
          <w:b/>
          <w:color w:val="323133"/>
          <w:u w:val="single"/>
          <w:lang w:eastAsia="ja-JP"/>
        </w:rPr>
      </w:pPr>
      <w:r w:rsidRPr="00E62E21">
        <w:rPr>
          <w:rFonts w:eastAsiaTheme="minorEastAsia"/>
          <w:b/>
          <w:color w:val="323133"/>
          <w:u w:val="single"/>
          <w:lang w:eastAsia="ja-JP"/>
        </w:rPr>
        <w:t>POINT 10.b DE L</w:t>
      </w:r>
      <w:r w:rsidR="00346F1B">
        <w:rPr>
          <w:rFonts w:eastAsiaTheme="minorEastAsia"/>
          <w:b/>
          <w:color w:val="323133"/>
          <w:u w:val="single"/>
          <w:lang w:eastAsia="ja-JP"/>
        </w:rPr>
        <w:t>’</w:t>
      </w:r>
      <w:r w:rsidRPr="00E62E21">
        <w:rPr>
          <w:rFonts w:eastAsiaTheme="minorEastAsia"/>
          <w:b/>
          <w:color w:val="323133"/>
          <w:u w:val="single"/>
          <w:lang w:eastAsia="ja-JP"/>
        </w:rPr>
        <w:t>ORDRE DU JOUR</w:t>
      </w:r>
      <w:r>
        <w:rPr>
          <w:rFonts w:eastAsiaTheme="minorEastAsia"/>
          <w:b/>
          <w:color w:val="323133"/>
          <w:u w:val="single"/>
          <w:lang w:eastAsia="ja-JP"/>
        </w:rPr>
        <w:t xml:space="preserve"> (SUITE)</w:t>
      </w:r>
    </w:p>
    <w:p w14:paraId="3542B3B2" w14:textId="42CBBE05" w:rsidR="00E62E21" w:rsidRPr="00E62E21" w:rsidRDefault="00E62E21" w:rsidP="00F723A2">
      <w:pPr>
        <w:pStyle w:val="Orateurengris"/>
        <w:numPr>
          <w:ilvl w:val="0"/>
          <w:numId w:val="0"/>
        </w:numPr>
        <w:outlineLvl w:val="0"/>
        <w:rPr>
          <w:rFonts w:eastAsiaTheme="minorEastAsia"/>
          <w:b/>
        </w:rPr>
      </w:pPr>
      <w:r w:rsidRPr="00E62E21">
        <w:rPr>
          <w:rFonts w:eastAsiaTheme="minorEastAsia"/>
          <w:b/>
          <w:color w:val="323133"/>
          <w:lang w:eastAsia="ja-JP"/>
        </w:rPr>
        <w:t xml:space="preserve">EXAMEN DES CANDIDATURES POUR INSCRIPTION SUR LA </w:t>
      </w:r>
      <w:r>
        <w:rPr>
          <w:rFonts w:eastAsiaTheme="minorEastAsia"/>
          <w:b/>
          <w:color w:val="323133"/>
          <w:lang w:eastAsia="ja-JP"/>
        </w:rPr>
        <w:t>LISTE REPRÉSENTATIVE DU PATRIMOINE CULTUREL IMMATÉRIEL DE L</w:t>
      </w:r>
      <w:r w:rsidR="00346F1B">
        <w:rPr>
          <w:rFonts w:eastAsiaTheme="minorEastAsia"/>
          <w:b/>
          <w:color w:val="323133"/>
          <w:lang w:eastAsia="ja-JP"/>
        </w:rPr>
        <w:t>’</w:t>
      </w:r>
      <w:r w:rsidRPr="00E62E21">
        <w:rPr>
          <w:rFonts w:eastAsiaTheme="minorEastAsia"/>
          <w:b/>
          <w:color w:val="323133"/>
          <w:lang w:eastAsia="ja-JP"/>
        </w:rPr>
        <w:t>HUMANITÉ</w:t>
      </w:r>
    </w:p>
    <w:p w14:paraId="4FDF2AD5" w14:textId="428E5307" w:rsidR="00E62E21" w:rsidRDefault="00E62E21" w:rsidP="00B600B4">
      <w:pPr>
        <w:pStyle w:val="Orateurengris"/>
        <w:spacing w:before="240"/>
        <w:ind w:left="709" w:hanging="709"/>
      </w:pPr>
      <w:r>
        <w:t xml:space="preserve">Le </w:t>
      </w:r>
      <w:r w:rsidRPr="00E62E21">
        <w:rPr>
          <w:b/>
        </w:rPr>
        <w:t>Président</w:t>
      </w:r>
      <w:r>
        <w:t xml:space="preserve"> a donné la parole au Vice-Président de l</w:t>
      </w:r>
      <w:r w:rsidR="00346F1B">
        <w:t>’</w:t>
      </w:r>
      <w:r>
        <w:t>Organe d</w:t>
      </w:r>
      <w:r w:rsidR="00346F1B">
        <w:t>’</w:t>
      </w:r>
      <w:r>
        <w:t>évaluation afin qu</w:t>
      </w:r>
      <w:r w:rsidR="00346F1B">
        <w:t>’</w:t>
      </w:r>
      <w:r>
        <w:t>il présente la candidature</w:t>
      </w:r>
      <w:r w:rsidR="00F723A2">
        <w:t xml:space="preserve"> suivante, soumise par Maurice.</w:t>
      </w:r>
    </w:p>
    <w:p w14:paraId="05A77904" w14:textId="7BD2F1FC" w:rsidR="00E62E21" w:rsidRDefault="00E62E21" w:rsidP="00F24F73">
      <w:pPr>
        <w:pStyle w:val="Orateurengris"/>
        <w:spacing w:before="120"/>
        <w:ind w:left="709" w:hanging="709"/>
      </w:pPr>
      <w:r>
        <w:t xml:space="preserve">Le </w:t>
      </w:r>
      <w:r w:rsidRPr="008167AC">
        <w:rPr>
          <w:b/>
        </w:rPr>
        <w:t>Vice-Président de l</w:t>
      </w:r>
      <w:r w:rsidR="00346F1B">
        <w:rPr>
          <w:b/>
        </w:rPr>
        <w:t>’</w:t>
      </w:r>
      <w:r w:rsidRPr="008167AC">
        <w:rPr>
          <w:b/>
        </w:rPr>
        <w:t>Organe d</w:t>
      </w:r>
      <w:r w:rsidR="00346F1B">
        <w:rPr>
          <w:b/>
        </w:rPr>
        <w:t>’</w:t>
      </w:r>
      <w:r w:rsidRPr="008167AC">
        <w:rPr>
          <w:b/>
        </w:rPr>
        <w:t>évaluation</w:t>
      </w:r>
      <w:r>
        <w:t xml:space="preserve"> est passé à la candidature suivante, </w:t>
      </w:r>
      <w:bookmarkStart w:id="41" w:name="Decision10b21"/>
      <w:r w:rsidRPr="008167AC">
        <w:rPr>
          <w:b/>
        </w:rPr>
        <w:t>le geet gawai, chants populaires en bhojpuri à Maurice</w:t>
      </w:r>
      <w:r>
        <w:t xml:space="preserve"> </w:t>
      </w:r>
      <w:bookmarkEnd w:id="41"/>
      <w:r>
        <w:t>[projet de décision 11.COM 10.b.21</w:t>
      </w:r>
      <w:r w:rsidR="008167AC">
        <w:t>], soumise par Maurice. Le geet gawai était une cérémonie traditionnelle précédant le mariage et mêlant rituels, prières, chants, musique et danse, principalement au sein des communautés bhojpuriphone de Maurice. La cérém</w:t>
      </w:r>
      <w:r w:rsidR="00C5577D">
        <w:t xml:space="preserve">onie, à laquelle participaient des </w:t>
      </w:r>
      <w:r w:rsidR="00A46CAD">
        <w:t>membres</w:t>
      </w:r>
      <w:r w:rsidR="00C5577D">
        <w:t xml:space="preserve"> de la famille et des voisins, se déroulai</w:t>
      </w:r>
      <w:r w:rsidR="008167AC">
        <w:t>t au domicile du futur marié ou de la future mariée. Les femmes mariées plaçaient, entre autres, de l</w:t>
      </w:r>
      <w:r w:rsidR="00346F1B">
        <w:t>’</w:t>
      </w:r>
      <w:r w:rsidR="008167AC">
        <w:t>argent et du riz dans une pièce d</w:t>
      </w:r>
      <w:r w:rsidR="00346F1B">
        <w:t>’</w:t>
      </w:r>
      <w:r w:rsidR="008167AC">
        <w:t>étoffe tandis que d</w:t>
      </w:r>
      <w:r w:rsidR="00346F1B">
        <w:t>’</w:t>
      </w:r>
      <w:r w:rsidR="008167AC">
        <w:t>autres chantaient pour honorer les dieux et déesses hindous. Ensuite, tout le monde se mettait à danser au rythme de chants réconfortants. L</w:t>
      </w:r>
      <w:r w:rsidR="00346F1B">
        <w:t>’</w:t>
      </w:r>
      <w:r w:rsidR="008167AC">
        <w:t>élément, une expression de l</w:t>
      </w:r>
      <w:r w:rsidR="00346F1B">
        <w:t>’</w:t>
      </w:r>
      <w:r w:rsidR="008167AC">
        <w:t>identité et de la mé</w:t>
      </w:r>
      <w:r w:rsidR="00C5577D">
        <w:t>m</w:t>
      </w:r>
      <w:r w:rsidR="008167AC">
        <w:t>oir</w:t>
      </w:r>
      <w:r w:rsidR="00C5577D">
        <w:t>e collective de la communauté, était transmis par les familles et dans des centres communautaires et académies. Après examen des informations contenues dans le dossier, l</w:t>
      </w:r>
      <w:r w:rsidR="00346F1B">
        <w:t>’</w:t>
      </w:r>
      <w:r w:rsidR="00C5577D">
        <w:t>Organe d</w:t>
      </w:r>
      <w:r w:rsidR="00346F1B">
        <w:t>’</w:t>
      </w:r>
      <w:r w:rsidR="00C5577D">
        <w:t>évaluation avait décidé que la candidature satisfaisait l</w:t>
      </w:r>
      <w:r w:rsidR="00346F1B">
        <w:t>’</w:t>
      </w:r>
      <w:r w:rsidR="00C5577D">
        <w:t>ensemble des cinq critères. Le dossier présentait suffisamment d</w:t>
      </w:r>
      <w:r w:rsidR="00346F1B">
        <w:t>’</w:t>
      </w:r>
      <w:r w:rsidR="00C5577D">
        <w:t>informations pour démontrer comment le geet gawai était devenu une expression de la mémoire culturelle collective tout en renforçant une identité commune. Il démontrait également que les groupes locaux et les parties prenantes poursuivraient leur travail de documentation et de diffusion des connaissances sur l</w:t>
      </w:r>
      <w:r w:rsidR="00346F1B">
        <w:t>’</w:t>
      </w:r>
      <w:r w:rsidR="00C5577D">
        <w:t>élément, comme ils l</w:t>
      </w:r>
      <w:r w:rsidR="00346F1B">
        <w:t>’</w:t>
      </w:r>
      <w:r w:rsidR="00C5577D">
        <w:t>avaient fait jusqu</w:t>
      </w:r>
      <w:r w:rsidR="00346F1B">
        <w:t>’</w:t>
      </w:r>
      <w:r w:rsidR="00C5577D">
        <w:t>alors. L</w:t>
      </w:r>
      <w:r w:rsidR="00346F1B">
        <w:t>’</w:t>
      </w:r>
      <w:r w:rsidR="00C5577D">
        <w:t>Organe d</w:t>
      </w:r>
      <w:r w:rsidR="00346F1B">
        <w:t>’</w:t>
      </w:r>
      <w:r w:rsidR="00C5577D">
        <w:t>évaluation avait décidé de recommander l</w:t>
      </w:r>
      <w:r w:rsidR="00346F1B">
        <w:t>’</w:t>
      </w:r>
      <w:r w:rsidR="00C5577D">
        <w:t>inscription du geet gawai, chants populaires en bhojpuri à Mauri</w:t>
      </w:r>
      <w:r w:rsidR="00684859">
        <w:t>ce sur la Liste représentative.</w:t>
      </w:r>
    </w:p>
    <w:p w14:paraId="5DDF3A37" w14:textId="08EB8128" w:rsidR="00F373FF" w:rsidRDefault="00F373FF" w:rsidP="00F24F73">
      <w:pPr>
        <w:pStyle w:val="Orateurengris"/>
        <w:spacing w:before="120"/>
        <w:ind w:left="709" w:hanging="709"/>
      </w:pPr>
      <w:r>
        <w:t xml:space="preserve">Après avoir remercié le Vice-Président, le </w:t>
      </w:r>
      <w:r w:rsidRPr="00F373FF">
        <w:rPr>
          <w:b/>
        </w:rPr>
        <w:t>Président</w:t>
      </w:r>
      <w:r>
        <w:t xml:space="preserve"> a </w:t>
      </w:r>
      <w:r w:rsidR="00126DD3">
        <w:t xml:space="preserve">signalé </w:t>
      </w:r>
      <w:r>
        <w:t>qu</w:t>
      </w:r>
      <w:r w:rsidR="00346F1B">
        <w:t>’</w:t>
      </w:r>
      <w:r>
        <w:t>aucun amendement n</w:t>
      </w:r>
      <w:r w:rsidR="00346F1B">
        <w:t>’</w:t>
      </w:r>
      <w:r>
        <w:t>avait été déposé et a donc proposé d</w:t>
      </w:r>
      <w:r w:rsidR="00346F1B">
        <w:t>’</w:t>
      </w:r>
      <w:r>
        <w:t>adopter la décision dans son ensemble. En l</w:t>
      </w:r>
      <w:r w:rsidR="00346F1B">
        <w:t>’</w:t>
      </w:r>
      <w:r>
        <w:t>absence de commentaires ou d</w:t>
      </w:r>
      <w:r w:rsidR="00346F1B">
        <w:t>’</w:t>
      </w:r>
      <w:r>
        <w:t xml:space="preserve">objections, le </w:t>
      </w:r>
      <w:r w:rsidRPr="00F373FF">
        <w:rPr>
          <w:b/>
        </w:rPr>
        <w:t>Président a déclaré adoptée la décision 11.COM 10.b.21 d</w:t>
      </w:r>
      <w:r w:rsidR="00346F1B">
        <w:rPr>
          <w:b/>
        </w:rPr>
        <w:t>’</w:t>
      </w:r>
      <w:r w:rsidRPr="00F373FF">
        <w:rPr>
          <w:b/>
        </w:rPr>
        <w:t>inscrire le geet gawai, chants populaires en bhojpuri à Maurice sur la Liste représentative du patrimoine culturel immatériel de l</w:t>
      </w:r>
      <w:r w:rsidR="00346F1B">
        <w:rPr>
          <w:b/>
        </w:rPr>
        <w:t>’</w:t>
      </w:r>
      <w:r w:rsidRPr="00F373FF">
        <w:rPr>
          <w:b/>
        </w:rPr>
        <w:t>humanité</w:t>
      </w:r>
      <w:r w:rsidR="00684859">
        <w:t>.</w:t>
      </w:r>
    </w:p>
    <w:p w14:paraId="209AB91B" w14:textId="669A4A4E" w:rsidR="00590BD5" w:rsidRDefault="00F373FF" w:rsidP="00F24F73">
      <w:pPr>
        <w:pStyle w:val="Orateurengris"/>
        <w:spacing w:before="120"/>
        <w:ind w:left="709" w:hanging="709"/>
      </w:pPr>
      <w:r>
        <w:t xml:space="preserve">La délégation de </w:t>
      </w:r>
      <w:r w:rsidRPr="00F373FF">
        <w:rPr>
          <w:b/>
        </w:rPr>
        <w:t>Maurice</w:t>
      </w:r>
      <w:r>
        <w:t>, représentée par M. Santaram Baboo, ministre des Arts et de la Culture de Maurice, a remercié le Président et a adressé ses très sincères remerciements à l</w:t>
      </w:r>
      <w:r w:rsidR="00346F1B">
        <w:t>’</w:t>
      </w:r>
      <w:r>
        <w:t>Organe d</w:t>
      </w:r>
      <w:r w:rsidR="00346F1B">
        <w:t>’</w:t>
      </w:r>
      <w:r>
        <w:t>évaluation pour sa recommandation positive. Il a également remercié le Comité d</w:t>
      </w:r>
      <w:r w:rsidR="00346F1B">
        <w:t>’</w:t>
      </w:r>
      <w:r>
        <w:t>avoir inscrit le geet gawai, chants p</w:t>
      </w:r>
      <w:r w:rsidR="007F616D">
        <w:t>opulaires en bhojpuri à Maurice,</w:t>
      </w:r>
      <w:r>
        <w:t xml:space="preserve"> sur la Liste représentative, ce qui démontrait </w:t>
      </w:r>
      <w:r w:rsidR="007F616D">
        <w:t xml:space="preserve">clairement </w:t>
      </w:r>
      <w:r>
        <w:t>que Ma</w:t>
      </w:r>
      <w:r w:rsidR="007F616D">
        <w:t>urice était sur la bonne voie pour</w:t>
      </w:r>
      <w:r>
        <w:t xml:space="preserve"> la mise en œuvre</w:t>
      </w:r>
      <w:r w:rsidR="003E3A61">
        <w:t xml:space="preserve"> de la Convention. La population de Maurice saluait l</w:t>
      </w:r>
      <w:r w:rsidR="00346F1B">
        <w:t>’</w:t>
      </w:r>
      <w:r w:rsidR="003E3A61">
        <w:t>inscription de son deuxième élément, après sa première inscription, le séga mauricien traditionnel en 2014. L</w:t>
      </w:r>
      <w:r w:rsidR="00346F1B">
        <w:t>’</w:t>
      </w:r>
      <w:r w:rsidR="003E3A61">
        <w:t xml:space="preserve">inscription de ce jour </w:t>
      </w:r>
      <w:r w:rsidR="00A52212">
        <w:t xml:space="preserve">ferait mieux connaître </w:t>
      </w:r>
      <w:r w:rsidR="003E3A61">
        <w:t xml:space="preserve">Maurice sur la carte internationale du PCI. </w:t>
      </w:r>
      <w:r w:rsidR="00A52212">
        <w:t>Le minist</w:t>
      </w:r>
      <w:r w:rsidR="007F616D">
        <w:t xml:space="preserve">re a rappelé que le geet gawai </w:t>
      </w:r>
      <w:r w:rsidR="00A52212">
        <w:t>était une cérémonie précédant le mariage qui mêlait rituels, prières, chants, musique et danse. Il avait été introduit à Maurice au début du dix-huitième siècle lors de l</w:t>
      </w:r>
      <w:r w:rsidR="00346F1B">
        <w:t>’</w:t>
      </w:r>
      <w:r w:rsidR="00A52212">
        <w:t xml:space="preserve">installation des </w:t>
      </w:r>
      <w:r w:rsidR="00590BD5">
        <w:t>travailleurs sous contrat, et s</w:t>
      </w:r>
      <w:r w:rsidR="00346F1B">
        <w:t>’</w:t>
      </w:r>
      <w:r w:rsidR="00590BD5">
        <w:t xml:space="preserve">était développé dans les exploitations de canne à sucre de tout le pays. Le geet gawai était un moyen de communication sociale très important entre </w:t>
      </w:r>
      <w:r w:rsidR="00A46CAD">
        <w:t>membres</w:t>
      </w:r>
      <w:r w:rsidR="00590BD5">
        <w:t xml:space="preserve"> de la famille ainsi qu</w:t>
      </w:r>
      <w:r w:rsidR="00346F1B">
        <w:t>’</w:t>
      </w:r>
      <w:r w:rsidR="00590BD5">
        <w:t>avec le grand public, il permettait de vivre ensemble et d</w:t>
      </w:r>
      <w:r w:rsidR="00346F1B">
        <w:t>’</w:t>
      </w:r>
      <w:r w:rsidR="00590BD5">
        <w:t xml:space="preserve">échanger des moments </w:t>
      </w:r>
      <w:r w:rsidR="007F616D">
        <w:t>importants, mémorables et plein</w:t>
      </w:r>
      <w:r w:rsidR="00645923">
        <w:t>s</w:t>
      </w:r>
      <w:r w:rsidR="007F616D">
        <w:t xml:space="preserve"> </w:t>
      </w:r>
      <w:r w:rsidR="00590BD5">
        <w:t>d</w:t>
      </w:r>
      <w:r w:rsidR="00346F1B">
        <w:t>’</w:t>
      </w:r>
      <w:r w:rsidR="00590BD5">
        <w:t>émotions. L</w:t>
      </w:r>
      <w:r w:rsidR="00346F1B">
        <w:t>’</w:t>
      </w:r>
      <w:r w:rsidR="00590BD5">
        <w:t>inscription confirmait l</w:t>
      </w:r>
      <w:r w:rsidR="00346F1B">
        <w:t>’</w:t>
      </w:r>
      <w:r w:rsidR="00590BD5">
        <w:t>engagement de Maurice à sauvegarder, protéger et faire connaître le geet ga</w:t>
      </w:r>
      <w:r w:rsidR="00645923">
        <w:t>wai en bhojpuri, en particulier chez les jeunes, l</w:t>
      </w:r>
      <w:r w:rsidR="00590BD5">
        <w:t>es détenteurs de l</w:t>
      </w:r>
      <w:r w:rsidR="00346F1B">
        <w:t>’</w:t>
      </w:r>
      <w:r w:rsidR="00590BD5">
        <w:t xml:space="preserve">élément et </w:t>
      </w:r>
      <w:r w:rsidR="00645923">
        <w:t xml:space="preserve">dans </w:t>
      </w:r>
      <w:r w:rsidR="00590BD5">
        <w:t xml:space="preserve">la population en général. Par ailleurs, </w:t>
      </w:r>
      <w:r w:rsidR="007F616D">
        <w:t xml:space="preserve">cette inscription </w:t>
      </w:r>
      <w:r w:rsidR="00590BD5">
        <w:t>bénéficierait à la diaspora indienne</w:t>
      </w:r>
      <w:r w:rsidR="007F616D">
        <w:t xml:space="preserve"> dans</w:t>
      </w:r>
      <w:r w:rsidR="00645923">
        <w:t xml:space="preserve"> le monde entier. Maurice, </w:t>
      </w:r>
      <w:r w:rsidR="007F616D">
        <w:t xml:space="preserve">un État </w:t>
      </w:r>
      <w:r w:rsidR="00A46CAD">
        <w:t>membre</w:t>
      </w:r>
      <w:r w:rsidR="007F616D">
        <w:t xml:space="preserve"> très actif de l</w:t>
      </w:r>
      <w:r w:rsidR="00346F1B">
        <w:t>’</w:t>
      </w:r>
      <w:r w:rsidR="007F616D">
        <w:t>UNESCO</w:t>
      </w:r>
      <w:r w:rsidR="00645923">
        <w:t>, à travers la grande diversité de ses C</w:t>
      </w:r>
      <w:r w:rsidR="007F616D">
        <w:t>onventions, s</w:t>
      </w:r>
      <w:r w:rsidR="00346F1B">
        <w:t>’</w:t>
      </w:r>
      <w:r w:rsidR="007F616D">
        <w:t>engageait pleinement à respecter tous ses engagements. Le ministre a exprimé ses sincères remerciements à l</w:t>
      </w:r>
      <w:r w:rsidR="00346F1B">
        <w:t>’</w:t>
      </w:r>
      <w:r w:rsidR="007F616D">
        <w:t>UNESCO pour ses efforts sans relâche en faveur</w:t>
      </w:r>
      <w:r w:rsidR="00645923">
        <w:t xml:space="preserve"> de la promotion et du soutien de</w:t>
      </w:r>
      <w:r w:rsidR="007F616D">
        <w:t xml:space="preserve"> la culture dans le monde entier</w:t>
      </w:r>
      <w:r w:rsidR="00645923">
        <w:t>,</w:t>
      </w:r>
      <w:r w:rsidR="007F616D">
        <w:t xml:space="preserve"> et pour son excellent travail. Des remerciements ont également été adressés à l</w:t>
      </w:r>
      <w:r w:rsidR="00346F1B">
        <w:t>’</w:t>
      </w:r>
      <w:r w:rsidR="007F616D">
        <w:t xml:space="preserve">Éthiopie </w:t>
      </w:r>
      <w:r w:rsidR="00645923">
        <w:t xml:space="preserve">dont </w:t>
      </w:r>
      <w:r w:rsidR="007F616D">
        <w:t>l</w:t>
      </w:r>
      <w:r w:rsidR="00346F1B">
        <w:t>’</w:t>
      </w:r>
      <w:r w:rsidR="007F616D">
        <w:t xml:space="preserve">aide </w:t>
      </w:r>
      <w:r w:rsidR="00645923">
        <w:t>a</w:t>
      </w:r>
      <w:r w:rsidR="007129FD">
        <w:t>vait</w:t>
      </w:r>
      <w:r w:rsidR="00645923">
        <w:t xml:space="preserve"> permis de faire de cette session une réussite, </w:t>
      </w:r>
      <w:r w:rsidR="007F616D">
        <w:t>et à tous les États parties qui avaient exprimé</w:t>
      </w:r>
      <w:r w:rsidR="00684859">
        <w:t xml:space="preserve"> leur soutien à la candidature.</w:t>
      </w:r>
    </w:p>
    <w:p w14:paraId="4E664457" w14:textId="4821729E" w:rsidR="00B54974" w:rsidRPr="00E62E21" w:rsidRDefault="00645923" w:rsidP="00F24F73">
      <w:pPr>
        <w:pStyle w:val="Orateurengris"/>
        <w:numPr>
          <w:ilvl w:val="0"/>
          <w:numId w:val="0"/>
        </w:numPr>
        <w:spacing w:before="120"/>
        <w:ind w:left="709" w:hanging="709"/>
        <w:jc w:val="center"/>
        <w:rPr>
          <w:i/>
        </w:rPr>
      </w:pPr>
      <w:r>
        <w:rPr>
          <w:i/>
        </w:rPr>
        <w:t>[Un film sur les chants populaire bhojpuri a été projeté</w:t>
      </w:r>
      <w:r w:rsidR="00B54974" w:rsidRPr="00E62E21">
        <w:rPr>
          <w:i/>
        </w:rPr>
        <w:t>]</w:t>
      </w:r>
    </w:p>
    <w:p w14:paraId="30B23E07" w14:textId="51F03D12" w:rsidR="00645923" w:rsidRDefault="00645923" w:rsidP="00F24F73">
      <w:pPr>
        <w:pStyle w:val="Orateurengris"/>
        <w:spacing w:before="120"/>
        <w:ind w:left="709" w:hanging="709"/>
      </w:pPr>
      <w:r>
        <w:t xml:space="preserve">Le </w:t>
      </w:r>
      <w:r w:rsidRPr="00645923">
        <w:rPr>
          <w:b/>
        </w:rPr>
        <w:t>Président</w:t>
      </w:r>
      <w:r>
        <w:t xml:space="preserve"> a signalé une demande de parole de la part de l</w:t>
      </w:r>
      <w:r w:rsidR="00346F1B">
        <w:t>’</w:t>
      </w:r>
      <w:r>
        <w:t>Inde.</w:t>
      </w:r>
    </w:p>
    <w:p w14:paraId="5052EBD9" w14:textId="114D1761" w:rsidR="004F5A61" w:rsidRDefault="004F5A61" w:rsidP="00F24F73">
      <w:pPr>
        <w:pStyle w:val="Orateurengris"/>
        <w:spacing w:before="120"/>
        <w:ind w:left="709" w:hanging="709"/>
      </w:pPr>
      <w:r>
        <w:t>La délégation de l</w:t>
      </w:r>
      <w:r w:rsidR="00346F1B">
        <w:t>’</w:t>
      </w:r>
      <w:r w:rsidRPr="004F5A61">
        <w:rPr>
          <w:b/>
        </w:rPr>
        <w:t>Inde</w:t>
      </w:r>
      <w:r w:rsidR="007129FD">
        <w:t xml:space="preserve"> souhaitait</w:t>
      </w:r>
      <w:r>
        <w:t xml:space="preserve"> féliciter très chaleureusement Maurice pour l</w:t>
      </w:r>
      <w:r w:rsidR="00346F1B">
        <w:t>’</w:t>
      </w:r>
      <w:r>
        <w:t xml:space="preserve">inscription de ce bel élément musical plein de vie, qui était mélodieux, rythmique, spontané et surtout émouvant, et qui était réellement enraciné dans les vies des interprètes et </w:t>
      </w:r>
      <w:r w:rsidR="00684859">
        <w:t>des détenteurs de la tradition.</w:t>
      </w:r>
    </w:p>
    <w:p w14:paraId="300272C7" w14:textId="62D0AD59" w:rsidR="004F5A61" w:rsidRDefault="003A6355" w:rsidP="00F24F73">
      <w:pPr>
        <w:pStyle w:val="Orateurengris"/>
        <w:spacing w:before="120"/>
        <w:ind w:left="709" w:hanging="709"/>
      </w:pPr>
      <w:r>
        <w:t>Le</w:t>
      </w:r>
      <w:r w:rsidR="004F5A61">
        <w:t xml:space="preserve"> </w:t>
      </w:r>
      <w:r w:rsidR="004F5A61" w:rsidRPr="004F5A61">
        <w:rPr>
          <w:b/>
        </w:rPr>
        <w:t>Président</w:t>
      </w:r>
      <w:r w:rsidR="004F5A61">
        <w:t xml:space="preserve"> est passé au dossier </w:t>
      </w:r>
      <w:r w:rsidR="00684859">
        <w:t>suivant, soumis par la Mexique.</w:t>
      </w:r>
    </w:p>
    <w:p w14:paraId="01C052E3" w14:textId="2B3CEDB3" w:rsidR="004F5A61" w:rsidRDefault="004F5A61" w:rsidP="00F24F73">
      <w:pPr>
        <w:pStyle w:val="Orateurengris"/>
        <w:spacing w:before="120"/>
        <w:ind w:left="709" w:hanging="709"/>
      </w:pPr>
      <w:r>
        <w:t xml:space="preserve">Le </w:t>
      </w:r>
      <w:r w:rsidRPr="004F5A61">
        <w:rPr>
          <w:b/>
        </w:rPr>
        <w:t>Vice-Président de l</w:t>
      </w:r>
      <w:r w:rsidR="00346F1B">
        <w:rPr>
          <w:b/>
        </w:rPr>
        <w:t>’</w:t>
      </w:r>
      <w:r w:rsidRPr="004F5A61">
        <w:rPr>
          <w:b/>
        </w:rPr>
        <w:t>Organe d</w:t>
      </w:r>
      <w:r w:rsidR="00346F1B">
        <w:rPr>
          <w:b/>
        </w:rPr>
        <w:t>’</w:t>
      </w:r>
      <w:r w:rsidRPr="004F5A61">
        <w:rPr>
          <w:b/>
        </w:rPr>
        <w:t>évaluation</w:t>
      </w:r>
      <w:r>
        <w:t xml:space="preserve"> est passé à la candidature suivante, </w:t>
      </w:r>
      <w:bookmarkStart w:id="42" w:name="Decision10b22"/>
      <w:r w:rsidRPr="00334A2F">
        <w:rPr>
          <w:b/>
        </w:rPr>
        <w:t>la Charrería, tradition équestre au Mexique</w:t>
      </w:r>
      <w:bookmarkEnd w:id="42"/>
      <w:r>
        <w:rPr>
          <w:rStyle w:val="FootnoteReference"/>
        </w:rPr>
        <w:footnoteReference w:id="7"/>
      </w:r>
      <w:r>
        <w:t xml:space="preserve"> [projet de décision </w:t>
      </w:r>
      <w:r w:rsidR="00334A2F">
        <w:t>11.COM 10.b.22], soumise par le Mexique. La Charrería était une pratique traditionnelle des communautés mexicaines d</w:t>
      </w:r>
      <w:r w:rsidR="00346F1B">
        <w:t>’</w:t>
      </w:r>
      <w:r w:rsidR="00334A2F">
        <w:t>éleveurs de bétail. Elle permettait à l</w:t>
      </w:r>
      <w:r w:rsidR="00346F1B">
        <w:t>’</w:t>
      </w:r>
      <w:r w:rsidR="00334A2F">
        <w:t xml:space="preserve">origine aux éleveurs de différents domaines de mieux coexister. De nos jours, </w:t>
      </w:r>
      <w:r w:rsidR="001232D7">
        <w:t xml:space="preserve">des associations et des écoles </w:t>
      </w:r>
      <w:r w:rsidR="00334A2F">
        <w:t xml:space="preserve">de Charrería contribuaient à transmettre la tradition, également considérée comme un sport, en entrainant les </w:t>
      </w:r>
      <w:r w:rsidR="00A46CAD">
        <w:t>membres</w:t>
      </w:r>
      <w:r w:rsidR="00334A2F">
        <w:t xml:space="preserve"> de la communauté jusqu</w:t>
      </w:r>
      <w:r w:rsidR="00346F1B">
        <w:t>’</w:t>
      </w:r>
      <w:r w:rsidR="00334A2F">
        <w:t>à un niveau de compétition. Différentes catégories de Charrería étaient pratiquées par des hommes et des femmes devant un public. C</w:t>
      </w:r>
      <w:r w:rsidR="00346F1B">
        <w:t>’</w:t>
      </w:r>
      <w:r w:rsidR="00334A2F">
        <w:t>était un aspect important de l</w:t>
      </w:r>
      <w:r w:rsidR="00346F1B">
        <w:t>’</w:t>
      </w:r>
      <w:r w:rsidR="00334A2F">
        <w:t xml:space="preserve">identité communautaire et un moyen de transmette des valeurs sociales aux jeunes générations. </w:t>
      </w:r>
      <w:r w:rsidR="001232D7">
        <w:t>Après</w:t>
      </w:r>
      <w:r w:rsidR="00B403E3">
        <w:t xml:space="preserve"> </w:t>
      </w:r>
      <w:r w:rsidR="00334A2F">
        <w:t>examen des informations contenues dans le dossier, l</w:t>
      </w:r>
      <w:r w:rsidR="00346F1B">
        <w:t>’</w:t>
      </w:r>
      <w:r w:rsidR="00334A2F">
        <w:t>Organe d</w:t>
      </w:r>
      <w:r w:rsidR="00346F1B">
        <w:t>’</w:t>
      </w:r>
      <w:r w:rsidR="00334A2F">
        <w:t xml:space="preserve">évaluation avait décidé que la candidature satisfaisait </w:t>
      </w:r>
      <w:r w:rsidR="007129FD">
        <w:t xml:space="preserve">les </w:t>
      </w:r>
      <w:r w:rsidR="00334A2F">
        <w:t>critères R.1, R.3, R.4 et R</w:t>
      </w:r>
      <w:r w:rsidR="001232D7">
        <w:t xml:space="preserve">.5. Il avait été particulièrement heureux de </w:t>
      </w:r>
      <w:r w:rsidR="00B403E3">
        <w:t xml:space="preserve">constater </w:t>
      </w:r>
      <w:r w:rsidR="001232D7">
        <w:t>que les mesures de sauvegarde proposées étaient détaillées et prévoyaient la création d</w:t>
      </w:r>
      <w:r w:rsidR="00346F1B">
        <w:t>’</w:t>
      </w:r>
      <w:r w:rsidR="001232D7">
        <w:t xml:space="preserve">un conservatoire de la Charrería et de centres de formation communautaires pour </w:t>
      </w:r>
      <w:r w:rsidR="00B403E3">
        <w:t xml:space="preserve">transmettre les </w:t>
      </w:r>
      <w:r w:rsidR="001232D7">
        <w:t>différents artisanats associés à l</w:t>
      </w:r>
      <w:r w:rsidR="00346F1B">
        <w:t>’</w:t>
      </w:r>
      <w:r w:rsidR="001232D7">
        <w:t>élément. L</w:t>
      </w:r>
      <w:r w:rsidR="00346F1B">
        <w:t>’</w:t>
      </w:r>
      <w:r w:rsidR="001232D7">
        <w:t>Organe d</w:t>
      </w:r>
      <w:r w:rsidR="00346F1B">
        <w:t>’</w:t>
      </w:r>
      <w:r w:rsidR="001232D7">
        <w:t>évaluation avait toutefois décidé que les informations contenues dans le dossier n</w:t>
      </w:r>
      <w:r w:rsidR="00346F1B">
        <w:t>’</w:t>
      </w:r>
      <w:r w:rsidR="001232D7">
        <w:t>étaient pas suffisantes pour déterminer si le critère R.2 était satisfait. En effet, le dossier expliquait de manière assez vague comment l</w:t>
      </w:r>
      <w:r w:rsidR="00346F1B">
        <w:t>’</w:t>
      </w:r>
      <w:r w:rsidR="001232D7">
        <w:t>inscription constituerait une opportunité de montrer au monde les valeurs de l</w:t>
      </w:r>
      <w:r w:rsidR="00346F1B">
        <w:t>’</w:t>
      </w:r>
      <w:r w:rsidR="001232D7">
        <w:t>é</w:t>
      </w:r>
      <w:r w:rsidR="00B403E3">
        <w:t xml:space="preserve">lément. Le dossier ne démontrait pas explicitement </w:t>
      </w:r>
      <w:r w:rsidR="001232D7">
        <w:t>comment l</w:t>
      </w:r>
      <w:r w:rsidR="00346F1B">
        <w:t>’</w:t>
      </w:r>
      <w:r w:rsidR="001232D7">
        <w:t>inscription contribuerait à la visibilité du patrimoine culturel immatériel en général et ferait prendre conscience de son importance aux niveaux local, national et international. L</w:t>
      </w:r>
      <w:r w:rsidR="00346F1B">
        <w:t>’</w:t>
      </w:r>
      <w:r w:rsidR="001232D7">
        <w:t>Organe d</w:t>
      </w:r>
      <w:r w:rsidR="00346F1B">
        <w:t>’</w:t>
      </w:r>
      <w:r w:rsidR="001232D7">
        <w:t>évaluation avait donc décidé de recommander un renvoi de la Charrería, tradition équestre au Mexique à l</w:t>
      </w:r>
      <w:r w:rsidR="00346F1B">
        <w:t>’</w:t>
      </w:r>
      <w:r w:rsidR="001232D7">
        <w:t>État soumissionnaire pour complément d</w:t>
      </w:r>
      <w:r w:rsidR="00346F1B">
        <w:t>’</w:t>
      </w:r>
      <w:r w:rsidR="00684859">
        <w:t>information.</w:t>
      </w:r>
    </w:p>
    <w:p w14:paraId="342F676E" w14:textId="1C536E4E" w:rsidR="00664397" w:rsidRDefault="00664397" w:rsidP="00F24F73">
      <w:pPr>
        <w:pStyle w:val="Orateurengris"/>
        <w:tabs>
          <w:tab w:val="left" w:pos="4253"/>
        </w:tabs>
        <w:spacing w:before="120"/>
        <w:ind w:left="709" w:hanging="709"/>
      </w:pPr>
      <w:r>
        <w:t xml:space="preserve">Le </w:t>
      </w:r>
      <w:r w:rsidRPr="00664397">
        <w:rPr>
          <w:b/>
        </w:rPr>
        <w:t>Président</w:t>
      </w:r>
      <w:r>
        <w:t xml:space="preserve"> a remercié le Vice-Président, et a pris note d</w:t>
      </w:r>
      <w:r w:rsidR="00346F1B">
        <w:t>’</w:t>
      </w:r>
      <w:r>
        <w:t xml:space="preserve">un amendement déposé par le Liban pour ce dossier. Compte tenu des limites de temps, il a suggéré </w:t>
      </w:r>
      <w:r w:rsidR="002567C8">
        <w:t>que ne donner la parole qu</w:t>
      </w:r>
      <w:r w:rsidR="00346F1B">
        <w:t>’</w:t>
      </w:r>
      <w:r w:rsidR="002567C8">
        <w:t xml:space="preserve">aux </w:t>
      </w:r>
      <w:r w:rsidR="00A46CAD">
        <w:t>membres</w:t>
      </w:r>
      <w:r>
        <w:t xml:space="preserve"> ayant soumis des amendements, puis de passer directement à l</w:t>
      </w:r>
      <w:r w:rsidR="00346F1B">
        <w:t>’</w:t>
      </w:r>
      <w:r w:rsidR="00684859">
        <w:t>adoption de la décision.</w:t>
      </w:r>
    </w:p>
    <w:p w14:paraId="3162BBDA" w14:textId="7DFA9DFC" w:rsidR="00664397" w:rsidRDefault="00664397" w:rsidP="00F24F73">
      <w:pPr>
        <w:pStyle w:val="Orateurengris"/>
        <w:spacing w:before="120"/>
        <w:ind w:left="709" w:hanging="709"/>
      </w:pPr>
      <w:r>
        <w:t xml:space="preserve">La délégation du </w:t>
      </w:r>
      <w:r w:rsidRPr="007A1590">
        <w:rPr>
          <w:b/>
        </w:rPr>
        <w:t>Liban</w:t>
      </w:r>
      <w:r>
        <w:t xml:space="preserve"> a félicité le Mexique pour son dossier de candidature</w:t>
      </w:r>
      <w:r w:rsidR="0089397F">
        <w:t xml:space="preserve">, ajoutant </w:t>
      </w:r>
      <w:r w:rsidR="007A1590">
        <w:t>c</w:t>
      </w:r>
      <w:r w:rsidR="00346F1B">
        <w:t>’</w:t>
      </w:r>
      <w:r w:rsidR="007A1590">
        <w:t>étaient les valeurs d</w:t>
      </w:r>
      <w:r w:rsidR="00346F1B">
        <w:t>’</w:t>
      </w:r>
      <w:r w:rsidR="007A1590">
        <w:t>équité, d</w:t>
      </w:r>
      <w:r w:rsidR="00346F1B">
        <w:t>’</w:t>
      </w:r>
      <w:r w:rsidR="007A1590">
        <w:t>égalité et de solidarité mises en exergue</w:t>
      </w:r>
      <w:r w:rsidR="003A02C9">
        <w:t xml:space="preserve"> qu</w:t>
      </w:r>
      <w:r w:rsidR="00346F1B">
        <w:t>’</w:t>
      </w:r>
      <w:r w:rsidR="003A02C9">
        <w:t>elles avaient trouvées les plus intéressantes dans le dossier</w:t>
      </w:r>
      <w:r w:rsidR="007A1590">
        <w:t>. On disait de la Charrería que c</w:t>
      </w:r>
      <w:r w:rsidR="00346F1B">
        <w:t>’</w:t>
      </w:r>
      <w:r w:rsidR="007A1590">
        <w:t>était l</w:t>
      </w:r>
      <w:r w:rsidR="00346F1B">
        <w:t>’</w:t>
      </w:r>
      <w:r w:rsidR="007A1590">
        <w:t>une des plus grandes traditions de la culture mexicaine, riche de liens profonds avec ses c</w:t>
      </w:r>
      <w:r w:rsidR="003A02C9">
        <w:t>aractéristiques identitaires. Le</w:t>
      </w:r>
      <w:r w:rsidR="007A1590">
        <w:t xml:space="preserve"> dossier de candidature soumis reflétait la richesse de la tradition équestre fondée sur les valeurs de respect, de dialogue et d</w:t>
      </w:r>
      <w:r w:rsidR="00346F1B">
        <w:t>’</w:t>
      </w:r>
      <w:r w:rsidR="007A1590">
        <w:t>inclusion qui avaient été transmises de génération en généra</w:t>
      </w:r>
      <w:r w:rsidR="007129FD">
        <w:t xml:space="preserve">tion depuis le seizième siècle. </w:t>
      </w:r>
      <w:r w:rsidR="007A1590">
        <w:t>La délégation souhaitait que l</w:t>
      </w:r>
      <w:r w:rsidR="00346F1B">
        <w:t>’</w:t>
      </w:r>
      <w:r w:rsidR="007A1590">
        <w:t>État soumissionnaire apporte des éclaircissements sur la façon dont l</w:t>
      </w:r>
      <w:r w:rsidR="00346F1B">
        <w:t>’</w:t>
      </w:r>
      <w:r w:rsidR="007A1590">
        <w:t>inscription améliorerait la visibilité du PCI</w:t>
      </w:r>
      <w:r w:rsidR="003A02C9">
        <w:t xml:space="preserve"> en général et ferait prendre conscience de son</w:t>
      </w:r>
      <w:r w:rsidR="007A1590">
        <w:t xml:space="preserve"> importance aux niveaux lo</w:t>
      </w:r>
      <w:r w:rsidR="00684859">
        <w:t>cal, national et international.</w:t>
      </w:r>
    </w:p>
    <w:p w14:paraId="26400E49" w14:textId="15DF0EA8" w:rsidR="003A02C9" w:rsidRDefault="003A02C9" w:rsidP="00F24F73">
      <w:pPr>
        <w:pStyle w:val="Orateurengris"/>
        <w:spacing w:before="120"/>
        <w:ind w:left="709" w:hanging="709"/>
      </w:pPr>
      <w:r>
        <w:t xml:space="preserve">Après avoir remercié le Liban, le </w:t>
      </w:r>
      <w:r w:rsidRPr="003A02C9">
        <w:rPr>
          <w:b/>
        </w:rPr>
        <w:t>Président</w:t>
      </w:r>
      <w:r w:rsidR="00D301C4">
        <w:t xml:space="preserve"> souhaitait </w:t>
      </w:r>
      <w:r>
        <w:t>que l</w:t>
      </w:r>
      <w:r w:rsidR="00346F1B">
        <w:t>’</w:t>
      </w:r>
      <w:r>
        <w:t>on passe à l</w:t>
      </w:r>
      <w:r w:rsidR="00346F1B">
        <w:t>’</w:t>
      </w:r>
      <w:r>
        <w:t xml:space="preserve">adoption des décisions paragraphe par paragraphe, une fois </w:t>
      </w:r>
      <w:r w:rsidR="007129FD">
        <w:t xml:space="preserve">la </w:t>
      </w:r>
      <w:r>
        <w:t>parole donnée au Mexique po</w:t>
      </w:r>
      <w:r w:rsidR="00684859">
        <w:t>ur une courte réponse au Liban.</w:t>
      </w:r>
    </w:p>
    <w:p w14:paraId="35FE3920" w14:textId="66CADAA8" w:rsidR="003A02C9" w:rsidRDefault="003A02C9" w:rsidP="00F24F73">
      <w:pPr>
        <w:pStyle w:val="Orateurengris"/>
        <w:spacing w:before="120"/>
        <w:ind w:left="709" w:hanging="709"/>
      </w:pPr>
      <w:r>
        <w:t xml:space="preserve">La délégation du </w:t>
      </w:r>
      <w:r w:rsidRPr="003A02C9">
        <w:rPr>
          <w:b/>
        </w:rPr>
        <w:t>Mexique</w:t>
      </w:r>
      <w:r>
        <w:t xml:space="preserve"> a débuté son intervention en déclarant que le Mexique et la communauté des Charros attendait depuis six ans ce moment tant espéré. Pour le pays et la communauté des détenteurs, la Charrería était beaucoup plus qu</w:t>
      </w:r>
      <w:r w:rsidR="00346F1B">
        <w:t>’</w:t>
      </w:r>
      <w:r>
        <w:t>une manifestation de cu</w:t>
      </w:r>
      <w:r w:rsidR="00D760C1">
        <w:t>lture équestre, elle réunissait</w:t>
      </w:r>
      <w:r>
        <w:t xml:space="preserve"> différents éléments de l</w:t>
      </w:r>
      <w:r w:rsidR="00346F1B">
        <w:t>’</w:t>
      </w:r>
      <w:r>
        <w:t>identité mexicaine, comme précisé dans le dossier soumis en 2014.</w:t>
      </w:r>
      <w:r w:rsidR="007129FD">
        <w:t xml:space="preserve"> La Charrería mettait en avant</w:t>
      </w:r>
      <w:r>
        <w:t xml:space="preserve"> des valeurs telles que l</w:t>
      </w:r>
      <w:r w:rsidR="00346F1B">
        <w:t>’</w:t>
      </w:r>
      <w:r>
        <w:t>égalité, l</w:t>
      </w:r>
      <w:r w:rsidR="00346F1B">
        <w:t>’</w:t>
      </w:r>
      <w:r>
        <w:t xml:space="preserve">équité et la solidarité, et son inscription sur la Liste représentative contribuerait à </w:t>
      </w:r>
      <w:r w:rsidR="00D760C1">
        <w:t xml:space="preserve">associer </w:t>
      </w:r>
      <w:r>
        <w:t xml:space="preserve">ces valeurs au PCI et à </w:t>
      </w:r>
      <w:r w:rsidR="006729CC">
        <w:t>l</w:t>
      </w:r>
      <w:r w:rsidR="00346F1B">
        <w:t>’</w:t>
      </w:r>
      <w:r w:rsidR="006729CC">
        <w:t>importance de sa sauvegarde. E</w:t>
      </w:r>
      <w:r>
        <w:t>n outre, la pratique constante et dy</w:t>
      </w:r>
      <w:r w:rsidR="00346F1B">
        <w:t>namique de la Charrería, avec 1 </w:t>
      </w:r>
      <w:r>
        <w:t>007 associations de Charros et 2</w:t>
      </w:r>
      <w:r w:rsidR="00346F1B">
        <w:t> 000</w:t>
      </w:r>
      <w:r>
        <w:t xml:space="preserve"> événements </w:t>
      </w:r>
      <w:r w:rsidR="006729CC">
        <w:t>organisés chaque année</w:t>
      </w:r>
      <w:r>
        <w:t xml:space="preserve"> </w:t>
      </w:r>
      <w:r w:rsidR="006729CC">
        <w:t>attestaient sa très vaste diffusion et sa grande visibilité. Une fois la Charrería inscrite, d</w:t>
      </w:r>
      <w:r w:rsidR="00346F1B">
        <w:t>’</w:t>
      </w:r>
      <w:r w:rsidR="006729CC">
        <w:t>autres mesures seraient prises pour faire connaître et mettre en valeur cet élément du PCI, ainsi que les objectifs et l</w:t>
      </w:r>
      <w:r w:rsidR="00346F1B">
        <w:t>’</w:t>
      </w:r>
      <w:r w:rsidR="006729CC">
        <w:t>esprit de la Conv</w:t>
      </w:r>
      <w:r w:rsidR="00964C16">
        <w:t xml:space="preserve">ention. </w:t>
      </w:r>
      <w:r w:rsidR="006729CC">
        <w:t>De même, un des piliers qui soutenaient la candidature de la Charrería était les liens de solidarité et de coopération u</w:t>
      </w:r>
      <w:r w:rsidR="002A2E11">
        <w:t>nissant les 184 communautés charra</w:t>
      </w:r>
      <w:r w:rsidR="006729CC">
        <w:t xml:space="preserve">s présentes dans trois états du Mexique, </w:t>
      </w:r>
      <w:r w:rsidR="00964C16">
        <w:t>c</w:t>
      </w:r>
      <w:r w:rsidR="00346F1B">
        <w:t>’</w:t>
      </w:r>
      <w:r w:rsidR="00964C16">
        <w:t>était l</w:t>
      </w:r>
      <w:r w:rsidR="00346F1B">
        <w:t>’</w:t>
      </w:r>
      <w:r w:rsidR="00964C16">
        <w:t>expression d</w:t>
      </w:r>
      <w:r w:rsidR="00346F1B">
        <w:t>’</w:t>
      </w:r>
      <w:r w:rsidR="00964C16">
        <w:t>un respect mutuel et d</w:t>
      </w:r>
      <w:r w:rsidR="00346F1B">
        <w:t>’</w:t>
      </w:r>
      <w:r w:rsidR="00964C16">
        <w:t>un enrichissement à chaque rencontre</w:t>
      </w:r>
      <w:r w:rsidR="006729CC">
        <w:t>. Par l</w:t>
      </w:r>
      <w:r w:rsidR="00346F1B">
        <w:t>’</w:t>
      </w:r>
      <w:r w:rsidR="006729CC">
        <w:t>inscription</w:t>
      </w:r>
      <w:r w:rsidR="00964C16">
        <w:t>, la délégation pensait que ces caractéristiques</w:t>
      </w:r>
      <w:r w:rsidR="006729CC">
        <w:t xml:space="preserve"> </w:t>
      </w:r>
      <w:r w:rsidR="00964C16">
        <w:t>de l</w:t>
      </w:r>
      <w:r w:rsidR="00346F1B">
        <w:t>’</w:t>
      </w:r>
      <w:r w:rsidR="00964C16">
        <w:t xml:space="preserve">élément </w:t>
      </w:r>
      <w:r w:rsidR="006729CC">
        <w:t>deviendrai</w:t>
      </w:r>
      <w:r w:rsidR="00964C16">
        <w:t>en</w:t>
      </w:r>
      <w:r w:rsidR="006729CC">
        <w:t>t un attribut des valeurs qui sous-tendaient la Liste représentative. La Charrería serait un vecteur du PCI qui encouragerait le dialogue entre les différentes communautés</w:t>
      </w:r>
      <w:r w:rsidR="00D760C1">
        <w:t>, reliant</w:t>
      </w:r>
      <w:r w:rsidR="00964C16">
        <w:t>,</w:t>
      </w:r>
      <w:r w:rsidR="00D760C1">
        <w:t xml:space="preserve"> par exemple</w:t>
      </w:r>
      <w:r w:rsidR="00964C16">
        <w:t>,</w:t>
      </w:r>
      <w:r w:rsidR="002A2E11">
        <w:t xml:space="preserve"> les communautés charra</w:t>
      </w:r>
      <w:r w:rsidR="00D760C1">
        <w:t>s du Mexique et des USA. L</w:t>
      </w:r>
      <w:r w:rsidR="00346F1B">
        <w:t>’</w:t>
      </w:r>
      <w:r w:rsidR="00D760C1">
        <w:t>inscription contribuerait ainsi à mieux faire comprendre l</w:t>
      </w:r>
      <w:r w:rsidR="00346F1B">
        <w:t>’</w:t>
      </w:r>
      <w:r w:rsidR="00D760C1">
        <w:t>importance du PCI comme un moyen de favoriser l</w:t>
      </w:r>
      <w:r w:rsidR="00346F1B">
        <w:t>’</w:t>
      </w:r>
      <w:r w:rsidR="00D760C1">
        <w:t>inclusion. En guise de conclusion, la délégation a déclaré que la Charrería était en soi une preuve tangible de la créativité humaine et de la diversité culturelle, non seulement en raison de ses origines mais également par la variété de ses expressions culturelles qui formaient un tout au sein de cette tradition et qui étaient transmises de génération en génération</w:t>
      </w:r>
      <w:r w:rsidR="00964C16">
        <w:t>,</w:t>
      </w:r>
      <w:r w:rsidR="00D760C1">
        <w:t xml:space="preserve"> en tissant des liens </w:t>
      </w:r>
      <w:r w:rsidR="00684859">
        <w:t>entre des communautés entières.</w:t>
      </w:r>
    </w:p>
    <w:p w14:paraId="3521A32E" w14:textId="4A53B48E" w:rsidR="00964C16" w:rsidRPr="00964C16" w:rsidRDefault="00964C16" w:rsidP="00F24F73">
      <w:pPr>
        <w:pStyle w:val="Orateurengris"/>
        <w:spacing w:before="120"/>
        <w:ind w:left="709" w:hanging="709"/>
      </w:pPr>
      <w:r w:rsidRPr="00964C16">
        <w:t xml:space="preserve">Le </w:t>
      </w:r>
      <w:r w:rsidRPr="00964C16">
        <w:rPr>
          <w:b/>
        </w:rPr>
        <w:t>Président</w:t>
      </w:r>
      <w:r w:rsidRPr="00964C16">
        <w:t xml:space="preserve"> est passé à l</w:t>
      </w:r>
      <w:r w:rsidR="00346F1B">
        <w:t>’</w:t>
      </w:r>
      <w:r w:rsidRPr="00964C16">
        <w:t xml:space="preserve">adoption </w:t>
      </w:r>
      <w:r>
        <w:t>de la décision paragraphe par paragraphe. Au paragraphe 1, il a pris note d</w:t>
      </w:r>
      <w:r w:rsidR="00346F1B">
        <w:t>’</w:t>
      </w:r>
      <w:r>
        <w:t>une correction proposée par le Liban dans la description de l</w:t>
      </w:r>
      <w:r w:rsidR="00346F1B">
        <w:t>’</w:t>
      </w:r>
      <w:r>
        <w:t xml:space="preserve">élément, qui a été </w:t>
      </w:r>
      <w:r w:rsidR="008052AC">
        <w:t>dûment</w:t>
      </w:r>
      <w:r>
        <w:t xml:space="preserve"> adoptée sans objections. Le Président est ensuite passé au paragraphe 2 et aux paragraphes consacrés </w:t>
      </w:r>
      <w:r w:rsidR="00684859">
        <w:t>aux critères</w:t>
      </w:r>
      <w:r>
        <w:t xml:space="preserve"> R.1, R.3, R.4 et R.5 qui ont été </w:t>
      </w:r>
      <w:r w:rsidR="008052AC">
        <w:t>dûment</w:t>
      </w:r>
      <w:r>
        <w:t xml:space="preserve"> adoptés tel</w:t>
      </w:r>
      <w:r w:rsidR="008B61D4">
        <w:t>s</w:t>
      </w:r>
      <w:r>
        <w:t xml:space="preserve"> que proposés. Il est ensuite passé au paragraphe consacré au critère R.2 et à l</w:t>
      </w:r>
      <w:r w:rsidR="00346F1B">
        <w:t>’</w:t>
      </w:r>
      <w:r w:rsidR="00684859">
        <w:t>amendement du Liban.</w:t>
      </w:r>
    </w:p>
    <w:p w14:paraId="09866B9B" w14:textId="79114EC5" w:rsidR="00964C16" w:rsidRPr="00964C16" w:rsidRDefault="00964C16" w:rsidP="00F24F73">
      <w:pPr>
        <w:pStyle w:val="Orateurengris"/>
        <w:spacing w:before="120"/>
        <w:ind w:left="709" w:hanging="709"/>
      </w:pPr>
      <w:r>
        <w:t xml:space="preserve">La délégation de la </w:t>
      </w:r>
      <w:r w:rsidRPr="00181B83">
        <w:rPr>
          <w:b/>
        </w:rPr>
        <w:t>Palestine</w:t>
      </w:r>
      <w:r>
        <w:t xml:space="preserve"> </w:t>
      </w:r>
      <w:r w:rsidR="00181B83">
        <w:t>a dit soutenir</w:t>
      </w:r>
      <w:r>
        <w:t xml:space="preserve"> tous les ame</w:t>
      </w:r>
      <w:r w:rsidR="00181B83">
        <w:t>ndements soumis par le Liban, et soutenir résolument l</w:t>
      </w:r>
      <w:r w:rsidR="00346F1B">
        <w:t>’</w:t>
      </w:r>
      <w:r w:rsidR="00684859">
        <w:t>inscription de cet élément.</w:t>
      </w:r>
    </w:p>
    <w:p w14:paraId="2C2DB6DD" w14:textId="534CCD53" w:rsidR="00181B83" w:rsidRDefault="00181B83" w:rsidP="00F24F73">
      <w:pPr>
        <w:pStyle w:val="Orateurengris"/>
        <w:spacing w:before="120"/>
        <w:ind w:left="709" w:hanging="709"/>
      </w:pPr>
      <w:r>
        <w:t xml:space="preserve">La délégation de </w:t>
      </w:r>
      <w:r w:rsidRPr="00181B83">
        <w:rPr>
          <w:b/>
        </w:rPr>
        <w:t>Maurice</w:t>
      </w:r>
      <w:r>
        <w:t xml:space="preserve"> acceptait les éclaircissements du Mexique sur le critère R.2.</w:t>
      </w:r>
    </w:p>
    <w:p w14:paraId="446DCD7B" w14:textId="4EAF7B86" w:rsidR="00181B83" w:rsidRDefault="00181B83" w:rsidP="00F24F73">
      <w:pPr>
        <w:pStyle w:val="Orateurengris"/>
        <w:spacing w:before="120"/>
        <w:ind w:left="709" w:hanging="709"/>
      </w:pPr>
      <w:r>
        <w:t>Les délégations de l</w:t>
      </w:r>
      <w:r w:rsidR="00346F1B">
        <w:t>’</w:t>
      </w:r>
      <w:r w:rsidRPr="00181B83">
        <w:rPr>
          <w:b/>
        </w:rPr>
        <w:t>Inde</w:t>
      </w:r>
      <w:r>
        <w:t xml:space="preserve">, de la </w:t>
      </w:r>
      <w:r w:rsidRPr="00181B83">
        <w:rPr>
          <w:b/>
        </w:rPr>
        <w:t>Turquie</w:t>
      </w:r>
      <w:r>
        <w:t xml:space="preserve">, de la </w:t>
      </w:r>
      <w:r w:rsidRPr="00181B83">
        <w:rPr>
          <w:b/>
        </w:rPr>
        <w:t xml:space="preserve">Colombie </w:t>
      </w:r>
      <w:r>
        <w:t>et de l</w:t>
      </w:r>
      <w:r w:rsidR="00346F1B">
        <w:t>’</w:t>
      </w:r>
      <w:r w:rsidRPr="00181B83">
        <w:rPr>
          <w:b/>
        </w:rPr>
        <w:t>Algérie</w:t>
      </w:r>
      <w:r>
        <w:t xml:space="preserve"> </w:t>
      </w:r>
      <w:r w:rsidR="00026113">
        <w:t xml:space="preserve">étaient </w:t>
      </w:r>
      <w:r>
        <w:t>satisfaites des éclaircissements apportés par le Mexique et soutenaient l</w:t>
      </w:r>
      <w:r w:rsidR="00346F1B">
        <w:t>’</w:t>
      </w:r>
      <w:r w:rsidR="00684859">
        <w:t>inscription.</w:t>
      </w:r>
    </w:p>
    <w:p w14:paraId="1F5EE942" w14:textId="72C87715" w:rsidR="00181B83" w:rsidRPr="008B61D4" w:rsidRDefault="00C072D3" w:rsidP="00F24F73">
      <w:pPr>
        <w:pStyle w:val="Orateurengris"/>
        <w:spacing w:before="120"/>
        <w:ind w:left="709" w:hanging="709"/>
      </w:pPr>
      <w:r w:rsidRPr="008B61D4">
        <w:t xml:space="preserve">Prenant note de </w:t>
      </w:r>
      <w:r w:rsidR="00026113" w:rsidRPr="008B61D4">
        <w:t xml:space="preserve">la longue </w:t>
      </w:r>
      <w:r w:rsidRPr="008B61D4">
        <w:t>liste d</w:t>
      </w:r>
      <w:r w:rsidR="00346F1B">
        <w:t>’</w:t>
      </w:r>
      <w:r w:rsidRPr="008B61D4">
        <w:t>intervenants et constatant le</w:t>
      </w:r>
      <w:r w:rsidR="00026113" w:rsidRPr="008B61D4">
        <w:t xml:space="preserve"> consensus général, le </w:t>
      </w:r>
      <w:r w:rsidR="00026113" w:rsidRPr="008B61D4">
        <w:rPr>
          <w:b/>
        </w:rPr>
        <w:t>Président</w:t>
      </w:r>
      <w:r w:rsidR="00026113" w:rsidRPr="008B61D4">
        <w:t xml:space="preserve"> a proposé </w:t>
      </w:r>
      <w:r w:rsidR="009B0A38" w:rsidRPr="008B61D4">
        <w:t>de passer à l</w:t>
      </w:r>
      <w:r w:rsidR="00346F1B">
        <w:t>’</w:t>
      </w:r>
      <w:r w:rsidR="009B0A38" w:rsidRPr="008B61D4">
        <w:t xml:space="preserve">adoption du </w:t>
      </w:r>
      <w:r w:rsidR="00FF05C6" w:rsidRPr="008B61D4">
        <w:t xml:space="preserve">paragraphe sur le </w:t>
      </w:r>
      <w:r w:rsidR="00FF049B" w:rsidRPr="008B61D4">
        <w:t xml:space="preserve">critère R.2 </w:t>
      </w:r>
      <w:r w:rsidR="009B0A38" w:rsidRPr="008B61D4">
        <w:t xml:space="preserve">qui a été </w:t>
      </w:r>
      <w:r w:rsidR="008052AC">
        <w:t>dûment</w:t>
      </w:r>
      <w:r w:rsidR="009B0A38" w:rsidRPr="008B61D4">
        <w:t xml:space="preserve"> adopté. </w:t>
      </w:r>
      <w:r w:rsidR="00FF05C6" w:rsidRPr="008B61D4">
        <w:t xml:space="preserve">Il est ensuite passé au paragraphe 2 dans son ensemble qui a été </w:t>
      </w:r>
      <w:r w:rsidR="008052AC">
        <w:t>dûment</w:t>
      </w:r>
      <w:r w:rsidR="00FF05C6" w:rsidRPr="008B61D4">
        <w:t xml:space="preserve"> adopté. </w:t>
      </w:r>
      <w:r w:rsidR="009B0A38" w:rsidRPr="008B61D4">
        <w:t>Il e</w:t>
      </w:r>
      <w:r w:rsidR="00974DC2" w:rsidRPr="008B61D4">
        <w:t>st ensuite passé au paragraphe 3</w:t>
      </w:r>
      <w:r w:rsidR="009B0A38" w:rsidRPr="008B61D4">
        <w:t>, tel que propos</w:t>
      </w:r>
      <w:r w:rsidR="00684859">
        <w:t>é par le Liban et la Palestine.</w:t>
      </w:r>
    </w:p>
    <w:p w14:paraId="2698AE8E" w14:textId="3C0B1119" w:rsidR="00974DC2" w:rsidRDefault="00974DC2" w:rsidP="00F24F73">
      <w:pPr>
        <w:pStyle w:val="Orateurengris"/>
        <w:spacing w:before="120"/>
        <w:ind w:left="709" w:hanging="709"/>
      </w:pPr>
      <w:r>
        <w:t xml:space="preserve">La délégation de la </w:t>
      </w:r>
      <w:r w:rsidRPr="00974DC2">
        <w:rPr>
          <w:b/>
        </w:rPr>
        <w:t>Turquie</w:t>
      </w:r>
      <w:r>
        <w:t xml:space="preserve"> soutenait l</w:t>
      </w:r>
      <w:r w:rsidR="00346F1B">
        <w:t>’</w:t>
      </w:r>
      <w:r>
        <w:t>inscription et l</w:t>
      </w:r>
      <w:r w:rsidR="00346F1B">
        <w:t>’</w:t>
      </w:r>
      <w:r w:rsidR="00684859">
        <w:t>amendement du Liban.</w:t>
      </w:r>
    </w:p>
    <w:p w14:paraId="46E001BD" w14:textId="63F0F854" w:rsidR="00974DC2" w:rsidRDefault="00974DC2" w:rsidP="00F24F73">
      <w:pPr>
        <w:pStyle w:val="Orateurengris"/>
        <w:spacing w:before="120"/>
        <w:ind w:left="709" w:hanging="709"/>
      </w:pPr>
      <w:r>
        <w:t xml:space="preserve">La délégation de </w:t>
      </w:r>
      <w:r w:rsidRPr="00974DC2">
        <w:rPr>
          <w:b/>
        </w:rPr>
        <w:t>Cuba</w:t>
      </w:r>
      <w:r>
        <w:t xml:space="preserve"> soutenait l</w:t>
      </w:r>
      <w:r w:rsidR="00346F1B">
        <w:t>’</w:t>
      </w:r>
      <w:r>
        <w:t>inscr</w:t>
      </w:r>
      <w:r w:rsidR="00684859">
        <w:t>iption et tous les amendements.</w:t>
      </w:r>
    </w:p>
    <w:p w14:paraId="17671D8F" w14:textId="05619EAE" w:rsidR="00974DC2" w:rsidRDefault="00974DC2" w:rsidP="00F24F73">
      <w:pPr>
        <w:pStyle w:val="Orateurengris"/>
        <w:spacing w:before="120"/>
        <w:ind w:left="709" w:hanging="709"/>
      </w:pPr>
      <w:r>
        <w:t>La délégation de l</w:t>
      </w:r>
      <w:r w:rsidR="00346F1B">
        <w:t>’</w:t>
      </w:r>
      <w:r w:rsidRPr="00974DC2">
        <w:rPr>
          <w:b/>
        </w:rPr>
        <w:t>Arménie</w:t>
      </w:r>
      <w:r>
        <w:t xml:space="preserve"> soutenait l</w:t>
      </w:r>
      <w:r w:rsidR="00346F1B">
        <w:t>’</w:t>
      </w:r>
      <w:r>
        <w:t>adoption du paragraphe 3.</w:t>
      </w:r>
    </w:p>
    <w:p w14:paraId="514DD1E0" w14:textId="463700E6" w:rsidR="00255D7A" w:rsidRDefault="00255D7A" w:rsidP="00F24F73">
      <w:pPr>
        <w:pStyle w:val="Orateurengris"/>
        <w:spacing w:before="120"/>
        <w:ind w:left="709" w:hanging="709"/>
      </w:pPr>
      <w:r>
        <w:t xml:space="preserve">Le </w:t>
      </w:r>
      <w:r w:rsidRPr="00255D7A">
        <w:rPr>
          <w:b/>
        </w:rPr>
        <w:t>Président</w:t>
      </w:r>
      <w:r>
        <w:t xml:space="preserve"> a noté que tous les critères avaient été adoptés, et donc les paragraphes suivants pouvaient être considérés comme prêts à être adoptés. En l</w:t>
      </w:r>
      <w:r w:rsidR="00346F1B">
        <w:t>’</w:t>
      </w:r>
      <w:r>
        <w:t>absence d</w:t>
      </w:r>
      <w:r w:rsidR="00346F1B">
        <w:t>’</w:t>
      </w:r>
      <w:r>
        <w:t>objections, le paragraphe 3 « Inscrit » a été adopté. Le paragraphe standard [nouveau paragraphe 4] a été adapté à la candidature et inséré, et, en l</w:t>
      </w:r>
      <w:r w:rsidR="00346F1B">
        <w:t>’</w:t>
      </w:r>
      <w:r>
        <w:t>absence d</w:t>
      </w:r>
      <w:r w:rsidR="00346F1B">
        <w:t>’</w:t>
      </w:r>
      <w:r>
        <w:t xml:space="preserve">objections, il a été </w:t>
      </w:r>
      <w:r w:rsidR="008052AC">
        <w:t>dûment</w:t>
      </w:r>
      <w:r>
        <w:t xml:space="preserve"> adopté. Le Président a proposé d</w:t>
      </w:r>
      <w:r w:rsidR="00346F1B">
        <w:t>’</w:t>
      </w:r>
      <w:r>
        <w:t>adopter la décision dans son ensemble. En l</w:t>
      </w:r>
      <w:r w:rsidR="00346F1B">
        <w:t>’</w:t>
      </w:r>
      <w:r>
        <w:t>absence de commentaires ou d</w:t>
      </w:r>
      <w:r w:rsidR="00346F1B">
        <w:t>’</w:t>
      </w:r>
      <w:r>
        <w:t xml:space="preserve">objections, le </w:t>
      </w:r>
      <w:r w:rsidRPr="00255D7A">
        <w:rPr>
          <w:b/>
        </w:rPr>
        <w:t>Président a déclaré adoptée la décision 11.COM 10.b.22 d</w:t>
      </w:r>
      <w:r w:rsidR="00346F1B">
        <w:rPr>
          <w:b/>
        </w:rPr>
        <w:t>’</w:t>
      </w:r>
      <w:r w:rsidRPr="00255D7A">
        <w:rPr>
          <w:b/>
        </w:rPr>
        <w:t>inscrire la Charrería, tradition équestre au Mexique sur la Liste représentative du patrimoine culturel immatériel de l</w:t>
      </w:r>
      <w:r w:rsidR="00346F1B">
        <w:rPr>
          <w:b/>
        </w:rPr>
        <w:t>’</w:t>
      </w:r>
      <w:r w:rsidRPr="00255D7A">
        <w:rPr>
          <w:b/>
        </w:rPr>
        <w:t>humanité</w:t>
      </w:r>
      <w:r w:rsidR="00684859">
        <w:t>.</w:t>
      </w:r>
    </w:p>
    <w:p w14:paraId="0D770D22" w14:textId="4F123991" w:rsidR="00255D7A" w:rsidRDefault="00255D7A" w:rsidP="00F24F73">
      <w:pPr>
        <w:pStyle w:val="Orateurengris"/>
        <w:spacing w:before="120"/>
        <w:ind w:left="709" w:hanging="709"/>
      </w:pPr>
      <w:r>
        <w:t xml:space="preserve">La délégation du </w:t>
      </w:r>
      <w:r w:rsidRPr="006E6108">
        <w:rPr>
          <w:b/>
        </w:rPr>
        <w:t>Mexique</w:t>
      </w:r>
      <w:r>
        <w:t xml:space="preserve"> a remercié le Comité pour son examen </w:t>
      </w:r>
      <w:r w:rsidR="006E6108">
        <w:t>et son soutien à l</w:t>
      </w:r>
      <w:r w:rsidR="00346F1B">
        <w:t>’</w:t>
      </w:r>
      <w:r w:rsidR="005963F8">
        <w:t>inscription de la Charrerí</w:t>
      </w:r>
      <w:r w:rsidR="006E6108">
        <w:t>a, tradition équestre au Mexique s</w:t>
      </w:r>
      <w:r w:rsidR="00D52FDB">
        <w:t>ur la Liste représentative. Le G</w:t>
      </w:r>
      <w:r w:rsidR="006E6108">
        <w:t>ouvernement mexicain s</w:t>
      </w:r>
      <w:r w:rsidR="00346F1B">
        <w:t>’</w:t>
      </w:r>
      <w:r w:rsidR="006E6108">
        <w:t>était engagé à sauvegarder l</w:t>
      </w:r>
      <w:r w:rsidR="00346F1B">
        <w:t>’</w:t>
      </w:r>
      <w:r w:rsidR="006E6108">
        <w:t>élément et à diffuser plus d</w:t>
      </w:r>
      <w:r w:rsidR="00346F1B">
        <w:t>’</w:t>
      </w:r>
      <w:r w:rsidR="006E6108">
        <w:t xml:space="preserve">informations sur </w:t>
      </w:r>
      <w:r w:rsidR="00CB4FB1">
        <w:t xml:space="preserve">sa </w:t>
      </w:r>
      <w:r w:rsidR="005963F8">
        <w:t>pratique afin d</w:t>
      </w:r>
      <w:r w:rsidR="00346F1B">
        <w:t>’</w:t>
      </w:r>
      <w:r w:rsidR="005963F8">
        <w:t xml:space="preserve">établir </w:t>
      </w:r>
      <w:r w:rsidR="006E6108">
        <w:t xml:space="preserve">un dialogue interculturel favorable à la paix et au développement. </w:t>
      </w:r>
      <w:r w:rsidR="00CB4FB1">
        <w:t>La délégation était tout particulièrement heureuse qu</w:t>
      </w:r>
      <w:r w:rsidR="00346F1B">
        <w:t>’</w:t>
      </w:r>
      <w:r w:rsidR="00CB4FB1">
        <w:t>après cinq années, l</w:t>
      </w:r>
      <w:r w:rsidR="00346F1B">
        <w:t>’</w:t>
      </w:r>
      <w:r w:rsidR="00CB4FB1">
        <w:t xml:space="preserve">inscription de la Charrería ait été reconnue ici, en Éthiopie, un pays avec lequel le Mexique entretenait une longue amitié et </w:t>
      </w:r>
      <w:r w:rsidR="00FF049B" w:rsidRPr="00FF049B">
        <w:t>partageait de profondes</w:t>
      </w:r>
      <w:r w:rsidR="00CB4FB1" w:rsidRPr="00FF049B">
        <w:t xml:space="preserve"> racines.</w:t>
      </w:r>
      <w:r w:rsidR="00CB4FB1">
        <w:t xml:space="preserve"> Elle a remercié l</w:t>
      </w:r>
      <w:r w:rsidR="00346F1B">
        <w:t>’</w:t>
      </w:r>
      <w:r w:rsidR="00CB4FB1">
        <w:t>Espagne d</w:t>
      </w:r>
      <w:r w:rsidR="00346F1B">
        <w:t>’</w:t>
      </w:r>
      <w:r w:rsidR="00CB4FB1">
        <w:t>avoir mis à disposition une interprétation en langue espagnole. [Autre intervenant] Au nom du ministère de la Culture et de l</w:t>
      </w:r>
      <w:r w:rsidR="00346F1B">
        <w:t>’</w:t>
      </w:r>
      <w:r w:rsidR="00CB4FB1">
        <w:t>Institut national d</w:t>
      </w:r>
      <w:r w:rsidR="00346F1B">
        <w:t>’</w:t>
      </w:r>
      <w:r w:rsidR="00CB4FB1">
        <w:t>anthropologie et d</w:t>
      </w:r>
      <w:r w:rsidR="00346F1B">
        <w:t>’</w:t>
      </w:r>
      <w:r w:rsidR="00CB4FB1">
        <w:t xml:space="preserve">histoire, la </w:t>
      </w:r>
      <w:r w:rsidR="002A2E11">
        <w:t>délégation a remercié</w:t>
      </w:r>
      <w:r w:rsidR="00355DFA">
        <w:t xml:space="preserve"> tous ceux qui avaient </w:t>
      </w:r>
      <w:r w:rsidR="002A2E11">
        <w:t>répondu à l</w:t>
      </w:r>
      <w:r w:rsidR="00346F1B">
        <w:t>’</w:t>
      </w:r>
      <w:r w:rsidR="002A2E11">
        <w:t xml:space="preserve">appel du peuple mexicain en faveur </w:t>
      </w:r>
      <w:r w:rsidR="00355DFA">
        <w:t xml:space="preserve">de </w:t>
      </w:r>
      <w:r w:rsidR="00714698">
        <w:t>la Charrería. En effet, c</w:t>
      </w:r>
      <w:r w:rsidR="00346F1B">
        <w:t>’</w:t>
      </w:r>
      <w:r w:rsidR="00714698">
        <w:t xml:space="preserve">était une </w:t>
      </w:r>
      <w:r w:rsidR="00355DFA">
        <w:t xml:space="preserve">pratique </w:t>
      </w:r>
      <w:r w:rsidR="00714698">
        <w:t xml:space="preserve">qui allait </w:t>
      </w:r>
      <w:r w:rsidR="00443FC6">
        <w:t>au-delà</w:t>
      </w:r>
      <w:r w:rsidR="00714698">
        <w:t xml:space="preserve"> des frontières. </w:t>
      </w:r>
      <w:r w:rsidR="005963F8">
        <w:t xml:space="preserve">La délégation souhaitait </w:t>
      </w:r>
      <w:r w:rsidR="00714698">
        <w:t>donner la parole à un</w:t>
      </w:r>
      <w:r w:rsidR="002A2E11">
        <w:t xml:space="preserve"> représentant des communautés charra</w:t>
      </w:r>
      <w:r w:rsidR="00E455F7">
        <w:t>s</w:t>
      </w:r>
      <w:r w:rsidR="005963F8">
        <w:t xml:space="preserve"> mais auparavant elle voulait déclamer </w:t>
      </w:r>
      <w:r w:rsidR="00620208">
        <w:t xml:space="preserve">un couplet fort évocateur de cette tradition, qui parlerait à </w:t>
      </w:r>
      <w:r w:rsidR="00714698">
        <w:t>toutes les communautés d</w:t>
      </w:r>
      <w:r w:rsidR="00346F1B">
        <w:t>’</w:t>
      </w:r>
      <w:r w:rsidR="00714698">
        <w:t>Amérique latine</w:t>
      </w:r>
      <w:r w:rsidR="00620208">
        <w:t xml:space="preserve"> [Dicton mexicain]. [Autre intervenant</w:t>
      </w:r>
      <w:r w:rsidR="002A2E11">
        <w:t>]</w:t>
      </w:r>
      <w:r w:rsidR="00620208">
        <w:t xml:space="preserve"> Au nom de la communauté de la Charrería du Mexique, le rep</w:t>
      </w:r>
      <w:r w:rsidR="00D301C4">
        <w:t>résentant des charros souhaitait</w:t>
      </w:r>
      <w:r w:rsidR="00620208">
        <w:t xml:space="preserve"> exprimer sa gratitude au Comité qui </w:t>
      </w:r>
      <w:r w:rsidR="00E455F7">
        <w:t>l</w:t>
      </w:r>
      <w:r w:rsidR="00346F1B">
        <w:t>’</w:t>
      </w:r>
      <w:r w:rsidR="00E455F7">
        <w:t>avait défendue, ainsi qu</w:t>
      </w:r>
      <w:r w:rsidR="00346F1B">
        <w:t>’</w:t>
      </w:r>
      <w:r w:rsidR="00E455F7">
        <w:t>à</w:t>
      </w:r>
      <w:r w:rsidR="005963F8">
        <w:t xml:space="preserve"> l</w:t>
      </w:r>
      <w:r w:rsidR="00346F1B">
        <w:t>’</w:t>
      </w:r>
      <w:r w:rsidR="005963F8">
        <w:t>Organe d</w:t>
      </w:r>
      <w:r w:rsidR="00346F1B">
        <w:t>’</w:t>
      </w:r>
      <w:r w:rsidR="005963F8">
        <w:t xml:space="preserve">évaluation. </w:t>
      </w:r>
      <w:r w:rsidR="00E455F7">
        <w:t>La Charrería étan</w:t>
      </w:r>
      <w:r w:rsidR="005963F8">
        <w:t xml:space="preserve">t </w:t>
      </w:r>
      <w:r w:rsidR="00E455F7">
        <w:t xml:space="preserve">désormais </w:t>
      </w:r>
      <w:r w:rsidR="005963F8">
        <w:t>inscrite et considérée comme faisant partie du PCI, l</w:t>
      </w:r>
      <w:r w:rsidR="00346F1B">
        <w:t>’</w:t>
      </w:r>
      <w:r w:rsidR="005963F8">
        <w:t>opportunité serait donnée à la Charrería, et également au Mexique, de s</w:t>
      </w:r>
      <w:r w:rsidR="00346F1B">
        <w:t>’</w:t>
      </w:r>
      <w:r w:rsidR="005963F8">
        <w:t>engager résolument en faveur des pratiques de toutes les populations dans toutes les communautés qui pratiquai</w:t>
      </w:r>
      <w:r w:rsidR="00E455F7">
        <w:t>ent cette tradition et de sauve</w:t>
      </w:r>
      <w:r w:rsidR="005963F8">
        <w:t xml:space="preserve">garder </w:t>
      </w:r>
      <w:r w:rsidR="00E455F7">
        <w:t xml:space="preserve">ces pratiques </w:t>
      </w:r>
      <w:r w:rsidR="005963F8">
        <w:t>de façon éthique. La Charrería faisait partie de l</w:t>
      </w:r>
      <w:r w:rsidR="00346F1B">
        <w:t>’</w:t>
      </w:r>
      <w:r w:rsidR="005963F8">
        <w:t xml:space="preserve">identité nationale mexicaine, et cette inscription </w:t>
      </w:r>
      <w:r w:rsidR="00E455F7">
        <w:t xml:space="preserve">était une brique supplémentaire pour </w:t>
      </w:r>
      <w:r w:rsidR="005963F8">
        <w:t>construire l</w:t>
      </w:r>
      <w:r w:rsidR="00346F1B">
        <w:t>’</w:t>
      </w:r>
      <w:r w:rsidR="005963F8">
        <w:t>identité national</w:t>
      </w:r>
      <w:r w:rsidR="00684859">
        <w:t>e du Mexique en matière de PCI.</w:t>
      </w:r>
    </w:p>
    <w:p w14:paraId="59CD78C2" w14:textId="377746FE" w:rsidR="00E455F7" w:rsidRPr="00E455F7" w:rsidRDefault="00E455F7" w:rsidP="00F24F73">
      <w:pPr>
        <w:pStyle w:val="Orateurengris"/>
        <w:spacing w:before="120"/>
        <w:ind w:left="709" w:hanging="709"/>
      </w:pPr>
      <w:r w:rsidRPr="00E455F7">
        <w:t xml:space="preserve">Après avoir félicité le Mexique, le </w:t>
      </w:r>
      <w:r w:rsidRPr="00E455F7">
        <w:rPr>
          <w:b/>
        </w:rPr>
        <w:t>Président</w:t>
      </w:r>
      <w:r w:rsidRPr="00E455F7">
        <w:t xml:space="preserve"> est passé à la candidature suivante, soumise par</w:t>
      </w:r>
      <w:r w:rsidR="00684859">
        <w:t xml:space="preserve"> le Nigeria.</w:t>
      </w:r>
    </w:p>
    <w:p w14:paraId="5EB8FD8C" w14:textId="5EFF54F5" w:rsidR="00E455F7" w:rsidRPr="00E455F7" w:rsidRDefault="00E455F7" w:rsidP="00F24F73">
      <w:pPr>
        <w:pStyle w:val="Orateurengris"/>
        <w:spacing w:before="120"/>
        <w:ind w:left="709" w:hanging="709"/>
        <w:rPr>
          <w:rFonts w:eastAsiaTheme="minorEastAsia"/>
        </w:rPr>
      </w:pPr>
      <w:r>
        <w:rPr>
          <w:rFonts w:eastAsiaTheme="minorEastAsia"/>
        </w:rPr>
        <w:t xml:space="preserve">Le </w:t>
      </w:r>
      <w:r w:rsidRPr="00E455F7">
        <w:rPr>
          <w:rFonts w:eastAsiaTheme="minorEastAsia"/>
          <w:b/>
        </w:rPr>
        <w:t>Vice-Président de l</w:t>
      </w:r>
      <w:r w:rsidR="00346F1B">
        <w:rPr>
          <w:rFonts w:eastAsiaTheme="minorEastAsia"/>
          <w:b/>
        </w:rPr>
        <w:t>’</w:t>
      </w:r>
      <w:r w:rsidRPr="00E455F7">
        <w:rPr>
          <w:rFonts w:eastAsiaTheme="minorEastAsia"/>
          <w:b/>
        </w:rPr>
        <w:t>Organe d</w:t>
      </w:r>
      <w:r w:rsidR="00346F1B">
        <w:rPr>
          <w:rFonts w:eastAsiaTheme="minorEastAsia"/>
          <w:b/>
        </w:rPr>
        <w:t>’</w:t>
      </w:r>
      <w:r w:rsidRPr="00E455F7">
        <w:rPr>
          <w:rFonts w:eastAsiaTheme="minorEastAsia"/>
          <w:b/>
        </w:rPr>
        <w:t>évaluation</w:t>
      </w:r>
      <w:r>
        <w:rPr>
          <w:rFonts w:eastAsiaTheme="minorEastAsia"/>
        </w:rPr>
        <w:t xml:space="preserve"> est passé à la </w:t>
      </w:r>
      <w:r w:rsidRPr="00E455F7">
        <w:rPr>
          <w:rFonts w:eastAsiaTheme="minorEastAsia"/>
        </w:rPr>
        <w:t>candidature</w:t>
      </w:r>
      <w:r>
        <w:rPr>
          <w:rFonts w:eastAsiaTheme="minorEastAsia"/>
        </w:rPr>
        <w:t xml:space="preserve"> suivante, </w:t>
      </w:r>
      <w:bookmarkStart w:id="43" w:name="Decision10b23"/>
      <w:r w:rsidRPr="00E455F7">
        <w:rPr>
          <w:rFonts w:eastAsiaTheme="minorEastAsia"/>
          <w:b/>
        </w:rPr>
        <w:t>le</w:t>
      </w:r>
      <w:r>
        <w:rPr>
          <w:rFonts w:eastAsiaTheme="minorEastAsia"/>
        </w:rPr>
        <w:t xml:space="preserve"> </w:t>
      </w:r>
      <w:r w:rsidRPr="00E455F7">
        <w:rPr>
          <w:rFonts w:eastAsiaTheme="minorEastAsia"/>
          <w:b/>
        </w:rPr>
        <w:t xml:space="preserve">Festival international de la </w:t>
      </w:r>
      <w:r w:rsidR="00E279E5">
        <w:rPr>
          <w:rFonts w:eastAsiaTheme="minorEastAsia"/>
          <w:b/>
        </w:rPr>
        <w:t xml:space="preserve">culture </w:t>
      </w:r>
      <w:r w:rsidRPr="00E455F7">
        <w:rPr>
          <w:rFonts w:eastAsiaTheme="minorEastAsia"/>
          <w:b/>
        </w:rPr>
        <w:t xml:space="preserve">et de la </w:t>
      </w:r>
      <w:r w:rsidR="00E279E5">
        <w:rPr>
          <w:rFonts w:eastAsiaTheme="minorEastAsia"/>
          <w:b/>
        </w:rPr>
        <w:t xml:space="preserve">pêche </w:t>
      </w:r>
      <w:r w:rsidRPr="00E455F7">
        <w:rPr>
          <w:rFonts w:eastAsiaTheme="minorEastAsia"/>
          <w:b/>
        </w:rPr>
        <w:t>d</w:t>
      </w:r>
      <w:r w:rsidR="00346F1B">
        <w:rPr>
          <w:rFonts w:eastAsiaTheme="minorEastAsia"/>
          <w:b/>
        </w:rPr>
        <w:t>’</w:t>
      </w:r>
      <w:r w:rsidRPr="00E455F7">
        <w:rPr>
          <w:rFonts w:eastAsiaTheme="minorEastAsia"/>
          <w:b/>
        </w:rPr>
        <w:t>Argungu</w:t>
      </w:r>
      <w:bookmarkEnd w:id="43"/>
      <w:r>
        <w:rPr>
          <w:rFonts w:eastAsiaTheme="minorEastAsia"/>
        </w:rPr>
        <w:t xml:space="preserve"> [projet de décision 11.COM 10.b.23], soumise par le Nigeria. </w:t>
      </w:r>
      <w:r w:rsidR="00E279E5">
        <w:rPr>
          <w:rFonts w:eastAsiaTheme="minorEastAsia"/>
        </w:rPr>
        <w:t xml:space="preserve">Tous les </w:t>
      </w:r>
      <w:r w:rsidR="00B57D86">
        <w:rPr>
          <w:rFonts w:eastAsiaTheme="minorEastAsia"/>
        </w:rPr>
        <w:t>ans, au nord-ouest du Nigeria, d</w:t>
      </w:r>
      <w:r w:rsidR="00E279E5">
        <w:rPr>
          <w:rFonts w:eastAsiaTheme="minorEastAsia"/>
        </w:rPr>
        <w:t>es communautés participaient au Festival international de la pêche et de la culture d</w:t>
      </w:r>
      <w:r w:rsidR="00346F1B">
        <w:rPr>
          <w:rFonts w:eastAsiaTheme="minorEastAsia"/>
        </w:rPr>
        <w:t>’</w:t>
      </w:r>
      <w:r w:rsidR="00E279E5">
        <w:rPr>
          <w:rFonts w:eastAsiaTheme="minorEastAsia"/>
        </w:rPr>
        <w:t xml:space="preserve">Argungu. Pendant ce festival de quatre jours, organisé entre février et mars, on pouvait assister au kabanci - une série </w:t>
      </w:r>
      <w:r w:rsidR="005A685B">
        <w:rPr>
          <w:rFonts w:eastAsiaTheme="minorEastAsia"/>
        </w:rPr>
        <w:t xml:space="preserve">de </w:t>
      </w:r>
      <w:r w:rsidR="00E279E5">
        <w:rPr>
          <w:rFonts w:eastAsiaTheme="minorEastAsia"/>
        </w:rPr>
        <w:t>compétitions aquatiques parmi lesquelles la pêche à mains nues, les courses de canoë, la capture de canards sauvages et d</w:t>
      </w:r>
      <w:r w:rsidR="00346F1B">
        <w:rPr>
          <w:rFonts w:eastAsiaTheme="minorEastAsia"/>
        </w:rPr>
        <w:t>’</w:t>
      </w:r>
      <w:r w:rsidR="00E279E5">
        <w:rPr>
          <w:rFonts w:eastAsiaTheme="minorEastAsia"/>
        </w:rPr>
        <w:t>autres pratiques traditionnelles. Les hommes et les garçons y participaient tandis que les femmes interprétaient des chants et des danses. On considérait que le festival contribuait à l</w:t>
      </w:r>
      <w:r w:rsidR="00346F1B">
        <w:rPr>
          <w:rFonts w:eastAsiaTheme="minorEastAsia"/>
        </w:rPr>
        <w:t>’</w:t>
      </w:r>
      <w:r w:rsidR="00E279E5">
        <w:rPr>
          <w:rFonts w:eastAsiaTheme="minorEastAsia"/>
        </w:rPr>
        <w:t xml:space="preserve">identité des communautés et était un moyen de maintenir la paix entre les Argungu et leurs voisins Sokoto. Les connaissances à propos de la tradition étaient transmises au sein des chefferies, des familles et par apprentissage. À la lecture des </w:t>
      </w:r>
      <w:r w:rsidR="00E279E5" w:rsidRPr="00E279E5">
        <w:rPr>
          <w:rFonts w:eastAsiaTheme="minorEastAsia"/>
        </w:rPr>
        <w:t>informations</w:t>
      </w:r>
      <w:r w:rsidR="00E279E5">
        <w:rPr>
          <w:rFonts w:eastAsiaTheme="minorEastAsia"/>
        </w:rPr>
        <w:t xml:space="preserve"> contenues dans le dossier, l</w:t>
      </w:r>
      <w:r w:rsidR="00346F1B">
        <w:rPr>
          <w:rFonts w:eastAsiaTheme="minorEastAsia"/>
        </w:rPr>
        <w:t>’</w:t>
      </w:r>
      <w:r w:rsidR="00E279E5">
        <w:rPr>
          <w:rFonts w:eastAsiaTheme="minorEastAsia"/>
        </w:rPr>
        <w:t>Organe d</w:t>
      </w:r>
      <w:r w:rsidR="00346F1B">
        <w:rPr>
          <w:rFonts w:eastAsiaTheme="minorEastAsia"/>
        </w:rPr>
        <w:t>’</w:t>
      </w:r>
      <w:r w:rsidR="00E279E5">
        <w:rPr>
          <w:rFonts w:eastAsiaTheme="minorEastAsia"/>
        </w:rPr>
        <w:t>évaluation</w:t>
      </w:r>
      <w:r w:rsidR="006B3F2B">
        <w:rPr>
          <w:rFonts w:eastAsiaTheme="minorEastAsia"/>
        </w:rPr>
        <w:t xml:space="preserve"> avait décidé que </w:t>
      </w:r>
      <w:r w:rsidR="00E279E5">
        <w:rPr>
          <w:rFonts w:eastAsiaTheme="minorEastAsia"/>
        </w:rPr>
        <w:t xml:space="preserve">la </w:t>
      </w:r>
      <w:r w:rsidR="00E279E5" w:rsidRPr="00E279E5">
        <w:rPr>
          <w:rFonts w:eastAsiaTheme="minorEastAsia"/>
        </w:rPr>
        <w:t>candidature</w:t>
      </w:r>
      <w:r w:rsidR="00124F65">
        <w:rPr>
          <w:rFonts w:eastAsiaTheme="minorEastAsia"/>
        </w:rPr>
        <w:t xml:space="preserve"> satisfaisait les</w:t>
      </w:r>
      <w:r w:rsidR="00E279E5">
        <w:rPr>
          <w:rFonts w:eastAsiaTheme="minorEastAsia"/>
        </w:rPr>
        <w:t xml:space="preserve"> </w:t>
      </w:r>
      <w:r w:rsidR="00E279E5" w:rsidRPr="00E279E5">
        <w:rPr>
          <w:rFonts w:eastAsiaTheme="minorEastAsia"/>
        </w:rPr>
        <w:t>critère</w:t>
      </w:r>
      <w:r w:rsidR="00B57D86">
        <w:rPr>
          <w:rFonts w:eastAsiaTheme="minorEastAsia"/>
        </w:rPr>
        <w:t>s</w:t>
      </w:r>
      <w:r w:rsidR="00E279E5">
        <w:rPr>
          <w:rFonts w:eastAsiaTheme="minorEastAsia"/>
        </w:rPr>
        <w:t xml:space="preserve"> R.1 et R.5. Il avait </w:t>
      </w:r>
      <w:r w:rsidR="00E279E5" w:rsidRPr="00E279E5">
        <w:rPr>
          <w:rFonts w:eastAsiaTheme="minorEastAsia"/>
        </w:rPr>
        <w:t>toutefois</w:t>
      </w:r>
      <w:r w:rsidR="00E279E5">
        <w:rPr>
          <w:rFonts w:eastAsiaTheme="minorEastAsia"/>
        </w:rPr>
        <w:t xml:space="preserve"> décidé </w:t>
      </w:r>
      <w:r w:rsidR="006B3F2B">
        <w:rPr>
          <w:rFonts w:eastAsiaTheme="minorEastAsia"/>
        </w:rPr>
        <w:t>que les informations présentées dans le dossier n</w:t>
      </w:r>
      <w:r w:rsidR="00346F1B">
        <w:rPr>
          <w:rFonts w:eastAsiaTheme="minorEastAsia"/>
        </w:rPr>
        <w:t>’</w:t>
      </w:r>
      <w:r w:rsidR="006B3F2B">
        <w:rPr>
          <w:rFonts w:eastAsiaTheme="minorEastAsia"/>
        </w:rPr>
        <w:t>étaient pas suffisantes pour déterminer si les critères R.2, R.3 et R.4 étaient satisfaits. S</w:t>
      </w:r>
      <w:r w:rsidR="00346F1B">
        <w:rPr>
          <w:rFonts w:eastAsiaTheme="minorEastAsia"/>
        </w:rPr>
        <w:t>’</w:t>
      </w:r>
      <w:r w:rsidR="006B3F2B">
        <w:rPr>
          <w:rFonts w:eastAsiaTheme="minorEastAsia"/>
        </w:rPr>
        <w:t xml:space="preserve">agissant du </w:t>
      </w:r>
      <w:r w:rsidR="006B3F2B" w:rsidRPr="006B3F2B">
        <w:rPr>
          <w:rFonts w:eastAsiaTheme="minorEastAsia"/>
        </w:rPr>
        <w:t>critère</w:t>
      </w:r>
      <w:r w:rsidR="006B3F2B">
        <w:rPr>
          <w:rFonts w:eastAsiaTheme="minorEastAsia"/>
        </w:rPr>
        <w:t xml:space="preserve"> R.2, plutôt que de suggérer comment l</w:t>
      </w:r>
      <w:r w:rsidR="00346F1B">
        <w:rPr>
          <w:rFonts w:eastAsiaTheme="minorEastAsia"/>
        </w:rPr>
        <w:t>’</w:t>
      </w:r>
      <w:r w:rsidR="006B3F2B" w:rsidRPr="006B3F2B">
        <w:rPr>
          <w:rFonts w:eastAsiaTheme="minorEastAsia"/>
        </w:rPr>
        <w:t>élément</w:t>
      </w:r>
      <w:r w:rsidR="006B3F2B">
        <w:rPr>
          <w:rFonts w:eastAsiaTheme="minorEastAsia"/>
        </w:rPr>
        <w:t xml:space="preserve"> pourrait contribuer à la </w:t>
      </w:r>
      <w:r w:rsidR="006B3F2B" w:rsidRPr="006B3F2B">
        <w:rPr>
          <w:rFonts w:eastAsiaTheme="minorEastAsia"/>
        </w:rPr>
        <w:t>visibilité</w:t>
      </w:r>
      <w:r w:rsidR="006B3F2B">
        <w:rPr>
          <w:rFonts w:eastAsiaTheme="minorEastAsia"/>
        </w:rPr>
        <w:t xml:space="preserve"> du PCI en général, le dossier semblait se concentrer sur </w:t>
      </w:r>
      <w:r w:rsidR="00B57D86">
        <w:rPr>
          <w:rFonts w:eastAsiaTheme="minorEastAsia"/>
        </w:rPr>
        <w:t xml:space="preserve">les </w:t>
      </w:r>
      <w:r w:rsidR="006B3F2B">
        <w:rPr>
          <w:rFonts w:eastAsiaTheme="minorEastAsia"/>
        </w:rPr>
        <w:t>conséquences de l</w:t>
      </w:r>
      <w:r w:rsidR="00346F1B">
        <w:rPr>
          <w:rFonts w:eastAsiaTheme="minorEastAsia"/>
        </w:rPr>
        <w:t>’</w:t>
      </w:r>
      <w:r w:rsidR="006B3F2B" w:rsidRPr="006B3F2B">
        <w:rPr>
          <w:rFonts w:eastAsiaTheme="minorEastAsia"/>
        </w:rPr>
        <w:t>inscription</w:t>
      </w:r>
      <w:r w:rsidR="006B3F2B">
        <w:rPr>
          <w:rFonts w:eastAsiaTheme="minorEastAsia"/>
        </w:rPr>
        <w:t xml:space="preserve"> pour l</w:t>
      </w:r>
      <w:r w:rsidR="00346F1B">
        <w:rPr>
          <w:rFonts w:eastAsiaTheme="minorEastAsia"/>
        </w:rPr>
        <w:t>’</w:t>
      </w:r>
      <w:r w:rsidR="006B3F2B" w:rsidRPr="006B3F2B">
        <w:rPr>
          <w:rFonts w:eastAsiaTheme="minorEastAsia"/>
        </w:rPr>
        <w:t>élément</w:t>
      </w:r>
      <w:r w:rsidR="006B3F2B">
        <w:rPr>
          <w:rFonts w:eastAsiaTheme="minorEastAsia"/>
        </w:rPr>
        <w:t xml:space="preserve"> lui-même. </w:t>
      </w:r>
      <w:r w:rsidR="006B3F2B" w:rsidRPr="006B3F2B">
        <w:rPr>
          <w:rFonts w:eastAsiaTheme="minorEastAsia"/>
        </w:rPr>
        <w:t>En ce qui concerne</w:t>
      </w:r>
      <w:r w:rsidR="006B3F2B">
        <w:rPr>
          <w:rFonts w:eastAsiaTheme="minorEastAsia"/>
        </w:rPr>
        <w:t xml:space="preserve"> le </w:t>
      </w:r>
      <w:r w:rsidR="006B3F2B" w:rsidRPr="006B3F2B">
        <w:rPr>
          <w:rFonts w:eastAsiaTheme="minorEastAsia"/>
        </w:rPr>
        <w:t>critère</w:t>
      </w:r>
      <w:r w:rsidR="006B3F2B">
        <w:rPr>
          <w:rFonts w:eastAsiaTheme="minorEastAsia"/>
        </w:rPr>
        <w:t xml:space="preserve"> R.3, les mesures de sauvegarde proposées prévoyaient un travail de </w:t>
      </w:r>
      <w:r w:rsidR="006B3F2B" w:rsidRPr="006B3F2B">
        <w:rPr>
          <w:rFonts w:eastAsiaTheme="minorEastAsia"/>
        </w:rPr>
        <w:t>recherche</w:t>
      </w:r>
      <w:r w:rsidR="006B3F2B">
        <w:rPr>
          <w:rFonts w:eastAsiaTheme="minorEastAsia"/>
        </w:rPr>
        <w:t xml:space="preserve"> et de </w:t>
      </w:r>
      <w:r w:rsidR="006B3F2B" w:rsidRPr="006B3F2B">
        <w:rPr>
          <w:rFonts w:eastAsiaTheme="minorEastAsia"/>
        </w:rPr>
        <w:t>documentation</w:t>
      </w:r>
      <w:r w:rsidR="006B3F2B">
        <w:rPr>
          <w:rFonts w:eastAsiaTheme="minorEastAsia"/>
        </w:rPr>
        <w:t xml:space="preserve"> et une protection des ressources et du caractère sacré de la rivière. Les éventuelles conséquences négatives liées à l</w:t>
      </w:r>
      <w:r w:rsidR="00346F1B">
        <w:rPr>
          <w:rFonts w:eastAsiaTheme="minorEastAsia"/>
        </w:rPr>
        <w:t>’</w:t>
      </w:r>
      <w:r w:rsidR="006B3F2B" w:rsidRPr="006B3F2B">
        <w:rPr>
          <w:rFonts w:eastAsiaTheme="minorEastAsia"/>
        </w:rPr>
        <w:t>inscription</w:t>
      </w:r>
      <w:r w:rsidR="006B3F2B">
        <w:rPr>
          <w:rFonts w:eastAsiaTheme="minorEastAsia"/>
        </w:rPr>
        <w:t xml:space="preserve"> (tourisme de masse) n</w:t>
      </w:r>
      <w:r w:rsidR="00346F1B">
        <w:rPr>
          <w:rFonts w:eastAsiaTheme="minorEastAsia"/>
        </w:rPr>
        <w:t>’</w:t>
      </w:r>
      <w:r w:rsidR="006B3F2B">
        <w:rPr>
          <w:rFonts w:eastAsiaTheme="minorEastAsia"/>
        </w:rPr>
        <w:t xml:space="preserve">étaient </w:t>
      </w:r>
      <w:r w:rsidR="006B3F2B" w:rsidRPr="006B3F2B">
        <w:rPr>
          <w:rFonts w:eastAsiaTheme="minorEastAsia"/>
        </w:rPr>
        <w:t>toutefois</w:t>
      </w:r>
      <w:r w:rsidR="006B3F2B">
        <w:rPr>
          <w:rFonts w:eastAsiaTheme="minorEastAsia"/>
        </w:rPr>
        <w:t xml:space="preserve"> pas abordées. Il </w:t>
      </w:r>
      <w:r w:rsidR="00B57D86">
        <w:rPr>
          <w:rFonts w:eastAsiaTheme="minorEastAsia"/>
        </w:rPr>
        <w:t xml:space="preserve">aurait été </w:t>
      </w:r>
      <w:r w:rsidR="006B3F2B">
        <w:rPr>
          <w:rFonts w:eastAsiaTheme="minorEastAsia"/>
        </w:rPr>
        <w:t>utile que le dossier présente plus d</w:t>
      </w:r>
      <w:r w:rsidR="00346F1B">
        <w:rPr>
          <w:rFonts w:eastAsiaTheme="minorEastAsia"/>
        </w:rPr>
        <w:t>’</w:t>
      </w:r>
      <w:r w:rsidR="006B3F2B" w:rsidRPr="006B3F2B">
        <w:rPr>
          <w:rFonts w:eastAsiaTheme="minorEastAsia"/>
        </w:rPr>
        <w:t>informations</w:t>
      </w:r>
      <w:r w:rsidR="006B3F2B">
        <w:rPr>
          <w:rFonts w:eastAsiaTheme="minorEastAsia"/>
        </w:rPr>
        <w:t xml:space="preserve"> sur les modalités de </w:t>
      </w:r>
      <w:r w:rsidR="006B3F2B" w:rsidRPr="006B3F2B">
        <w:rPr>
          <w:rFonts w:eastAsiaTheme="minorEastAsia"/>
        </w:rPr>
        <w:t>participation</w:t>
      </w:r>
      <w:r w:rsidR="006B3F2B">
        <w:rPr>
          <w:rFonts w:eastAsiaTheme="minorEastAsia"/>
        </w:rPr>
        <w:t xml:space="preserve"> des communautés à la </w:t>
      </w:r>
      <w:r w:rsidR="006B3F2B" w:rsidRPr="006B3F2B">
        <w:rPr>
          <w:rFonts w:eastAsiaTheme="minorEastAsia"/>
        </w:rPr>
        <w:t>planification</w:t>
      </w:r>
      <w:r w:rsidR="006B3F2B">
        <w:rPr>
          <w:rFonts w:eastAsiaTheme="minorEastAsia"/>
        </w:rPr>
        <w:t xml:space="preserve"> des mesures et sur leurs futurs rôles et responsabilités. S</w:t>
      </w:r>
      <w:r w:rsidR="00346F1B">
        <w:rPr>
          <w:rFonts w:eastAsiaTheme="minorEastAsia"/>
        </w:rPr>
        <w:t>’</w:t>
      </w:r>
      <w:r w:rsidR="006B3F2B">
        <w:rPr>
          <w:rFonts w:eastAsiaTheme="minorEastAsia"/>
        </w:rPr>
        <w:t xml:space="preserve">agissant du </w:t>
      </w:r>
      <w:r w:rsidR="006B3F2B" w:rsidRPr="006B3F2B">
        <w:rPr>
          <w:rFonts w:eastAsiaTheme="minorEastAsia"/>
        </w:rPr>
        <w:t>critère</w:t>
      </w:r>
      <w:r w:rsidR="006B3F2B">
        <w:rPr>
          <w:rFonts w:eastAsiaTheme="minorEastAsia"/>
        </w:rPr>
        <w:t xml:space="preserve"> R.4, la </w:t>
      </w:r>
      <w:r w:rsidR="006B3F2B" w:rsidRPr="006B3F2B">
        <w:rPr>
          <w:rFonts w:eastAsiaTheme="minorEastAsia"/>
        </w:rPr>
        <w:t>participation</w:t>
      </w:r>
      <w:r w:rsidR="006B3F2B">
        <w:rPr>
          <w:rFonts w:eastAsiaTheme="minorEastAsia"/>
        </w:rPr>
        <w:t xml:space="preserve"> large et active des communautés à la </w:t>
      </w:r>
      <w:r w:rsidR="006B3F2B" w:rsidRPr="006B3F2B">
        <w:rPr>
          <w:rFonts w:eastAsiaTheme="minorEastAsia"/>
        </w:rPr>
        <w:t>candidature</w:t>
      </w:r>
      <w:r w:rsidR="006B3F2B">
        <w:rPr>
          <w:rFonts w:eastAsiaTheme="minorEastAsia"/>
        </w:rPr>
        <w:t xml:space="preserve"> n</w:t>
      </w:r>
      <w:r w:rsidR="00346F1B">
        <w:rPr>
          <w:rFonts w:eastAsiaTheme="minorEastAsia"/>
        </w:rPr>
        <w:t>’</w:t>
      </w:r>
      <w:r w:rsidR="006B3F2B">
        <w:rPr>
          <w:rFonts w:eastAsiaTheme="minorEastAsia"/>
        </w:rPr>
        <w:t>était pas présentée de manière adéquate, donnant l</w:t>
      </w:r>
      <w:r w:rsidR="00346F1B">
        <w:rPr>
          <w:rFonts w:eastAsiaTheme="minorEastAsia"/>
        </w:rPr>
        <w:t>’</w:t>
      </w:r>
      <w:r w:rsidR="006B3F2B">
        <w:rPr>
          <w:rFonts w:eastAsiaTheme="minorEastAsia"/>
        </w:rPr>
        <w:t xml:space="preserve">impression que le processus de </w:t>
      </w:r>
      <w:r w:rsidR="006B3F2B" w:rsidRPr="006B3F2B">
        <w:rPr>
          <w:rFonts w:eastAsiaTheme="minorEastAsia"/>
        </w:rPr>
        <w:t>candidature</w:t>
      </w:r>
      <w:r w:rsidR="006B3F2B">
        <w:rPr>
          <w:rFonts w:eastAsiaTheme="minorEastAsia"/>
        </w:rPr>
        <w:t xml:space="preserve"> était descendant. Compte tenu de la diversité des groupes communautaires et </w:t>
      </w:r>
      <w:r w:rsidR="006B3F2B" w:rsidRPr="006B3F2B">
        <w:rPr>
          <w:rFonts w:eastAsiaTheme="minorEastAsia"/>
        </w:rPr>
        <w:t>individus</w:t>
      </w:r>
      <w:r w:rsidR="006B3F2B">
        <w:rPr>
          <w:rFonts w:eastAsiaTheme="minorEastAsia"/>
        </w:rPr>
        <w:t xml:space="preserve"> impliqués, une représenta</w:t>
      </w:r>
      <w:r w:rsidR="006B3F2B" w:rsidRPr="006B3F2B">
        <w:rPr>
          <w:rFonts w:eastAsiaTheme="minorEastAsia"/>
        </w:rPr>
        <w:t>t</w:t>
      </w:r>
      <w:r w:rsidR="006B3F2B">
        <w:rPr>
          <w:rFonts w:eastAsiaTheme="minorEastAsia"/>
        </w:rPr>
        <w:t xml:space="preserve">ion plus large </w:t>
      </w:r>
      <w:r w:rsidR="00B57D86">
        <w:rPr>
          <w:rFonts w:eastAsiaTheme="minorEastAsia"/>
        </w:rPr>
        <w:t xml:space="preserve">du </w:t>
      </w:r>
      <w:r w:rsidR="00B57D86" w:rsidRPr="00B57D86">
        <w:rPr>
          <w:rFonts w:eastAsiaTheme="minorEastAsia"/>
        </w:rPr>
        <w:t>consentement</w:t>
      </w:r>
      <w:r w:rsidR="00B57D86">
        <w:rPr>
          <w:rFonts w:eastAsiaTheme="minorEastAsia"/>
        </w:rPr>
        <w:t xml:space="preserve"> de la </w:t>
      </w:r>
      <w:r w:rsidR="00B57D86" w:rsidRPr="00B57D86">
        <w:rPr>
          <w:rFonts w:eastAsiaTheme="minorEastAsia"/>
        </w:rPr>
        <w:t>communauté</w:t>
      </w:r>
      <w:r w:rsidR="00B57D86">
        <w:rPr>
          <w:rFonts w:eastAsiaTheme="minorEastAsia"/>
        </w:rPr>
        <w:t xml:space="preserve"> aurait été accueillie avec </w:t>
      </w:r>
      <w:r w:rsidR="00B57D86" w:rsidRPr="00B57D86">
        <w:rPr>
          <w:rFonts w:eastAsiaTheme="minorEastAsia"/>
        </w:rPr>
        <w:t>satisfaction</w:t>
      </w:r>
      <w:r w:rsidR="00B57D86">
        <w:rPr>
          <w:rFonts w:eastAsiaTheme="minorEastAsia"/>
        </w:rPr>
        <w:t>. Enfin, bien que le dossier évoque des aspects secrets de l</w:t>
      </w:r>
      <w:r w:rsidR="00346F1B">
        <w:rPr>
          <w:rFonts w:eastAsiaTheme="minorEastAsia"/>
        </w:rPr>
        <w:t>’</w:t>
      </w:r>
      <w:r w:rsidR="00B57D86" w:rsidRPr="00B57D86">
        <w:rPr>
          <w:rFonts w:eastAsiaTheme="minorEastAsia"/>
        </w:rPr>
        <w:t>élément</w:t>
      </w:r>
      <w:r w:rsidR="00B57D86">
        <w:rPr>
          <w:rFonts w:eastAsiaTheme="minorEastAsia"/>
        </w:rPr>
        <w:t>, des mesures spécifiques destinées à assurer qu</w:t>
      </w:r>
      <w:r w:rsidR="00346F1B">
        <w:rPr>
          <w:rFonts w:eastAsiaTheme="minorEastAsia"/>
        </w:rPr>
        <w:t>’</w:t>
      </w:r>
      <w:r w:rsidR="00B57D86">
        <w:rPr>
          <w:rFonts w:eastAsiaTheme="minorEastAsia"/>
        </w:rPr>
        <w:t>ils étaient bien respectés faisaient défaut. L</w:t>
      </w:r>
      <w:r w:rsidR="00346F1B">
        <w:rPr>
          <w:rFonts w:eastAsiaTheme="minorEastAsia"/>
        </w:rPr>
        <w:t>’</w:t>
      </w:r>
      <w:r w:rsidR="00B57D86">
        <w:rPr>
          <w:rFonts w:eastAsiaTheme="minorEastAsia"/>
        </w:rPr>
        <w:t>Organe d</w:t>
      </w:r>
      <w:r w:rsidR="00346F1B">
        <w:rPr>
          <w:rFonts w:eastAsiaTheme="minorEastAsia"/>
        </w:rPr>
        <w:t>’</w:t>
      </w:r>
      <w:r w:rsidR="00B57D86">
        <w:rPr>
          <w:rFonts w:eastAsiaTheme="minorEastAsia"/>
        </w:rPr>
        <w:t>évaluation avait dé</w:t>
      </w:r>
      <w:r w:rsidR="005A685B">
        <w:rPr>
          <w:rFonts w:eastAsiaTheme="minorEastAsia"/>
        </w:rPr>
        <w:t>cidé de recommander au Comité le</w:t>
      </w:r>
      <w:r w:rsidR="00B57D86">
        <w:rPr>
          <w:rFonts w:eastAsiaTheme="minorEastAsia"/>
        </w:rPr>
        <w:t xml:space="preserve"> renvoi du Festival international de la culture et de la pêche d</w:t>
      </w:r>
      <w:r w:rsidR="00346F1B">
        <w:rPr>
          <w:rFonts w:eastAsiaTheme="minorEastAsia"/>
        </w:rPr>
        <w:t>’</w:t>
      </w:r>
      <w:r w:rsidR="00B57D86">
        <w:rPr>
          <w:rFonts w:eastAsiaTheme="minorEastAsia"/>
        </w:rPr>
        <w:t>Argungu à l</w:t>
      </w:r>
      <w:r w:rsidR="00346F1B">
        <w:rPr>
          <w:rFonts w:eastAsiaTheme="minorEastAsia"/>
        </w:rPr>
        <w:t>’</w:t>
      </w:r>
      <w:r w:rsidR="00B57D86">
        <w:rPr>
          <w:rFonts w:eastAsiaTheme="minorEastAsia"/>
        </w:rPr>
        <w:t>État soumissionnaire po</w:t>
      </w:r>
      <w:r w:rsidR="005A685B">
        <w:rPr>
          <w:rFonts w:eastAsiaTheme="minorEastAsia"/>
        </w:rPr>
        <w:t>ur complément d</w:t>
      </w:r>
      <w:r w:rsidR="00346F1B">
        <w:rPr>
          <w:rFonts w:eastAsiaTheme="minorEastAsia"/>
        </w:rPr>
        <w:t>’</w:t>
      </w:r>
      <w:r w:rsidR="00684859">
        <w:rPr>
          <w:rFonts w:eastAsiaTheme="minorEastAsia"/>
        </w:rPr>
        <w:t>information.</w:t>
      </w:r>
    </w:p>
    <w:p w14:paraId="53B885C0" w14:textId="1E4D0EA3" w:rsidR="005A685B" w:rsidRDefault="005A685B" w:rsidP="00F24F73">
      <w:pPr>
        <w:pStyle w:val="Orateurengris"/>
        <w:spacing w:before="120"/>
        <w:ind w:left="709" w:hanging="709"/>
        <w:rPr>
          <w:rFonts w:eastAsiaTheme="minorEastAsia"/>
        </w:rPr>
      </w:pPr>
      <w:r>
        <w:rPr>
          <w:rFonts w:eastAsiaTheme="minorEastAsia"/>
        </w:rPr>
        <w:t xml:space="preserve">Le </w:t>
      </w:r>
      <w:r w:rsidRPr="005A685B">
        <w:rPr>
          <w:rFonts w:eastAsiaTheme="minorEastAsia"/>
          <w:b/>
        </w:rPr>
        <w:t>Président</w:t>
      </w:r>
      <w:r>
        <w:rPr>
          <w:rFonts w:eastAsiaTheme="minorEastAsia"/>
        </w:rPr>
        <w:t xml:space="preserve"> a remercié le Vice-Président pour les explications détaillées, et a informé le Comité que plusieurs amendements avaient été reçus. Afin de gagner du temps, il a suggéré</w:t>
      </w:r>
      <w:r w:rsidR="00A46CAD">
        <w:rPr>
          <w:rFonts w:eastAsiaTheme="minorEastAsia"/>
        </w:rPr>
        <w:t xml:space="preserve"> de ne donner la parole qu</w:t>
      </w:r>
      <w:r w:rsidR="00346F1B">
        <w:rPr>
          <w:rFonts w:eastAsiaTheme="minorEastAsia"/>
        </w:rPr>
        <w:t>’</w:t>
      </w:r>
      <w:r w:rsidR="00A46CAD">
        <w:rPr>
          <w:rFonts w:eastAsiaTheme="minorEastAsia"/>
        </w:rPr>
        <w:t>aux membres</w:t>
      </w:r>
      <w:r>
        <w:rPr>
          <w:rFonts w:eastAsiaTheme="minorEastAsia"/>
        </w:rPr>
        <w:t xml:space="preserve"> ayant soumis des amendements avant de passer à l</w:t>
      </w:r>
      <w:r w:rsidR="00346F1B">
        <w:rPr>
          <w:rFonts w:eastAsiaTheme="minorEastAsia"/>
        </w:rPr>
        <w:t>’</w:t>
      </w:r>
      <w:r>
        <w:rPr>
          <w:rFonts w:eastAsiaTheme="minorEastAsia"/>
        </w:rPr>
        <w:t>adoption de la</w:t>
      </w:r>
      <w:r w:rsidR="00684859">
        <w:rPr>
          <w:rFonts w:eastAsiaTheme="minorEastAsia"/>
        </w:rPr>
        <w:t xml:space="preserve"> décision.</w:t>
      </w:r>
    </w:p>
    <w:p w14:paraId="65CDCE9B" w14:textId="1F083EA0" w:rsidR="005F6780" w:rsidRPr="005F6780" w:rsidRDefault="005A685B" w:rsidP="00F24F73">
      <w:pPr>
        <w:pStyle w:val="Orateurengris"/>
        <w:spacing w:before="120"/>
        <w:ind w:left="709" w:hanging="709"/>
        <w:rPr>
          <w:rFonts w:eastAsiaTheme="minorEastAsia"/>
        </w:rPr>
      </w:pPr>
      <w:r>
        <w:rPr>
          <w:rFonts w:eastAsiaTheme="minorEastAsia"/>
        </w:rPr>
        <w:t xml:space="preserve">La </w:t>
      </w:r>
      <w:r w:rsidRPr="005A685B">
        <w:rPr>
          <w:rFonts w:eastAsiaTheme="minorEastAsia"/>
        </w:rPr>
        <w:t>délégation</w:t>
      </w:r>
      <w:r>
        <w:rPr>
          <w:rFonts w:eastAsiaTheme="minorEastAsia"/>
        </w:rPr>
        <w:t xml:space="preserve"> du </w:t>
      </w:r>
      <w:r w:rsidRPr="005A685B">
        <w:rPr>
          <w:rFonts w:eastAsiaTheme="minorEastAsia"/>
          <w:b/>
        </w:rPr>
        <w:t>Sénégal</w:t>
      </w:r>
      <w:r w:rsidR="003D0C0D">
        <w:rPr>
          <w:rFonts w:eastAsiaTheme="minorEastAsia"/>
        </w:rPr>
        <w:t xml:space="preserve"> souhaitait</w:t>
      </w:r>
      <w:r>
        <w:rPr>
          <w:rFonts w:eastAsiaTheme="minorEastAsia"/>
        </w:rPr>
        <w:t xml:space="preserve"> </w:t>
      </w:r>
      <w:r w:rsidR="0044469A">
        <w:rPr>
          <w:rFonts w:eastAsiaTheme="minorEastAsia"/>
        </w:rPr>
        <w:t xml:space="preserve">réitérer sa position constante </w:t>
      </w:r>
      <w:r>
        <w:rPr>
          <w:rFonts w:eastAsiaTheme="minorEastAsia"/>
        </w:rPr>
        <w:t xml:space="preserve">depuis sa première </w:t>
      </w:r>
      <w:r w:rsidRPr="005A685B">
        <w:rPr>
          <w:rFonts w:eastAsiaTheme="minorEastAsia"/>
        </w:rPr>
        <w:t>intervention</w:t>
      </w:r>
      <w:r w:rsidR="0044469A">
        <w:rPr>
          <w:rFonts w:eastAsiaTheme="minorEastAsia"/>
        </w:rPr>
        <w:t xml:space="preserve"> lors de cette session, à savoir</w:t>
      </w:r>
      <w:r w:rsidR="00040712">
        <w:rPr>
          <w:rFonts w:eastAsiaTheme="minorEastAsia"/>
        </w:rPr>
        <w:t>,</w:t>
      </w:r>
      <w:r w:rsidR="0044469A">
        <w:rPr>
          <w:rFonts w:eastAsiaTheme="minorEastAsia"/>
        </w:rPr>
        <w:t xml:space="preserve"> son</w:t>
      </w:r>
      <w:r>
        <w:rPr>
          <w:rFonts w:eastAsiaTheme="minorEastAsia"/>
        </w:rPr>
        <w:t xml:space="preserve"> respect sincère pour l</w:t>
      </w:r>
      <w:r w:rsidR="00346F1B">
        <w:rPr>
          <w:rFonts w:eastAsiaTheme="minorEastAsia"/>
        </w:rPr>
        <w:t>’</w:t>
      </w:r>
      <w:r>
        <w:rPr>
          <w:rFonts w:eastAsiaTheme="minorEastAsia"/>
        </w:rPr>
        <w:t>Organe d</w:t>
      </w:r>
      <w:r w:rsidR="00346F1B">
        <w:rPr>
          <w:rFonts w:eastAsiaTheme="minorEastAsia"/>
        </w:rPr>
        <w:t>’</w:t>
      </w:r>
      <w:r>
        <w:rPr>
          <w:rFonts w:eastAsiaTheme="minorEastAsia"/>
        </w:rPr>
        <w:t xml:space="preserve">évaluation, qui était </w:t>
      </w:r>
      <w:r w:rsidR="0044469A">
        <w:rPr>
          <w:rFonts w:eastAsiaTheme="minorEastAsia"/>
        </w:rPr>
        <w:t>composé d</w:t>
      </w:r>
      <w:r w:rsidR="00346F1B">
        <w:rPr>
          <w:rFonts w:eastAsiaTheme="minorEastAsia"/>
        </w:rPr>
        <w:t>’</w:t>
      </w:r>
      <w:r w:rsidR="0044469A">
        <w:rPr>
          <w:rFonts w:eastAsiaTheme="minorEastAsia"/>
        </w:rPr>
        <w:t>experts reconnus qui avaient fort bien fait leur travail. Par ses interventions, le Comité ne faisait qu</w:t>
      </w:r>
      <w:r w:rsidR="00346F1B">
        <w:rPr>
          <w:rFonts w:eastAsiaTheme="minorEastAsia"/>
        </w:rPr>
        <w:t>’</w:t>
      </w:r>
      <w:r w:rsidR="0044469A">
        <w:rPr>
          <w:rFonts w:eastAsiaTheme="minorEastAsia"/>
        </w:rPr>
        <w:t>exprimer un besoin d</w:t>
      </w:r>
      <w:r w:rsidR="00346F1B">
        <w:rPr>
          <w:rFonts w:eastAsiaTheme="minorEastAsia"/>
        </w:rPr>
        <w:t>’</w:t>
      </w:r>
      <w:r w:rsidR="0044469A">
        <w:rPr>
          <w:rFonts w:eastAsiaTheme="minorEastAsia"/>
        </w:rPr>
        <w:t>éclaircissements sur certains points. S</w:t>
      </w:r>
      <w:r w:rsidR="00346F1B">
        <w:rPr>
          <w:rFonts w:eastAsiaTheme="minorEastAsia"/>
        </w:rPr>
        <w:t>’</w:t>
      </w:r>
      <w:r w:rsidR="0044469A">
        <w:rPr>
          <w:rFonts w:eastAsiaTheme="minorEastAsia"/>
        </w:rPr>
        <w:t>agissant de ce festival ancien, qui était désormais associé à d</w:t>
      </w:r>
      <w:r w:rsidR="00346F1B">
        <w:rPr>
          <w:rFonts w:eastAsiaTheme="minorEastAsia"/>
        </w:rPr>
        <w:t>’</w:t>
      </w:r>
      <w:r w:rsidR="0044469A">
        <w:rPr>
          <w:rFonts w:eastAsiaTheme="minorEastAsia"/>
        </w:rPr>
        <w:t>autres événements culturels, il proposait, outre la pêche, des courses de pirogues, des épreuves de pêche à mains nues et de lutte traditionnelle et d</w:t>
      </w:r>
      <w:r w:rsidR="00346F1B">
        <w:rPr>
          <w:rFonts w:eastAsiaTheme="minorEastAsia"/>
        </w:rPr>
        <w:t>’</w:t>
      </w:r>
      <w:r w:rsidR="0044469A">
        <w:rPr>
          <w:rFonts w:eastAsiaTheme="minorEastAsia"/>
        </w:rPr>
        <w:t>autres aspects qui contribuaient à faire de ce festival une véritable représentation de la diversité culturelle et de l</w:t>
      </w:r>
      <w:r w:rsidR="00346F1B">
        <w:rPr>
          <w:rFonts w:eastAsiaTheme="minorEastAsia"/>
        </w:rPr>
        <w:t>’</w:t>
      </w:r>
      <w:r w:rsidR="0044469A">
        <w:rPr>
          <w:rFonts w:eastAsiaTheme="minorEastAsia"/>
        </w:rPr>
        <w:t>identité du Nigeria</w:t>
      </w:r>
      <w:r w:rsidR="00040712">
        <w:rPr>
          <w:rFonts w:eastAsiaTheme="minorEastAsia"/>
        </w:rPr>
        <w:t xml:space="preserve"> dans laquelle</w:t>
      </w:r>
      <w:r w:rsidR="0072062C">
        <w:rPr>
          <w:rFonts w:eastAsiaTheme="minorEastAsia"/>
        </w:rPr>
        <w:t xml:space="preserve"> se reconnaissaient les communautés qui participaient à ce festival. En outre, l</w:t>
      </w:r>
      <w:r w:rsidR="00346F1B">
        <w:rPr>
          <w:rFonts w:eastAsiaTheme="minorEastAsia"/>
        </w:rPr>
        <w:t>’</w:t>
      </w:r>
      <w:r w:rsidR="0072062C">
        <w:rPr>
          <w:rFonts w:eastAsiaTheme="minorEastAsia"/>
        </w:rPr>
        <w:t>implication des autorités religieuses de différentes confessions, de l</w:t>
      </w:r>
      <w:r w:rsidR="00346F1B">
        <w:rPr>
          <w:rFonts w:eastAsiaTheme="minorEastAsia"/>
        </w:rPr>
        <w:t>’</w:t>
      </w:r>
      <w:r w:rsidR="0072062C">
        <w:rPr>
          <w:rFonts w:eastAsiaTheme="minorEastAsia"/>
        </w:rPr>
        <w:t>Émir de ces régions au Sultan de Sokoto et au chef de la religion traditionnelle, était un symbole très fort dans cette partie du Nigeria, le nord-est, qui était menacé par le terrorisme de Boko Haram. Ces communautés s</w:t>
      </w:r>
      <w:r w:rsidR="00346F1B">
        <w:rPr>
          <w:rFonts w:eastAsiaTheme="minorEastAsia"/>
        </w:rPr>
        <w:t>’</w:t>
      </w:r>
      <w:r w:rsidR="0072062C">
        <w:rPr>
          <w:rFonts w:eastAsiaTheme="minorEastAsia"/>
        </w:rPr>
        <w:t xml:space="preserve">étaient engagées à défendre et à sauvegarder cette pratique qui impliquait les pêcheurs, les lutteurs </w:t>
      </w:r>
      <w:r w:rsidR="0072062C" w:rsidRPr="0072062C">
        <w:rPr>
          <w:rFonts w:eastAsiaTheme="minorEastAsia"/>
        </w:rPr>
        <w:t>traditionnels</w:t>
      </w:r>
      <w:r w:rsidR="0072062C">
        <w:rPr>
          <w:rFonts w:eastAsiaTheme="minorEastAsia"/>
        </w:rPr>
        <w:t>, les poètes, les musiciens et les danseurs. Enfin, il s</w:t>
      </w:r>
      <w:r w:rsidR="00346F1B">
        <w:rPr>
          <w:rFonts w:eastAsiaTheme="minorEastAsia"/>
        </w:rPr>
        <w:t>’</w:t>
      </w:r>
      <w:r w:rsidR="0072062C">
        <w:rPr>
          <w:rFonts w:eastAsiaTheme="minorEastAsia"/>
        </w:rPr>
        <w:t>agissait d</w:t>
      </w:r>
      <w:r w:rsidR="00346F1B">
        <w:rPr>
          <w:rFonts w:eastAsiaTheme="minorEastAsia"/>
        </w:rPr>
        <w:t>’</w:t>
      </w:r>
      <w:r w:rsidR="0072062C">
        <w:rPr>
          <w:rFonts w:eastAsiaTheme="minorEastAsia"/>
        </w:rPr>
        <w:t>un festival démocratique où chacun pouvait s</w:t>
      </w:r>
      <w:r w:rsidR="00346F1B">
        <w:rPr>
          <w:rFonts w:eastAsiaTheme="minorEastAsia"/>
        </w:rPr>
        <w:t>’</w:t>
      </w:r>
      <w:r w:rsidR="0072062C">
        <w:rPr>
          <w:rFonts w:eastAsiaTheme="minorEastAsia"/>
        </w:rPr>
        <w:t xml:space="preserve">exprimer librement par des diatribes, des satires et des critiques. </w:t>
      </w:r>
      <w:r w:rsidR="00870D6B">
        <w:rPr>
          <w:rFonts w:eastAsiaTheme="minorEastAsia"/>
        </w:rPr>
        <w:t>C</w:t>
      </w:r>
      <w:r w:rsidR="00346F1B">
        <w:rPr>
          <w:rFonts w:eastAsiaTheme="minorEastAsia"/>
        </w:rPr>
        <w:t>’</w:t>
      </w:r>
      <w:r w:rsidR="00870D6B">
        <w:rPr>
          <w:rFonts w:eastAsiaTheme="minorEastAsia"/>
        </w:rPr>
        <w:t>était la 60</w:t>
      </w:r>
      <w:r w:rsidR="00870D6B" w:rsidRPr="00870D6B">
        <w:rPr>
          <w:rFonts w:eastAsiaTheme="minorEastAsia"/>
          <w:vertAlign w:val="superscript"/>
        </w:rPr>
        <w:t>e</w:t>
      </w:r>
      <w:r w:rsidR="00870D6B">
        <w:rPr>
          <w:rFonts w:eastAsiaTheme="minorEastAsia"/>
        </w:rPr>
        <w:t xml:space="preserve"> édition d</w:t>
      </w:r>
      <w:r w:rsidR="00346F1B">
        <w:rPr>
          <w:rFonts w:eastAsiaTheme="minorEastAsia"/>
        </w:rPr>
        <w:t>’</w:t>
      </w:r>
      <w:r w:rsidR="00870D6B">
        <w:rPr>
          <w:rFonts w:eastAsiaTheme="minorEastAsia"/>
        </w:rPr>
        <w:t xml:space="preserve">un festival organisé </w:t>
      </w:r>
      <w:r w:rsidR="00870D6B" w:rsidRPr="00870D6B">
        <w:rPr>
          <w:rFonts w:eastAsiaTheme="minorEastAsia"/>
        </w:rPr>
        <w:t>régulièrement</w:t>
      </w:r>
      <w:r w:rsidR="00870D6B">
        <w:rPr>
          <w:rFonts w:eastAsiaTheme="minorEastAsia"/>
        </w:rPr>
        <w:t xml:space="preserve"> qui mobilisait les communautés et l</w:t>
      </w:r>
      <w:r w:rsidR="00346F1B">
        <w:rPr>
          <w:rFonts w:eastAsiaTheme="minorEastAsia"/>
        </w:rPr>
        <w:t>’</w:t>
      </w:r>
      <w:r w:rsidR="00870D6B">
        <w:rPr>
          <w:rFonts w:eastAsiaTheme="minorEastAsia"/>
        </w:rPr>
        <w:t>État. Il était inscrit à l</w:t>
      </w:r>
      <w:r w:rsidR="00346F1B">
        <w:rPr>
          <w:rFonts w:eastAsiaTheme="minorEastAsia"/>
        </w:rPr>
        <w:t>’</w:t>
      </w:r>
      <w:r w:rsidR="00870D6B">
        <w:rPr>
          <w:rFonts w:eastAsiaTheme="minorEastAsia"/>
        </w:rPr>
        <w:t xml:space="preserve">agenda </w:t>
      </w:r>
      <w:r w:rsidR="00870D6B" w:rsidRPr="00870D6B">
        <w:rPr>
          <w:rFonts w:eastAsiaTheme="minorEastAsia"/>
        </w:rPr>
        <w:t>culturel</w:t>
      </w:r>
      <w:r w:rsidR="00870D6B">
        <w:rPr>
          <w:rFonts w:eastAsiaTheme="minorEastAsia"/>
        </w:rPr>
        <w:t xml:space="preserve"> du Nigeria et jumelé avec le Festival national des arts et de la culture du Nigeria. La </w:t>
      </w:r>
      <w:r w:rsidR="00870D6B" w:rsidRPr="00870D6B">
        <w:rPr>
          <w:rFonts w:eastAsiaTheme="minorEastAsia"/>
        </w:rPr>
        <w:t>délégation</w:t>
      </w:r>
      <w:r w:rsidR="00870D6B">
        <w:rPr>
          <w:rFonts w:eastAsiaTheme="minorEastAsia"/>
        </w:rPr>
        <w:t xml:space="preserve"> a attiré l</w:t>
      </w:r>
      <w:r w:rsidR="00346F1B">
        <w:rPr>
          <w:rFonts w:eastAsiaTheme="minorEastAsia"/>
        </w:rPr>
        <w:t>’</w:t>
      </w:r>
      <w:r w:rsidR="00870D6B">
        <w:rPr>
          <w:rFonts w:eastAsiaTheme="minorEastAsia"/>
        </w:rPr>
        <w:t xml:space="preserve">attention du Comité sur le fait que le festival célébrait ce qui était connu sous le nom de « la </w:t>
      </w:r>
      <w:r w:rsidR="00870D6B" w:rsidRPr="00870D6B">
        <w:rPr>
          <w:rFonts w:eastAsiaTheme="minorEastAsia"/>
        </w:rPr>
        <w:t>civilisation</w:t>
      </w:r>
      <w:r w:rsidR="00870D6B">
        <w:rPr>
          <w:rFonts w:eastAsiaTheme="minorEastAsia"/>
        </w:rPr>
        <w:t xml:space="preserve"> du peuple de l</w:t>
      </w:r>
      <w:r w:rsidR="00346F1B">
        <w:rPr>
          <w:rFonts w:eastAsiaTheme="minorEastAsia"/>
        </w:rPr>
        <w:t>’</w:t>
      </w:r>
      <w:r w:rsidR="00870D6B">
        <w:rPr>
          <w:rFonts w:eastAsiaTheme="minorEastAsia"/>
        </w:rPr>
        <w:t>eau » que l</w:t>
      </w:r>
      <w:r w:rsidR="00346F1B">
        <w:rPr>
          <w:rFonts w:eastAsiaTheme="minorEastAsia"/>
        </w:rPr>
        <w:t>’</w:t>
      </w:r>
      <w:r w:rsidR="00870D6B">
        <w:rPr>
          <w:rFonts w:eastAsiaTheme="minorEastAsia"/>
        </w:rPr>
        <w:t xml:space="preserve">on retrouvait </w:t>
      </w:r>
      <w:r w:rsidR="00870D6B" w:rsidRPr="00870D6B">
        <w:rPr>
          <w:rFonts w:eastAsiaTheme="minorEastAsia"/>
        </w:rPr>
        <w:t>également</w:t>
      </w:r>
      <w:r w:rsidR="00870D6B">
        <w:rPr>
          <w:rFonts w:eastAsiaTheme="minorEastAsia"/>
        </w:rPr>
        <w:t xml:space="preserve"> en Côte d</w:t>
      </w:r>
      <w:r w:rsidR="00346F1B">
        <w:rPr>
          <w:rFonts w:eastAsiaTheme="minorEastAsia"/>
        </w:rPr>
        <w:t>’</w:t>
      </w:r>
      <w:r w:rsidR="00870D6B">
        <w:rPr>
          <w:rFonts w:eastAsiaTheme="minorEastAsia"/>
        </w:rPr>
        <w:t>Ivoire avec Mami Wata [Maman Eau], au Sénégal, au Bénin et dans d</w:t>
      </w:r>
      <w:r w:rsidR="00346F1B">
        <w:rPr>
          <w:rFonts w:eastAsiaTheme="minorEastAsia"/>
        </w:rPr>
        <w:t>’</w:t>
      </w:r>
      <w:r w:rsidR="00870D6B">
        <w:rPr>
          <w:rFonts w:eastAsiaTheme="minorEastAsia"/>
        </w:rPr>
        <w:t>autres pays d</w:t>
      </w:r>
      <w:r w:rsidR="00346F1B">
        <w:rPr>
          <w:rFonts w:eastAsiaTheme="minorEastAsia"/>
        </w:rPr>
        <w:t>’</w:t>
      </w:r>
      <w:r w:rsidR="00870D6B">
        <w:rPr>
          <w:rFonts w:eastAsiaTheme="minorEastAsia"/>
        </w:rPr>
        <w:t>Afrique sub-saharienne. L</w:t>
      </w:r>
      <w:r w:rsidR="00346F1B">
        <w:rPr>
          <w:rFonts w:eastAsiaTheme="minorEastAsia"/>
        </w:rPr>
        <w:t>’</w:t>
      </w:r>
      <w:r w:rsidR="00870D6B" w:rsidRPr="00870D6B">
        <w:rPr>
          <w:rFonts w:eastAsiaTheme="minorEastAsia"/>
        </w:rPr>
        <w:t>élément</w:t>
      </w:r>
      <w:r w:rsidR="00870D6B">
        <w:rPr>
          <w:rFonts w:eastAsiaTheme="minorEastAsia"/>
        </w:rPr>
        <w:t xml:space="preserve"> était donc une excellente représentation de la sous-r</w:t>
      </w:r>
      <w:r w:rsidR="005F6780">
        <w:rPr>
          <w:rFonts w:eastAsiaTheme="minorEastAsia"/>
        </w:rPr>
        <w:t>égion. C</w:t>
      </w:r>
      <w:r w:rsidR="00346F1B">
        <w:rPr>
          <w:rFonts w:eastAsiaTheme="minorEastAsia"/>
        </w:rPr>
        <w:t>’</w:t>
      </w:r>
      <w:r w:rsidR="005F6780">
        <w:rPr>
          <w:rFonts w:eastAsiaTheme="minorEastAsia"/>
        </w:rPr>
        <w:t>était d</w:t>
      </w:r>
      <w:r w:rsidR="00346F1B">
        <w:rPr>
          <w:rFonts w:eastAsiaTheme="minorEastAsia"/>
        </w:rPr>
        <w:t>’</w:t>
      </w:r>
      <w:r w:rsidR="005F6780">
        <w:rPr>
          <w:rFonts w:eastAsiaTheme="minorEastAsia"/>
        </w:rPr>
        <w:t>ailleurs la seule</w:t>
      </w:r>
      <w:r w:rsidR="00870D6B">
        <w:rPr>
          <w:rFonts w:eastAsiaTheme="minorEastAsia"/>
        </w:rPr>
        <w:t xml:space="preserve"> </w:t>
      </w:r>
      <w:r w:rsidR="005F6780" w:rsidRPr="005F6780">
        <w:rPr>
          <w:rFonts w:eastAsiaTheme="minorEastAsia"/>
        </w:rPr>
        <w:t>inscription</w:t>
      </w:r>
      <w:r w:rsidR="005F6780">
        <w:rPr>
          <w:rFonts w:eastAsiaTheme="minorEastAsia"/>
        </w:rPr>
        <w:t xml:space="preserve"> proposée par </w:t>
      </w:r>
      <w:r w:rsidR="00870D6B">
        <w:rPr>
          <w:rFonts w:eastAsiaTheme="minorEastAsia"/>
        </w:rPr>
        <w:t>cette partie de l</w:t>
      </w:r>
      <w:r w:rsidR="00346F1B">
        <w:rPr>
          <w:rFonts w:eastAsiaTheme="minorEastAsia"/>
        </w:rPr>
        <w:t>’</w:t>
      </w:r>
      <w:r w:rsidR="00870D6B">
        <w:rPr>
          <w:rFonts w:eastAsiaTheme="minorEastAsia"/>
        </w:rPr>
        <w:t xml:space="preserve">Afrique. </w:t>
      </w:r>
      <w:r w:rsidR="005F6780">
        <w:rPr>
          <w:rFonts w:eastAsiaTheme="minorEastAsia"/>
        </w:rPr>
        <w:t xml:space="preserve">La </w:t>
      </w:r>
      <w:r w:rsidR="005F6780" w:rsidRPr="005F6780">
        <w:rPr>
          <w:rFonts w:eastAsiaTheme="minorEastAsia"/>
        </w:rPr>
        <w:t>délégation</w:t>
      </w:r>
      <w:r w:rsidR="005F6780">
        <w:rPr>
          <w:rFonts w:eastAsiaTheme="minorEastAsia"/>
        </w:rPr>
        <w:t xml:space="preserve"> a reconnu que la </w:t>
      </w:r>
      <w:r w:rsidR="005F6780" w:rsidRPr="005F6780">
        <w:rPr>
          <w:rFonts w:eastAsiaTheme="minorEastAsia"/>
        </w:rPr>
        <w:t>Convention</w:t>
      </w:r>
      <w:r w:rsidR="005F6780">
        <w:rPr>
          <w:rFonts w:eastAsiaTheme="minorEastAsia"/>
        </w:rPr>
        <w:t xml:space="preserve"> était équitable et n</w:t>
      </w:r>
      <w:r w:rsidR="00346F1B">
        <w:rPr>
          <w:rFonts w:eastAsiaTheme="minorEastAsia"/>
        </w:rPr>
        <w:t>’</w:t>
      </w:r>
      <w:r w:rsidR="005F6780">
        <w:rPr>
          <w:rFonts w:eastAsiaTheme="minorEastAsia"/>
        </w:rPr>
        <w:t>avait pas de caractère d</w:t>
      </w:r>
      <w:r w:rsidR="00346F1B">
        <w:rPr>
          <w:rFonts w:eastAsiaTheme="minorEastAsia"/>
        </w:rPr>
        <w:t>’</w:t>
      </w:r>
      <w:r w:rsidR="005F6780">
        <w:rPr>
          <w:rFonts w:eastAsiaTheme="minorEastAsia"/>
        </w:rPr>
        <w:t xml:space="preserve">exceptionnalité. </w:t>
      </w:r>
      <w:r w:rsidR="005F6780" w:rsidRPr="005F6780">
        <w:rPr>
          <w:rFonts w:eastAsiaTheme="minorEastAsia"/>
        </w:rPr>
        <w:t>Toutefois</w:t>
      </w:r>
      <w:r w:rsidR="005F6780">
        <w:rPr>
          <w:rFonts w:eastAsiaTheme="minorEastAsia"/>
        </w:rPr>
        <w:t>, elle a insisté sur le sentiment de justice et la nécessité d</w:t>
      </w:r>
      <w:r w:rsidR="00346F1B">
        <w:rPr>
          <w:rFonts w:eastAsiaTheme="minorEastAsia"/>
        </w:rPr>
        <w:t>’</w:t>
      </w:r>
      <w:r w:rsidR="005F6780">
        <w:rPr>
          <w:rFonts w:eastAsiaTheme="minorEastAsia"/>
        </w:rPr>
        <w:t>inscrire cet élément pour toute l</w:t>
      </w:r>
      <w:r w:rsidR="00346F1B">
        <w:rPr>
          <w:rFonts w:eastAsiaTheme="minorEastAsia"/>
        </w:rPr>
        <w:t>’</w:t>
      </w:r>
      <w:r w:rsidR="005F6780">
        <w:rPr>
          <w:rFonts w:eastAsiaTheme="minorEastAsia"/>
        </w:rPr>
        <w:t>Afrique. L</w:t>
      </w:r>
      <w:r w:rsidR="00346F1B">
        <w:rPr>
          <w:rFonts w:eastAsiaTheme="minorEastAsia"/>
        </w:rPr>
        <w:t>’</w:t>
      </w:r>
      <w:r w:rsidR="005F6780" w:rsidRPr="005F6780">
        <w:rPr>
          <w:rFonts w:eastAsiaTheme="minorEastAsia"/>
        </w:rPr>
        <w:t>inscription</w:t>
      </w:r>
      <w:r w:rsidR="005F6780">
        <w:rPr>
          <w:rFonts w:eastAsiaTheme="minorEastAsia"/>
        </w:rPr>
        <w:t xml:space="preserve"> constituerait un symbole fort pour le Nigeria et les autres régions d</w:t>
      </w:r>
      <w:r w:rsidR="00346F1B">
        <w:rPr>
          <w:rFonts w:eastAsiaTheme="minorEastAsia"/>
        </w:rPr>
        <w:t>’</w:t>
      </w:r>
      <w:r w:rsidR="005F6780">
        <w:rPr>
          <w:rFonts w:eastAsiaTheme="minorEastAsia"/>
        </w:rPr>
        <w:t xml:space="preserve">Afrique affectées par le terrorisme. La pratique du festival mobilisait des chefs religieux musulmans, des chefs religieux </w:t>
      </w:r>
      <w:r w:rsidR="005F6780" w:rsidRPr="005F6780">
        <w:rPr>
          <w:rFonts w:eastAsiaTheme="minorEastAsia"/>
        </w:rPr>
        <w:t>traditionnels</w:t>
      </w:r>
      <w:r w:rsidR="005F6780">
        <w:rPr>
          <w:rFonts w:eastAsiaTheme="minorEastAsia"/>
        </w:rPr>
        <w:t xml:space="preserve"> et toutes les autres autorités religieuses. Boko Haram avait même essayé d</w:t>
      </w:r>
      <w:r w:rsidR="00346F1B">
        <w:rPr>
          <w:rFonts w:eastAsiaTheme="minorEastAsia"/>
        </w:rPr>
        <w:t>’</w:t>
      </w:r>
      <w:r w:rsidR="005F6780">
        <w:rPr>
          <w:rFonts w:eastAsiaTheme="minorEastAsia"/>
        </w:rPr>
        <w:t>interdire le festival en 2013 mais les communautés et l</w:t>
      </w:r>
      <w:r w:rsidR="00346F1B">
        <w:rPr>
          <w:rFonts w:eastAsiaTheme="minorEastAsia"/>
        </w:rPr>
        <w:t>’</w:t>
      </w:r>
      <w:r w:rsidR="005F6780">
        <w:rPr>
          <w:rFonts w:eastAsiaTheme="minorEastAsia"/>
        </w:rPr>
        <w:t>État avaient relevé le défi et repris l</w:t>
      </w:r>
      <w:r w:rsidR="00346F1B">
        <w:rPr>
          <w:rFonts w:eastAsiaTheme="minorEastAsia"/>
        </w:rPr>
        <w:t>’</w:t>
      </w:r>
      <w:r w:rsidR="005F6780" w:rsidRPr="005F6780">
        <w:rPr>
          <w:rFonts w:eastAsiaTheme="minorEastAsia"/>
        </w:rPr>
        <w:t>organisation</w:t>
      </w:r>
      <w:r w:rsidR="005F6780">
        <w:rPr>
          <w:rFonts w:eastAsiaTheme="minorEastAsia"/>
        </w:rPr>
        <w:t xml:space="preserve"> du festival</w:t>
      </w:r>
      <w:r w:rsidR="003D0C0D">
        <w:rPr>
          <w:rFonts w:eastAsiaTheme="minorEastAsia"/>
        </w:rPr>
        <w:t xml:space="preserve"> qui se poursuivait</w:t>
      </w:r>
      <w:r w:rsidR="005F6780">
        <w:rPr>
          <w:rFonts w:eastAsiaTheme="minorEastAsia"/>
        </w:rPr>
        <w:t xml:space="preserve">. La </w:t>
      </w:r>
      <w:r w:rsidR="005F6780" w:rsidRPr="005F6780">
        <w:rPr>
          <w:rFonts w:eastAsiaTheme="minorEastAsia"/>
        </w:rPr>
        <w:t>délégation</w:t>
      </w:r>
      <w:r w:rsidR="005F6780">
        <w:rPr>
          <w:rFonts w:eastAsiaTheme="minorEastAsia"/>
        </w:rPr>
        <w:t xml:space="preserve"> a demandé au Comité d</w:t>
      </w:r>
      <w:r w:rsidR="00346F1B">
        <w:rPr>
          <w:rFonts w:eastAsiaTheme="minorEastAsia"/>
        </w:rPr>
        <w:t>’</w:t>
      </w:r>
      <w:r w:rsidR="005F6780">
        <w:rPr>
          <w:rFonts w:eastAsiaTheme="minorEastAsia"/>
        </w:rPr>
        <w:t>aider le Nigeria et l</w:t>
      </w:r>
      <w:r w:rsidR="00346F1B">
        <w:rPr>
          <w:rFonts w:eastAsiaTheme="minorEastAsia"/>
        </w:rPr>
        <w:t>’</w:t>
      </w:r>
      <w:r w:rsidR="005F6780">
        <w:rPr>
          <w:rFonts w:eastAsiaTheme="minorEastAsia"/>
        </w:rPr>
        <w:t xml:space="preserve">Afrique </w:t>
      </w:r>
      <w:r w:rsidR="00040712">
        <w:rPr>
          <w:rFonts w:eastAsiaTheme="minorEastAsia"/>
        </w:rPr>
        <w:t>à relever le dé</w:t>
      </w:r>
      <w:r w:rsidR="00684859">
        <w:rPr>
          <w:rFonts w:eastAsiaTheme="minorEastAsia"/>
        </w:rPr>
        <w:t>fi de faire face au terrorisme.</w:t>
      </w:r>
    </w:p>
    <w:p w14:paraId="59C9B9D3" w14:textId="70DC53E9" w:rsidR="00040712" w:rsidRDefault="00040712" w:rsidP="00F24F73">
      <w:pPr>
        <w:pStyle w:val="Orateurengris"/>
        <w:spacing w:before="120"/>
        <w:ind w:left="709" w:hanging="709"/>
        <w:rPr>
          <w:rFonts w:eastAsiaTheme="minorEastAsia"/>
        </w:rPr>
      </w:pPr>
      <w:r>
        <w:rPr>
          <w:rFonts w:eastAsiaTheme="minorEastAsia"/>
        </w:rPr>
        <w:t xml:space="preserve">Le </w:t>
      </w:r>
      <w:r w:rsidRPr="00040712">
        <w:rPr>
          <w:rFonts w:eastAsiaTheme="minorEastAsia"/>
          <w:b/>
        </w:rPr>
        <w:t>Président</w:t>
      </w:r>
      <w:r>
        <w:rPr>
          <w:rFonts w:eastAsiaTheme="minorEastAsia"/>
        </w:rPr>
        <w:t xml:space="preserve"> a demandé à la Zambie si elle avait une opinion différente à exprimer.</w:t>
      </w:r>
    </w:p>
    <w:p w14:paraId="4F8C1152" w14:textId="1E74ABD8" w:rsidR="00040712" w:rsidRDefault="00040712" w:rsidP="00F24F73">
      <w:pPr>
        <w:pStyle w:val="Orateurengris"/>
        <w:spacing w:before="120"/>
        <w:ind w:left="709" w:hanging="709"/>
        <w:rPr>
          <w:rFonts w:eastAsiaTheme="minorEastAsia"/>
        </w:rPr>
      </w:pPr>
      <w:r>
        <w:rPr>
          <w:rFonts w:eastAsiaTheme="minorEastAsia"/>
        </w:rPr>
        <w:t xml:space="preserve">Après avoir consulté la Palestine, la </w:t>
      </w:r>
      <w:r w:rsidRPr="00040712">
        <w:rPr>
          <w:rFonts w:eastAsiaTheme="minorEastAsia"/>
          <w:b/>
        </w:rPr>
        <w:t>Zambie</w:t>
      </w:r>
      <w:r>
        <w:rPr>
          <w:rFonts w:eastAsiaTheme="minorEastAsia"/>
        </w:rPr>
        <w:t xml:space="preserve"> a choisi de se retire</w:t>
      </w:r>
      <w:r w:rsidR="00684859">
        <w:rPr>
          <w:rFonts w:eastAsiaTheme="minorEastAsia"/>
        </w:rPr>
        <w:t>r de la liste des intervenants.</w:t>
      </w:r>
    </w:p>
    <w:p w14:paraId="2C399D2D" w14:textId="4DE96ED3" w:rsidR="00040712" w:rsidRPr="00040712" w:rsidRDefault="00040712" w:rsidP="00F24F73">
      <w:pPr>
        <w:pStyle w:val="Orateurengris"/>
        <w:spacing w:before="120"/>
        <w:ind w:left="709" w:hanging="709"/>
        <w:rPr>
          <w:rFonts w:eastAsiaTheme="minorEastAsia"/>
        </w:rPr>
      </w:pPr>
      <w:r>
        <w:rPr>
          <w:rFonts w:eastAsiaTheme="minorEastAsia"/>
        </w:rPr>
        <w:t xml:space="preserve">Le </w:t>
      </w:r>
      <w:r w:rsidRPr="00040712">
        <w:rPr>
          <w:rFonts w:eastAsiaTheme="minorEastAsia"/>
          <w:b/>
        </w:rPr>
        <w:t>Président</w:t>
      </w:r>
      <w:r>
        <w:rPr>
          <w:rFonts w:eastAsiaTheme="minorEastAsia"/>
        </w:rPr>
        <w:t xml:space="preserve"> a procédé à l</w:t>
      </w:r>
      <w:r w:rsidR="00346F1B">
        <w:rPr>
          <w:rFonts w:eastAsiaTheme="minorEastAsia"/>
        </w:rPr>
        <w:t>’</w:t>
      </w:r>
      <w:r>
        <w:rPr>
          <w:rFonts w:eastAsiaTheme="minorEastAsia"/>
        </w:rPr>
        <w:t xml:space="preserve">adoption de la </w:t>
      </w:r>
      <w:r w:rsidRPr="00040712">
        <w:rPr>
          <w:rFonts w:eastAsiaTheme="minorEastAsia"/>
        </w:rPr>
        <w:t>décision</w:t>
      </w:r>
      <w:r>
        <w:rPr>
          <w:rFonts w:eastAsiaTheme="minorEastAsia"/>
        </w:rPr>
        <w:t xml:space="preserve"> </w:t>
      </w:r>
      <w:r w:rsidRPr="00040712">
        <w:rPr>
          <w:rFonts w:eastAsiaTheme="minorEastAsia"/>
        </w:rPr>
        <w:t>paragraphe</w:t>
      </w:r>
      <w:r>
        <w:rPr>
          <w:rFonts w:eastAsiaTheme="minorEastAsia"/>
        </w:rPr>
        <w:t xml:space="preserve"> par </w:t>
      </w:r>
      <w:r w:rsidRPr="00040712">
        <w:rPr>
          <w:rFonts w:eastAsiaTheme="minorEastAsia"/>
        </w:rPr>
        <w:t>paragraphe</w:t>
      </w:r>
      <w:r>
        <w:rPr>
          <w:rFonts w:eastAsiaTheme="minorEastAsia"/>
        </w:rPr>
        <w:t xml:space="preserve">. </w:t>
      </w:r>
      <w:r w:rsidRPr="00040712">
        <w:rPr>
          <w:rFonts w:eastAsiaTheme="minorEastAsia"/>
        </w:rPr>
        <w:t>En l</w:t>
      </w:r>
      <w:r w:rsidR="00346F1B">
        <w:rPr>
          <w:rFonts w:eastAsiaTheme="minorEastAsia"/>
        </w:rPr>
        <w:t>’</w:t>
      </w:r>
      <w:r w:rsidRPr="00040712">
        <w:rPr>
          <w:rFonts w:eastAsiaTheme="minorEastAsia"/>
        </w:rPr>
        <w:t xml:space="preserve">absence </w:t>
      </w:r>
      <w:r>
        <w:rPr>
          <w:rFonts w:eastAsiaTheme="minorEastAsia"/>
        </w:rPr>
        <w:t>d</w:t>
      </w:r>
      <w:r w:rsidR="00346F1B">
        <w:rPr>
          <w:rFonts w:eastAsiaTheme="minorEastAsia"/>
        </w:rPr>
        <w:t>’</w:t>
      </w:r>
      <w:r>
        <w:rPr>
          <w:rFonts w:eastAsiaTheme="minorEastAsia"/>
        </w:rPr>
        <w:t xml:space="preserve">objections, le </w:t>
      </w:r>
      <w:r w:rsidRPr="00040712">
        <w:rPr>
          <w:rFonts w:eastAsiaTheme="minorEastAsia"/>
        </w:rPr>
        <w:t>paragraphe</w:t>
      </w:r>
      <w:r>
        <w:rPr>
          <w:rFonts w:eastAsiaTheme="minorEastAsia"/>
        </w:rPr>
        <w:t xml:space="preserve"> 1 a été adopté. Les </w:t>
      </w:r>
      <w:r w:rsidRPr="00040712">
        <w:rPr>
          <w:rFonts w:eastAsiaTheme="minorEastAsia"/>
        </w:rPr>
        <w:t>p</w:t>
      </w:r>
      <w:r>
        <w:rPr>
          <w:rFonts w:eastAsiaTheme="minorEastAsia"/>
        </w:rPr>
        <w:t xml:space="preserve">aragraphes sur les critères R.1 et R.5 dans le </w:t>
      </w:r>
      <w:r w:rsidRPr="00040712">
        <w:rPr>
          <w:rFonts w:eastAsiaTheme="minorEastAsia"/>
        </w:rPr>
        <w:t>paragraphe</w:t>
      </w:r>
      <w:r>
        <w:rPr>
          <w:rFonts w:eastAsiaTheme="minorEastAsia"/>
        </w:rPr>
        <w:t xml:space="preserve"> 2 ont </w:t>
      </w:r>
      <w:r w:rsidRPr="00040712">
        <w:rPr>
          <w:rFonts w:eastAsiaTheme="minorEastAsia"/>
        </w:rPr>
        <w:t>également</w:t>
      </w:r>
      <w:r>
        <w:rPr>
          <w:rFonts w:eastAsiaTheme="minorEastAsia"/>
        </w:rPr>
        <w:t xml:space="preserve"> été adoptés tel</w:t>
      </w:r>
      <w:r w:rsidR="008B61D4">
        <w:rPr>
          <w:rFonts w:eastAsiaTheme="minorEastAsia"/>
        </w:rPr>
        <w:t>s</w:t>
      </w:r>
      <w:r>
        <w:rPr>
          <w:rFonts w:eastAsiaTheme="minorEastAsia"/>
        </w:rPr>
        <w:t xml:space="preserve"> que proposés. Le Président est passé aux </w:t>
      </w:r>
      <w:r w:rsidR="00B06437" w:rsidRPr="00B06437">
        <w:rPr>
          <w:rFonts w:eastAsiaTheme="minorEastAsia"/>
        </w:rPr>
        <w:t>p</w:t>
      </w:r>
      <w:r w:rsidR="00B06437">
        <w:rPr>
          <w:rFonts w:eastAsiaTheme="minorEastAsia"/>
        </w:rPr>
        <w:t xml:space="preserve">aragraphes sur les </w:t>
      </w:r>
      <w:r>
        <w:rPr>
          <w:rFonts w:eastAsiaTheme="minorEastAsia"/>
        </w:rPr>
        <w:t>critères R.2, R.3 et R.4 et aux amendements proposés par la Palestine</w:t>
      </w:r>
      <w:r w:rsidR="00B06437">
        <w:rPr>
          <w:rFonts w:eastAsiaTheme="minorEastAsia"/>
        </w:rPr>
        <w:t>,</w:t>
      </w:r>
      <w:r>
        <w:rPr>
          <w:rFonts w:eastAsiaTheme="minorEastAsia"/>
        </w:rPr>
        <w:t xml:space="preserve"> qui ont tous été </w:t>
      </w:r>
      <w:r w:rsidR="008052AC">
        <w:rPr>
          <w:rFonts w:eastAsiaTheme="minorEastAsia"/>
        </w:rPr>
        <w:t>dûment</w:t>
      </w:r>
      <w:r>
        <w:rPr>
          <w:rFonts w:eastAsiaTheme="minorEastAsia"/>
        </w:rPr>
        <w:t xml:space="preserve"> adoptés. Le </w:t>
      </w:r>
      <w:r w:rsidRPr="00040712">
        <w:rPr>
          <w:rFonts w:eastAsiaTheme="minorEastAsia"/>
        </w:rPr>
        <w:t>paragraphe</w:t>
      </w:r>
      <w:r>
        <w:rPr>
          <w:rFonts w:eastAsiaTheme="minorEastAsia"/>
        </w:rPr>
        <w:t xml:space="preserve"> 2 a été adopté </w:t>
      </w:r>
      <w:r w:rsidR="00B06437">
        <w:rPr>
          <w:rFonts w:eastAsiaTheme="minorEastAsia"/>
        </w:rPr>
        <w:t xml:space="preserve">dans son </w:t>
      </w:r>
      <w:r w:rsidR="00B06437" w:rsidRPr="00B06437">
        <w:rPr>
          <w:rFonts w:eastAsiaTheme="minorEastAsia"/>
        </w:rPr>
        <w:t>ensemble</w:t>
      </w:r>
      <w:r w:rsidR="00B06437">
        <w:rPr>
          <w:rFonts w:eastAsiaTheme="minorEastAsia"/>
        </w:rPr>
        <w:t>. Le Président a procédé à l</w:t>
      </w:r>
      <w:r w:rsidR="00346F1B">
        <w:rPr>
          <w:rFonts w:eastAsiaTheme="minorEastAsia"/>
        </w:rPr>
        <w:t>’</w:t>
      </w:r>
      <w:r w:rsidR="00B06437">
        <w:rPr>
          <w:rFonts w:eastAsiaTheme="minorEastAsia"/>
        </w:rPr>
        <w:t xml:space="preserve">adoption du </w:t>
      </w:r>
      <w:r w:rsidR="00B06437" w:rsidRPr="00B06437">
        <w:rPr>
          <w:rFonts w:eastAsiaTheme="minorEastAsia"/>
        </w:rPr>
        <w:t>paragraphe</w:t>
      </w:r>
      <w:r w:rsidR="00B06437">
        <w:rPr>
          <w:rFonts w:eastAsiaTheme="minorEastAsia"/>
        </w:rPr>
        <w:t xml:space="preserve"> 3 tel qu</w:t>
      </w:r>
      <w:r w:rsidR="00346F1B">
        <w:rPr>
          <w:rFonts w:eastAsiaTheme="minorEastAsia"/>
        </w:rPr>
        <w:t>’</w:t>
      </w:r>
      <w:r w:rsidR="00B06437">
        <w:rPr>
          <w:rFonts w:eastAsiaTheme="minorEastAsia"/>
        </w:rPr>
        <w:t xml:space="preserve">amendé par la Palestine, qui a été </w:t>
      </w:r>
      <w:r w:rsidR="008052AC">
        <w:rPr>
          <w:rFonts w:eastAsiaTheme="minorEastAsia"/>
        </w:rPr>
        <w:t>dûment</w:t>
      </w:r>
      <w:r w:rsidR="00684859">
        <w:rPr>
          <w:rFonts w:eastAsiaTheme="minorEastAsia"/>
        </w:rPr>
        <w:t xml:space="preserve"> adopté.</w:t>
      </w:r>
    </w:p>
    <w:p w14:paraId="12A8B18D" w14:textId="291323C2" w:rsidR="00B06437" w:rsidRDefault="00B06437" w:rsidP="00F24F73">
      <w:pPr>
        <w:pStyle w:val="Orateurengris"/>
        <w:spacing w:before="120"/>
        <w:ind w:left="709" w:hanging="709"/>
        <w:rPr>
          <w:rFonts w:eastAsiaTheme="minorEastAsia"/>
        </w:rPr>
      </w:pPr>
      <w:r>
        <w:rPr>
          <w:rFonts w:eastAsiaTheme="minorEastAsia"/>
        </w:rPr>
        <w:t xml:space="preserve">La </w:t>
      </w:r>
      <w:r w:rsidRPr="00B06437">
        <w:rPr>
          <w:rFonts w:eastAsiaTheme="minorEastAsia"/>
        </w:rPr>
        <w:t>délégation</w:t>
      </w:r>
      <w:r>
        <w:rPr>
          <w:rFonts w:eastAsiaTheme="minorEastAsia"/>
        </w:rPr>
        <w:t xml:space="preserve"> de la </w:t>
      </w:r>
      <w:r w:rsidRPr="00B06437">
        <w:rPr>
          <w:rFonts w:eastAsiaTheme="minorEastAsia"/>
          <w:b/>
        </w:rPr>
        <w:t>Palestine</w:t>
      </w:r>
      <w:r>
        <w:rPr>
          <w:rFonts w:eastAsiaTheme="minorEastAsia"/>
        </w:rPr>
        <w:t xml:space="preserve"> a</w:t>
      </w:r>
      <w:r w:rsidR="007D67AA">
        <w:rPr>
          <w:rFonts w:eastAsiaTheme="minorEastAsia"/>
        </w:rPr>
        <w:t xml:space="preserve">vait, dans un premier temps, </w:t>
      </w:r>
      <w:r>
        <w:rPr>
          <w:rFonts w:eastAsiaTheme="minorEastAsia"/>
        </w:rPr>
        <w:t>souhaité que l</w:t>
      </w:r>
      <w:r w:rsidR="00346F1B">
        <w:rPr>
          <w:rFonts w:eastAsiaTheme="minorEastAsia"/>
        </w:rPr>
        <w:t>’</w:t>
      </w:r>
      <w:r>
        <w:rPr>
          <w:rFonts w:eastAsiaTheme="minorEastAsia"/>
        </w:rPr>
        <w:t xml:space="preserve">État soumissionnaire apporte quelques éclaircissements. </w:t>
      </w:r>
      <w:r w:rsidR="00913F08">
        <w:rPr>
          <w:rFonts w:eastAsiaTheme="minorEastAsia"/>
        </w:rPr>
        <w:t>Toutefois, e</w:t>
      </w:r>
      <w:r>
        <w:rPr>
          <w:rFonts w:eastAsiaTheme="minorEastAsia"/>
        </w:rPr>
        <w:t xml:space="preserve">lle </w:t>
      </w:r>
      <w:r w:rsidR="00913F08">
        <w:rPr>
          <w:rFonts w:eastAsiaTheme="minorEastAsia"/>
        </w:rPr>
        <w:t xml:space="preserve">se satisfaisait </w:t>
      </w:r>
      <w:r>
        <w:rPr>
          <w:rFonts w:eastAsiaTheme="minorEastAsia"/>
        </w:rPr>
        <w:t xml:space="preserve">des </w:t>
      </w:r>
      <w:r w:rsidR="007D67AA">
        <w:rPr>
          <w:rFonts w:eastAsiaTheme="minorEastAsia"/>
        </w:rPr>
        <w:t>éclaircissements déjà apportés dans le cadre d</w:t>
      </w:r>
      <w:r w:rsidR="00346F1B">
        <w:rPr>
          <w:rFonts w:eastAsiaTheme="minorEastAsia"/>
        </w:rPr>
        <w:t>’</w:t>
      </w:r>
      <w:r w:rsidR="007D67AA">
        <w:rPr>
          <w:rFonts w:eastAsiaTheme="minorEastAsia"/>
        </w:rPr>
        <w:t>une communication anté</w:t>
      </w:r>
      <w:r w:rsidR="00D46B21">
        <w:rPr>
          <w:rFonts w:eastAsiaTheme="minorEastAsia"/>
        </w:rPr>
        <w:t>rieure par courrier électronique</w:t>
      </w:r>
      <w:r w:rsidR="007D67AA">
        <w:rPr>
          <w:rFonts w:eastAsiaTheme="minorEastAsia"/>
        </w:rPr>
        <w:t xml:space="preserve"> diffusé</w:t>
      </w:r>
      <w:r w:rsidR="00D46B21">
        <w:rPr>
          <w:rFonts w:eastAsiaTheme="minorEastAsia"/>
        </w:rPr>
        <w:t xml:space="preserve"> à toutes les délégations</w:t>
      </w:r>
      <w:r w:rsidR="00A46CAD">
        <w:rPr>
          <w:rFonts w:eastAsiaTheme="minorEastAsia"/>
        </w:rPr>
        <w:t xml:space="preserve"> y compris les membres</w:t>
      </w:r>
      <w:r w:rsidR="007D67AA">
        <w:rPr>
          <w:rFonts w:eastAsiaTheme="minorEastAsia"/>
        </w:rPr>
        <w:t xml:space="preserve"> du Comité. Tou</w:t>
      </w:r>
      <w:r w:rsidR="00A46CAD">
        <w:rPr>
          <w:rFonts w:eastAsiaTheme="minorEastAsia"/>
        </w:rPr>
        <w:t>s les membres</w:t>
      </w:r>
      <w:r w:rsidR="007D67AA">
        <w:rPr>
          <w:rFonts w:eastAsiaTheme="minorEastAsia"/>
        </w:rPr>
        <w:t xml:space="preserve"> soutenaient donc les amendements. </w:t>
      </w:r>
      <w:r w:rsidR="00913F08">
        <w:rPr>
          <w:rFonts w:eastAsiaTheme="minorEastAsia"/>
        </w:rPr>
        <w:t xml:space="preserve">La </w:t>
      </w:r>
      <w:r w:rsidR="00913F08" w:rsidRPr="00913F08">
        <w:rPr>
          <w:rFonts w:eastAsiaTheme="minorEastAsia"/>
        </w:rPr>
        <w:t>délégation</w:t>
      </w:r>
      <w:r w:rsidR="00913F08">
        <w:rPr>
          <w:rFonts w:eastAsiaTheme="minorEastAsia"/>
        </w:rPr>
        <w:t xml:space="preserve"> a profité de l</w:t>
      </w:r>
      <w:r w:rsidR="00346F1B">
        <w:rPr>
          <w:rFonts w:eastAsiaTheme="minorEastAsia"/>
        </w:rPr>
        <w:t>’</w:t>
      </w:r>
      <w:r w:rsidR="00913F08">
        <w:rPr>
          <w:rFonts w:eastAsiaTheme="minorEastAsia"/>
        </w:rPr>
        <w:t xml:space="preserve">occasion pour remercier le Sénégal de sa </w:t>
      </w:r>
      <w:r w:rsidR="00913F08" w:rsidRPr="00913F08">
        <w:rPr>
          <w:rFonts w:eastAsiaTheme="minorEastAsia"/>
        </w:rPr>
        <w:t>déclaration</w:t>
      </w:r>
      <w:r w:rsidR="00913F08">
        <w:rPr>
          <w:rFonts w:eastAsiaTheme="minorEastAsia"/>
        </w:rPr>
        <w:t xml:space="preserve"> et a joint sa voix aux remerciements adressés à l</w:t>
      </w:r>
      <w:r w:rsidR="00346F1B">
        <w:rPr>
          <w:rFonts w:eastAsiaTheme="minorEastAsia"/>
        </w:rPr>
        <w:t>’</w:t>
      </w:r>
      <w:r w:rsidR="00913F08">
        <w:rPr>
          <w:rFonts w:eastAsiaTheme="minorEastAsia"/>
        </w:rPr>
        <w:t>Organe d</w:t>
      </w:r>
      <w:r w:rsidR="00346F1B">
        <w:rPr>
          <w:rFonts w:eastAsiaTheme="minorEastAsia"/>
        </w:rPr>
        <w:t>’</w:t>
      </w:r>
      <w:r w:rsidR="00913F08">
        <w:rPr>
          <w:rFonts w:eastAsiaTheme="minorEastAsia"/>
        </w:rPr>
        <w:t>évaluation pour son</w:t>
      </w:r>
      <w:r w:rsidR="00D46B21">
        <w:rPr>
          <w:rFonts w:eastAsiaTheme="minorEastAsia"/>
        </w:rPr>
        <w:t xml:space="preserve"> travail qu</w:t>
      </w:r>
      <w:r w:rsidR="00346F1B">
        <w:rPr>
          <w:rFonts w:eastAsiaTheme="minorEastAsia"/>
        </w:rPr>
        <w:t>’</w:t>
      </w:r>
      <w:r w:rsidR="00D46B21">
        <w:rPr>
          <w:rFonts w:eastAsiaTheme="minorEastAsia"/>
        </w:rPr>
        <w:t>il accomplissait fort bien et avec beaucoup de minutie</w:t>
      </w:r>
      <w:r w:rsidR="00913F08">
        <w:rPr>
          <w:rFonts w:eastAsiaTheme="minorEastAsia"/>
        </w:rPr>
        <w:t xml:space="preserve">. La </w:t>
      </w:r>
      <w:r w:rsidR="00913F08" w:rsidRPr="00913F08">
        <w:rPr>
          <w:rFonts w:eastAsiaTheme="minorEastAsia"/>
        </w:rPr>
        <w:t>délégation</w:t>
      </w:r>
      <w:r w:rsidR="00913F08">
        <w:rPr>
          <w:rFonts w:eastAsiaTheme="minorEastAsia"/>
        </w:rPr>
        <w:t xml:space="preserve"> souscrivait aux conclusions de l</w:t>
      </w:r>
      <w:r w:rsidR="00346F1B">
        <w:rPr>
          <w:rFonts w:eastAsiaTheme="minorEastAsia"/>
        </w:rPr>
        <w:t>’</w:t>
      </w:r>
      <w:r w:rsidR="00913F08">
        <w:rPr>
          <w:rFonts w:eastAsiaTheme="minorEastAsia"/>
        </w:rPr>
        <w:t>Organe mais, pour les raisons avancées par le Sénégal, elle demandait l</w:t>
      </w:r>
      <w:r w:rsidR="00346F1B">
        <w:rPr>
          <w:rFonts w:eastAsiaTheme="minorEastAsia"/>
        </w:rPr>
        <w:t>’</w:t>
      </w:r>
      <w:r w:rsidR="00913F08" w:rsidRPr="00913F08">
        <w:rPr>
          <w:rFonts w:eastAsiaTheme="minorEastAsia"/>
        </w:rPr>
        <w:t>inscription</w:t>
      </w:r>
      <w:r w:rsidR="00913F08">
        <w:rPr>
          <w:rFonts w:eastAsiaTheme="minorEastAsia"/>
        </w:rPr>
        <w:t xml:space="preserve"> de l</w:t>
      </w:r>
      <w:r w:rsidR="00346F1B">
        <w:rPr>
          <w:rFonts w:eastAsiaTheme="minorEastAsia"/>
        </w:rPr>
        <w:t>’</w:t>
      </w:r>
      <w:r w:rsidR="00913F08" w:rsidRPr="00913F08">
        <w:rPr>
          <w:rFonts w:eastAsiaTheme="minorEastAsia"/>
        </w:rPr>
        <w:t>élément</w:t>
      </w:r>
      <w:r w:rsidR="00913F08">
        <w:rPr>
          <w:rFonts w:eastAsiaTheme="minorEastAsia"/>
        </w:rPr>
        <w:t>. Elle n</w:t>
      </w:r>
      <w:r w:rsidR="00346F1B">
        <w:rPr>
          <w:rFonts w:eastAsiaTheme="minorEastAsia"/>
        </w:rPr>
        <w:t>’</w:t>
      </w:r>
      <w:r w:rsidR="00913F08">
        <w:rPr>
          <w:rFonts w:eastAsiaTheme="minorEastAsia"/>
        </w:rPr>
        <w:t xml:space="preserve">était donc pas en contradiction avec la </w:t>
      </w:r>
      <w:r w:rsidR="00913F08" w:rsidRPr="00913F08">
        <w:rPr>
          <w:rFonts w:eastAsiaTheme="minorEastAsia"/>
        </w:rPr>
        <w:t>recommandation</w:t>
      </w:r>
      <w:r w:rsidR="00913F08">
        <w:rPr>
          <w:rFonts w:eastAsiaTheme="minorEastAsia"/>
        </w:rPr>
        <w:t xml:space="preserve"> de l</w:t>
      </w:r>
      <w:r w:rsidR="00346F1B">
        <w:rPr>
          <w:rFonts w:eastAsiaTheme="minorEastAsia"/>
        </w:rPr>
        <w:t>’</w:t>
      </w:r>
      <w:r w:rsidR="00913F08">
        <w:rPr>
          <w:rFonts w:eastAsiaTheme="minorEastAsia"/>
        </w:rPr>
        <w:t>Organe d</w:t>
      </w:r>
      <w:r w:rsidR="00346F1B">
        <w:rPr>
          <w:rFonts w:eastAsiaTheme="minorEastAsia"/>
        </w:rPr>
        <w:t>’</w:t>
      </w:r>
      <w:r w:rsidR="00913F08">
        <w:rPr>
          <w:rFonts w:eastAsiaTheme="minorEastAsia"/>
        </w:rPr>
        <w:t>évaluation mais tenait compte d</w:t>
      </w:r>
      <w:r w:rsidR="00346F1B">
        <w:rPr>
          <w:rFonts w:eastAsiaTheme="minorEastAsia"/>
        </w:rPr>
        <w:t>’</w:t>
      </w:r>
      <w:r w:rsidR="00913F08">
        <w:rPr>
          <w:rFonts w:eastAsiaTheme="minorEastAsia"/>
        </w:rPr>
        <w:t xml:space="preserve">autres considérations. La </w:t>
      </w:r>
      <w:r w:rsidR="00913F08" w:rsidRPr="00913F08">
        <w:rPr>
          <w:rFonts w:eastAsiaTheme="minorEastAsia"/>
        </w:rPr>
        <w:t>délégation</w:t>
      </w:r>
      <w:r w:rsidR="00913F08">
        <w:rPr>
          <w:rFonts w:eastAsiaTheme="minorEastAsia"/>
        </w:rPr>
        <w:t xml:space="preserve"> a conclu son </w:t>
      </w:r>
      <w:r w:rsidR="00913F08" w:rsidRPr="00913F08">
        <w:rPr>
          <w:rFonts w:eastAsiaTheme="minorEastAsia"/>
        </w:rPr>
        <w:t>intervention</w:t>
      </w:r>
      <w:r w:rsidR="00913F08">
        <w:rPr>
          <w:rFonts w:eastAsiaTheme="minorEastAsia"/>
        </w:rPr>
        <w:t xml:space="preserve"> en proposant l</w:t>
      </w:r>
      <w:r w:rsidR="00346F1B">
        <w:rPr>
          <w:rFonts w:eastAsiaTheme="minorEastAsia"/>
        </w:rPr>
        <w:t>’</w:t>
      </w:r>
      <w:r w:rsidR="00913F08">
        <w:rPr>
          <w:rFonts w:eastAsiaTheme="minorEastAsia"/>
        </w:rPr>
        <w:t xml:space="preserve">inclusion du </w:t>
      </w:r>
      <w:r w:rsidR="00913F08" w:rsidRPr="00913F08">
        <w:rPr>
          <w:rFonts w:eastAsiaTheme="minorEastAsia"/>
        </w:rPr>
        <w:t>paragraphe</w:t>
      </w:r>
      <w:r w:rsidR="00684859">
        <w:rPr>
          <w:rFonts w:eastAsiaTheme="minorEastAsia"/>
        </w:rPr>
        <w:t xml:space="preserve"> standard.</w:t>
      </w:r>
    </w:p>
    <w:p w14:paraId="6624618A" w14:textId="2BFA9CFC" w:rsidR="00D46B21" w:rsidRDefault="00D46B21" w:rsidP="00F24F73">
      <w:pPr>
        <w:pStyle w:val="Orateurengris"/>
        <w:spacing w:before="120"/>
        <w:ind w:left="709" w:hanging="709"/>
        <w:rPr>
          <w:rFonts w:eastAsiaTheme="minorEastAsia"/>
        </w:rPr>
      </w:pPr>
      <w:r>
        <w:rPr>
          <w:rFonts w:eastAsiaTheme="minorEastAsia"/>
        </w:rPr>
        <w:t xml:space="preserve">Le </w:t>
      </w:r>
      <w:r w:rsidRPr="00D46B21">
        <w:rPr>
          <w:rFonts w:eastAsiaTheme="minorEastAsia"/>
          <w:b/>
        </w:rPr>
        <w:t>Président</w:t>
      </w:r>
      <w:r>
        <w:rPr>
          <w:rFonts w:eastAsiaTheme="minorEastAsia"/>
        </w:rPr>
        <w:t xml:space="preserve"> a demandé au </w:t>
      </w:r>
      <w:r w:rsidRPr="00D46B21">
        <w:rPr>
          <w:rFonts w:eastAsiaTheme="minorEastAsia"/>
        </w:rPr>
        <w:t>Secrétaire</w:t>
      </w:r>
      <w:r>
        <w:rPr>
          <w:rFonts w:eastAsiaTheme="minorEastAsia"/>
        </w:rPr>
        <w:t xml:space="preserve"> si cet</w:t>
      </w:r>
      <w:r w:rsidR="00684859">
        <w:rPr>
          <w:rFonts w:eastAsiaTheme="minorEastAsia"/>
        </w:rPr>
        <w:t>te approche était envisageable.</w:t>
      </w:r>
    </w:p>
    <w:p w14:paraId="2C83BB29" w14:textId="6E674789" w:rsidR="00D46B21" w:rsidRDefault="00D46B21" w:rsidP="00F24F73">
      <w:pPr>
        <w:pStyle w:val="Orateurengris"/>
        <w:spacing w:before="120"/>
        <w:ind w:left="709" w:hanging="709"/>
        <w:rPr>
          <w:rFonts w:eastAsiaTheme="minorEastAsia"/>
        </w:rPr>
      </w:pPr>
      <w:r>
        <w:rPr>
          <w:rFonts w:eastAsiaTheme="minorEastAsia"/>
        </w:rPr>
        <w:t xml:space="preserve">Le </w:t>
      </w:r>
      <w:r w:rsidRPr="00D46B21">
        <w:rPr>
          <w:rFonts w:eastAsiaTheme="minorEastAsia"/>
          <w:b/>
        </w:rPr>
        <w:t>Secrétaire</w:t>
      </w:r>
      <w:r>
        <w:rPr>
          <w:rFonts w:eastAsiaTheme="minorEastAsia"/>
        </w:rPr>
        <w:t xml:space="preserve"> a expliqué que la mise à disposition d</w:t>
      </w:r>
      <w:r w:rsidR="00346F1B">
        <w:rPr>
          <w:rFonts w:eastAsiaTheme="minorEastAsia"/>
        </w:rPr>
        <w:t>’</w:t>
      </w:r>
      <w:r w:rsidRPr="00D46B21">
        <w:rPr>
          <w:rFonts w:eastAsiaTheme="minorEastAsia"/>
        </w:rPr>
        <w:t>informations</w:t>
      </w:r>
      <w:r>
        <w:rPr>
          <w:rFonts w:eastAsiaTheme="minorEastAsia"/>
        </w:rPr>
        <w:t xml:space="preserve"> par</w:t>
      </w:r>
      <w:r w:rsidR="00A46CAD">
        <w:rPr>
          <w:rFonts w:eastAsiaTheme="minorEastAsia"/>
        </w:rPr>
        <w:t xml:space="preserve"> un courrier envoyé à tous les membres</w:t>
      </w:r>
      <w:r>
        <w:rPr>
          <w:rFonts w:eastAsiaTheme="minorEastAsia"/>
        </w:rPr>
        <w:t xml:space="preserve"> du Comité était considérée comme des </w:t>
      </w:r>
      <w:r w:rsidRPr="00D46B21">
        <w:rPr>
          <w:rFonts w:eastAsiaTheme="minorEastAsia"/>
        </w:rPr>
        <w:t>informations</w:t>
      </w:r>
      <w:r>
        <w:rPr>
          <w:rFonts w:eastAsiaTheme="minorEastAsia"/>
        </w:rPr>
        <w:t xml:space="preserve"> complémentaires, ce qui n</w:t>
      </w:r>
      <w:r w:rsidR="00346F1B">
        <w:rPr>
          <w:rFonts w:eastAsiaTheme="minorEastAsia"/>
        </w:rPr>
        <w:t>’</w:t>
      </w:r>
      <w:r>
        <w:rPr>
          <w:rFonts w:eastAsiaTheme="minorEastAsia"/>
        </w:rPr>
        <w:t xml:space="preserve">était pas autorisé par le Règlement intérieur. En tant que tel, il ne pouvait pas accepter la </w:t>
      </w:r>
      <w:r w:rsidRPr="00D46B21">
        <w:rPr>
          <w:rFonts w:eastAsiaTheme="minorEastAsia"/>
        </w:rPr>
        <w:t xml:space="preserve">proposition </w:t>
      </w:r>
      <w:r w:rsidR="00684859">
        <w:rPr>
          <w:rFonts w:eastAsiaTheme="minorEastAsia"/>
        </w:rPr>
        <w:t>de la Palestine.</w:t>
      </w:r>
    </w:p>
    <w:p w14:paraId="3E095554" w14:textId="5414D86F" w:rsidR="00D46B21" w:rsidRDefault="00D46B21" w:rsidP="00F24F73">
      <w:pPr>
        <w:pStyle w:val="Orateurengris"/>
        <w:spacing w:before="120"/>
        <w:ind w:left="709" w:hanging="709"/>
        <w:rPr>
          <w:rFonts w:eastAsiaTheme="minorEastAsia"/>
        </w:rPr>
      </w:pPr>
      <w:r>
        <w:rPr>
          <w:rFonts w:eastAsiaTheme="minorEastAsia"/>
        </w:rPr>
        <w:t xml:space="preserve">La </w:t>
      </w:r>
      <w:r w:rsidRPr="00D46B21">
        <w:rPr>
          <w:rFonts w:eastAsiaTheme="minorEastAsia"/>
          <w:b/>
        </w:rPr>
        <w:t>Palestine</w:t>
      </w:r>
      <w:r>
        <w:rPr>
          <w:rFonts w:eastAsiaTheme="minorEastAsia"/>
        </w:rPr>
        <w:t xml:space="preserve"> a dit accepter l</w:t>
      </w:r>
      <w:r w:rsidR="00346F1B">
        <w:rPr>
          <w:rFonts w:eastAsiaTheme="minorEastAsia"/>
        </w:rPr>
        <w:t>’</w:t>
      </w:r>
      <w:r w:rsidR="00684859">
        <w:rPr>
          <w:rFonts w:eastAsiaTheme="minorEastAsia"/>
        </w:rPr>
        <w:t>explication.</w:t>
      </w:r>
    </w:p>
    <w:p w14:paraId="2F860082" w14:textId="3D83CE9F" w:rsidR="00D46B21" w:rsidRPr="00862B4F" w:rsidRDefault="00D46B21" w:rsidP="00F24F73">
      <w:pPr>
        <w:pStyle w:val="Orateurengris"/>
        <w:spacing w:before="120"/>
        <w:ind w:left="709" w:hanging="709"/>
        <w:rPr>
          <w:rFonts w:eastAsiaTheme="minorEastAsia"/>
        </w:rPr>
      </w:pPr>
      <w:r w:rsidRPr="00862B4F">
        <w:rPr>
          <w:rFonts w:eastAsiaTheme="minorEastAsia"/>
        </w:rPr>
        <w:t xml:space="preserve">Le </w:t>
      </w:r>
      <w:r w:rsidRPr="00862B4F">
        <w:rPr>
          <w:rFonts w:eastAsiaTheme="minorEastAsia"/>
          <w:b/>
        </w:rPr>
        <w:t>Prés</w:t>
      </w:r>
      <w:r w:rsidR="00862B4F" w:rsidRPr="00862B4F">
        <w:rPr>
          <w:rFonts w:eastAsiaTheme="minorEastAsia"/>
          <w:b/>
        </w:rPr>
        <w:t>ident</w:t>
      </w:r>
      <w:r w:rsidR="00862B4F">
        <w:rPr>
          <w:rFonts w:eastAsiaTheme="minorEastAsia"/>
        </w:rPr>
        <w:t xml:space="preserve"> est revenu à l</w:t>
      </w:r>
      <w:r w:rsidR="00346F1B">
        <w:rPr>
          <w:rFonts w:eastAsiaTheme="minorEastAsia"/>
        </w:rPr>
        <w:t>’</w:t>
      </w:r>
      <w:r w:rsidR="00862B4F">
        <w:rPr>
          <w:rFonts w:eastAsiaTheme="minorEastAsia"/>
        </w:rPr>
        <w:t>adoption d</w:t>
      </w:r>
      <w:r w:rsidRPr="00862B4F">
        <w:rPr>
          <w:rFonts w:eastAsiaTheme="minorEastAsia"/>
        </w:rPr>
        <w:t>e</w:t>
      </w:r>
      <w:r w:rsidR="00862B4F">
        <w:rPr>
          <w:rFonts w:eastAsiaTheme="minorEastAsia"/>
        </w:rPr>
        <w:t xml:space="preserve"> la décision dans son ensemble. En l</w:t>
      </w:r>
      <w:r w:rsidR="00346F1B">
        <w:rPr>
          <w:rFonts w:eastAsiaTheme="minorEastAsia"/>
        </w:rPr>
        <w:t>’</w:t>
      </w:r>
      <w:r w:rsidR="00862B4F">
        <w:rPr>
          <w:rFonts w:eastAsiaTheme="minorEastAsia"/>
        </w:rPr>
        <w:t>absence d</w:t>
      </w:r>
      <w:r w:rsidR="00346F1B">
        <w:rPr>
          <w:rFonts w:eastAsiaTheme="minorEastAsia"/>
        </w:rPr>
        <w:t>’</w:t>
      </w:r>
      <w:r w:rsidR="00862B4F">
        <w:rPr>
          <w:rFonts w:eastAsiaTheme="minorEastAsia"/>
        </w:rPr>
        <w:t xml:space="preserve">autres commentaires ou </w:t>
      </w:r>
      <w:r w:rsidR="00862B4F" w:rsidRPr="00862B4F">
        <w:rPr>
          <w:rFonts w:eastAsiaTheme="minorEastAsia"/>
        </w:rPr>
        <w:t>objections</w:t>
      </w:r>
      <w:r w:rsidR="00862B4F">
        <w:rPr>
          <w:rFonts w:eastAsiaTheme="minorEastAsia"/>
        </w:rPr>
        <w:t xml:space="preserve">, le </w:t>
      </w:r>
      <w:r w:rsidR="00862B4F" w:rsidRPr="00862B4F">
        <w:rPr>
          <w:rFonts w:eastAsiaTheme="minorEastAsia"/>
          <w:b/>
        </w:rPr>
        <w:t>Président a déclaré adoptée la décision 11.COM 10.b.23 d</w:t>
      </w:r>
      <w:r w:rsidR="00346F1B">
        <w:rPr>
          <w:rFonts w:eastAsiaTheme="minorEastAsia"/>
          <w:b/>
        </w:rPr>
        <w:t>’</w:t>
      </w:r>
      <w:r w:rsidR="00862B4F" w:rsidRPr="00862B4F">
        <w:rPr>
          <w:rFonts w:eastAsiaTheme="minorEastAsia"/>
          <w:b/>
        </w:rPr>
        <w:t xml:space="preserve">inscrire le Festival international </w:t>
      </w:r>
      <w:r w:rsidR="00862B4F">
        <w:rPr>
          <w:rFonts w:eastAsiaTheme="minorEastAsia"/>
          <w:b/>
        </w:rPr>
        <w:t xml:space="preserve">de la </w:t>
      </w:r>
      <w:r w:rsidR="00862B4F" w:rsidRPr="00862B4F">
        <w:rPr>
          <w:rFonts w:eastAsiaTheme="minorEastAsia"/>
          <w:b/>
        </w:rPr>
        <w:t>culture</w:t>
      </w:r>
      <w:r w:rsidR="00862B4F">
        <w:rPr>
          <w:rFonts w:eastAsiaTheme="minorEastAsia"/>
          <w:b/>
        </w:rPr>
        <w:t xml:space="preserve"> et de la pêche</w:t>
      </w:r>
      <w:r w:rsidR="00862B4F" w:rsidRPr="00862B4F">
        <w:rPr>
          <w:rFonts w:eastAsiaTheme="minorEastAsia"/>
          <w:b/>
        </w:rPr>
        <w:t xml:space="preserve"> d</w:t>
      </w:r>
      <w:r w:rsidR="00346F1B">
        <w:rPr>
          <w:rFonts w:eastAsiaTheme="minorEastAsia"/>
          <w:b/>
        </w:rPr>
        <w:t>’</w:t>
      </w:r>
      <w:r w:rsidR="00862B4F" w:rsidRPr="00862B4F">
        <w:rPr>
          <w:rFonts w:eastAsiaTheme="minorEastAsia"/>
          <w:b/>
        </w:rPr>
        <w:t>Argungu sur la Liste représentative du patrimoine culturel immatériel de l</w:t>
      </w:r>
      <w:r w:rsidR="00346F1B">
        <w:rPr>
          <w:rFonts w:eastAsiaTheme="minorEastAsia"/>
          <w:b/>
        </w:rPr>
        <w:t>’</w:t>
      </w:r>
      <w:r w:rsidR="00862B4F" w:rsidRPr="00862B4F">
        <w:rPr>
          <w:rFonts w:eastAsiaTheme="minorEastAsia"/>
          <w:b/>
        </w:rPr>
        <w:t>humanité</w:t>
      </w:r>
      <w:r w:rsidR="00862B4F">
        <w:rPr>
          <w:rFonts w:eastAsiaTheme="minorEastAsia"/>
        </w:rPr>
        <w:t>.</w:t>
      </w:r>
    </w:p>
    <w:p w14:paraId="091422BB" w14:textId="43276B77" w:rsidR="007B50AC" w:rsidRPr="006F438E" w:rsidRDefault="00862B4F" w:rsidP="00F24F73">
      <w:pPr>
        <w:pStyle w:val="Orateurengris"/>
        <w:spacing w:before="120"/>
        <w:ind w:left="709" w:hanging="709"/>
        <w:rPr>
          <w:rFonts w:eastAsiaTheme="minorEastAsia"/>
        </w:rPr>
      </w:pPr>
      <w:r>
        <w:rPr>
          <w:rFonts w:eastAsiaTheme="minorEastAsia"/>
        </w:rPr>
        <w:t xml:space="preserve">La </w:t>
      </w:r>
      <w:r w:rsidRPr="00862B4F">
        <w:rPr>
          <w:rFonts w:eastAsiaTheme="minorEastAsia"/>
        </w:rPr>
        <w:t>délégation</w:t>
      </w:r>
      <w:r>
        <w:rPr>
          <w:rFonts w:eastAsiaTheme="minorEastAsia"/>
        </w:rPr>
        <w:t xml:space="preserve"> du </w:t>
      </w:r>
      <w:r w:rsidRPr="00862B4F">
        <w:rPr>
          <w:rFonts w:eastAsiaTheme="minorEastAsia"/>
          <w:b/>
        </w:rPr>
        <w:t>Nigeria</w:t>
      </w:r>
      <w:r>
        <w:rPr>
          <w:rFonts w:eastAsiaTheme="minorEastAsia"/>
        </w:rPr>
        <w:t xml:space="preserve"> a sincèrement remercié le G</w:t>
      </w:r>
      <w:r w:rsidRPr="00862B4F">
        <w:rPr>
          <w:rFonts w:eastAsiaTheme="minorEastAsia"/>
        </w:rPr>
        <w:t>ouvernement</w:t>
      </w:r>
      <w:r w:rsidR="007B50AC">
        <w:rPr>
          <w:rFonts w:eastAsiaTheme="minorEastAsia"/>
        </w:rPr>
        <w:t xml:space="preserve"> et le peuple éthiopiens</w:t>
      </w:r>
      <w:r>
        <w:rPr>
          <w:rFonts w:eastAsiaTheme="minorEastAsia"/>
        </w:rPr>
        <w:t xml:space="preserve"> pour leur très chaleureux</w:t>
      </w:r>
      <w:r w:rsidR="007B50AC">
        <w:rPr>
          <w:rFonts w:eastAsiaTheme="minorEastAsia"/>
        </w:rPr>
        <w:t xml:space="preserve"> accueil</w:t>
      </w:r>
      <w:r>
        <w:rPr>
          <w:rFonts w:eastAsiaTheme="minorEastAsia"/>
        </w:rPr>
        <w:t xml:space="preserve">, et a exprimé sa </w:t>
      </w:r>
      <w:r w:rsidRPr="00862B4F">
        <w:rPr>
          <w:rFonts w:eastAsiaTheme="minorEastAsia"/>
        </w:rPr>
        <w:t>reconnaissance</w:t>
      </w:r>
      <w:r w:rsidR="00A46CAD">
        <w:rPr>
          <w:rFonts w:eastAsiaTheme="minorEastAsia"/>
        </w:rPr>
        <w:t xml:space="preserve"> aux membres</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Pr>
          <w:rFonts w:eastAsiaTheme="minorEastAsia"/>
        </w:rPr>
        <w:t xml:space="preserve">évaluation et du Comité pour leur </w:t>
      </w:r>
      <w:r w:rsidRPr="00862B4F">
        <w:rPr>
          <w:rFonts w:eastAsiaTheme="minorEastAsia"/>
        </w:rPr>
        <w:t>évaluation</w:t>
      </w:r>
      <w:r>
        <w:rPr>
          <w:rFonts w:eastAsiaTheme="minorEastAsia"/>
        </w:rPr>
        <w:t xml:space="preserve"> minutieuse de son dossier de candidature. Le Nigeria était un pays de 170 millions d</w:t>
      </w:r>
      <w:r w:rsidR="00346F1B">
        <w:rPr>
          <w:rFonts w:eastAsiaTheme="minorEastAsia"/>
        </w:rPr>
        <w:t>’</w:t>
      </w:r>
      <w:r>
        <w:rPr>
          <w:rFonts w:eastAsiaTheme="minorEastAsia"/>
        </w:rPr>
        <w:t>habitants, composé de</w:t>
      </w:r>
      <w:r w:rsidR="006F438E">
        <w:rPr>
          <w:rFonts w:eastAsiaTheme="minorEastAsia"/>
        </w:rPr>
        <w:t xml:space="preserve"> plus de 250 groupes ethniques </w:t>
      </w:r>
      <w:r>
        <w:rPr>
          <w:rFonts w:eastAsiaTheme="minorEastAsia"/>
        </w:rPr>
        <w:t>s</w:t>
      </w:r>
      <w:r w:rsidR="00346F1B">
        <w:rPr>
          <w:rFonts w:eastAsiaTheme="minorEastAsia"/>
        </w:rPr>
        <w:t>’</w:t>
      </w:r>
      <w:r>
        <w:rPr>
          <w:rFonts w:eastAsiaTheme="minorEastAsia"/>
        </w:rPr>
        <w:t xml:space="preserve">exprimant dans 520 langues </w:t>
      </w:r>
      <w:r w:rsidRPr="00862B4F">
        <w:rPr>
          <w:rFonts w:eastAsiaTheme="minorEastAsia"/>
        </w:rPr>
        <w:t>autochtones</w:t>
      </w:r>
      <w:r w:rsidR="006F438E">
        <w:rPr>
          <w:rFonts w:eastAsiaTheme="minorEastAsia"/>
        </w:rPr>
        <w:t>,</w:t>
      </w:r>
      <w:r>
        <w:rPr>
          <w:rFonts w:eastAsiaTheme="minorEastAsia"/>
        </w:rPr>
        <w:t xml:space="preserve"> et </w:t>
      </w:r>
      <w:r w:rsidR="003D0C0D">
        <w:rPr>
          <w:rFonts w:eastAsiaTheme="minorEastAsia"/>
        </w:rPr>
        <w:t xml:space="preserve">disposant </w:t>
      </w:r>
      <w:r>
        <w:rPr>
          <w:rFonts w:eastAsiaTheme="minorEastAsia"/>
        </w:rPr>
        <w:t>d</w:t>
      </w:r>
      <w:r w:rsidR="00346F1B">
        <w:rPr>
          <w:rFonts w:eastAsiaTheme="minorEastAsia"/>
        </w:rPr>
        <w:t>’</w:t>
      </w:r>
      <w:r>
        <w:rPr>
          <w:rFonts w:eastAsiaTheme="minorEastAsia"/>
        </w:rPr>
        <w:t>une multitude de festivals. Le Nigeria était riche d</w:t>
      </w:r>
      <w:r w:rsidR="00346F1B">
        <w:rPr>
          <w:rFonts w:eastAsiaTheme="minorEastAsia"/>
        </w:rPr>
        <w:t>’</w:t>
      </w:r>
      <w:r>
        <w:rPr>
          <w:rFonts w:eastAsiaTheme="minorEastAsia"/>
        </w:rPr>
        <w:t>une grande diversité de cultures auxquelles on n</w:t>
      </w:r>
      <w:r w:rsidR="00346F1B">
        <w:rPr>
          <w:rFonts w:eastAsiaTheme="minorEastAsia"/>
        </w:rPr>
        <w:t>’</w:t>
      </w:r>
      <w:r>
        <w:rPr>
          <w:rFonts w:eastAsiaTheme="minorEastAsia"/>
        </w:rPr>
        <w:t xml:space="preserve">avait pas </w:t>
      </w:r>
      <w:r w:rsidR="006F438E">
        <w:rPr>
          <w:rFonts w:eastAsiaTheme="minorEastAsia"/>
        </w:rPr>
        <w:t>jusqu</w:t>
      </w:r>
      <w:r w:rsidR="00346F1B">
        <w:rPr>
          <w:rFonts w:eastAsiaTheme="minorEastAsia"/>
        </w:rPr>
        <w:t>’</w:t>
      </w:r>
      <w:r w:rsidR="006F438E">
        <w:rPr>
          <w:rFonts w:eastAsiaTheme="minorEastAsia"/>
        </w:rPr>
        <w:t xml:space="preserve">alors </w:t>
      </w:r>
      <w:r>
        <w:rPr>
          <w:rFonts w:eastAsiaTheme="minorEastAsia"/>
        </w:rPr>
        <w:t>prê</w:t>
      </w:r>
      <w:r w:rsidR="00081A9B">
        <w:rPr>
          <w:rFonts w:eastAsiaTheme="minorEastAsia"/>
        </w:rPr>
        <w:t>té l</w:t>
      </w:r>
      <w:r w:rsidR="00346F1B">
        <w:rPr>
          <w:rFonts w:eastAsiaTheme="minorEastAsia"/>
        </w:rPr>
        <w:t>’</w:t>
      </w:r>
      <w:r w:rsidR="00081A9B">
        <w:rPr>
          <w:rFonts w:eastAsiaTheme="minorEastAsia"/>
        </w:rPr>
        <w:t xml:space="preserve">attention qui leur était due, et de centaines et de milliers de pratiques culturelles fort instructives qui </w:t>
      </w:r>
      <w:r w:rsidR="006F438E">
        <w:rPr>
          <w:rFonts w:eastAsiaTheme="minorEastAsia"/>
        </w:rPr>
        <w:t xml:space="preserve">témoignaient de </w:t>
      </w:r>
      <w:r w:rsidR="00081A9B">
        <w:rPr>
          <w:rFonts w:eastAsiaTheme="minorEastAsia"/>
        </w:rPr>
        <w:t xml:space="preserve">la diversité du peuple nigérian. </w:t>
      </w:r>
      <w:r w:rsidR="006F438E">
        <w:rPr>
          <w:rFonts w:eastAsiaTheme="minorEastAsia"/>
        </w:rPr>
        <w:t>I</w:t>
      </w:r>
      <w:r w:rsidR="00081A9B">
        <w:rPr>
          <w:rFonts w:eastAsiaTheme="minorEastAsia"/>
        </w:rPr>
        <w:t xml:space="preserve">l était </w:t>
      </w:r>
      <w:r w:rsidR="006F438E">
        <w:rPr>
          <w:rFonts w:eastAsiaTheme="minorEastAsia"/>
        </w:rPr>
        <w:t xml:space="preserve">donc </w:t>
      </w:r>
      <w:r w:rsidR="00081A9B">
        <w:rPr>
          <w:rFonts w:eastAsiaTheme="minorEastAsia"/>
        </w:rPr>
        <w:t xml:space="preserve">nécessaire de mieux faire connaître </w:t>
      </w:r>
      <w:r w:rsidR="006F438E">
        <w:rPr>
          <w:rFonts w:eastAsiaTheme="minorEastAsia"/>
        </w:rPr>
        <w:t>l</w:t>
      </w:r>
      <w:r w:rsidR="00346F1B">
        <w:rPr>
          <w:rFonts w:eastAsiaTheme="minorEastAsia"/>
        </w:rPr>
        <w:t>’</w:t>
      </w:r>
      <w:r w:rsidR="00081A9B">
        <w:rPr>
          <w:rFonts w:eastAsiaTheme="minorEastAsia"/>
        </w:rPr>
        <w:t>importance</w:t>
      </w:r>
      <w:r w:rsidR="006F438E">
        <w:rPr>
          <w:rFonts w:eastAsiaTheme="minorEastAsia"/>
        </w:rPr>
        <w:t xml:space="preserve"> de ces pratiques </w:t>
      </w:r>
      <w:r w:rsidR="00081A9B" w:rsidRPr="006F438E">
        <w:rPr>
          <w:rFonts w:eastAsiaTheme="minorEastAsia"/>
        </w:rPr>
        <w:t>en les inscrivant sur la Liste représentative. Le Festival international de la pêche d</w:t>
      </w:r>
      <w:r w:rsidR="00346F1B">
        <w:rPr>
          <w:rFonts w:eastAsiaTheme="minorEastAsia"/>
        </w:rPr>
        <w:t>’</w:t>
      </w:r>
      <w:r w:rsidR="00081A9B" w:rsidRPr="006F438E">
        <w:rPr>
          <w:rFonts w:eastAsiaTheme="minorEastAsia"/>
        </w:rPr>
        <w:t>Argungu n</w:t>
      </w:r>
      <w:r w:rsidR="00346F1B">
        <w:rPr>
          <w:rFonts w:eastAsiaTheme="minorEastAsia"/>
        </w:rPr>
        <w:t>’</w:t>
      </w:r>
      <w:r w:rsidR="00081A9B" w:rsidRPr="006F438E">
        <w:rPr>
          <w:rFonts w:eastAsiaTheme="minorEastAsia"/>
        </w:rPr>
        <w:t>était que l</w:t>
      </w:r>
      <w:r w:rsidR="00346F1B">
        <w:rPr>
          <w:rFonts w:eastAsiaTheme="minorEastAsia"/>
        </w:rPr>
        <w:t>’</w:t>
      </w:r>
      <w:r w:rsidR="00081A9B" w:rsidRPr="006F438E">
        <w:rPr>
          <w:rFonts w:eastAsiaTheme="minorEastAsia"/>
        </w:rPr>
        <w:t>un des nombreux festivals de pêche du pays qui étaient à l</w:t>
      </w:r>
      <w:r w:rsidR="00346F1B">
        <w:rPr>
          <w:rFonts w:eastAsiaTheme="minorEastAsia"/>
        </w:rPr>
        <w:t>’</w:t>
      </w:r>
      <w:r w:rsidR="00081A9B" w:rsidRPr="006F438E">
        <w:rPr>
          <w:rFonts w:eastAsiaTheme="minorEastAsia"/>
        </w:rPr>
        <w:t>initiative des communautés. Selon les mots d</w:t>
      </w:r>
      <w:r w:rsidR="00346F1B">
        <w:rPr>
          <w:rFonts w:eastAsiaTheme="minorEastAsia"/>
        </w:rPr>
        <w:t>’</w:t>
      </w:r>
      <w:r w:rsidR="00081A9B" w:rsidRPr="006F438E">
        <w:rPr>
          <w:rFonts w:eastAsiaTheme="minorEastAsia"/>
        </w:rPr>
        <w:t>Ibrahim Hussein, dans sa pièce Kinjeketile : « Un homme donne naissance à un mot. Celui-ci grandit, grandit et devient plus grand que l</w:t>
      </w:r>
      <w:r w:rsidR="00346F1B">
        <w:rPr>
          <w:rFonts w:eastAsiaTheme="minorEastAsia"/>
        </w:rPr>
        <w:t>’</w:t>
      </w:r>
      <w:r w:rsidR="00081A9B" w:rsidRPr="006F438E">
        <w:rPr>
          <w:rFonts w:eastAsiaTheme="minorEastAsia"/>
        </w:rPr>
        <w:t>homme qui lui a donné naissance ». De nos jours, le Festival de la pêche d</w:t>
      </w:r>
      <w:r w:rsidR="00346F1B">
        <w:rPr>
          <w:rFonts w:eastAsiaTheme="minorEastAsia"/>
        </w:rPr>
        <w:t>’</w:t>
      </w:r>
      <w:r w:rsidR="00081A9B" w:rsidRPr="006F438E">
        <w:rPr>
          <w:rFonts w:eastAsiaTheme="minorEastAsia"/>
        </w:rPr>
        <w:t>Argungu était devenu bien plus qu</w:t>
      </w:r>
      <w:r w:rsidR="00346F1B">
        <w:rPr>
          <w:rFonts w:eastAsiaTheme="minorEastAsia"/>
        </w:rPr>
        <w:t>’</w:t>
      </w:r>
      <w:r w:rsidR="00081A9B" w:rsidRPr="006F438E">
        <w:rPr>
          <w:rFonts w:eastAsiaTheme="minorEastAsia"/>
        </w:rPr>
        <w:t>une simple réunion de village, il attirait et rassemblait les populations aux niveaux national et international. La délégation a évoqué les nombreux éléments culturels du Nigeria qui néce</w:t>
      </w:r>
      <w:r w:rsidR="007B50AC" w:rsidRPr="006F438E">
        <w:rPr>
          <w:rFonts w:eastAsiaTheme="minorEastAsia"/>
        </w:rPr>
        <w:t>ssitaient des mesures de sauvegarde urgentes afin d</w:t>
      </w:r>
      <w:r w:rsidR="00346F1B">
        <w:rPr>
          <w:rFonts w:eastAsiaTheme="minorEastAsia"/>
        </w:rPr>
        <w:t>’</w:t>
      </w:r>
      <w:r w:rsidR="007B50AC" w:rsidRPr="006F438E">
        <w:rPr>
          <w:rFonts w:eastAsiaTheme="minorEastAsia"/>
        </w:rPr>
        <w:t>être conservées pour les générations futures. Elle</w:t>
      </w:r>
      <w:r w:rsidR="004674C7">
        <w:rPr>
          <w:rFonts w:eastAsiaTheme="minorEastAsia"/>
        </w:rPr>
        <w:t xml:space="preserve"> pensait que la</w:t>
      </w:r>
      <w:r w:rsidR="007B50AC" w:rsidRPr="006F438E">
        <w:rPr>
          <w:rFonts w:eastAsiaTheme="minorEastAsia"/>
        </w:rPr>
        <w:t xml:space="preserve"> Convention était l</w:t>
      </w:r>
      <w:r w:rsidR="00346F1B">
        <w:rPr>
          <w:rFonts w:eastAsiaTheme="minorEastAsia"/>
        </w:rPr>
        <w:t>’</w:t>
      </w:r>
      <w:r w:rsidR="007B50AC" w:rsidRPr="006F438E">
        <w:rPr>
          <w:rFonts w:eastAsiaTheme="minorEastAsia"/>
        </w:rPr>
        <w:t>outil parfait pour accomplir cela au Nigeria, et bien sûr dans toute l</w:t>
      </w:r>
      <w:r w:rsidR="00346F1B">
        <w:rPr>
          <w:rFonts w:eastAsiaTheme="minorEastAsia"/>
        </w:rPr>
        <w:t>’</w:t>
      </w:r>
      <w:r w:rsidR="007B50AC" w:rsidRPr="006F438E">
        <w:rPr>
          <w:rFonts w:eastAsiaTheme="minorEastAsia"/>
        </w:rPr>
        <w:t xml:space="preserve">Afrique, </w:t>
      </w:r>
      <w:r w:rsidR="004674C7">
        <w:rPr>
          <w:rFonts w:eastAsiaTheme="minorEastAsia"/>
        </w:rPr>
        <w:t xml:space="preserve">afin de </w:t>
      </w:r>
      <w:r w:rsidR="007B50AC" w:rsidRPr="006F438E">
        <w:rPr>
          <w:rFonts w:eastAsiaTheme="minorEastAsia"/>
        </w:rPr>
        <w:t>mettre en avant ses richesses culturelles uniques. La délégation a rappelé que le Nigeria avait jusqu</w:t>
      </w:r>
      <w:r w:rsidR="00346F1B">
        <w:rPr>
          <w:rFonts w:eastAsiaTheme="minorEastAsia"/>
        </w:rPr>
        <w:t>’</w:t>
      </w:r>
      <w:r w:rsidR="007B50AC" w:rsidRPr="006F438E">
        <w:rPr>
          <w:rFonts w:eastAsiaTheme="minorEastAsia"/>
        </w:rPr>
        <w:t>alors trois éléments inscrits, dont l</w:t>
      </w:r>
      <w:r w:rsidR="00346F1B">
        <w:rPr>
          <w:rFonts w:eastAsiaTheme="minorEastAsia"/>
        </w:rPr>
        <w:t>’</w:t>
      </w:r>
      <w:r w:rsidR="007B50AC" w:rsidRPr="006F438E">
        <w:rPr>
          <w:rFonts w:eastAsiaTheme="minorEastAsia"/>
        </w:rPr>
        <w:t>un était un élément multilatéral partagé avec le Bénin</w:t>
      </w:r>
      <w:r w:rsidR="004674C7">
        <w:rPr>
          <w:rFonts w:eastAsiaTheme="minorEastAsia"/>
        </w:rPr>
        <w:t xml:space="preserve"> et le Togo, et que l</w:t>
      </w:r>
      <w:r w:rsidR="00346F1B">
        <w:rPr>
          <w:rFonts w:eastAsiaTheme="minorEastAsia"/>
        </w:rPr>
        <w:t>’</w:t>
      </w:r>
      <w:r w:rsidR="004674C7">
        <w:rPr>
          <w:rFonts w:eastAsiaTheme="minorEastAsia"/>
        </w:rPr>
        <w:t>ajout du F</w:t>
      </w:r>
      <w:r w:rsidR="007B50AC" w:rsidRPr="006F438E">
        <w:rPr>
          <w:rFonts w:eastAsiaTheme="minorEastAsia"/>
        </w:rPr>
        <w:t>estival de la pêche d</w:t>
      </w:r>
      <w:r w:rsidR="00346F1B">
        <w:rPr>
          <w:rFonts w:eastAsiaTheme="minorEastAsia"/>
        </w:rPr>
        <w:t>’</w:t>
      </w:r>
      <w:r w:rsidR="007B50AC" w:rsidRPr="006F438E">
        <w:rPr>
          <w:rFonts w:eastAsiaTheme="minorEastAsia"/>
        </w:rPr>
        <w:t>Argungu était un moment historique. Elle a réitéré l</w:t>
      </w:r>
      <w:r w:rsidR="00346F1B">
        <w:rPr>
          <w:rFonts w:eastAsiaTheme="minorEastAsia"/>
        </w:rPr>
        <w:t>’</w:t>
      </w:r>
      <w:r w:rsidR="007B50AC" w:rsidRPr="006F438E">
        <w:rPr>
          <w:rFonts w:eastAsiaTheme="minorEastAsia"/>
        </w:rPr>
        <w:t>engagement du Nigeria à entreprendre le travail de documentation de son riche et précieux PCI. En outre, elle élaborerait une stratégie pour soumettre à l</w:t>
      </w:r>
      <w:r w:rsidR="00346F1B">
        <w:rPr>
          <w:rFonts w:eastAsiaTheme="minorEastAsia"/>
        </w:rPr>
        <w:t>’</w:t>
      </w:r>
      <w:r w:rsidR="007B50AC" w:rsidRPr="006F438E">
        <w:rPr>
          <w:rFonts w:eastAsiaTheme="minorEastAsia"/>
        </w:rPr>
        <w:t>avenir plus de dossiers de candidature à la Liste représentative.</w:t>
      </w:r>
    </w:p>
    <w:p w14:paraId="09F32101" w14:textId="11AD4026" w:rsidR="004674C7" w:rsidRPr="004674C7" w:rsidRDefault="004674C7" w:rsidP="00F24F73">
      <w:pPr>
        <w:pStyle w:val="Orateurengris"/>
        <w:spacing w:before="120"/>
        <w:ind w:left="709" w:hanging="709"/>
        <w:rPr>
          <w:rFonts w:eastAsiaTheme="minorEastAsia"/>
        </w:rPr>
      </w:pPr>
      <w:r>
        <w:rPr>
          <w:rFonts w:eastAsiaTheme="minorEastAsia"/>
        </w:rPr>
        <w:t xml:space="preserve">Après avoir félicité le Nigeria, le </w:t>
      </w:r>
      <w:r w:rsidRPr="004674C7">
        <w:rPr>
          <w:rFonts w:eastAsiaTheme="minorEastAsia"/>
          <w:b/>
        </w:rPr>
        <w:t>Président</w:t>
      </w:r>
      <w:r>
        <w:rPr>
          <w:rFonts w:eastAsiaTheme="minorEastAsia"/>
        </w:rPr>
        <w:t xml:space="preserve"> a informé le Comité d</w:t>
      </w:r>
      <w:r w:rsidR="00346F1B">
        <w:rPr>
          <w:rFonts w:eastAsiaTheme="minorEastAsia"/>
        </w:rPr>
        <w:t>’</w:t>
      </w:r>
      <w:r>
        <w:rPr>
          <w:rFonts w:eastAsiaTheme="minorEastAsia"/>
        </w:rPr>
        <w:t>une demande d</w:t>
      </w:r>
      <w:r w:rsidR="00346F1B">
        <w:rPr>
          <w:rFonts w:eastAsiaTheme="minorEastAsia"/>
        </w:rPr>
        <w:t>’</w:t>
      </w:r>
      <w:r>
        <w:rPr>
          <w:rFonts w:eastAsiaTheme="minorEastAsia"/>
        </w:rPr>
        <w:t>examen d</w:t>
      </w:r>
      <w:r w:rsidR="00346F1B">
        <w:rPr>
          <w:rFonts w:eastAsiaTheme="minorEastAsia"/>
        </w:rPr>
        <w:t>’</w:t>
      </w:r>
      <w:r>
        <w:rPr>
          <w:rFonts w:eastAsiaTheme="minorEastAsia"/>
        </w:rPr>
        <w:t xml:space="preserve">une </w:t>
      </w:r>
      <w:r w:rsidRPr="004674C7">
        <w:rPr>
          <w:rFonts w:eastAsiaTheme="minorEastAsia"/>
        </w:rPr>
        <w:t>candidature</w:t>
      </w:r>
      <w:r>
        <w:rPr>
          <w:rFonts w:eastAsiaTheme="minorEastAsia"/>
        </w:rPr>
        <w:t xml:space="preserve"> soumise</w:t>
      </w:r>
      <w:r w:rsidR="00EE71EC">
        <w:rPr>
          <w:rFonts w:eastAsiaTheme="minorEastAsia"/>
        </w:rPr>
        <w:t xml:space="preserve"> c</w:t>
      </w:r>
      <w:r w:rsidR="00EE71EC" w:rsidRPr="00EE71EC">
        <w:rPr>
          <w:rFonts w:eastAsiaTheme="minorEastAsia"/>
        </w:rPr>
        <w:t>onjointement</w:t>
      </w:r>
      <w:r>
        <w:rPr>
          <w:rFonts w:eastAsiaTheme="minorEastAsia"/>
        </w:rPr>
        <w:t xml:space="preserve"> par la Roumanie et la République de Moldova avant l</w:t>
      </w:r>
      <w:r w:rsidR="00346F1B">
        <w:rPr>
          <w:rFonts w:eastAsiaTheme="minorEastAsia"/>
        </w:rPr>
        <w:t>’</w:t>
      </w:r>
      <w:r>
        <w:rPr>
          <w:rFonts w:eastAsiaTheme="minorEastAsia"/>
        </w:rPr>
        <w:t xml:space="preserve">examen de la </w:t>
      </w:r>
      <w:r w:rsidRPr="004674C7">
        <w:rPr>
          <w:rFonts w:eastAsiaTheme="minorEastAsia"/>
        </w:rPr>
        <w:t>candidature</w:t>
      </w:r>
      <w:r w:rsidR="00443FC6">
        <w:rPr>
          <w:rFonts w:eastAsiaTheme="minorEastAsia"/>
        </w:rPr>
        <w:t xml:space="preserve"> de la Roumanie.</w:t>
      </w:r>
    </w:p>
    <w:p w14:paraId="1F24A7CA" w14:textId="36E017C0" w:rsidR="004674C7" w:rsidRPr="004674C7" w:rsidRDefault="004674C7" w:rsidP="00F24F73">
      <w:pPr>
        <w:pStyle w:val="Orateurengris"/>
        <w:spacing w:before="120"/>
        <w:ind w:left="709" w:hanging="709"/>
        <w:rPr>
          <w:rFonts w:eastAsiaTheme="minorEastAsia"/>
        </w:rPr>
      </w:pPr>
      <w:r>
        <w:rPr>
          <w:rFonts w:eastAsiaTheme="minorEastAsia"/>
        </w:rPr>
        <w:t xml:space="preserve">La </w:t>
      </w:r>
      <w:r w:rsidRPr="004674C7">
        <w:rPr>
          <w:rFonts w:eastAsiaTheme="minorEastAsia"/>
        </w:rPr>
        <w:t>délégation</w:t>
      </w:r>
      <w:r>
        <w:rPr>
          <w:rFonts w:eastAsiaTheme="minorEastAsia"/>
        </w:rPr>
        <w:t xml:space="preserve"> de la </w:t>
      </w:r>
      <w:r w:rsidRPr="004674C7">
        <w:rPr>
          <w:rFonts w:eastAsiaTheme="minorEastAsia"/>
          <w:b/>
        </w:rPr>
        <w:t>Hongrie</w:t>
      </w:r>
      <w:r>
        <w:rPr>
          <w:rFonts w:eastAsiaTheme="minorEastAsia"/>
        </w:rPr>
        <w:t xml:space="preserve"> a exprimé son désaccord et a dit souhaiter conserver l</w:t>
      </w:r>
      <w:r w:rsidR="00346F1B">
        <w:rPr>
          <w:rFonts w:eastAsiaTheme="minorEastAsia"/>
        </w:rPr>
        <w:t>’</w:t>
      </w:r>
      <w:r>
        <w:rPr>
          <w:rFonts w:eastAsiaTheme="minorEastAsia"/>
        </w:rPr>
        <w:t xml:space="preserve">ordre de passage </w:t>
      </w:r>
      <w:r w:rsidR="00EE71EC">
        <w:rPr>
          <w:rFonts w:eastAsiaTheme="minorEastAsia"/>
        </w:rPr>
        <w:t xml:space="preserve">initialement </w:t>
      </w:r>
      <w:r w:rsidR="00443FC6">
        <w:rPr>
          <w:rFonts w:eastAsiaTheme="minorEastAsia"/>
        </w:rPr>
        <w:t>prévu.</w:t>
      </w:r>
    </w:p>
    <w:p w14:paraId="6783C87A" w14:textId="53C9C70E" w:rsidR="004674C7" w:rsidRDefault="004674C7" w:rsidP="00F24F73">
      <w:pPr>
        <w:pStyle w:val="Orateurengris"/>
        <w:spacing w:before="120"/>
        <w:ind w:left="709" w:hanging="709"/>
        <w:rPr>
          <w:rFonts w:eastAsiaTheme="minorEastAsia"/>
        </w:rPr>
      </w:pPr>
      <w:r>
        <w:rPr>
          <w:rFonts w:eastAsiaTheme="minorEastAsia"/>
        </w:rPr>
        <w:t>Prenant note de l</w:t>
      </w:r>
      <w:r w:rsidR="00346F1B">
        <w:rPr>
          <w:rFonts w:eastAsiaTheme="minorEastAsia"/>
        </w:rPr>
        <w:t>’</w:t>
      </w:r>
      <w:r>
        <w:rPr>
          <w:rFonts w:eastAsiaTheme="minorEastAsia"/>
        </w:rPr>
        <w:t xml:space="preserve">objection, le </w:t>
      </w:r>
      <w:r w:rsidRPr="004674C7">
        <w:rPr>
          <w:rFonts w:eastAsiaTheme="minorEastAsia"/>
          <w:b/>
        </w:rPr>
        <w:t>Président</w:t>
      </w:r>
      <w:r>
        <w:rPr>
          <w:rFonts w:eastAsiaTheme="minorEastAsia"/>
        </w:rPr>
        <w:t xml:space="preserve"> a conservé l</w:t>
      </w:r>
      <w:r w:rsidR="00346F1B">
        <w:rPr>
          <w:rFonts w:eastAsiaTheme="minorEastAsia"/>
        </w:rPr>
        <w:t>’</w:t>
      </w:r>
      <w:r>
        <w:rPr>
          <w:rFonts w:eastAsiaTheme="minorEastAsia"/>
        </w:rPr>
        <w:t xml:space="preserve">ordre de passage </w:t>
      </w:r>
      <w:r w:rsidR="00EE71EC">
        <w:rPr>
          <w:rFonts w:eastAsiaTheme="minorEastAsia"/>
        </w:rPr>
        <w:t xml:space="preserve">initialement </w:t>
      </w:r>
      <w:r>
        <w:rPr>
          <w:rFonts w:eastAsiaTheme="minorEastAsia"/>
        </w:rPr>
        <w:t>prévu et a donné la parole au Vice-Président de l</w:t>
      </w:r>
      <w:r w:rsidR="00346F1B">
        <w:rPr>
          <w:rFonts w:eastAsiaTheme="minorEastAsia"/>
        </w:rPr>
        <w:t>’</w:t>
      </w:r>
      <w:r>
        <w:rPr>
          <w:rFonts w:eastAsiaTheme="minorEastAsia"/>
        </w:rPr>
        <w:t>Organe d</w:t>
      </w:r>
      <w:r w:rsidR="00346F1B">
        <w:rPr>
          <w:rFonts w:eastAsiaTheme="minorEastAsia"/>
        </w:rPr>
        <w:t>’</w:t>
      </w:r>
      <w:r>
        <w:rPr>
          <w:rFonts w:eastAsiaTheme="minorEastAsia"/>
        </w:rPr>
        <w:t>évaluation afin qu</w:t>
      </w:r>
      <w:r w:rsidR="00346F1B">
        <w:rPr>
          <w:rFonts w:eastAsiaTheme="minorEastAsia"/>
        </w:rPr>
        <w:t>’</w:t>
      </w:r>
      <w:r>
        <w:rPr>
          <w:rFonts w:eastAsiaTheme="minorEastAsia"/>
        </w:rPr>
        <w:t xml:space="preserve">il présente la </w:t>
      </w:r>
      <w:r w:rsidRPr="004674C7">
        <w:rPr>
          <w:rFonts w:eastAsiaTheme="minorEastAsia"/>
        </w:rPr>
        <w:t>candidature</w:t>
      </w:r>
      <w:r w:rsidR="00443FC6">
        <w:rPr>
          <w:rFonts w:eastAsiaTheme="minorEastAsia"/>
        </w:rPr>
        <w:t xml:space="preserve"> soumise par la Roumanie.</w:t>
      </w:r>
    </w:p>
    <w:p w14:paraId="26EFDD7E" w14:textId="65BC7269" w:rsidR="000D696F" w:rsidRPr="006C6767" w:rsidRDefault="000D696F" w:rsidP="00F24F73">
      <w:pPr>
        <w:pStyle w:val="Orateurengris"/>
        <w:spacing w:before="120"/>
        <w:ind w:left="709" w:hanging="709"/>
        <w:rPr>
          <w:rFonts w:eastAsiaTheme="minorEastAsia"/>
        </w:rPr>
      </w:pPr>
      <w:r>
        <w:rPr>
          <w:rFonts w:eastAsiaTheme="minorEastAsia"/>
        </w:rPr>
        <w:t xml:space="preserve">Le </w:t>
      </w:r>
      <w:r w:rsidRPr="000D696F">
        <w:rPr>
          <w:rFonts w:eastAsiaTheme="minorEastAsia"/>
          <w:b/>
        </w:rPr>
        <w:t>Vice-Président de l</w:t>
      </w:r>
      <w:r w:rsidR="00346F1B">
        <w:rPr>
          <w:rFonts w:eastAsiaTheme="minorEastAsia"/>
          <w:b/>
        </w:rPr>
        <w:t>’</w:t>
      </w:r>
      <w:r w:rsidRPr="000D696F">
        <w:rPr>
          <w:rFonts w:eastAsiaTheme="minorEastAsia"/>
          <w:b/>
        </w:rPr>
        <w:t>Organe d</w:t>
      </w:r>
      <w:r w:rsidR="00346F1B">
        <w:rPr>
          <w:rFonts w:eastAsiaTheme="minorEastAsia"/>
          <w:b/>
        </w:rPr>
        <w:t>’</w:t>
      </w:r>
      <w:r w:rsidRPr="000D696F">
        <w:rPr>
          <w:rFonts w:eastAsiaTheme="minorEastAsia"/>
          <w:b/>
        </w:rPr>
        <w:t>évaluation</w:t>
      </w:r>
      <w:r>
        <w:rPr>
          <w:rFonts w:eastAsiaTheme="minorEastAsia"/>
        </w:rPr>
        <w:t xml:space="preserve"> est passé à la </w:t>
      </w:r>
      <w:r w:rsidRPr="000D696F">
        <w:rPr>
          <w:rFonts w:eastAsiaTheme="minorEastAsia"/>
        </w:rPr>
        <w:t>candidature</w:t>
      </w:r>
      <w:r>
        <w:rPr>
          <w:rFonts w:eastAsiaTheme="minorEastAsia"/>
        </w:rPr>
        <w:t xml:space="preserve"> suivante, </w:t>
      </w:r>
      <w:r w:rsidRPr="000D696F">
        <w:rPr>
          <w:rFonts w:eastAsiaTheme="minorEastAsia"/>
          <w:b/>
        </w:rPr>
        <w:t>le pèlerinage de la Pentecôte à</w:t>
      </w:r>
      <w:r>
        <w:rPr>
          <w:rFonts w:eastAsiaTheme="minorEastAsia"/>
        </w:rPr>
        <w:t xml:space="preserve"> </w:t>
      </w:r>
      <w:r w:rsidRPr="00D46B21">
        <w:rPr>
          <w:b/>
        </w:rPr>
        <w:t>Şumuleu Ciuc</w:t>
      </w:r>
      <w:r>
        <w:rPr>
          <w:b/>
        </w:rPr>
        <w:t xml:space="preserve"> </w:t>
      </w:r>
      <w:r w:rsidRPr="00D46B21">
        <w:rPr>
          <w:b/>
        </w:rPr>
        <w:t>(Csíksomlyó)</w:t>
      </w:r>
      <w:r>
        <w:t xml:space="preserve"> [projet de décision 11.COM 10.b.25], soumise par la Roumanie.</w:t>
      </w:r>
      <w:r w:rsidR="007E645B">
        <w:t xml:space="preserve"> Chaque année, l</w:t>
      </w:r>
      <w:r w:rsidR="007E645B" w:rsidRPr="007E645B">
        <w:t>e pèlerinage de la Pentecôte de Şumuleu Ciuc</w:t>
      </w:r>
      <w:r w:rsidR="007E645B">
        <w:t xml:space="preserve"> en Roumanie attirait les communautés catholiques romaines et d</w:t>
      </w:r>
      <w:r w:rsidR="00346F1B">
        <w:t>’</w:t>
      </w:r>
      <w:r w:rsidR="007E645B">
        <w:t>autres communautés religieuses. Le vendredi, des milliers de personnes se rendaient à la basilique Sainte-Marie et, le jour suivant, ils entamaient l</w:t>
      </w:r>
      <w:r w:rsidR="00346F1B">
        <w:t>’</w:t>
      </w:r>
      <w:r w:rsidR="007E645B">
        <w:t xml:space="preserve">ascension du Mont </w:t>
      </w:r>
      <w:r w:rsidR="007E645B" w:rsidRPr="007E645B">
        <w:t xml:space="preserve">Şumuleu en passant devant quatre chapelles qui </w:t>
      </w:r>
      <w:r w:rsidR="007E645B">
        <w:t>symbolisaient le dur chemin vers la vie éternelle. Des chants traditionnels étaient interprétés et un service religieux en plein air</w:t>
      </w:r>
      <w:r w:rsidR="0050058B">
        <w:t xml:space="preserve"> suivi d</w:t>
      </w:r>
      <w:r w:rsidR="00346F1B">
        <w:t>’</w:t>
      </w:r>
      <w:r w:rsidR="0050058B">
        <w:t>un repas pris en commun</w:t>
      </w:r>
      <w:r w:rsidR="007E645B">
        <w:t xml:space="preserve"> étai</w:t>
      </w:r>
      <w:r w:rsidR="0050058B">
        <w:t>ent organisés. Permettant de renforcer les liens communautaires et la solidarité, et de transmettre d</w:t>
      </w:r>
      <w:r w:rsidR="00346F1B">
        <w:t>’</w:t>
      </w:r>
      <w:r w:rsidR="0050058B">
        <w:t xml:space="preserve">importantes valeurs sociales, la pratique culturelle était transmise </w:t>
      </w:r>
      <w:r w:rsidR="005F01E3">
        <w:t>par les fidèles. Après examen des informations contenues dans le dossier, l</w:t>
      </w:r>
      <w:r w:rsidR="00346F1B">
        <w:t>’</w:t>
      </w:r>
      <w:r w:rsidR="005F01E3">
        <w:t>Organe d</w:t>
      </w:r>
      <w:r w:rsidR="00346F1B">
        <w:t>’</w:t>
      </w:r>
      <w:r w:rsidR="005F01E3">
        <w:t>évaluation avait décidé</w:t>
      </w:r>
      <w:r w:rsidR="006C6767">
        <w:t xml:space="preserve"> que</w:t>
      </w:r>
      <w:r w:rsidR="009D3802">
        <w:t xml:space="preserve"> la candidature satisfaisait les</w:t>
      </w:r>
      <w:r w:rsidR="005F01E3">
        <w:t xml:space="preserve"> critères R.1, R.2, R.3 et R.4. Le pèlerinage de la Pentecôte était un rituel majeur qui facilitait la libre expression de valeurs religieuses et culturelles, et d</w:t>
      </w:r>
      <w:r w:rsidR="00346F1B">
        <w:t>’</w:t>
      </w:r>
      <w:r w:rsidR="005F01E3">
        <w:t>autres fonctions sociales et culturelles d</w:t>
      </w:r>
      <w:r w:rsidR="00346F1B">
        <w:t>’</w:t>
      </w:r>
      <w:r w:rsidR="005F01E3">
        <w:t xml:space="preserve">importance. </w:t>
      </w:r>
      <w:r w:rsidR="006C6767">
        <w:t>S</w:t>
      </w:r>
      <w:r w:rsidR="00346F1B">
        <w:t>’</w:t>
      </w:r>
      <w:r w:rsidR="006C6767">
        <w:t xml:space="preserve">agissant de </w:t>
      </w:r>
      <w:r w:rsidR="005F01E3">
        <w:t>cette candidature, l</w:t>
      </w:r>
      <w:r w:rsidR="006C6767">
        <w:t>e dossier indiquait que différentes communautés et institutions concernées avaient été impliquées depuis le début du processus et avaient fourni des preuves à cet effet. L</w:t>
      </w:r>
      <w:r w:rsidR="00346F1B">
        <w:t>’</w:t>
      </w:r>
      <w:r w:rsidR="006C6767">
        <w:t>Organe d</w:t>
      </w:r>
      <w:r w:rsidR="00346F1B">
        <w:t>’</w:t>
      </w:r>
      <w:r w:rsidR="006C6767">
        <w:t>évaluation avait toutefois estimé que les informations contenues dans le dossier n</w:t>
      </w:r>
      <w:r w:rsidR="00346F1B">
        <w:t>’</w:t>
      </w:r>
      <w:r w:rsidR="006C6767">
        <w:t>étaient pas suffisantes pour déterminer si le critère R.5 était satisfait. L</w:t>
      </w:r>
      <w:r w:rsidR="00346F1B">
        <w:t>’</w:t>
      </w:r>
      <w:r w:rsidR="006C6767">
        <w:t>élément était inscrit à l</w:t>
      </w:r>
      <w:r w:rsidR="00346F1B">
        <w:t>’</w:t>
      </w:r>
      <w:r w:rsidR="006C6767">
        <w:t>inventaire roumain du PCI depuis 2009. Le dossier présentait un extrait du registre d</w:t>
      </w:r>
      <w:r w:rsidR="00346F1B">
        <w:t>’</w:t>
      </w:r>
      <w:r w:rsidR="006C6767">
        <w:t>inventaire mais il n</w:t>
      </w:r>
      <w:r w:rsidR="00346F1B">
        <w:t>’</w:t>
      </w:r>
      <w:r w:rsidR="006C6767">
        <w:t>expliquait pas comment l</w:t>
      </w:r>
      <w:r w:rsidR="00346F1B">
        <w:t>’</w:t>
      </w:r>
      <w:r w:rsidR="006C6767">
        <w:t>inventaire était mis à jour et comment les communautés concernées avaient participé à sa préparation</w:t>
      </w:r>
      <w:r w:rsidR="006C6767" w:rsidRPr="006C6767">
        <w:t>. L</w:t>
      </w:r>
      <w:r w:rsidR="00346F1B">
        <w:t>’</w:t>
      </w:r>
      <w:r w:rsidR="006C6767" w:rsidRPr="006C6767">
        <w:t>Organe d</w:t>
      </w:r>
      <w:r w:rsidR="00346F1B">
        <w:t>’</w:t>
      </w:r>
      <w:r w:rsidR="006C6767" w:rsidRPr="006C6767">
        <w:t xml:space="preserve">évaluation avait décidé de recommander le renvoi du </w:t>
      </w:r>
      <w:r w:rsidR="006C6767" w:rsidRPr="006C6767">
        <w:rPr>
          <w:rFonts w:eastAsiaTheme="minorEastAsia"/>
        </w:rPr>
        <w:t xml:space="preserve">pèlerinage de la Pentecôte à </w:t>
      </w:r>
      <w:r w:rsidR="006C6767" w:rsidRPr="006C6767">
        <w:t>Şumuleu Ciuc (Csíksomlyó)</w:t>
      </w:r>
      <w:r w:rsidR="004831BD">
        <w:t xml:space="preserve"> à l</w:t>
      </w:r>
      <w:r w:rsidR="00346F1B">
        <w:t>’</w:t>
      </w:r>
      <w:r w:rsidR="004831BD">
        <w:t>État soumissionnaire</w:t>
      </w:r>
      <w:r w:rsidR="006C6767">
        <w:t xml:space="preserve"> pour complément d</w:t>
      </w:r>
      <w:r w:rsidR="00346F1B">
        <w:t>’</w:t>
      </w:r>
      <w:r w:rsidR="00443FC6">
        <w:t>information.</w:t>
      </w:r>
    </w:p>
    <w:p w14:paraId="0CFC6CD4" w14:textId="42A6EEA6" w:rsidR="004831BD" w:rsidRPr="004831BD" w:rsidRDefault="004831BD" w:rsidP="00F24F73">
      <w:pPr>
        <w:pStyle w:val="Orateurengris"/>
        <w:spacing w:before="120"/>
        <w:ind w:left="709" w:hanging="709"/>
        <w:rPr>
          <w:rFonts w:eastAsiaTheme="minorEastAsia"/>
        </w:rPr>
      </w:pPr>
      <w:r>
        <w:rPr>
          <w:rFonts w:eastAsiaTheme="minorEastAsia"/>
        </w:rPr>
        <w:t xml:space="preserve">Le </w:t>
      </w:r>
      <w:r w:rsidRPr="004831BD">
        <w:rPr>
          <w:rFonts w:eastAsiaTheme="minorEastAsia"/>
          <w:b/>
        </w:rPr>
        <w:t>Président</w:t>
      </w:r>
      <w:r>
        <w:rPr>
          <w:rFonts w:eastAsiaTheme="minorEastAsia"/>
        </w:rPr>
        <w:t xml:space="preserve"> a remercié le Vice-Président de l</w:t>
      </w:r>
      <w:r w:rsidR="00346F1B">
        <w:rPr>
          <w:rFonts w:eastAsiaTheme="minorEastAsia"/>
        </w:rPr>
        <w:t>’</w:t>
      </w:r>
      <w:r>
        <w:rPr>
          <w:rFonts w:eastAsiaTheme="minorEastAsia"/>
        </w:rPr>
        <w:t>Organe d</w:t>
      </w:r>
      <w:r w:rsidR="00346F1B">
        <w:rPr>
          <w:rFonts w:eastAsiaTheme="minorEastAsia"/>
        </w:rPr>
        <w:t>’</w:t>
      </w:r>
      <w:r>
        <w:rPr>
          <w:rFonts w:eastAsiaTheme="minorEastAsia"/>
        </w:rPr>
        <w:t>évaluation pour l</w:t>
      </w:r>
      <w:r w:rsidR="00346F1B">
        <w:rPr>
          <w:rFonts w:eastAsiaTheme="minorEastAsia"/>
        </w:rPr>
        <w:t>’</w:t>
      </w:r>
      <w:r>
        <w:rPr>
          <w:rFonts w:eastAsiaTheme="minorEastAsia"/>
        </w:rPr>
        <w:t>explication détaillée. Il a précisé qu</w:t>
      </w:r>
      <w:r w:rsidR="00346F1B">
        <w:rPr>
          <w:rFonts w:eastAsiaTheme="minorEastAsia"/>
        </w:rPr>
        <w:t>’</w:t>
      </w:r>
      <w:r>
        <w:rPr>
          <w:rFonts w:eastAsiaTheme="minorEastAsia"/>
        </w:rPr>
        <w:t xml:space="preserve">aucun </w:t>
      </w:r>
      <w:r w:rsidRPr="004831BD">
        <w:rPr>
          <w:rFonts w:eastAsiaTheme="minorEastAsia"/>
        </w:rPr>
        <w:t>amendement</w:t>
      </w:r>
      <w:r>
        <w:rPr>
          <w:rFonts w:eastAsiaTheme="minorEastAsia"/>
        </w:rPr>
        <w:t xml:space="preserve"> n</w:t>
      </w:r>
      <w:r w:rsidR="00346F1B">
        <w:rPr>
          <w:rFonts w:eastAsiaTheme="minorEastAsia"/>
        </w:rPr>
        <w:t>’</w:t>
      </w:r>
      <w:r>
        <w:rPr>
          <w:rFonts w:eastAsiaTheme="minorEastAsia"/>
        </w:rPr>
        <w:t>avait été proposé mais qu</w:t>
      </w:r>
      <w:r w:rsidR="00346F1B">
        <w:rPr>
          <w:rFonts w:eastAsiaTheme="minorEastAsia"/>
        </w:rPr>
        <w:t>’</w:t>
      </w:r>
      <w:r>
        <w:rPr>
          <w:rFonts w:eastAsiaTheme="minorEastAsia"/>
        </w:rPr>
        <w:t>une demande de débat av</w:t>
      </w:r>
      <w:r w:rsidR="00443FC6">
        <w:rPr>
          <w:rFonts w:eastAsiaTheme="minorEastAsia"/>
        </w:rPr>
        <w:t>ait été soumise par la Hongrie.</w:t>
      </w:r>
    </w:p>
    <w:p w14:paraId="1D4AD5A8" w14:textId="36634A87" w:rsidR="004831BD" w:rsidRPr="00C94511" w:rsidRDefault="004831BD" w:rsidP="00F24F73">
      <w:pPr>
        <w:pStyle w:val="Orateurengris"/>
        <w:spacing w:before="120"/>
        <w:ind w:left="709" w:hanging="709"/>
        <w:rPr>
          <w:rFonts w:eastAsiaTheme="minorEastAsia"/>
        </w:rPr>
      </w:pPr>
      <w:r>
        <w:rPr>
          <w:rFonts w:eastAsiaTheme="minorEastAsia"/>
        </w:rPr>
        <w:t xml:space="preserve">Après avoir remercié la </w:t>
      </w:r>
      <w:r w:rsidR="00C94511">
        <w:rPr>
          <w:rFonts w:eastAsiaTheme="minorEastAsia"/>
        </w:rPr>
        <w:t xml:space="preserve">Roumanie </w:t>
      </w:r>
      <w:r>
        <w:rPr>
          <w:rFonts w:eastAsiaTheme="minorEastAsia"/>
        </w:rPr>
        <w:t xml:space="preserve">pour sa </w:t>
      </w:r>
      <w:r w:rsidRPr="004831BD">
        <w:rPr>
          <w:rFonts w:eastAsiaTheme="minorEastAsia"/>
        </w:rPr>
        <w:t>candidature</w:t>
      </w:r>
      <w:r>
        <w:rPr>
          <w:rFonts w:eastAsiaTheme="minorEastAsia"/>
        </w:rPr>
        <w:t xml:space="preserve">, la </w:t>
      </w:r>
      <w:r w:rsidRPr="004831BD">
        <w:rPr>
          <w:rFonts w:eastAsiaTheme="minorEastAsia"/>
        </w:rPr>
        <w:t>délégation</w:t>
      </w:r>
      <w:r>
        <w:rPr>
          <w:rFonts w:eastAsiaTheme="minorEastAsia"/>
        </w:rPr>
        <w:t xml:space="preserve"> </w:t>
      </w:r>
      <w:r w:rsidR="00C94511">
        <w:rPr>
          <w:rFonts w:eastAsiaTheme="minorEastAsia"/>
        </w:rPr>
        <w:t xml:space="preserve">de la </w:t>
      </w:r>
      <w:r w:rsidR="00C94511" w:rsidRPr="00C94511">
        <w:rPr>
          <w:rFonts w:eastAsiaTheme="minorEastAsia"/>
          <w:b/>
        </w:rPr>
        <w:t>Hongrie</w:t>
      </w:r>
      <w:r w:rsidR="00C94511">
        <w:rPr>
          <w:rFonts w:eastAsiaTheme="minorEastAsia"/>
        </w:rPr>
        <w:t xml:space="preserve"> a précisé que la Roumanie avait soumis deux candidatures, ce qui témoignait de son </w:t>
      </w:r>
      <w:r w:rsidR="00C94511" w:rsidRPr="00C94511">
        <w:rPr>
          <w:rFonts w:eastAsiaTheme="minorEastAsia"/>
        </w:rPr>
        <w:t>engagement</w:t>
      </w:r>
      <w:r w:rsidR="00C94511">
        <w:rPr>
          <w:rFonts w:eastAsiaTheme="minorEastAsia"/>
        </w:rPr>
        <w:t xml:space="preserve"> à sauvegarder la diversité du PCI présent sur son </w:t>
      </w:r>
      <w:r w:rsidR="00C94511" w:rsidRPr="00C94511">
        <w:rPr>
          <w:rFonts w:eastAsiaTheme="minorEastAsia"/>
        </w:rPr>
        <w:t>territoire</w:t>
      </w:r>
      <w:r w:rsidR="00C94511">
        <w:rPr>
          <w:rFonts w:eastAsiaTheme="minorEastAsia"/>
        </w:rPr>
        <w:t xml:space="preserve">. </w:t>
      </w:r>
      <w:r w:rsidR="00C94511" w:rsidRPr="00C94511">
        <w:rPr>
          <w:rFonts w:eastAsiaTheme="minorEastAsia"/>
        </w:rPr>
        <w:t>S</w:t>
      </w:r>
      <w:r w:rsidR="00346F1B">
        <w:rPr>
          <w:rFonts w:eastAsiaTheme="minorEastAsia"/>
        </w:rPr>
        <w:t>’</w:t>
      </w:r>
      <w:r w:rsidR="00C94511" w:rsidRPr="00C94511">
        <w:rPr>
          <w:rFonts w:eastAsiaTheme="minorEastAsia"/>
        </w:rPr>
        <w:t xml:space="preserve">agissant </w:t>
      </w:r>
      <w:r w:rsidR="00C94511">
        <w:rPr>
          <w:rFonts w:eastAsiaTheme="minorEastAsia"/>
        </w:rPr>
        <w:t xml:space="preserve">du pèlerinage de </w:t>
      </w:r>
      <w:r w:rsidR="00C94511">
        <w:t xml:space="preserve">Csíksomlyó, la </w:t>
      </w:r>
      <w:r w:rsidR="0012073A">
        <w:t>délégation avait noté que seul le critère R.5</w:t>
      </w:r>
      <w:r w:rsidR="00C94511">
        <w:t xml:space="preserve"> posait problème. Le problème ét</w:t>
      </w:r>
      <w:r w:rsidR="0012073A">
        <w:t>ait identique à celui rencontré</w:t>
      </w:r>
      <w:r w:rsidR="00C94511">
        <w:t xml:space="preserve"> </w:t>
      </w:r>
      <w:r w:rsidR="0012073A">
        <w:t xml:space="preserve">dans </w:t>
      </w:r>
      <w:r w:rsidR="00C94511">
        <w:t>d</w:t>
      </w:r>
      <w:r w:rsidR="00346F1B">
        <w:t>’</w:t>
      </w:r>
      <w:r w:rsidR="00C94511">
        <w:t xml:space="preserve">autres dossiers au cours de cette session. La délégation a néanmoins décrit le dossier de candidature comme excellent. Les </w:t>
      </w:r>
      <w:r w:rsidR="0012073A">
        <w:t xml:space="preserve">paragraphes sur les </w:t>
      </w:r>
      <w:r w:rsidR="00C94511">
        <w:t>critères R.1, R.2, R.3 et R.4 étaient fort bien rédigés et bien argumentés, comme l</w:t>
      </w:r>
      <w:r w:rsidR="00346F1B">
        <w:t>’</w:t>
      </w:r>
      <w:r w:rsidR="00C94511">
        <w:t>avait confirmé l</w:t>
      </w:r>
      <w:r w:rsidR="00346F1B">
        <w:t>’</w:t>
      </w:r>
      <w:r w:rsidR="00C94511">
        <w:t>examen de l</w:t>
      </w:r>
      <w:r w:rsidR="00346F1B">
        <w:t>’</w:t>
      </w:r>
      <w:r w:rsidR="00C94511">
        <w:t>Organe d</w:t>
      </w:r>
      <w:r w:rsidR="00346F1B">
        <w:t>’</w:t>
      </w:r>
      <w:r w:rsidR="00C94511">
        <w:t>évaluation. Le critère R.4 offrait en particulier un bon exemple de participation des communautés à la préparation d</w:t>
      </w:r>
      <w:r w:rsidR="00346F1B">
        <w:t>’</w:t>
      </w:r>
      <w:r w:rsidR="00C94511">
        <w:t xml:space="preserve">un dossier de candidature. En effet, le processus de candidature avait débuté en 2011 et avait </w:t>
      </w:r>
      <w:r w:rsidR="0012073A">
        <w:t xml:space="preserve">activement impliqué </w:t>
      </w:r>
      <w:r w:rsidR="00C94511">
        <w:t>des représentants de la communauté catholique romaine, de l</w:t>
      </w:r>
      <w:r w:rsidR="00346F1B">
        <w:t>’</w:t>
      </w:r>
      <w:r w:rsidR="00C94511">
        <w:t>administration locale, des institutions culturelles, des ONG et des associations prof</w:t>
      </w:r>
      <w:r w:rsidR="0012073A">
        <w:t xml:space="preserve">essionnelles, qui avaient </w:t>
      </w:r>
      <w:r w:rsidR="00C94511">
        <w:t>donné leur consentement</w:t>
      </w:r>
      <w:r w:rsidR="0012073A">
        <w:t xml:space="preserve"> plein et entier</w:t>
      </w:r>
      <w:r w:rsidR="00C94511">
        <w:t xml:space="preserve">, fourni sous forme de preuve écrite. </w:t>
      </w:r>
      <w:r w:rsidR="00683736">
        <w:t>Par ailleurs, aucune pratique coutumière ne restreignait l</w:t>
      </w:r>
      <w:r w:rsidR="00346F1B">
        <w:t>’</w:t>
      </w:r>
      <w:r w:rsidR="00683736">
        <w:t xml:space="preserve">accès à cet élément. Compte tenu de tous ces éléments, la délégation a reconnu que le dossier était </w:t>
      </w:r>
      <w:r w:rsidR="0012073A">
        <w:t xml:space="preserve">fort </w:t>
      </w:r>
      <w:r w:rsidR="00683736">
        <w:t>bien</w:t>
      </w:r>
      <w:r w:rsidR="0012073A">
        <w:t xml:space="preserve"> établi</w:t>
      </w:r>
      <w:r w:rsidR="00683736">
        <w:t xml:space="preserve">, et elle a félicité la Roumanie pour le professionnalisme dont cette </w:t>
      </w:r>
      <w:r w:rsidR="0012073A">
        <w:t xml:space="preserve">candidature </w:t>
      </w:r>
      <w:r w:rsidR="00683736">
        <w:t>témoignait. S</w:t>
      </w:r>
      <w:r w:rsidR="00346F1B">
        <w:t>’</w:t>
      </w:r>
      <w:r w:rsidR="00683736">
        <w:t>agissant du critère R.5, la délégation a fait référence à l</w:t>
      </w:r>
      <w:r w:rsidR="00346F1B">
        <w:t>’</w:t>
      </w:r>
      <w:r w:rsidR="00683736">
        <w:t>autre candidature de la Roumanie [soumise conjointement avec la République de Moldova] dans laquelle le critère R.5 présentait également un problème mineur. Dans le cas de cette candidature multinationale, le critère était pleinement satisfait en Roumanie [mais pas en République de Moldova]. L</w:t>
      </w:r>
      <w:r w:rsidR="00346F1B">
        <w:t>’</w:t>
      </w:r>
      <w:r w:rsidR="00683736">
        <w:t>Organe d</w:t>
      </w:r>
      <w:r w:rsidR="00346F1B">
        <w:t>’</w:t>
      </w:r>
      <w:r w:rsidR="00683736">
        <w:t>évaluation avait reconnu que</w:t>
      </w:r>
      <w:r w:rsidR="007D07F0">
        <w:t xml:space="preserve">, dans les deux pays, </w:t>
      </w:r>
      <w:r w:rsidR="00683736">
        <w:t>l</w:t>
      </w:r>
      <w:r w:rsidR="00346F1B">
        <w:t>’</w:t>
      </w:r>
      <w:r w:rsidR="00683736">
        <w:t xml:space="preserve">inventaire national avait impliqué les communautés et ONG concernées </w:t>
      </w:r>
      <w:r w:rsidR="007D07F0">
        <w:t>et qu</w:t>
      </w:r>
      <w:r w:rsidR="00346F1B">
        <w:t>’</w:t>
      </w:r>
      <w:r w:rsidR="007D07F0">
        <w:t>aucun problème n</w:t>
      </w:r>
      <w:r w:rsidR="00346F1B">
        <w:t>’</w:t>
      </w:r>
      <w:r w:rsidR="007D07F0">
        <w:t>avait été identifié dans les mécanismes de mise à jour. La délégation avait donc le sentiment qu</w:t>
      </w:r>
      <w:r w:rsidR="00346F1B">
        <w:t>’</w:t>
      </w:r>
      <w:r w:rsidR="007D07F0">
        <w:t>il y avait vraisemblablement eu quelques malentendus dans le dossier, et constatant que la Roumanie avait fourni suffisamment d</w:t>
      </w:r>
      <w:r w:rsidR="00346F1B">
        <w:t>’</w:t>
      </w:r>
      <w:r w:rsidR="007D07F0">
        <w:t>informations dans le paragraphe 5 à ce sujet, elle considérait que le critère R.5 était suffisamment clair, c.-à-d. que l</w:t>
      </w:r>
      <w:r w:rsidR="00346F1B">
        <w:t>’</w:t>
      </w:r>
      <w:r w:rsidR="007D07F0">
        <w:t>inventaire national de Roumanie avait été préparé avec la participation des communautés et était régulièrement mis à jour. La délégation a donc conclu son intervention en déclarant que le critère R.5 était pleinement satisfait et qu</w:t>
      </w:r>
      <w:r w:rsidR="00346F1B">
        <w:t>’</w:t>
      </w:r>
      <w:r w:rsidR="007D07F0">
        <w:t>elle proposait un amendement au projet de décision dans ce sens. Elle soutenait pleinement l</w:t>
      </w:r>
      <w:r w:rsidR="00346F1B">
        <w:t>’</w:t>
      </w:r>
      <w:r w:rsidR="007D07F0">
        <w:t>inscription de l</w:t>
      </w:r>
      <w:r w:rsidR="00346F1B">
        <w:t>’</w:t>
      </w:r>
      <w:r w:rsidR="00443FC6">
        <w:t>élément.</w:t>
      </w:r>
    </w:p>
    <w:p w14:paraId="1FB61A15" w14:textId="15D65862" w:rsidR="007D07F0" w:rsidRPr="007D07F0" w:rsidRDefault="0012073A" w:rsidP="00F24F73">
      <w:pPr>
        <w:pStyle w:val="Orateurengris"/>
        <w:spacing w:before="120"/>
        <w:ind w:left="709" w:hanging="709"/>
        <w:rPr>
          <w:rFonts w:eastAsiaTheme="minorEastAsia"/>
        </w:rPr>
      </w:pPr>
      <w:r>
        <w:rPr>
          <w:rFonts w:eastAsiaTheme="minorEastAsia"/>
        </w:rPr>
        <w:t xml:space="preserve">Le </w:t>
      </w:r>
      <w:r w:rsidRPr="0012073A">
        <w:rPr>
          <w:rFonts w:eastAsiaTheme="minorEastAsia"/>
          <w:b/>
        </w:rPr>
        <w:t>Président</w:t>
      </w:r>
      <w:r>
        <w:rPr>
          <w:rFonts w:eastAsiaTheme="minorEastAsia"/>
        </w:rPr>
        <w:t xml:space="preserve"> a pris note d</w:t>
      </w:r>
      <w:r w:rsidR="00346F1B">
        <w:rPr>
          <w:rFonts w:eastAsiaTheme="minorEastAsia"/>
        </w:rPr>
        <w:t>’</w:t>
      </w:r>
      <w:r>
        <w:rPr>
          <w:rFonts w:eastAsiaTheme="minorEastAsia"/>
        </w:rPr>
        <w:t>une motion d</w:t>
      </w:r>
      <w:r w:rsidR="00346F1B">
        <w:rPr>
          <w:rFonts w:eastAsiaTheme="minorEastAsia"/>
        </w:rPr>
        <w:t>’</w:t>
      </w:r>
      <w:r w:rsidR="00443FC6">
        <w:rPr>
          <w:rFonts w:eastAsiaTheme="minorEastAsia"/>
        </w:rPr>
        <w:t>ordre de la part de Chypre.</w:t>
      </w:r>
    </w:p>
    <w:p w14:paraId="5D6DB60A" w14:textId="0FCCED64" w:rsidR="0012073A" w:rsidRPr="0012073A" w:rsidRDefault="0012073A" w:rsidP="00F24F73">
      <w:pPr>
        <w:pStyle w:val="Orateurengris"/>
        <w:spacing w:before="120"/>
        <w:ind w:left="709" w:hanging="709"/>
        <w:rPr>
          <w:rFonts w:eastAsiaTheme="minorEastAsia"/>
        </w:rPr>
      </w:pPr>
      <w:r>
        <w:rPr>
          <w:rFonts w:eastAsiaTheme="minorEastAsia"/>
        </w:rPr>
        <w:t xml:space="preserve">La </w:t>
      </w:r>
      <w:r w:rsidRPr="0012073A">
        <w:rPr>
          <w:rFonts w:eastAsiaTheme="minorEastAsia"/>
        </w:rPr>
        <w:t>délégation</w:t>
      </w:r>
      <w:r>
        <w:rPr>
          <w:rFonts w:eastAsiaTheme="minorEastAsia"/>
        </w:rPr>
        <w:t xml:space="preserve"> de </w:t>
      </w:r>
      <w:r w:rsidRPr="00EE71EC">
        <w:rPr>
          <w:rFonts w:eastAsiaTheme="minorEastAsia"/>
          <w:b/>
        </w:rPr>
        <w:t>Chypre</w:t>
      </w:r>
      <w:r w:rsidR="00D301C4">
        <w:rPr>
          <w:rFonts w:eastAsiaTheme="minorEastAsia"/>
        </w:rPr>
        <w:t xml:space="preserve"> souhaitait </w:t>
      </w:r>
      <w:r>
        <w:rPr>
          <w:rFonts w:eastAsiaTheme="minorEastAsia"/>
        </w:rPr>
        <w:t>qu</w:t>
      </w:r>
      <w:r w:rsidR="00346F1B">
        <w:rPr>
          <w:rFonts w:eastAsiaTheme="minorEastAsia"/>
        </w:rPr>
        <w:t>’</w:t>
      </w:r>
      <w:r>
        <w:rPr>
          <w:rFonts w:eastAsiaTheme="minorEastAsia"/>
        </w:rPr>
        <w:t xml:space="preserve">on lui confirme le </w:t>
      </w:r>
      <w:r w:rsidR="00EE71EC">
        <w:rPr>
          <w:rFonts w:eastAsiaTheme="minorEastAsia"/>
        </w:rPr>
        <w:t xml:space="preserve">nom du </w:t>
      </w:r>
      <w:r>
        <w:rPr>
          <w:rFonts w:eastAsiaTheme="minorEastAsia"/>
        </w:rPr>
        <w:t>dossier de candidature en cours d</w:t>
      </w:r>
      <w:r w:rsidR="00346F1B">
        <w:rPr>
          <w:rFonts w:eastAsiaTheme="minorEastAsia"/>
        </w:rPr>
        <w:t>’</w:t>
      </w:r>
      <w:r>
        <w:rPr>
          <w:rFonts w:eastAsiaTheme="minorEastAsia"/>
        </w:rPr>
        <w:t>examen</w:t>
      </w:r>
      <w:r w:rsidR="00EE71EC">
        <w:rPr>
          <w:rFonts w:eastAsiaTheme="minorEastAsia"/>
        </w:rPr>
        <w:t>, car cela n</w:t>
      </w:r>
      <w:r w:rsidR="00346F1B">
        <w:rPr>
          <w:rFonts w:eastAsiaTheme="minorEastAsia"/>
        </w:rPr>
        <w:t>’</w:t>
      </w:r>
      <w:r w:rsidR="00EE71EC">
        <w:rPr>
          <w:rFonts w:eastAsiaTheme="minorEastAsia"/>
        </w:rPr>
        <w:t>était pas clair à l</w:t>
      </w:r>
      <w:r w:rsidR="00346F1B">
        <w:rPr>
          <w:rFonts w:eastAsiaTheme="minorEastAsia"/>
        </w:rPr>
        <w:t>’</w:t>
      </w:r>
      <w:r w:rsidR="00EE71EC">
        <w:rPr>
          <w:rFonts w:eastAsiaTheme="minorEastAsia"/>
        </w:rPr>
        <w:t>écoute de l</w:t>
      </w:r>
      <w:r w:rsidR="00346F1B">
        <w:rPr>
          <w:rFonts w:eastAsiaTheme="minorEastAsia"/>
        </w:rPr>
        <w:t>’</w:t>
      </w:r>
      <w:r w:rsidR="00EE71EC" w:rsidRPr="00EE71EC">
        <w:rPr>
          <w:rFonts w:eastAsiaTheme="minorEastAsia"/>
        </w:rPr>
        <w:t>intervention</w:t>
      </w:r>
      <w:r w:rsidR="00443FC6">
        <w:rPr>
          <w:rFonts w:eastAsiaTheme="minorEastAsia"/>
        </w:rPr>
        <w:t xml:space="preserve"> précédente.</w:t>
      </w:r>
    </w:p>
    <w:p w14:paraId="3EFE6EFF" w14:textId="16FF0DE8" w:rsidR="00EE71EC" w:rsidRDefault="00EE71EC" w:rsidP="00F24F73">
      <w:pPr>
        <w:pStyle w:val="Orateurengris"/>
        <w:spacing w:before="120"/>
        <w:ind w:left="709" w:hanging="709"/>
        <w:rPr>
          <w:rFonts w:eastAsiaTheme="minorEastAsia"/>
        </w:rPr>
      </w:pPr>
      <w:r>
        <w:rPr>
          <w:rFonts w:eastAsiaTheme="minorEastAsia"/>
        </w:rPr>
        <w:t xml:space="preserve">Le </w:t>
      </w:r>
      <w:r w:rsidRPr="00EE71EC">
        <w:rPr>
          <w:rFonts w:eastAsiaTheme="minorEastAsia"/>
          <w:b/>
        </w:rPr>
        <w:t>Secrétaire</w:t>
      </w:r>
      <w:r>
        <w:rPr>
          <w:rFonts w:eastAsiaTheme="minorEastAsia"/>
        </w:rPr>
        <w:t xml:space="preserve"> a expliqué qu</w:t>
      </w:r>
      <w:r w:rsidR="00346F1B">
        <w:rPr>
          <w:rFonts w:eastAsiaTheme="minorEastAsia"/>
        </w:rPr>
        <w:t>’</w:t>
      </w:r>
      <w:r>
        <w:rPr>
          <w:rFonts w:eastAsiaTheme="minorEastAsia"/>
        </w:rPr>
        <w:t>une demande avait été faite par l</w:t>
      </w:r>
      <w:r w:rsidR="00346F1B">
        <w:rPr>
          <w:rFonts w:eastAsiaTheme="minorEastAsia"/>
        </w:rPr>
        <w:t>’</w:t>
      </w:r>
      <w:r>
        <w:rPr>
          <w:rFonts w:eastAsiaTheme="minorEastAsia"/>
        </w:rPr>
        <w:t>un des États soumissionnaires afin d</w:t>
      </w:r>
      <w:r w:rsidR="00346F1B">
        <w:rPr>
          <w:rFonts w:eastAsiaTheme="minorEastAsia"/>
        </w:rPr>
        <w:t>’</w:t>
      </w:r>
      <w:r>
        <w:rPr>
          <w:rFonts w:eastAsiaTheme="minorEastAsia"/>
        </w:rPr>
        <w:t>inverser l</w:t>
      </w:r>
      <w:r w:rsidR="00346F1B">
        <w:rPr>
          <w:rFonts w:eastAsiaTheme="minorEastAsia"/>
        </w:rPr>
        <w:t>’</w:t>
      </w:r>
      <w:r>
        <w:rPr>
          <w:rFonts w:eastAsiaTheme="minorEastAsia"/>
        </w:rPr>
        <w:t>ordre des dossiers 25 et 26. Toutefois, il y avait eu une objection de la Hongrie et l</w:t>
      </w:r>
      <w:r w:rsidR="00346F1B">
        <w:rPr>
          <w:rFonts w:eastAsiaTheme="minorEastAsia"/>
        </w:rPr>
        <w:t>’</w:t>
      </w:r>
      <w:r>
        <w:rPr>
          <w:rFonts w:eastAsiaTheme="minorEastAsia"/>
        </w:rPr>
        <w:t xml:space="preserve">ordre initialement prévu avait été repris. Le dossier </w:t>
      </w:r>
      <w:r w:rsidR="00E40C03">
        <w:rPr>
          <w:rFonts w:eastAsiaTheme="minorEastAsia"/>
        </w:rPr>
        <w:t>en cours d</w:t>
      </w:r>
      <w:r w:rsidR="00346F1B">
        <w:rPr>
          <w:rFonts w:eastAsiaTheme="minorEastAsia"/>
        </w:rPr>
        <w:t>’</w:t>
      </w:r>
      <w:r w:rsidR="00E40C03">
        <w:rPr>
          <w:rFonts w:eastAsiaTheme="minorEastAsia"/>
        </w:rPr>
        <w:t>examen</w:t>
      </w:r>
      <w:r w:rsidR="00443FC6">
        <w:rPr>
          <w:rFonts w:eastAsiaTheme="minorEastAsia"/>
        </w:rPr>
        <w:t xml:space="preserve"> était celui de la Roumanie.</w:t>
      </w:r>
    </w:p>
    <w:p w14:paraId="25EF116C" w14:textId="1091C672" w:rsidR="00E40C03" w:rsidRPr="00E40C03" w:rsidRDefault="00E40C03" w:rsidP="00F24F73">
      <w:pPr>
        <w:pStyle w:val="Orateurengris"/>
        <w:spacing w:before="120"/>
        <w:ind w:left="709" w:hanging="709"/>
        <w:rPr>
          <w:rFonts w:eastAsiaTheme="minorEastAsia"/>
        </w:rPr>
      </w:pPr>
      <w:r>
        <w:rPr>
          <w:rFonts w:eastAsiaTheme="minorEastAsia"/>
        </w:rPr>
        <w:t xml:space="preserve">La </w:t>
      </w:r>
      <w:r w:rsidRPr="00E40C03">
        <w:rPr>
          <w:rFonts w:eastAsiaTheme="minorEastAsia"/>
        </w:rPr>
        <w:t>délégation</w:t>
      </w:r>
      <w:r>
        <w:rPr>
          <w:rFonts w:eastAsiaTheme="minorEastAsia"/>
        </w:rPr>
        <w:t xml:space="preserve"> de </w:t>
      </w:r>
      <w:r w:rsidRPr="00E40C03">
        <w:rPr>
          <w:rFonts w:eastAsiaTheme="minorEastAsia"/>
          <w:b/>
        </w:rPr>
        <w:t>Chypre</w:t>
      </w:r>
      <w:r>
        <w:rPr>
          <w:rFonts w:eastAsiaTheme="minorEastAsia"/>
        </w:rPr>
        <w:t xml:space="preserve"> n</w:t>
      </w:r>
      <w:r w:rsidR="00346F1B">
        <w:rPr>
          <w:rFonts w:eastAsiaTheme="minorEastAsia"/>
        </w:rPr>
        <w:t>’</w:t>
      </w:r>
      <w:r>
        <w:rPr>
          <w:rFonts w:eastAsiaTheme="minorEastAsia"/>
        </w:rPr>
        <w:t>avait pas compris que l</w:t>
      </w:r>
      <w:r w:rsidR="00346F1B">
        <w:rPr>
          <w:rFonts w:eastAsiaTheme="minorEastAsia"/>
        </w:rPr>
        <w:t>’</w:t>
      </w:r>
      <w:r>
        <w:rPr>
          <w:rFonts w:eastAsiaTheme="minorEastAsia"/>
        </w:rPr>
        <w:t xml:space="preserve">ordre de passage des dossiers avait été conservé </w:t>
      </w:r>
      <w:r w:rsidRPr="00E40C03">
        <w:rPr>
          <w:rFonts w:eastAsiaTheme="minorEastAsia"/>
        </w:rPr>
        <w:t>parce que</w:t>
      </w:r>
      <w:r>
        <w:rPr>
          <w:rFonts w:eastAsiaTheme="minorEastAsia"/>
        </w:rPr>
        <w:t xml:space="preserve">, dans son </w:t>
      </w:r>
      <w:r w:rsidRPr="00E40C03">
        <w:rPr>
          <w:rFonts w:eastAsiaTheme="minorEastAsia"/>
        </w:rPr>
        <w:t>intervention</w:t>
      </w:r>
      <w:r>
        <w:rPr>
          <w:rFonts w:eastAsiaTheme="minorEastAsia"/>
        </w:rPr>
        <w:t>, la Hongrie avait abordé les deux dossiers de candidature.</w:t>
      </w:r>
    </w:p>
    <w:p w14:paraId="5CB86BB1" w14:textId="15F4C841" w:rsidR="00E40C03" w:rsidRPr="00E40C03" w:rsidRDefault="00E40C03" w:rsidP="00F24F73">
      <w:pPr>
        <w:pStyle w:val="Orateurengris"/>
        <w:spacing w:before="120"/>
        <w:ind w:left="709" w:hanging="709"/>
        <w:rPr>
          <w:rFonts w:eastAsiaTheme="minorEastAsia"/>
        </w:rPr>
      </w:pPr>
      <w:r>
        <w:rPr>
          <w:rFonts w:eastAsiaTheme="minorEastAsia"/>
        </w:rPr>
        <w:t xml:space="preserve">La </w:t>
      </w:r>
      <w:r w:rsidRPr="00E40C03">
        <w:rPr>
          <w:rFonts w:eastAsiaTheme="minorEastAsia"/>
        </w:rPr>
        <w:t>délégation</w:t>
      </w:r>
      <w:r>
        <w:rPr>
          <w:rFonts w:eastAsiaTheme="minorEastAsia"/>
        </w:rPr>
        <w:t xml:space="preserve"> de </w:t>
      </w:r>
      <w:r w:rsidRPr="00E40C03">
        <w:rPr>
          <w:rFonts w:eastAsiaTheme="minorEastAsia"/>
          <w:b/>
        </w:rPr>
        <w:t>Cuba</w:t>
      </w:r>
      <w:r>
        <w:rPr>
          <w:rFonts w:eastAsiaTheme="minorEastAsia"/>
        </w:rPr>
        <w:t xml:space="preserve"> a remercié Chypre d</w:t>
      </w:r>
      <w:r w:rsidR="00346F1B">
        <w:rPr>
          <w:rFonts w:eastAsiaTheme="minorEastAsia"/>
        </w:rPr>
        <w:t>’</w:t>
      </w:r>
      <w:r>
        <w:rPr>
          <w:rFonts w:eastAsiaTheme="minorEastAsia"/>
        </w:rPr>
        <w:t>avoir fait préciser le nom du dossier de candidature en cours d</w:t>
      </w:r>
      <w:r w:rsidR="00346F1B">
        <w:rPr>
          <w:rFonts w:eastAsiaTheme="minorEastAsia"/>
        </w:rPr>
        <w:t>’</w:t>
      </w:r>
      <w:r>
        <w:rPr>
          <w:rFonts w:eastAsiaTheme="minorEastAsia"/>
        </w:rPr>
        <w:t>examen. Elle a ajouté que cela soulignait l</w:t>
      </w:r>
      <w:r w:rsidR="00346F1B">
        <w:rPr>
          <w:rFonts w:eastAsiaTheme="minorEastAsia"/>
        </w:rPr>
        <w:t>’</w:t>
      </w:r>
      <w:r>
        <w:rPr>
          <w:rFonts w:eastAsiaTheme="minorEastAsia"/>
        </w:rPr>
        <w:t xml:space="preserve">importance de ne pas faire référence à deux dossiers de candidature en même temps. Elle a demandé à la Roumanie si elle objectait à la </w:t>
      </w:r>
      <w:r w:rsidRPr="00E40C03">
        <w:rPr>
          <w:rFonts w:eastAsiaTheme="minorEastAsia"/>
        </w:rPr>
        <w:t>recommandation</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Pr>
          <w:rFonts w:eastAsiaTheme="minorEastAsia"/>
        </w:rPr>
        <w:t>évaluation, ajoutant qu</w:t>
      </w:r>
      <w:r w:rsidR="00346F1B">
        <w:rPr>
          <w:rFonts w:eastAsiaTheme="minorEastAsia"/>
        </w:rPr>
        <w:t>’</w:t>
      </w:r>
      <w:r>
        <w:rPr>
          <w:rFonts w:eastAsiaTheme="minorEastAsia"/>
        </w:rPr>
        <w:t xml:space="preserve">il était très important pour le Comité de </w:t>
      </w:r>
      <w:r w:rsidR="0000516F">
        <w:rPr>
          <w:rFonts w:eastAsiaTheme="minorEastAsia"/>
        </w:rPr>
        <w:t xml:space="preserve">bien saisir </w:t>
      </w:r>
      <w:r>
        <w:rPr>
          <w:rFonts w:eastAsiaTheme="minorEastAsia"/>
        </w:rPr>
        <w:t xml:space="preserve">la justification de la </w:t>
      </w:r>
      <w:r w:rsidRPr="00E40C03">
        <w:rPr>
          <w:rFonts w:eastAsiaTheme="minorEastAsia"/>
        </w:rPr>
        <w:t>recommandation</w:t>
      </w:r>
      <w:r w:rsidR="00443FC6">
        <w:rPr>
          <w:rFonts w:eastAsiaTheme="minorEastAsia"/>
        </w:rPr>
        <w:t>.</w:t>
      </w:r>
    </w:p>
    <w:p w14:paraId="6CCCDCAB" w14:textId="7471920A" w:rsidR="0000516F" w:rsidRDefault="0000516F" w:rsidP="00F24F73">
      <w:pPr>
        <w:pStyle w:val="Orateurengris"/>
        <w:spacing w:before="120"/>
        <w:ind w:left="709" w:hanging="709"/>
        <w:rPr>
          <w:rFonts w:eastAsiaTheme="minorEastAsia"/>
        </w:rPr>
      </w:pPr>
      <w:r>
        <w:rPr>
          <w:rFonts w:eastAsiaTheme="minorEastAsia"/>
        </w:rPr>
        <w:t xml:space="preserve">Le </w:t>
      </w:r>
      <w:r w:rsidRPr="0000516F">
        <w:rPr>
          <w:rFonts w:eastAsiaTheme="minorEastAsia"/>
          <w:b/>
        </w:rPr>
        <w:t>Président</w:t>
      </w:r>
      <w:r>
        <w:rPr>
          <w:rFonts w:eastAsiaTheme="minorEastAsia"/>
        </w:rPr>
        <w:t xml:space="preserve"> a demandé à la </w:t>
      </w:r>
      <w:r w:rsidRPr="0000516F">
        <w:rPr>
          <w:rFonts w:eastAsiaTheme="minorEastAsia"/>
        </w:rPr>
        <w:t>délégation</w:t>
      </w:r>
      <w:r>
        <w:rPr>
          <w:rFonts w:eastAsiaTheme="minorEastAsia"/>
        </w:rPr>
        <w:t xml:space="preserve"> de Cuba si elle avait une question part</w:t>
      </w:r>
      <w:r w:rsidR="00443FC6">
        <w:rPr>
          <w:rFonts w:eastAsiaTheme="minorEastAsia"/>
        </w:rPr>
        <w:t>iculière à poser à la Roumanie.</w:t>
      </w:r>
    </w:p>
    <w:p w14:paraId="5F804309" w14:textId="4B549C13" w:rsidR="0000516F" w:rsidRPr="0000516F" w:rsidRDefault="0000516F" w:rsidP="00F24F73">
      <w:pPr>
        <w:pStyle w:val="Orateurengris"/>
        <w:spacing w:before="120"/>
        <w:ind w:left="709" w:hanging="709"/>
        <w:rPr>
          <w:rFonts w:eastAsiaTheme="minorEastAsia"/>
        </w:rPr>
      </w:pPr>
      <w:r>
        <w:rPr>
          <w:rFonts w:eastAsiaTheme="minorEastAsia"/>
        </w:rPr>
        <w:t xml:space="preserve">La </w:t>
      </w:r>
      <w:r w:rsidRPr="0000516F">
        <w:rPr>
          <w:rFonts w:eastAsiaTheme="minorEastAsia"/>
        </w:rPr>
        <w:t>délégation</w:t>
      </w:r>
      <w:r>
        <w:rPr>
          <w:rFonts w:eastAsiaTheme="minorEastAsia"/>
        </w:rPr>
        <w:t xml:space="preserve"> de </w:t>
      </w:r>
      <w:r w:rsidRPr="0000516F">
        <w:rPr>
          <w:rFonts w:eastAsiaTheme="minorEastAsia"/>
          <w:b/>
        </w:rPr>
        <w:t>Cuba</w:t>
      </w:r>
      <w:r>
        <w:rPr>
          <w:rFonts w:eastAsiaTheme="minorEastAsia"/>
        </w:rPr>
        <w:t xml:space="preserve"> souhaitait savoir si</w:t>
      </w:r>
      <w:r w:rsidR="00F328D8">
        <w:rPr>
          <w:rFonts w:eastAsiaTheme="minorEastAsia"/>
        </w:rPr>
        <w:t xml:space="preserve"> la Roumanie, pays </w:t>
      </w:r>
      <w:r w:rsidR="00F328D8" w:rsidRPr="00F328D8">
        <w:rPr>
          <w:rFonts w:eastAsiaTheme="minorEastAsia"/>
        </w:rPr>
        <w:t>soumissionnaire</w:t>
      </w:r>
      <w:r w:rsidR="00F328D8">
        <w:rPr>
          <w:rFonts w:eastAsiaTheme="minorEastAsia"/>
        </w:rPr>
        <w:t xml:space="preserve"> de la </w:t>
      </w:r>
      <w:r w:rsidR="00F328D8" w:rsidRPr="00F328D8">
        <w:rPr>
          <w:rFonts w:eastAsiaTheme="minorEastAsia"/>
        </w:rPr>
        <w:t>candidature</w:t>
      </w:r>
      <w:r w:rsidR="00F328D8">
        <w:rPr>
          <w:rFonts w:eastAsiaTheme="minorEastAsia"/>
        </w:rPr>
        <w:t>, souscrivait à</w:t>
      </w:r>
      <w:r>
        <w:rPr>
          <w:rFonts w:eastAsiaTheme="minorEastAsia"/>
        </w:rPr>
        <w:t xml:space="preserve"> la </w:t>
      </w:r>
      <w:r w:rsidRPr="0000516F">
        <w:rPr>
          <w:rFonts w:eastAsiaTheme="minorEastAsia"/>
        </w:rPr>
        <w:t>recommandation</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Pr>
          <w:rFonts w:eastAsiaTheme="minorEastAsia"/>
        </w:rPr>
        <w:t xml:space="preserve">évaluation de renvoyer la </w:t>
      </w:r>
      <w:r w:rsidRPr="0000516F">
        <w:rPr>
          <w:rFonts w:eastAsiaTheme="minorEastAsia"/>
        </w:rPr>
        <w:t>candidature</w:t>
      </w:r>
      <w:r w:rsidR="00F328D8">
        <w:rPr>
          <w:rFonts w:eastAsiaTheme="minorEastAsia"/>
        </w:rPr>
        <w:t xml:space="preserve"> jusqu</w:t>
      </w:r>
      <w:r w:rsidR="00346F1B">
        <w:rPr>
          <w:rFonts w:eastAsiaTheme="minorEastAsia"/>
        </w:rPr>
        <w:t>’</w:t>
      </w:r>
      <w:r w:rsidR="00F328D8">
        <w:rPr>
          <w:rFonts w:eastAsiaTheme="minorEastAsia"/>
        </w:rPr>
        <w:t xml:space="preserve">au prochain cycle. La </w:t>
      </w:r>
      <w:r w:rsidR="00F328D8" w:rsidRPr="00F328D8">
        <w:rPr>
          <w:rFonts w:eastAsiaTheme="minorEastAsia"/>
        </w:rPr>
        <w:t>délégation</w:t>
      </w:r>
      <w:r w:rsidR="00F328D8">
        <w:rPr>
          <w:rFonts w:eastAsiaTheme="minorEastAsia"/>
        </w:rPr>
        <w:t xml:space="preserve"> a souligné que jusqu</w:t>
      </w:r>
      <w:r w:rsidR="00346F1B">
        <w:rPr>
          <w:rFonts w:eastAsiaTheme="minorEastAsia"/>
        </w:rPr>
        <w:t>’</w:t>
      </w:r>
      <w:r w:rsidR="00F328D8">
        <w:rPr>
          <w:rFonts w:eastAsiaTheme="minorEastAsia"/>
        </w:rPr>
        <w:t xml:space="preserve">alors le </w:t>
      </w:r>
      <w:r w:rsidR="00443FC6">
        <w:rPr>
          <w:rFonts w:eastAsiaTheme="minorEastAsia"/>
        </w:rPr>
        <w:t>Comité avait fait le contraire.</w:t>
      </w:r>
    </w:p>
    <w:p w14:paraId="5962115F" w14:textId="472A47CE" w:rsidR="00F328D8" w:rsidRPr="00F328D8" w:rsidRDefault="00F328D8" w:rsidP="00F24F73">
      <w:pPr>
        <w:pStyle w:val="Orateurengris"/>
        <w:spacing w:before="120"/>
        <w:ind w:left="709" w:hanging="709"/>
        <w:rPr>
          <w:rFonts w:eastAsiaTheme="minorEastAsia"/>
        </w:rPr>
      </w:pPr>
      <w:r>
        <w:rPr>
          <w:rFonts w:eastAsiaTheme="minorEastAsia"/>
        </w:rPr>
        <w:t xml:space="preserve">La </w:t>
      </w:r>
      <w:r w:rsidRPr="00F328D8">
        <w:rPr>
          <w:rFonts w:eastAsiaTheme="minorEastAsia"/>
        </w:rPr>
        <w:t>délégation</w:t>
      </w:r>
      <w:r>
        <w:rPr>
          <w:rFonts w:eastAsiaTheme="minorEastAsia"/>
        </w:rPr>
        <w:t xml:space="preserve"> de la </w:t>
      </w:r>
      <w:r w:rsidRPr="00F328D8">
        <w:rPr>
          <w:rFonts w:eastAsiaTheme="minorEastAsia"/>
          <w:b/>
        </w:rPr>
        <w:t>Roumanie</w:t>
      </w:r>
      <w:r>
        <w:rPr>
          <w:rFonts w:eastAsiaTheme="minorEastAsia"/>
        </w:rPr>
        <w:t xml:space="preserve"> a remercié le Comité pour ses paroles fort aimables à propos des</w:t>
      </w:r>
      <w:r w:rsidR="005C4F1E">
        <w:rPr>
          <w:rFonts w:eastAsiaTheme="minorEastAsia"/>
        </w:rPr>
        <w:t xml:space="preserve"> deux dossiers. Les procédures de</w:t>
      </w:r>
      <w:r>
        <w:rPr>
          <w:rFonts w:eastAsiaTheme="minorEastAsia"/>
        </w:rPr>
        <w:t xml:space="preserve"> l</w:t>
      </w:r>
      <w:r w:rsidR="00346F1B">
        <w:rPr>
          <w:rFonts w:eastAsiaTheme="minorEastAsia"/>
        </w:rPr>
        <w:t>’</w:t>
      </w:r>
      <w:r>
        <w:rPr>
          <w:rFonts w:eastAsiaTheme="minorEastAsia"/>
        </w:rPr>
        <w:t>UNESCO étant de la plus grande importance et dans l</w:t>
      </w:r>
      <w:r w:rsidR="00346F1B">
        <w:rPr>
          <w:rFonts w:eastAsiaTheme="minorEastAsia"/>
        </w:rPr>
        <w:t>’</w:t>
      </w:r>
      <w:r>
        <w:rPr>
          <w:rFonts w:eastAsiaTheme="minorEastAsia"/>
        </w:rPr>
        <w:t xml:space="preserve">intérêt du dossier, la </w:t>
      </w:r>
      <w:r w:rsidRPr="00F328D8">
        <w:rPr>
          <w:rFonts w:eastAsiaTheme="minorEastAsia"/>
        </w:rPr>
        <w:t>délégation</w:t>
      </w:r>
      <w:r>
        <w:rPr>
          <w:rFonts w:eastAsiaTheme="minorEastAsia"/>
        </w:rPr>
        <w:t xml:space="preserve"> respectait le projet de décision 10.b.25 et considérait que la </w:t>
      </w:r>
      <w:r w:rsidRPr="00F328D8">
        <w:rPr>
          <w:rFonts w:eastAsiaTheme="minorEastAsia"/>
        </w:rPr>
        <w:t>recommandation</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Pr>
          <w:rFonts w:eastAsiaTheme="minorEastAsia"/>
        </w:rPr>
        <w:t xml:space="preserve">évaluation était justifiée. </w:t>
      </w:r>
      <w:r w:rsidRPr="00F328D8">
        <w:rPr>
          <w:rFonts w:eastAsiaTheme="minorEastAsia"/>
        </w:rPr>
        <w:t>En conséquence</w:t>
      </w:r>
      <w:r>
        <w:rPr>
          <w:rFonts w:eastAsiaTheme="minorEastAsia"/>
        </w:rPr>
        <w:t xml:space="preserve">, elle acceptait le conseil </w:t>
      </w:r>
      <w:r w:rsidR="005C4F1E">
        <w:rPr>
          <w:rFonts w:eastAsiaTheme="minorEastAsia"/>
        </w:rPr>
        <w:t>donné et appréciait de disposer de temps et d</w:t>
      </w:r>
      <w:r w:rsidR="00346F1B">
        <w:rPr>
          <w:rFonts w:eastAsiaTheme="minorEastAsia"/>
        </w:rPr>
        <w:t>’</w:t>
      </w:r>
      <w:r w:rsidR="005C4F1E">
        <w:rPr>
          <w:rFonts w:eastAsiaTheme="minorEastAsia"/>
        </w:rPr>
        <w:t>avoir l</w:t>
      </w:r>
      <w:r w:rsidR="00346F1B">
        <w:rPr>
          <w:rFonts w:eastAsiaTheme="minorEastAsia"/>
        </w:rPr>
        <w:t>’</w:t>
      </w:r>
      <w:r w:rsidR="005C4F1E">
        <w:rPr>
          <w:rFonts w:eastAsiaTheme="minorEastAsia"/>
        </w:rPr>
        <w:t>opportunité d</w:t>
      </w:r>
      <w:r w:rsidR="00346F1B">
        <w:rPr>
          <w:rFonts w:eastAsiaTheme="minorEastAsia"/>
        </w:rPr>
        <w:t>’</w:t>
      </w:r>
      <w:r w:rsidR="005C4F1E">
        <w:rPr>
          <w:rFonts w:eastAsiaTheme="minorEastAsia"/>
        </w:rPr>
        <w:t xml:space="preserve">inclure les </w:t>
      </w:r>
      <w:r w:rsidR="005C4F1E" w:rsidRPr="005C4F1E">
        <w:rPr>
          <w:rFonts w:eastAsiaTheme="minorEastAsia"/>
        </w:rPr>
        <w:t>informations</w:t>
      </w:r>
      <w:r w:rsidR="005C4F1E">
        <w:rPr>
          <w:rFonts w:eastAsiaTheme="minorEastAsia"/>
        </w:rPr>
        <w:t xml:space="preserve"> manquantes, </w:t>
      </w:r>
      <w:r w:rsidR="005C4F1E" w:rsidRPr="005C4F1E">
        <w:rPr>
          <w:rFonts w:eastAsiaTheme="minorEastAsia"/>
        </w:rPr>
        <w:t>conformément</w:t>
      </w:r>
      <w:r w:rsidR="005C4F1E">
        <w:rPr>
          <w:rFonts w:eastAsiaTheme="minorEastAsia"/>
        </w:rPr>
        <w:t xml:space="preserve"> à la </w:t>
      </w:r>
      <w:r w:rsidR="005C4F1E" w:rsidRPr="005C4F1E">
        <w:rPr>
          <w:rFonts w:eastAsiaTheme="minorEastAsia"/>
        </w:rPr>
        <w:t>recommandation</w:t>
      </w:r>
      <w:r w:rsidR="005C4F1E">
        <w:rPr>
          <w:rFonts w:eastAsiaTheme="minorEastAsia"/>
        </w:rPr>
        <w:t xml:space="preserve"> de l</w:t>
      </w:r>
      <w:r w:rsidR="00346F1B">
        <w:rPr>
          <w:rFonts w:eastAsiaTheme="minorEastAsia"/>
        </w:rPr>
        <w:t>’</w:t>
      </w:r>
      <w:r w:rsidR="005C4F1E">
        <w:rPr>
          <w:rFonts w:eastAsiaTheme="minorEastAsia"/>
        </w:rPr>
        <w:t>Organe d</w:t>
      </w:r>
      <w:r w:rsidR="00346F1B">
        <w:rPr>
          <w:rFonts w:eastAsiaTheme="minorEastAsia"/>
        </w:rPr>
        <w:t>’</w:t>
      </w:r>
      <w:r w:rsidR="005C4F1E">
        <w:rPr>
          <w:rFonts w:eastAsiaTheme="minorEastAsia"/>
        </w:rPr>
        <w:t>évaluation, afin que l</w:t>
      </w:r>
      <w:r w:rsidR="00346F1B">
        <w:rPr>
          <w:rFonts w:eastAsiaTheme="minorEastAsia"/>
        </w:rPr>
        <w:t>’</w:t>
      </w:r>
      <w:r w:rsidR="005C4F1E" w:rsidRPr="005C4F1E">
        <w:rPr>
          <w:rFonts w:eastAsiaTheme="minorEastAsia"/>
        </w:rPr>
        <w:t>élément</w:t>
      </w:r>
      <w:r w:rsidR="005C4F1E">
        <w:rPr>
          <w:rFonts w:eastAsiaTheme="minorEastAsia"/>
        </w:rPr>
        <w:t xml:space="preserve"> soit présenté de la meilleure façon possible. La </w:t>
      </w:r>
      <w:r w:rsidR="005C4F1E" w:rsidRPr="005C4F1E">
        <w:rPr>
          <w:rFonts w:eastAsiaTheme="minorEastAsia"/>
        </w:rPr>
        <w:t>délégation</w:t>
      </w:r>
      <w:r w:rsidR="005C4F1E">
        <w:rPr>
          <w:rFonts w:eastAsiaTheme="minorEastAsia"/>
        </w:rPr>
        <w:t xml:space="preserve"> a ajouté que les problèmes étaient différents dans le dossier de </w:t>
      </w:r>
      <w:r w:rsidR="005C4F1E" w:rsidRPr="005C4F1E">
        <w:rPr>
          <w:rFonts w:eastAsiaTheme="minorEastAsia"/>
        </w:rPr>
        <w:t>candidature</w:t>
      </w:r>
      <w:r w:rsidR="005C4F1E">
        <w:rPr>
          <w:rFonts w:eastAsiaTheme="minorEastAsia"/>
        </w:rPr>
        <w:t xml:space="preserve"> suivant qui ne nécessitait qu</w:t>
      </w:r>
      <w:r w:rsidR="00346F1B">
        <w:rPr>
          <w:rFonts w:eastAsiaTheme="minorEastAsia"/>
        </w:rPr>
        <w:t>’</w:t>
      </w:r>
      <w:r w:rsidR="005C4F1E">
        <w:rPr>
          <w:rFonts w:eastAsiaTheme="minorEastAsia"/>
        </w:rPr>
        <w:t xml:space="preserve">un </w:t>
      </w:r>
      <w:r w:rsidR="005C4F1E" w:rsidRPr="005C4F1E">
        <w:rPr>
          <w:rFonts w:eastAsiaTheme="minorEastAsia"/>
        </w:rPr>
        <w:t>éclaircissement</w:t>
      </w:r>
      <w:r w:rsidR="005C4F1E">
        <w:rPr>
          <w:rFonts w:eastAsiaTheme="minorEastAsia"/>
        </w:rPr>
        <w:t xml:space="preserve"> succinct alors que le présent dossier nécessitait une </w:t>
      </w:r>
      <w:r w:rsidR="005C4F1E" w:rsidRPr="005C4F1E">
        <w:rPr>
          <w:rFonts w:eastAsiaTheme="minorEastAsia"/>
        </w:rPr>
        <w:t>élaboration</w:t>
      </w:r>
      <w:r w:rsidR="00443FC6">
        <w:rPr>
          <w:rFonts w:eastAsiaTheme="minorEastAsia"/>
        </w:rPr>
        <w:t xml:space="preserve"> plus approfondie.</w:t>
      </w:r>
    </w:p>
    <w:p w14:paraId="4FCC3AEF" w14:textId="3C1171EB" w:rsidR="005C4F1E" w:rsidRDefault="005C4F1E" w:rsidP="00F24F73">
      <w:pPr>
        <w:pStyle w:val="Orateurengris"/>
        <w:spacing w:before="120"/>
        <w:ind w:left="709" w:hanging="709"/>
        <w:rPr>
          <w:rFonts w:eastAsiaTheme="minorEastAsia"/>
        </w:rPr>
      </w:pPr>
      <w:r>
        <w:rPr>
          <w:rFonts w:eastAsiaTheme="minorEastAsia"/>
        </w:rPr>
        <w:t xml:space="preserve">Après avoir écouté attentivement la Roumanie, la </w:t>
      </w:r>
      <w:r w:rsidRPr="005C4F1E">
        <w:rPr>
          <w:rFonts w:eastAsiaTheme="minorEastAsia"/>
        </w:rPr>
        <w:t>délégation</w:t>
      </w:r>
      <w:r>
        <w:rPr>
          <w:rFonts w:eastAsiaTheme="minorEastAsia"/>
        </w:rPr>
        <w:t xml:space="preserve"> de la </w:t>
      </w:r>
      <w:r w:rsidRPr="005C4F1E">
        <w:rPr>
          <w:rFonts w:eastAsiaTheme="minorEastAsia"/>
          <w:b/>
        </w:rPr>
        <w:t>Hongrie</w:t>
      </w:r>
      <w:r>
        <w:rPr>
          <w:rFonts w:eastAsiaTheme="minorEastAsia"/>
        </w:rPr>
        <w:t xml:space="preserve"> a fait référence à sa précédente intervention dans laquelle elle relevait une légère divergence entre les deux </w:t>
      </w:r>
      <w:r w:rsidRPr="005C4F1E">
        <w:rPr>
          <w:rFonts w:eastAsiaTheme="minorEastAsia"/>
        </w:rPr>
        <w:t>évaluation</w:t>
      </w:r>
      <w:r>
        <w:rPr>
          <w:rFonts w:eastAsiaTheme="minorEastAsia"/>
        </w:rPr>
        <w:t>s de l</w:t>
      </w:r>
      <w:r w:rsidR="00346F1B">
        <w:rPr>
          <w:rFonts w:eastAsiaTheme="minorEastAsia"/>
        </w:rPr>
        <w:t>’</w:t>
      </w:r>
      <w:r w:rsidRPr="005C4F1E">
        <w:rPr>
          <w:rFonts w:eastAsiaTheme="minorEastAsia"/>
        </w:rPr>
        <w:t>inventaire</w:t>
      </w:r>
      <w:r>
        <w:rPr>
          <w:rFonts w:eastAsiaTheme="minorEastAsia"/>
        </w:rPr>
        <w:t xml:space="preserve"> dans les candidatures roumaines. </w:t>
      </w:r>
      <w:r w:rsidR="009C2F37">
        <w:rPr>
          <w:rFonts w:eastAsiaTheme="minorEastAsia"/>
        </w:rPr>
        <w:t>Elle espérait que l</w:t>
      </w:r>
      <w:r w:rsidR="00346F1B">
        <w:rPr>
          <w:rFonts w:eastAsiaTheme="minorEastAsia"/>
        </w:rPr>
        <w:t>’</w:t>
      </w:r>
      <w:r w:rsidR="009C2F37">
        <w:rPr>
          <w:rFonts w:eastAsiaTheme="minorEastAsia"/>
        </w:rPr>
        <w:t>Organe d</w:t>
      </w:r>
      <w:r w:rsidR="00346F1B">
        <w:rPr>
          <w:rFonts w:eastAsiaTheme="minorEastAsia"/>
        </w:rPr>
        <w:t>’</w:t>
      </w:r>
      <w:r w:rsidR="009C2F37">
        <w:rPr>
          <w:rFonts w:eastAsiaTheme="minorEastAsia"/>
        </w:rPr>
        <w:t>évaluat</w:t>
      </w:r>
      <w:r w:rsidR="00443FC6">
        <w:rPr>
          <w:rFonts w:eastAsiaTheme="minorEastAsia"/>
        </w:rPr>
        <w:t>ion pourrait élucider ce point.</w:t>
      </w:r>
    </w:p>
    <w:p w14:paraId="6E81F61B" w14:textId="2E28FEAE" w:rsidR="009C2F37" w:rsidRPr="009C2F37" w:rsidRDefault="009C2F37" w:rsidP="00F24F73">
      <w:pPr>
        <w:pStyle w:val="Orateurengris"/>
        <w:spacing w:before="120"/>
        <w:ind w:left="709" w:hanging="709"/>
        <w:rPr>
          <w:rFonts w:eastAsiaTheme="minorEastAsia"/>
        </w:rPr>
      </w:pPr>
      <w:r>
        <w:rPr>
          <w:rFonts w:eastAsiaTheme="minorEastAsia"/>
        </w:rPr>
        <w:t xml:space="preserve">Le </w:t>
      </w:r>
      <w:r w:rsidRPr="009C2F37">
        <w:rPr>
          <w:rFonts w:eastAsiaTheme="minorEastAsia"/>
          <w:b/>
        </w:rPr>
        <w:t>Président</w:t>
      </w:r>
      <w:r>
        <w:rPr>
          <w:rFonts w:eastAsiaTheme="minorEastAsia"/>
        </w:rPr>
        <w:t xml:space="preserve"> a donné la parole à l</w:t>
      </w:r>
      <w:r w:rsidR="00346F1B">
        <w:rPr>
          <w:rFonts w:eastAsiaTheme="minorEastAsia"/>
        </w:rPr>
        <w:t>’</w:t>
      </w:r>
      <w:r>
        <w:rPr>
          <w:rFonts w:eastAsiaTheme="minorEastAsia"/>
        </w:rPr>
        <w:t>Organe d</w:t>
      </w:r>
      <w:r w:rsidR="00346F1B">
        <w:rPr>
          <w:rFonts w:eastAsiaTheme="minorEastAsia"/>
        </w:rPr>
        <w:t>’</w:t>
      </w:r>
      <w:r w:rsidR="00443FC6">
        <w:rPr>
          <w:rFonts w:eastAsiaTheme="minorEastAsia"/>
        </w:rPr>
        <w:t>évaluation.</w:t>
      </w:r>
    </w:p>
    <w:p w14:paraId="4CE6D018" w14:textId="4152FFB3" w:rsidR="009C2F37" w:rsidRDefault="009C2F37" w:rsidP="00F24F73">
      <w:pPr>
        <w:pStyle w:val="Orateurengris"/>
        <w:spacing w:before="120"/>
        <w:ind w:left="709" w:hanging="709"/>
        <w:rPr>
          <w:rFonts w:eastAsiaTheme="minorEastAsia"/>
        </w:rPr>
      </w:pPr>
      <w:r>
        <w:rPr>
          <w:rFonts w:eastAsiaTheme="minorEastAsia"/>
        </w:rPr>
        <w:t xml:space="preserve">Le </w:t>
      </w:r>
      <w:r w:rsidRPr="009C2F37">
        <w:rPr>
          <w:rFonts w:eastAsiaTheme="minorEastAsia"/>
          <w:b/>
        </w:rPr>
        <w:t>Vice-Président de l</w:t>
      </w:r>
      <w:r w:rsidR="00346F1B">
        <w:rPr>
          <w:rFonts w:eastAsiaTheme="minorEastAsia"/>
          <w:b/>
        </w:rPr>
        <w:t>’</w:t>
      </w:r>
      <w:r w:rsidRPr="009C2F37">
        <w:rPr>
          <w:rFonts w:eastAsiaTheme="minorEastAsia"/>
          <w:b/>
        </w:rPr>
        <w:t>Organe d</w:t>
      </w:r>
      <w:r w:rsidR="00346F1B">
        <w:rPr>
          <w:rFonts w:eastAsiaTheme="minorEastAsia"/>
          <w:b/>
        </w:rPr>
        <w:t>’</w:t>
      </w:r>
      <w:r w:rsidRPr="009C2F37">
        <w:rPr>
          <w:rFonts w:eastAsiaTheme="minorEastAsia"/>
          <w:b/>
        </w:rPr>
        <w:t>évaluation</w:t>
      </w:r>
      <w:r>
        <w:rPr>
          <w:rFonts w:eastAsiaTheme="minorEastAsia"/>
        </w:rPr>
        <w:t xml:space="preserve"> a remercié la Hongrie de lui donner l</w:t>
      </w:r>
      <w:r w:rsidR="00346F1B">
        <w:rPr>
          <w:rFonts w:eastAsiaTheme="minorEastAsia"/>
        </w:rPr>
        <w:t>’</w:t>
      </w:r>
      <w:r w:rsidRPr="009C2F37">
        <w:rPr>
          <w:rFonts w:eastAsiaTheme="minorEastAsia"/>
        </w:rPr>
        <w:t>opportunité</w:t>
      </w:r>
      <w:r>
        <w:rPr>
          <w:rFonts w:eastAsiaTheme="minorEastAsia"/>
        </w:rPr>
        <w:t xml:space="preserve"> d</w:t>
      </w:r>
      <w:r w:rsidR="00346F1B">
        <w:rPr>
          <w:rFonts w:eastAsiaTheme="minorEastAsia"/>
        </w:rPr>
        <w:t>’</w:t>
      </w:r>
      <w:r>
        <w:rPr>
          <w:rFonts w:eastAsiaTheme="minorEastAsia"/>
        </w:rPr>
        <w:t>expliquer comment l</w:t>
      </w:r>
      <w:r w:rsidR="00346F1B">
        <w:rPr>
          <w:rFonts w:eastAsiaTheme="minorEastAsia"/>
        </w:rPr>
        <w:t>’</w:t>
      </w:r>
      <w:r>
        <w:rPr>
          <w:rFonts w:eastAsiaTheme="minorEastAsia"/>
        </w:rPr>
        <w:t>Organe travaillait. Il a réaffirmé qu</w:t>
      </w:r>
      <w:r w:rsidR="00346F1B">
        <w:rPr>
          <w:rFonts w:eastAsiaTheme="minorEastAsia"/>
        </w:rPr>
        <w:t>’</w:t>
      </w:r>
      <w:r>
        <w:rPr>
          <w:rFonts w:eastAsiaTheme="minorEastAsia"/>
        </w:rPr>
        <w:t>il était très important de comprendre que ce n</w:t>
      </w:r>
      <w:r w:rsidR="00346F1B">
        <w:rPr>
          <w:rFonts w:eastAsiaTheme="minorEastAsia"/>
        </w:rPr>
        <w:t>’</w:t>
      </w:r>
      <w:r>
        <w:rPr>
          <w:rFonts w:eastAsiaTheme="minorEastAsia"/>
        </w:rPr>
        <w:t>était pas l</w:t>
      </w:r>
      <w:r w:rsidR="00346F1B">
        <w:rPr>
          <w:rFonts w:eastAsiaTheme="minorEastAsia"/>
        </w:rPr>
        <w:t>’</w:t>
      </w:r>
      <w:r w:rsidRPr="009C2F37">
        <w:rPr>
          <w:rFonts w:eastAsiaTheme="minorEastAsia"/>
        </w:rPr>
        <w:t>élément</w:t>
      </w:r>
      <w:r>
        <w:rPr>
          <w:rFonts w:eastAsiaTheme="minorEastAsia"/>
        </w:rPr>
        <w:t xml:space="preserve"> lui-même qui était évalué mais le dossier soumis par </w:t>
      </w:r>
      <w:r w:rsidRPr="009C2F37">
        <w:rPr>
          <w:rFonts w:eastAsiaTheme="minorEastAsia"/>
        </w:rPr>
        <w:t>l</w:t>
      </w:r>
      <w:r w:rsidR="00346F1B">
        <w:rPr>
          <w:rFonts w:eastAsiaTheme="minorEastAsia"/>
        </w:rPr>
        <w:t>’</w:t>
      </w:r>
      <w:r w:rsidRPr="009C2F37">
        <w:rPr>
          <w:rFonts w:eastAsiaTheme="minorEastAsia"/>
        </w:rPr>
        <w:t>État partie</w:t>
      </w:r>
      <w:r>
        <w:rPr>
          <w:rFonts w:eastAsiaTheme="minorEastAsia"/>
        </w:rPr>
        <w:t>. Il a expliqué que lors de l</w:t>
      </w:r>
      <w:r w:rsidR="00346F1B">
        <w:rPr>
          <w:rFonts w:eastAsiaTheme="minorEastAsia"/>
        </w:rPr>
        <w:t>’</w:t>
      </w:r>
      <w:r>
        <w:rPr>
          <w:rFonts w:eastAsiaTheme="minorEastAsia"/>
        </w:rPr>
        <w:t>examen des dossiers, l</w:t>
      </w:r>
      <w:r w:rsidR="00346F1B">
        <w:rPr>
          <w:rFonts w:eastAsiaTheme="minorEastAsia"/>
        </w:rPr>
        <w:t>’</w:t>
      </w:r>
      <w:r>
        <w:rPr>
          <w:rFonts w:eastAsiaTheme="minorEastAsia"/>
        </w:rPr>
        <w:t>Organe parvenait à un consensus sur chacun des dossiers, ajoutant que l</w:t>
      </w:r>
      <w:r w:rsidR="00346F1B">
        <w:rPr>
          <w:rFonts w:eastAsiaTheme="minorEastAsia"/>
        </w:rPr>
        <w:t>’</w:t>
      </w:r>
      <w:r w:rsidRPr="009C2F37">
        <w:rPr>
          <w:rFonts w:eastAsiaTheme="minorEastAsia"/>
        </w:rPr>
        <w:t>inscription</w:t>
      </w:r>
      <w:r>
        <w:rPr>
          <w:rFonts w:eastAsiaTheme="minorEastAsia"/>
        </w:rPr>
        <w:t xml:space="preserve"> sur la Liste représentative exigeait que tous les critères soient satisfaits. </w:t>
      </w:r>
      <w:r w:rsidRPr="009C2F37">
        <w:rPr>
          <w:rFonts w:eastAsiaTheme="minorEastAsia"/>
        </w:rPr>
        <w:t>En conséquence</w:t>
      </w:r>
      <w:r>
        <w:rPr>
          <w:rFonts w:eastAsiaTheme="minorEastAsia"/>
        </w:rPr>
        <w:t>, la cohérence en matière d</w:t>
      </w:r>
      <w:r w:rsidR="00346F1B">
        <w:rPr>
          <w:rFonts w:eastAsiaTheme="minorEastAsia"/>
        </w:rPr>
        <w:t>’</w:t>
      </w:r>
      <w:r w:rsidRPr="009C2F37">
        <w:rPr>
          <w:rFonts w:eastAsiaTheme="minorEastAsia"/>
        </w:rPr>
        <w:t>évaluation</w:t>
      </w:r>
      <w:r>
        <w:rPr>
          <w:rFonts w:eastAsiaTheme="minorEastAsia"/>
        </w:rPr>
        <w:t xml:space="preserve"> et de traitement des dossiers était un principe de la plus grande importance. Dans le cas de la </w:t>
      </w:r>
      <w:r w:rsidRPr="009C2F37">
        <w:rPr>
          <w:rFonts w:eastAsiaTheme="minorEastAsia"/>
        </w:rPr>
        <w:t>candidature</w:t>
      </w:r>
      <w:r>
        <w:rPr>
          <w:rFonts w:eastAsiaTheme="minorEastAsia"/>
        </w:rPr>
        <w:t xml:space="preserve"> en question, le Vice-Président a expliqué que, lors de l</w:t>
      </w:r>
      <w:r w:rsidR="00346F1B">
        <w:rPr>
          <w:rFonts w:eastAsiaTheme="minorEastAsia"/>
        </w:rPr>
        <w:t>’</w:t>
      </w:r>
      <w:r w:rsidRPr="009C2F37">
        <w:rPr>
          <w:rFonts w:eastAsiaTheme="minorEastAsia"/>
        </w:rPr>
        <w:t>évaluation</w:t>
      </w:r>
      <w:r>
        <w:rPr>
          <w:rFonts w:eastAsiaTheme="minorEastAsia"/>
        </w:rPr>
        <w:t xml:space="preserve">, on avait estimé que les </w:t>
      </w:r>
      <w:r w:rsidRPr="009C2F37">
        <w:rPr>
          <w:rFonts w:eastAsiaTheme="minorEastAsia"/>
        </w:rPr>
        <w:t>informations</w:t>
      </w:r>
      <w:r>
        <w:rPr>
          <w:rFonts w:eastAsiaTheme="minorEastAsia"/>
        </w:rPr>
        <w:t xml:space="preserve"> n</w:t>
      </w:r>
      <w:r w:rsidR="00346F1B">
        <w:rPr>
          <w:rFonts w:eastAsiaTheme="minorEastAsia"/>
        </w:rPr>
        <w:t>’</w:t>
      </w:r>
      <w:r>
        <w:rPr>
          <w:rFonts w:eastAsiaTheme="minorEastAsia"/>
        </w:rPr>
        <w:t>étaient</w:t>
      </w:r>
      <w:r w:rsidR="00443FC6">
        <w:rPr>
          <w:rFonts w:eastAsiaTheme="minorEastAsia"/>
        </w:rPr>
        <w:t xml:space="preserve"> pas présentes dans le dossier.</w:t>
      </w:r>
    </w:p>
    <w:p w14:paraId="14DD6BC9" w14:textId="2CB812E4" w:rsidR="002F3F78" w:rsidRPr="002F3F78" w:rsidRDefault="002F3F78" w:rsidP="00F24F73">
      <w:pPr>
        <w:pStyle w:val="Orateurengris"/>
        <w:spacing w:before="120"/>
        <w:ind w:left="709" w:hanging="709"/>
        <w:rPr>
          <w:rFonts w:eastAsiaTheme="minorEastAsia"/>
        </w:rPr>
      </w:pPr>
      <w:r>
        <w:rPr>
          <w:rFonts w:eastAsiaTheme="minorEastAsia"/>
        </w:rPr>
        <w:t xml:space="preserve">Avec tout le respect dû à la </w:t>
      </w:r>
      <w:r w:rsidRPr="002F3F78">
        <w:rPr>
          <w:rFonts w:eastAsiaTheme="minorEastAsia"/>
        </w:rPr>
        <w:t>délégation</w:t>
      </w:r>
      <w:r>
        <w:rPr>
          <w:rFonts w:eastAsiaTheme="minorEastAsia"/>
        </w:rPr>
        <w:t xml:space="preserve"> de la Hongrie, la </w:t>
      </w:r>
      <w:r w:rsidRPr="002F3F78">
        <w:rPr>
          <w:rFonts w:eastAsiaTheme="minorEastAsia"/>
        </w:rPr>
        <w:t>délégation</w:t>
      </w:r>
      <w:r>
        <w:rPr>
          <w:rFonts w:eastAsiaTheme="minorEastAsia"/>
        </w:rPr>
        <w:t xml:space="preserve"> des </w:t>
      </w:r>
      <w:r w:rsidRPr="002F3F78">
        <w:rPr>
          <w:rFonts w:eastAsiaTheme="minorEastAsia"/>
          <w:b/>
        </w:rPr>
        <w:t>Philippines</w:t>
      </w:r>
      <w:r>
        <w:rPr>
          <w:rFonts w:eastAsiaTheme="minorEastAsia"/>
        </w:rPr>
        <w:t xml:space="preserve"> ne comprenait pas pourquoi les deux dossiers de candidature, nonobstant leurs similitudes, faisaient l</w:t>
      </w:r>
      <w:r w:rsidR="00346F1B">
        <w:rPr>
          <w:rFonts w:eastAsiaTheme="minorEastAsia"/>
        </w:rPr>
        <w:t>’</w:t>
      </w:r>
      <w:r>
        <w:rPr>
          <w:rFonts w:eastAsiaTheme="minorEastAsia"/>
        </w:rPr>
        <w:t>objet d</w:t>
      </w:r>
      <w:r w:rsidR="00346F1B">
        <w:rPr>
          <w:rFonts w:eastAsiaTheme="minorEastAsia"/>
        </w:rPr>
        <w:t>’</w:t>
      </w:r>
      <w:r>
        <w:rPr>
          <w:rFonts w:eastAsiaTheme="minorEastAsia"/>
        </w:rPr>
        <w:t>un débat en même temps. Elle a ajouté que les dossiers dev</w:t>
      </w:r>
      <w:r w:rsidR="00443FC6">
        <w:rPr>
          <w:rFonts w:eastAsiaTheme="minorEastAsia"/>
        </w:rPr>
        <w:t>raient être examinés un par un.</w:t>
      </w:r>
    </w:p>
    <w:p w14:paraId="6EFEEB17" w14:textId="65470BEE" w:rsidR="002F3F78" w:rsidRPr="002F3F78" w:rsidRDefault="002F3F78" w:rsidP="00F24F73">
      <w:pPr>
        <w:pStyle w:val="Orateurengris"/>
        <w:spacing w:before="120"/>
        <w:ind w:left="709" w:hanging="709"/>
        <w:rPr>
          <w:rFonts w:eastAsiaTheme="minorEastAsia"/>
        </w:rPr>
      </w:pPr>
      <w:r>
        <w:rPr>
          <w:rFonts w:eastAsiaTheme="minorEastAsia"/>
        </w:rPr>
        <w:t xml:space="preserve">La </w:t>
      </w:r>
      <w:r w:rsidRPr="002F3F78">
        <w:rPr>
          <w:rFonts w:eastAsiaTheme="minorEastAsia"/>
        </w:rPr>
        <w:t>délégation</w:t>
      </w:r>
      <w:r>
        <w:rPr>
          <w:rFonts w:eastAsiaTheme="minorEastAsia"/>
        </w:rPr>
        <w:t xml:space="preserve"> de </w:t>
      </w:r>
      <w:r w:rsidRPr="00734DCA">
        <w:rPr>
          <w:rFonts w:eastAsiaTheme="minorEastAsia"/>
          <w:b/>
        </w:rPr>
        <w:t>Sainte-Lucie</w:t>
      </w:r>
      <w:r>
        <w:rPr>
          <w:rFonts w:eastAsiaTheme="minorEastAsia"/>
        </w:rPr>
        <w:t xml:space="preserve"> a </w:t>
      </w:r>
      <w:r w:rsidR="00734DCA">
        <w:rPr>
          <w:rFonts w:eastAsiaTheme="minorEastAsia"/>
        </w:rPr>
        <w:t>repris les remarques formulées par les Philippines selon lesquelles le Comité devrait débattre et se décider sur un seul dossier à la fois, ajoutant que l</w:t>
      </w:r>
      <w:r w:rsidR="00346F1B">
        <w:rPr>
          <w:rFonts w:eastAsiaTheme="minorEastAsia"/>
        </w:rPr>
        <w:t>’</w:t>
      </w:r>
      <w:r w:rsidR="00734DCA">
        <w:rPr>
          <w:rFonts w:eastAsiaTheme="minorEastAsia"/>
        </w:rPr>
        <w:t>incohérence de l</w:t>
      </w:r>
      <w:r w:rsidR="00346F1B">
        <w:rPr>
          <w:rFonts w:eastAsiaTheme="minorEastAsia"/>
        </w:rPr>
        <w:t>’</w:t>
      </w:r>
      <w:r w:rsidR="00734DCA">
        <w:rPr>
          <w:rFonts w:eastAsiaTheme="minorEastAsia"/>
        </w:rPr>
        <w:t>un aurait des conséquences sur l</w:t>
      </w:r>
      <w:r w:rsidR="00346F1B">
        <w:rPr>
          <w:rFonts w:eastAsiaTheme="minorEastAsia"/>
        </w:rPr>
        <w:t>’</w:t>
      </w:r>
      <w:r w:rsidR="00734DCA">
        <w:rPr>
          <w:rFonts w:eastAsiaTheme="minorEastAsia"/>
        </w:rPr>
        <w:t>autre. Par ailleurs, l</w:t>
      </w:r>
      <w:r w:rsidR="00346F1B">
        <w:rPr>
          <w:rFonts w:eastAsiaTheme="minorEastAsia"/>
        </w:rPr>
        <w:t>’</w:t>
      </w:r>
      <w:r w:rsidR="00734DCA">
        <w:rPr>
          <w:rFonts w:eastAsiaTheme="minorEastAsia"/>
        </w:rPr>
        <w:t>Organe d</w:t>
      </w:r>
      <w:r w:rsidR="00346F1B">
        <w:rPr>
          <w:rFonts w:eastAsiaTheme="minorEastAsia"/>
        </w:rPr>
        <w:t>’</w:t>
      </w:r>
      <w:r w:rsidR="00734DCA">
        <w:rPr>
          <w:rFonts w:eastAsiaTheme="minorEastAsia"/>
        </w:rPr>
        <w:t xml:space="preserve">évaluation avait identifié un problème avec le </w:t>
      </w:r>
      <w:r w:rsidR="00734DCA" w:rsidRPr="00734DCA">
        <w:rPr>
          <w:rFonts w:eastAsiaTheme="minorEastAsia"/>
        </w:rPr>
        <w:t>critère</w:t>
      </w:r>
      <w:r w:rsidR="00734DCA">
        <w:rPr>
          <w:rFonts w:eastAsiaTheme="minorEastAsia"/>
        </w:rPr>
        <w:t xml:space="preserve"> R.5 consacré à l</w:t>
      </w:r>
      <w:r w:rsidR="00346F1B">
        <w:rPr>
          <w:rFonts w:eastAsiaTheme="minorEastAsia"/>
        </w:rPr>
        <w:t>’</w:t>
      </w:r>
      <w:r w:rsidR="00734DCA" w:rsidRPr="00734DCA">
        <w:rPr>
          <w:rFonts w:eastAsiaTheme="minorEastAsia"/>
        </w:rPr>
        <w:t>inventaire</w:t>
      </w:r>
      <w:r w:rsidR="00734DCA">
        <w:rPr>
          <w:rFonts w:eastAsiaTheme="minorEastAsia"/>
        </w:rPr>
        <w:t>. Des éclaircissements devraient être don</w:t>
      </w:r>
      <w:r w:rsidR="00443FC6">
        <w:rPr>
          <w:rFonts w:eastAsiaTheme="minorEastAsia"/>
        </w:rPr>
        <w:t>nés à ce sujet par la Roumanie.</w:t>
      </w:r>
    </w:p>
    <w:p w14:paraId="1401F9B7" w14:textId="5EA99673" w:rsidR="00734DCA" w:rsidRPr="00734DCA" w:rsidRDefault="00734DCA" w:rsidP="00F24F73">
      <w:pPr>
        <w:pStyle w:val="Orateurengris"/>
        <w:spacing w:before="120"/>
        <w:ind w:left="709" w:hanging="709"/>
        <w:rPr>
          <w:rFonts w:eastAsiaTheme="minorEastAsia"/>
        </w:rPr>
      </w:pPr>
      <w:r>
        <w:rPr>
          <w:rFonts w:eastAsiaTheme="minorEastAsia"/>
        </w:rPr>
        <w:t xml:space="preserve">La </w:t>
      </w:r>
      <w:r w:rsidRPr="00734DCA">
        <w:rPr>
          <w:rFonts w:eastAsiaTheme="minorEastAsia"/>
        </w:rPr>
        <w:t>délégation</w:t>
      </w:r>
      <w:r>
        <w:rPr>
          <w:rFonts w:eastAsiaTheme="minorEastAsia"/>
        </w:rPr>
        <w:t xml:space="preserve"> de la </w:t>
      </w:r>
      <w:r w:rsidRPr="00734DCA">
        <w:rPr>
          <w:rFonts w:eastAsiaTheme="minorEastAsia"/>
          <w:b/>
        </w:rPr>
        <w:t>Hongrie</w:t>
      </w:r>
      <w:r>
        <w:rPr>
          <w:rFonts w:eastAsiaTheme="minorEastAsia"/>
        </w:rPr>
        <w:t xml:space="preserve"> partageait le sentiment des Philippines et de Sainte-Lucie, ajoutant qu</w:t>
      </w:r>
      <w:r w:rsidR="00346F1B">
        <w:rPr>
          <w:rFonts w:eastAsiaTheme="minorEastAsia"/>
        </w:rPr>
        <w:t>’</w:t>
      </w:r>
      <w:r>
        <w:rPr>
          <w:rFonts w:eastAsiaTheme="minorEastAsia"/>
        </w:rPr>
        <w:t>elle avait seulement souhaité gagner du temps en évitant une session de question-réponse et qu</w:t>
      </w:r>
      <w:r w:rsidR="00346F1B">
        <w:rPr>
          <w:rFonts w:eastAsiaTheme="minorEastAsia"/>
        </w:rPr>
        <w:t>’</w:t>
      </w:r>
      <w:r>
        <w:rPr>
          <w:rFonts w:eastAsiaTheme="minorEastAsia"/>
        </w:rPr>
        <w:t>elle était enchantée de ne traiter qu</w:t>
      </w:r>
      <w:r w:rsidR="00346F1B">
        <w:rPr>
          <w:rFonts w:eastAsiaTheme="minorEastAsia"/>
        </w:rPr>
        <w:t>’</w:t>
      </w:r>
      <w:r>
        <w:rPr>
          <w:rFonts w:eastAsiaTheme="minorEastAsia"/>
        </w:rPr>
        <w:t>à un seul dossier</w:t>
      </w:r>
      <w:r w:rsidR="00DC2835">
        <w:rPr>
          <w:rFonts w:eastAsiaTheme="minorEastAsia"/>
        </w:rPr>
        <w:t xml:space="preserve"> à la fois</w:t>
      </w:r>
      <w:r>
        <w:rPr>
          <w:rFonts w:eastAsiaTheme="minorEastAsia"/>
        </w:rPr>
        <w:t xml:space="preserve">. La </w:t>
      </w:r>
      <w:r w:rsidRPr="00734DCA">
        <w:rPr>
          <w:rFonts w:eastAsiaTheme="minorEastAsia"/>
        </w:rPr>
        <w:t>délégation</w:t>
      </w:r>
      <w:r>
        <w:rPr>
          <w:rFonts w:eastAsiaTheme="minorEastAsia"/>
        </w:rPr>
        <w:t xml:space="preserve"> souhaitait que la Roumanie s</w:t>
      </w:r>
      <w:r w:rsidR="00346F1B">
        <w:rPr>
          <w:rFonts w:eastAsiaTheme="minorEastAsia"/>
        </w:rPr>
        <w:t>’</w:t>
      </w:r>
      <w:r>
        <w:rPr>
          <w:rFonts w:eastAsiaTheme="minorEastAsia"/>
        </w:rPr>
        <w:t xml:space="preserve">exprime sur les modalités de </w:t>
      </w:r>
      <w:r w:rsidRPr="00734DCA">
        <w:rPr>
          <w:rFonts w:eastAsiaTheme="minorEastAsia"/>
        </w:rPr>
        <w:t>participation</w:t>
      </w:r>
      <w:r>
        <w:rPr>
          <w:rFonts w:eastAsiaTheme="minorEastAsia"/>
        </w:rPr>
        <w:t xml:space="preserve"> des communautés </w:t>
      </w:r>
      <w:r w:rsidR="00DC2835">
        <w:rPr>
          <w:rFonts w:eastAsiaTheme="minorEastAsia"/>
        </w:rPr>
        <w:t>au processus d</w:t>
      </w:r>
      <w:r w:rsidR="00346F1B">
        <w:rPr>
          <w:rFonts w:eastAsiaTheme="minorEastAsia"/>
        </w:rPr>
        <w:t>’</w:t>
      </w:r>
      <w:r w:rsidR="00DC2835">
        <w:rPr>
          <w:rFonts w:eastAsiaTheme="minorEastAsia"/>
        </w:rPr>
        <w:t>inventaire et sur la</w:t>
      </w:r>
      <w:r>
        <w:rPr>
          <w:rFonts w:eastAsiaTheme="minorEastAsia"/>
        </w:rPr>
        <w:t xml:space="preserve"> mise à jour de son </w:t>
      </w:r>
      <w:r w:rsidRPr="00734DCA">
        <w:rPr>
          <w:rFonts w:eastAsiaTheme="minorEastAsia"/>
        </w:rPr>
        <w:t>inventaire</w:t>
      </w:r>
      <w:r w:rsidR="00443FC6">
        <w:rPr>
          <w:rFonts w:eastAsiaTheme="minorEastAsia"/>
        </w:rPr>
        <w:t>.</w:t>
      </w:r>
    </w:p>
    <w:p w14:paraId="19F5CA60" w14:textId="605C404E" w:rsidR="00DC2835" w:rsidRDefault="00DC2835" w:rsidP="00F24F73">
      <w:pPr>
        <w:pStyle w:val="Orateurengris"/>
        <w:spacing w:before="120"/>
        <w:ind w:left="709" w:hanging="709"/>
        <w:rPr>
          <w:rFonts w:eastAsiaTheme="minorEastAsia"/>
        </w:rPr>
      </w:pPr>
      <w:r>
        <w:rPr>
          <w:rFonts w:eastAsiaTheme="minorEastAsia"/>
        </w:rPr>
        <w:t xml:space="preserve">Le </w:t>
      </w:r>
      <w:r w:rsidRPr="00DC2835">
        <w:rPr>
          <w:rFonts w:eastAsiaTheme="minorEastAsia"/>
          <w:b/>
        </w:rPr>
        <w:t>Président</w:t>
      </w:r>
      <w:r>
        <w:rPr>
          <w:rFonts w:eastAsiaTheme="minorEastAsia"/>
        </w:rPr>
        <w:t xml:space="preserve"> a donné la parole à la Roumanie pour qu</w:t>
      </w:r>
      <w:r w:rsidR="00346F1B">
        <w:rPr>
          <w:rFonts w:eastAsiaTheme="minorEastAsia"/>
        </w:rPr>
        <w:t>’</w:t>
      </w:r>
      <w:r>
        <w:rPr>
          <w:rFonts w:eastAsiaTheme="minorEastAsia"/>
        </w:rPr>
        <w:t>elle réponde à la que</w:t>
      </w:r>
      <w:r w:rsidR="00443FC6">
        <w:rPr>
          <w:rFonts w:eastAsiaTheme="minorEastAsia"/>
        </w:rPr>
        <w:t>stion spécifique de la Hongrie.</w:t>
      </w:r>
    </w:p>
    <w:p w14:paraId="0E5F0595" w14:textId="35234D65" w:rsidR="00DC2835" w:rsidRPr="00DC2835" w:rsidRDefault="00DC2835" w:rsidP="00F24F73">
      <w:pPr>
        <w:pStyle w:val="Orateurengris"/>
        <w:spacing w:before="120"/>
        <w:ind w:left="709" w:hanging="709"/>
        <w:rPr>
          <w:rFonts w:eastAsiaTheme="minorEastAsia"/>
        </w:rPr>
      </w:pPr>
      <w:r>
        <w:rPr>
          <w:rFonts w:eastAsiaTheme="minorEastAsia"/>
        </w:rPr>
        <w:t xml:space="preserve">La </w:t>
      </w:r>
      <w:r w:rsidRPr="00DC2835">
        <w:rPr>
          <w:rFonts w:eastAsiaTheme="minorEastAsia"/>
        </w:rPr>
        <w:t>délégation</w:t>
      </w:r>
      <w:r>
        <w:rPr>
          <w:rFonts w:eastAsiaTheme="minorEastAsia"/>
        </w:rPr>
        <w:t xml:space="preserve"> de la </w:t>
      </w:r>
      <w:r w:rsidRPr="00DC2835">
        <w:rPr>
          <w:rFonts w:eastAsiaTheme="minorEastAsia"/>
          <w:b/>
        </w:rPr>
        <w:t>Roumanie</w:t>
      </w:r>
      <w:r>
        <w:rPr>
          <w:rFonts w:eastAsiaTheme="minorEastAsia"/>
        </w:rPr>
        <w:t xml:space="preserve"> a reconnu qu</w:t>
      </w:r>
      <w:r w:rsidR="00346F1B">
        <w:rPr>
          <w:rFonts w:eastAsiaTheme="minorEastAsia"/>
        </w:rPr>
        <w:t>’</w:t>
      </w:r>
      <w:r>
        <w:rPr>
          <w:rFonts w:eastAsiaTheme="minorEastAsia"/>
        </w:rPr>
        <w:t>une étude plus élaborée était nécessaire car, bien que l</w:t>
      </w:r>
      <w:r w:rsidR="00346F1B">
        <w:rPr>
          <w:rFonts w:eastAsiaTheme="minorEastAsia"/>
        </w:rPr>
        <w:t>’</w:t>
      </w:r>
      <w:r w:rsidRPr="00DC2835">
        <w:rPr>
          <w:rFonts w:eastAsiaTheme="minorEastAsia"/>
        </w:rPr>
        <w:t>inventaire</w:t>
      </w:r>
      <w:r>
        <w:rPr>
          <w:rFonts w:eastAsiaTheme="minorEastAsia"/>
        </w:rPr>
        <w:t xml:space="preserve"> ait été mis à jour, il n</w:t>
      </w:r>
      <w:r w:rsidR="00346F1B">
        <w:rPr>
          <w:rFonts w:eastAsiaTheme="minorEastAsia"/>
        </w:rPr>
        <w:t>’</w:t>
      </w:r>
      <w:r>
        <w:rPr>
          <w:rFonts w:eastAsiaTheme="minorEastAsia"/>
        </w:rPr>
        <w:t>avait pas été enrichi d</w:t>
      </w:r>
      <w:r w:rsidR="00346F1B">
        <w:rPr>
          <w:rFonts w:eastAsiaTheme="minorEastAsia"/>
        </w:rPr>
        <w:t>’</w:t>
      </w:r>
      <w:r w:rsidRPr="00DC2835">
        <w:rPr>
          <w:rFonts w:eastAsiaTheme="minorEastAsia"/>
        </w:rPr>
        <w:t>informations</w:t>
      </w:r>
      <w:r>
        <w:rPr>
          <w:rFonts w:eastAsiaTheme="minorEastAsia"/>
        </w:rPr>
        <w:t xml:space="preserve"> récemment actualisées depuis un certain temps. La </w:t>
      </w:r>
      <w:r w:rsidRPr="00DC2835">
        <w:rPr>
          <w:rFonts w:eastAsiaTheme="minorEastAsia"/>
        </w:rPr>
        <w:t>délégation</w:t>
      </w:r>
      <w:r>
        <w:rPr>
          <w:rFonts w:eastAsiaTheme="minorEastAsia"/>
        </w:rPr>
        <w:t xml:space="preserve"> a ajouté que, bien que les communautés aient participé à la </w:t>
      </w:r>
      <w:r w:rsidRPr="00DC2835">
        <w:rPr>
          <w:rFonts w:eastAsiaTheme="minorEastAsia"/>
        </w:rPr>
        <w:t>candidature</w:t>
      </w:r>
      <w:r>
        <w:rPr>
          <w:rFonts w:eastAsiaTheme="minorEastAsia"/>
        </w:rPr>
        <w:t>, cela n</w:t>
      </w:r>
      <w:r w:rsidR="00346F1B">
        <w:rPr>
          <w:rFonts w:eastAsiaTheme="minorEastAsia"/>
        </w:rPr>
        <w:t>’</w:t>
      </w:r>
      <w:r>
        <w:rPr>
          <w:rFonts w:eastAsiaTheme="minorEastAsia"/>
        </w:rPr>
        <w:t>avait pas été correctement décrit dans le dossier et nécessitait d</w:t>
      </w:r>
      <w:r w:rsidR="00346F1B">
        <w:rPr>
          <w:rFonts w:eastAsiaTheme="minorEastAsia"/>
        </w:rPr>
        <w:t>’</w:t>
      </w:r>
      <w:r>
        <w:rPr>
          <w:rFonts w:eastAsiaTheme="minorEastAsia"/>
        </w:rPr>
        <w:t>être élaboré plus avant. Elle respectait donc la décision de l</w:t>
      </w:r>
      <w:r w:rsidR="00346F1B">
        <w:rPr>
          <w:rFonts w:eastAsiaTheme="minorEastAsia"/>
        </w:rPr>
        <w:t>’</w:t>
      </w:r>
      <w:r>
        <w:rPr>
          <w:rFonts w:eastAsiaTheme="minorEastAsia"/>
        </w:rPr>
        <w:t>Organe d</w:t>
      </w:r>
      <w:r w:rsidR="00346F1B">
        <w:rPr>
          <w:rFonts w:eastAsiaTheme="minorEastAsia"/>
        </w:rPr>
        <w:t>’</w:t>
      </w:r>
      <w:r>
        <w:rPr>
          <w:rFonts w:eastAsiaTheme="minorEastAsia"/>
        </w:rPr>
        <w:t xml:space="preserve">évaluation en tant que plus haute autorité dans le domaine de </w:t>
      </w:r>
      <w:r w:rsidRPr="00DC2835">
        <w:rPr>
          <w:rFonts w:eastAsiaTheme="minorEastAsia"/>
        </w:rPr>
        <w:t>l</w:t>
      </w:r>
      <w:r w:rsidR="00346F1B">
        <w:rPr>
          <w:rFonts w:eastAsiaTheme="minorEastAsia"/>
        </w:rPr>
        <w:t>’</w:t>
      </w:r>
      <w:r w:rsidRPr="00DC2835">
        <w:rPr>
          <w:rFonts w:eastAsiaTheme="minorEastAsia"/>
        </w:rPr>
        <w:t xml:space="preserve">évaluation </w:t>
      </w:r>
      <w:r>
        <w:rPr>
          <w:rFonts w:eastAsiaTheme="minorEastAsia"/>
        </w:rPr>
        <w:t xml:space="preserve">des dossiers. </w:t>
      </w:r>
    </w:p>
    <w:p w14:paraId="672DA0CF" w14:textId="1EBA08E5" w:rsidR="00DC2835" w:rsidRDefault="00DC2835" w:rsidP="00F24F73">
      <w:pPr>
        <w:pStyle w:val="Orateurengris"/>
        <w:spacing w:before="120"/>
        <w:ind w:left="709" w:hanging="709"/>
        <w:rPr>
          <w:rFonts w:eastAsiaTheme="minorEastAsia"/>
        </w:rPr>
      </w:pPr>
      <w:r>
        <w:rPr>
          <w:rFonts w:eastAsiaTheme="minorEastAsia"/>
        </w:rPr>
        <w:t xml:space="preserve">La </w:t>
      </w:r>
      <w:r w:rsidRPr="00DC2835">
        <w:rPr>
          <w:rFonts w:eastAsiaTheme="minorEastAsia"/>
        </w:rPr>
        <w:t>délégation</w:t>
      </w:r>
      <w:r>
        <w:rPr>
          <w:rFonts w:eastAsiaTheme="minorEastAsia"/>
        </w:rPr>
        <w:t xml:space="preserve"> de </w:t>
      </w:r>
      <w:r w:rsidRPr="00DC2835">
        <w:rPr>
          <w:rFonts w:eastAsiaTheme="minorEastAsia"/>
          <w:b/>
        </w:rPr>
        <w:t>Chypre</w:t>
      </w:r>
      <w:r>
        <w:rPr>
          <w:rFonts w:eastAsiaTheme="minorEastAsia"/>
        </w:rPr>
        <w:t xml:space="preserve"> a dit ne pas comprendre pourquoi le Comité poursuivait sa discussion car elle allait à l</w:t>
      </w:r>
      <w:r w:rsidR="00346F1B">
        <w:rPr>
          <w:rFonts w:eastAsiaTheme="minorEastAsia"/>
        </w:rPr>
        <w:t>’</w:t>
      </w:r>
      <w:r>
        <w:rPr>
          <w:rFonts w:eastAsiaTheme="minorEastAsia"/>
        </w:rPr>
        <w:t xml:space="preserve">encontre de la </w:t>
      </w:r>
      <w:r w:rsidRPr="00DC2835">
        <w:rPr>
          <w:rFonts w:eastAsiaTheme="minorEastAsia"/>
        </w:rPr>
        <w:t>décision</w:t>
      </w:r>
      <w:r>
        <w:rPr>
          <w:rFonts w:eastAsiaTheme="minorEastAsia"/>
        </w:rPr>
        <w:t xml:space="preserve"> de la Roumanie qui préférait soumettre à nouveau un dossier a</w:t>
      </w:r>
      <w:r w:rsidR="00443FC6">
        <w:rPr>
          <w:rFonts w:eastAsiaTheme="minorEastAsia"/>
        </w:rPr>
        <w:t>mélioré lors du prochain cycle.</w:t>
      </w:r>
    </w:p>
    <w:p w14:paraId="019156AA" w14:textId="2A9DA138" w:rsidR="00DC2835" w:rsidRDefault="00DC2835" w:rsidP="00F24F73">
      <w:pPr>
        <w:pStyle w:val="Orateurengris"/>
        <w:spacing w:before="120"/>
        <w:ind w:left="709" w:hanging="709"/>
        <w:rPr>
          <w:rFonts w:eastAsiaTheme="minorEastAsia"/>
        </w:rPr>
      </w:pPr>
      <w:r>
        <w:rPr>
          <w:rFonts w:eastAsiaTheme="minorEastAsia"/>
        </w:rPr>
        <w:t xml:space="preserve">Le </w:t>
      </w:r>
      <w:r w:rsidRPr="00DC2835">
        <w:rPr>
          <w:rFonts w:eastAsiaTheme="minorEastAsia"/>
          <w:b/>
        </w:rPr>
        <w:t>Président</w:t>
      </w:r>
      <w:r>
        <w:rPr>
          <w:rFonts w:eastAsiaTheme="minorEastAsia"/>
        </w:rPr>
        <w:t xml:space="preserve"> est passé au projet de décision et a proposé son adoption dans son ensemble.</w:t>
      </w:r>
    </w:p>
    <w:p w14:paraId="0AFF2A03" w14:textId="6A8DF6F5" w:rsidR="00DC2835" w:rsidRPr="00DC2835" w:rsidRDefault="007809DA" w:rsidP="00F24F73">
      <w:pPr>
        <w:pStyle w:val="Orateurengris"/>
        <w:spacing w:before="120"/>
        <w:ind w:left="709" w:hanging="709"/>
        <w:rPr>
          <w:rFonts w:eastAsiaTheme="minorEastAsia"/>
        </w:rPr>
      </w:pPr>
      <w:r>
        <w:rPr>
          <w:rFonts w:eastAsiaTheme="minorEastAsia"/>
        </w:rPr>
        <w:t xml:space="preserve">À la lumière </w:t>
      </w:r>
      <w:r w:rsidR="00DC2835">
        <w:rPr>
          <w:rFonts w:eastAsiaTheme="minorEastAsia"/>
        </w:rPr>
        <w:t xml:space="preserve">des </w:t>
      </w:r>
      <w:r w:rsidR="00DC2835" w:rsidRPr="00DC2835">
        <w:rPr>
          <w:rFonts w:eastAsiaTheme="minorEastAsia"/>
        </w:rPr>
        <w:t>informations</w:t>
      </w:r>
      <w:r w:rsidR="00DC2835">
        <w:rPr>
          <w:rFonts w:eastAsiaTheme="minorEastAsia"/>
        </w:rPr>
        <w:t xml:space="preserve"> reçues, la </w:t>
      </w:r>
      <w:r w:rsidR="00DC2835" w:rsidRPr="00DC2835">
        <w:rPr>
          <w:rFonts w:eastAsiaTheme="minorEastAsia"/>
        </w:rPr>
        <w:t>délégation</w:t>
      </w:r>
      <w:r w:rsidR="00DC2835">
        <w:rPr>
          <w:rFonts w:eastAsiaTheme="minorEastAsia"/>
        </w:rPr>
        <w:t xml:space="preserve"> de la </w:t>
      </w:r>
      <w:r w:rsidR="00DC2835" w:rsidRPr="00D3448D">
        <w:rPr>
          <w:rFonts w:eastAsiaTheme="minorEastAsia"/>
          <w:b/>
        </w:rPr>
        <w:t>Hongrie</w:t>
      </w:r>
      <w:r w:rsidR="00DC2835">
        <w:rPr>
          <w:rFonts w:eastAsiaTheme="minorEastAsia"/>
        </w:rPr>
        <w:t xml:space="preserve"> a proposé un </w:t>
      </w:r>
      <w:r w:rsidR="00DC2835" w:rsidRPr="00DC2835">
        <w:rPr>
          <w:rFonts w:eastAsiaTheme="minorEastAsia"/>
        </w:rPr>
        <w:t>amendement</w:t>
      </w:r>
      <w:r w:rsidR="00DC2835">
        <w:rPr>
          <w:rFonts w:eastAsiaTheme="minorEastAsia"/>
        </w:rPr>
        <w:t xml:space="preserve"> au projet de décision, en ce qui concerne le </w:t>
      </w:r>
      <w:r w:rsidR="00DC2835" w:rsidRPr="00DC2835">
        <w:rPr>
          <w:rFonts w:eastAsiaTheme="minorEastAsia"/>
        </w:rPr>
        <w:t>critère</w:t>
      </w:r>
      <w:r w:rsidR="00443FC6">
        <w:rPr>
          <w:rFonts w:eastAsiaTheme="minorEastAsia"/>
        </w:rPr>
        <w:t xml:space="preserve"> R.5.</w:t>
      </w:r>
    </w:p>
    <w:p w14:paraId="159970CC" w14:textId="5C2C48E9" w:rsidR="00833C35" w:rsidRPr="00833C35" w:rsidRDefault="007809DA" w:rsidP="00F24F73">
      <w:pPr>
        <w:pStyle w:val="Orateurengris"/>
        <w:spacing w:before="120"/>
        <w:ind w:left="709" w:hanging="709"/>
        <w:rPr>
          <w:rFonts w:eastAsiaTheme="minorEastAsia"/>
        </w:rPr>
      </w:pPr>
      <w:r>
        <w:rPr>
          <w:rFonts w:eastAsiaTheme="minorEastAsia"/>
        </w:rPr>
        <w:t xml:space="preserve">Le </w:t>
      </w:r>
      <w:r w:rsidRPr="007809DA">
        <w:rPr>
          <w:rFonts w:eastAsiaTheme="minorEastAsia"/>
          <w:b/>
        </w:rPr>
        <w:t>Président</w:t>
      </w:r>
      <w:r>
        <w:rPr>
          <w:rFonts w:eastAsiaTheme="minorEastAsia"/>
        </w:rPr>
        <w:t xml:space="preserve"> a proposé de procéder </w:t>
      </w:r>
      <w:r w:rsidRPr="007809DA">
        <w:rPr>
          <w:rFonts w:eastAsiaTheme="minorEastAsia"/>
        </w:rPr>
        <w:t>désormais</w:t>
      </w:r>
      <w:r>
        <w:rPr>
          <w:rFonts w:eastAsiaTheme="minorEastAsia"/>
        </w:rPr>
        <w:t xml:space="preserve"> </w:t>
      </w:r>
      <w:r w:rsidRPr="007809DA">
        <w:rPr>
          <w:rFonts w:eastAsiaTheme="minorEastAsia"/>
        </w:rPr>
        <w:t>paragraphe</w:t>
      </w:r>
      <w:r>
        <w:rPr>
          <w:rFonts w:eastAsiaTheme="minorEastAsia"/>
        </w:rPr>
        <w:t xml:space="preserve"> par </w:t>
      </w:r>
      <w:r w:rsidRPr="007809DA">
        <w:rPr>
          <w:rFonts w:eastAsiaTheme="minorEastAsia"/>
        </w:rPr>
        <w:t>paragraphe</w:t>
      </w:r>
      <w:r>
        <w:rPr>
          <w:rFonts w:eastAsiaTheme="minorEastAsia"/>
        </w:rPr>
        <w:t>. Un</w:t>
      </w:r>
      <w:r w:rsidR="00833C35">
        <w:rPr>
          <w:rFonts w:eastAsiaTheme="minorEastAsia"/>
        </w:rPr>
        <w:t>e motion d</w:t>
      </w:r>
      <w:r w:rsidR="00346F1B">
        <w:rPr>
          <w:rFonts w:eastAsiaTheme="minorEastAsia"/>
        </w:rPr>
        <w:t>’</w:t>
      </w:r>
      <w:r w:rsidR="00833C35">
        <w:rPr>
          <w:rFonts w:eastAsiaTheme="minorEastAsia"/>
        </w:rPr>
        <w:t>ordre a été proposée</w:t>
      </w:r>
      <w:r>
        <w:rPr>
          <w:rFonts w:eastAsiaTheme="minorEastAsia"/>
        </w:rPr>
        <w:t xml:space="preserve"> par la Côte d</w:t>
      </w:r>
      <w:r w:rsidR="00346F1B">
        <w:rPr>
          <w:rFonts w:eastAsiaTheme="minorEastAsia"/>
        </w:rPr>
        <w:t>’</w:t>
      </w:r>
      <w:r w:rsidR="00443FC6">
        <w:rPr>
          <w:rFonts w:eastAsiaTheme="minorEastAsia"/>
        </w:rPr>
        <w:t>Ivoire.</w:t>
      </w:r>
    </w:p>
    <w:p w14:paraId="7A742BF9" w14:textId="5E9473A4" w:rsidR="007809DA" w:rsidRPr="007809DA" w:rsidRDefault="007809DA" w:rsidP="00F24F73">
      <w:pPr>
        <w:pStyle w:val="Orateurengris"/>
        <w:spacing w:before="120"/>
        <w:ind w:left="709" w:hanging="709"/>
        <w:rPr>
          <w:rFonts w:eastAsiaTheme="minorEastAsia"/>
        </w:rPr>
      </w:pPr>
      <w:r>
        <w:rPr>
          <w:rFonts w:eastAsiaTheme="minorEastAsia"/>
        </w:rPr>
        <w:t xml:space="preserve">La </w:t>
      </w:r>
      <w:r w:rsidRPr="007809DA">
        <w:rPr>
          <w:rFonts w:eastAsiaTheme="minorEastAsia"/>
        </w:rPr>
        <w:t>délégation</w:t>
      </w:r>
      <w:r>
        <w:rPr>
          <w:rFonts w:eastAsiaTheme="minorEastAsia"/>
        </w:rPr>
        <w:t xml:space="preserve"> de la </w:t>
      </w:r>
      <w:r w:rsidRPr="007809DA">
        <w:rPr>
          <w:rFonts w:eastAsiaTheme="minorEastAsia"/>
          <w:b/>
        </w:rPr>
        <w:t>Côte d</w:t>
      </w:r>
      <w:r w:rsidR="00346F1B">
        <w:rPr>
          <w:rFonts w:eastAsiaTheme="minorEastAsia"/>
          <w:b/>
        </w:rPr>
        <w:t>’</w:t>
      </w:r>
      <w:r w:rsidRPr="007809DA">
        <w:rPr>
          <w:rFonts w:eastAsiaTheme="minorEastAsia"/>
          <w:b/>
        </w:rPr>
        <w:t>Ivoire</w:t>
      </w:r>
      <w:r>
        <w:rPr>
          <w:rFonts w:eastAsiaTheme="minorEastAsia"/>
        </w:rPr>
        <w:t xml:space="preserve"> a fait remarquer que, selon les </w:t>
      </w:r>
      <w:r w:rsidRPr="007809DA">
        <w:rPr>
          <w:rFonts w:eastAsiaTheme="minorEastAsia"/>
        </w:rPr>
        <w:t>informations</w:t>
      </w:r>
      <w:r>
        <w:rPr>
          <w:rFonts w:eastAsiaTheme="minorEastAsia"/>
        </w:rPr>
        <w:t xml:space="preserve"> données par l</w:t>
      </w:r>
      <w:r w:rsidR="00346F1B">
        <w:rPr>
          <w:rFonts w:eastAsiaTheme="minorEastAsia"/>
        </w:rPr>
        <w:t>’</w:t>
      </w:r>
      <w:r>
        <w:rPr>
          <w:rFonts w:eastAsiaTheme="minorEastAsia"/>
        </w:rPr>
        <w:t xml:space="preserve">État soumissionnaire, la Roumanie avait décidé de retirer sa </w:t>
      </w:r>
      <w:r w:rsidRPr="007809DA">
        <w:rPr>
          <w:rFonts w:eastAsiaTheme="minorEastAsia"/>
        </w:rPr>
        <w:t>candidature</w:t>
      </w:r>
      <w:r>
        <w:rPr>
          <w:rFonts w:eastAsiaTheme="minorEastAsia"/>
        </w:rPr>
        <w:t xml:space="preserve"> et qu</w:t>
      </w:r>
      <w:r w:rsidR="00346F1B">
        <w:rPr>
          <w:rFonts w:eastAsiaTheme="minorEastAsia"/>
        </w:rPr>
        <w:t>’</w:t>
      </w:r>
      <w:r>
        <w:rPr>
          <w:rFonts w:eastAsiaTheme="minorEastAsia"/>
        </w:rPr>
        <w:t>il n</w:t>
      </w:r>
      <w:r w:rsidR="00346F1B">
        <w:rPr>
          <w:rFonts w:eastAsiaTheme="minorEastAsia"/>
        </w:rPr>
        <w:t>’</w:t>
      </w:r>
      <w:r>
        <w:rPr>
          <w:rFonts w:eastAsiaTheme="minorEastAsia"/>
        </w:rPr>
        <w:t>était plus</w:t>
      </w:r>
      <w:r w:rsidR="00443FC6">
        <w:rPr>
          <w:rFonts w:eastAsiaTheme="minorEastAsia"/>
        </w:rPr>
        <w:t xml:space="preserve"> utile de prendre une décision.</w:t>
      </w:r>
    </w:p>
    <w:p w14:paraId="186C966B" w14:textId="3371C3D5" w:rsidR="007809DA" w:rsidRDefault="007809DA" w:rsidP="00F24F73">
      <w:pPr>
        <w:pStyle w:val="Orateurengris"/>
        <w:spacing w:before="120"/>
        <w:ind w:left="709" w:hanging="709"/>
        <w:rPr>
          <w:rFonts w:eastAsiaTheme="minorEastAsia"/>
        </w:rPr>
      </w:pPr>
      <w:r>
        <w:rPr>
          <w:rFonts w:eastAsiaTheme="minorEastAsia"/>
        </w:rPr>
        <w:t xml:space="preserve">Le </w:t>
      </w:r>
      <w:r w:rsidRPr="007809DA">
        <w:rPr>
          <w:rFonts w:eastAsiaTheme="minorEastAsia"/>
          <w:b/>
        </w:rPr>
        <w:t>Président</w:t>
      </w:r>
      <w:r>
        <w:rPr>
          <w:rFonts w:eastAsiaTheme="minorEastAsia"/>
        </w:rPr>
        <w:t xml:space="preserve"> a demandé à la Côte d</w:t>
      </w:r>
      <w:r w:rsidR="00346F1B">
        <w:rPr>
          <w:rFonts w:eastAsiaTheme="minorEastAsia"/>
        </w:rPr>
        <w:t>’</w:t>
      </w:r>
      <w:r>
        <w:rPr>
          <w:rFonts w:eastAsiaTheme="minorEastAsia"/>
        </w:rPr>
        <w:t xml:space="preserve">Ivoire si elle demandait à la Roumanie si elle </w:t>
      </w:r>
      <w:r w:rsidR="00443FC6">
        <w:rPr>
          <w:rFonts w:eastAsiaTheme="minorEastAsia"/>
        </w:rPr>
        <w:t>souhaitait retirer son dossier.</w:t>
      </w:r>
    </w:p>
    <w:p w14:paraId="68678D86" w14:textId="79622421" w:rsidR="007809DA" w:rsidRPr="007809DA" w:rsidRDefault="007809DA" w:rsidP="00F24F73">
      <w:pPr>
        <w:pStyle w:val="Orateurengris"/>
        <w:spacing w:before="120"/>
        <w:ind w:left="709" w:hanging="709"/>
        <w:rPr>
          <w:rFonts w:eastAsiaTheme="minorEastAsia"/>
        </w:rPr>
      </w:pPr>
      <w:r>
        <w:rPr>
          <w:rFonts w:eastAsiaTheme="minorEastAsia"/>
        </w:rPr>
        <w:t xml:space="preserve">La </w:t>
      </w:r>
      <w:r w:rsidRPr="007809DA">
        <w:rPr>
          <w:rFonts w:eastAsiaTheme="minorEastAsia"/>
        </w:rPr>
        <w:t>délégation</w:t>
      </w:r>
      <w:r>
        <w:rPr>
          <w:rFonts w:eastAsiaTheme="minorEastAsia"/>
        </w:rPr>
        <w:t xml:space="preserve"> de la </w:t>
      </w:r>
      <w:r w:rsidRPr="007809DA">
        <w:rPr>
          <w:rFonts w:eastAsiaTheme="minorEastAsia"/>
          <w:b/>
        </w:rPr>
        <w:t>Côte d</w:t>
      </w:r>
      <w:r w:rsidR="00346F1B">
        <w:rPr>
          <w:rFonts w:eastAsiaTheme="minorEastAsia"/>
          <w:b/>
        </w:rPr>
        <w:t>’</w:t>
      </w:r>
      <w:r w:rsidRPr="007809DA">
        <w:rPr>
          <w:rFonts w:eastAsiaTheme="minorEastAsia"/>
          <w:b/>
        </w:rPr>
        <w:t>Ivoire</w:t>
      </w:r>
      <w:r>
        <w:rPr>
          <w:rFonts w:eastAsiaTheme="minorEastAsia"/>
        </w:rPr>
        <w:t xml:space="preserve"> a confirmé que c</w:t>
      </w:r>
      <w:r w:rsidR="00346F1B">
        <w:rPr>
          <w:rFonts w:eastAsiaTheme="minorEastAsia"/>
        </w:rPr>
        <w:t>’</w:t>
      </w:r>
      <w:r w:rsidR="00443FC6">
        <w:rPr>
          <w:rFonts w:eastAsiaTheme="minorEastAsia"/>
        </w:rPr>
        <w:t>était bien son intention.</w:t>
      </w:r>
    </w:p>
    <w:p w14:paraId="5BB623B7" w14:textId="383022AC" w:rsidR="007809DA" w:rsidRDefault="007809DA" w:rsidP="00F24F73">
      <w:pPr>
        <w:pStyle w:val="Orateurengris"/>
        <w:spacing w:before="120"/>
        <w:ind w:left="709" w:hanging="709"/>
        <w:rPr>
          <w:rFonts w:eastAsiaTheme="minorEastAsia"/>
        </w:rPr>
      </w:pPr>
      <w:r>
        <w:rPr>
          <w:rFonts w:eastAsiaTheme="minorEastAsia"/>
        </w:rPr>
        <w:t xml:space="preserve">Le </w:t>
      </w:r>
      <w:r w:rsidRPr="007809DA">
        <w:rPr>
          <w:rFonts w:eastAsiaTheme="minorEastAsia"/>
          <w:b/>
        </w:rPr>
        <w:t>Président</w:t>
      </w:r>
      <w:r>
        <w:rPr>
          <w:rFonts w:eastAsiaTheme="minorEastAsia"/>
        </w:rPr>
        <w:t xml:space="preserve"> a confirmé que le retrait du dossier et l</w:t>
      </w:r>
      <w:r w:rsidR="00346F1B">
        <w:rPr>
          <w:rFonts w:eastAsiaTheme="minorEastAsia"/>
        </w:rPr>
        <w:t>’</w:t>
      </w:r>
      <w:r>
        <w:rPr>
          <w:rFonts w:eastAsiaTheme="minorEastAsia"/>
        </w:rPr>
        <w:t xml:space="preserve">adoption de la </w:t>
      </w:r>
      <w:r w:rsidRPr="007809DA">
        <w:rPr>
          <w:rFonts w:eastAsiaTheme="minorEastAsia"/>
        </w:rPr>
        <w:t>décision</w:t>
      </w:r>
      <w:r>
        <w:rPr>
          <w:rFonts w:eastAsiaTheme="minorEastAsia"/>
        </w:rPr>
        <w:t xml:space="preserve"> étaient deux choses différentes. Un</w:t>
      </w:r>
      <w:r w:rsidR="00833C35">
        <w:rPr>
          <w:rFonts w:eastAsiaTheme="minorEastAsia"/>
        </w:rPr>
        <w:t>e motion d</w:t>
      </w:r>
      <w:r w:rsidR="00346F1B">
        <w:rPr>
          <w:rFonts w:eastAsiaTheme="minorEastAsia"/>
        </w:rPr>
        <w:t>’</w:t>
      </w:r>
      <w:r w:rsidR="00833C35">
        <w:rPr>
          <w:rFonts w:eastAsiaTheme="minorEastAsia"/>
        </w:rPr>
        <w:t>ordre a été proposée</w:t>
      </w:r>
      <w:r w:rsidR="00443FC6">
        <w:rPr>
          <w:rFonts w:eastAsiaTheme="minorEastAsia"/>
        </w:rPr>
        <w:t xml:space="preserve"> par la Hongrie.</w:t>
      </w:r>
    </w:p>
    <w:p w14:paraId="5C3973A0" w14:textId="355F1B03" w:rsidR="007809DA" w:rsidRDefault="007809DA" w:rsidP="00F24F73">
      <w:pPr>
        <w:pStyle w:val="Orateurengris"/>
        <w:spacing w:before="120"/>
        <w:ind w:left="709" w:hanging="709"/>
        <w:rPr>
          <w:rFonts w:eastAsiaTheme="minorEastAsia"/>
        </w:rPr>
      </w:pPr>
      <w:r>
        <w:rPr>
          <w:rFonts w:eastAsiaTheme="minorEastAsia"/>
        </w:rPr>
        <w:t xml:space="preserve">La </w:t>
      </w:r>
      <w:r w:rsidRPr="007809DA">
        <w:rPr>
          <w:rFonts w:eastAsiaTheme="minorEastAsia"/>
        </w:rPr>
        <w:t>délégation</w:t>
      </w:r>
      <w:r>
        <w:rPr>
          <w:rFonts w:eastAsiaTheme="minorEastAsia"/>
        </w:rPr>
        <w:t xml:space="preserve"> de la </w:t>
      </w:r>
      <w:r w:rsidRPr="007809DA">
        <w:rPr>
          <w:rFonts w:eastAsiaTheme="minorEastAsia"/>
          <w:b/>
        </w:rPr>
        <w:t>Hongrie</w:t>
      </w:r>
      <w:r>
        <w:rPr>
          <w:rFonts w:eastAsiaTheme="minorEastAsia"/>
        </w:rPr>
        <w:t xml:space="preserve"> a expliqué que, selon ce qu</w:t>
      </w:r>
      <w:r w:rsidR="00346F1B">
        <w:rPr>
          <w:rFonts w:eastAsiaTheme="minorEastAsia"/>
        </w:rPr>
        <w:t>’</w:t>
      </w:r>
      <w:r>
        <w:rPr>
          <w:rFonts w:eastAsiaTheme="minorEastAsia"/>
        </w:rPr>
        <w:t>elle avait cru comprendre du règlement, on ne pouvait donner la parole à l</w:t>
      </w:r>
      <w:r w:rsidR="00346F1B">
        <w:rPr>
          <w:rFonts w:eastAsiaTheme="minorEastAsia"/>
        </w:rPr>
        <w:t>’</w:t>
      </w:r>
      <w:r>
        <w:rPr>
          <w:rFonts w:eastAsiaTheme="minorEastAsia"/>
        </w:rPr>
        <w:t xml:space="preserve">État soumissionnaire </w:t>
      </w:r>
      <w:r w:rsidR="00137AF8">
        <w:rPr>
          <w:rFonts w:eastAsiaTheme="minorEastAsia"/>
        </w:rPr>
        <w:t xml:space="preserve">que pour répondre à des questions spécifiques sur la </w:t>
      </w:r>
      <w:r w:rsidR="00137AF8" w:rsidRPr="00137AF8">
        <w:rPr>
          <w:rFonts w:eastAsiaTheme="minorEastAsia"/>
        </w:rPr>
        <w:t>candidature</w:t>
      </w:r>
      <w:r w:rsidR="00137AF8">
        <w:rPr>
          <w:rFonts w:eastAsiaTheme="minorEastAsia"/>
        </w:rPr>
        <w:t xml:space="preserve"> mais pas sur la procédure. Jusqu</w:t>
      </w:r>
      <w:r w:rsidR="00346F1B">
        <w:rPr>
          <w:rFonts w:eastAsiaTheme="minorEastAsia"/>
        </w:rPr>
        <w:t>’</w:t>
      </w:r>
      <w:r w:rsidR="00137AF8">
        <w:rPr>
          <w:rFonts w:eastAsiaTheme="minorEastAsia"/>
        </w:rPr>
        <w:t>alors, aucun État soumissionnaire n</w:t>
      </w:r>
      <w:r w:rsidR="00346F1B">
        <w:rPr>
          <w:rFonts w:eastAsiaTheme="minorEastAsia"/>
        </w:rPr>
        <w:t>’</w:t>
      </w:r>
      <w:r w:rsidR="00137AF8">
        <w:rPr>
          <w:rFonts w:eastAsiaTheme="minorEastAsia"/>
        </w:rPr>
        <w:t>avait été autorisé à intervenir sur la procédure au moment où l</w:t>
      </w:r>
      <w:r w:rsidR="00346F1B">
        <w:rPr>
          <w:rFonts w:eastAsiaTheme="minorEastAsia"/>
        </w:rPr>
        <w:t>’</w:t>
      </w:r>
      <w:r w:rsidR="00137AF8">
        <w:rPr>
          <w:rFonts w:eastAsiaTheme="minorEastAsia"/>
        </w:rPr>
        <w:t>on d</w:t>
      </w:r>
      <w:r w:rsidR="00443FC6">
        <w:rPr>
          <w:rFonts w:eastAsiaTheme="minorEastAsia"/>
        </w:rPr>
        <w:t>ébattait du projet de décision.</w:t>
      </w:r>
    </w:p>
    <w:p w14:paraId="15A129BB" w14:textId="293F09C9" w:rsidR="00137AF8" w:rsidRDefault="00137AF8" w:rsidP="00F24F73">
      <w:pPr>
        <w:pStyle w:val="Orateurengris"/>
        <w:spacing w:before="120"/>
        <w:ind w:left="709" w:hanging="709"/>
        <w:rPr>
          <w:rFonts w:eastAsiaTheme="minorEastAsia"/>
        </w:rPr>
      </w:pPr>
      <w:r>
        <w:rPr>
          <w:rFonts w:eastAsiaTheme="minorEastAsia"/>
        </w:rPr>
        <w:t xml:space="preserve">Le </w:t>
      </w:r>
      <w:r w:rsidRPr="00137AF8">
        <w:rPr>
          <w:rFonts w:eastAsiaTheme="minorEastAsia"/>
          <w:b/>
        </w:rPr>
        <w:t>Secrétaire</w:t>
      </w:r>
      <w:r>
        <w:rPr>
          <w:rFonts w:eastAsiaTheme="minorEastAsia"/>
        </w:rPr>
        <w:t xml:space="preserve"> a souligné que la question posée était de savoir si la Roumanie retirait ou pas son dossier. Selon la </w:t>
      </w:r>
      <w:r w:rsidRPr="00137AF8">
        <w:rPr>
          <w:rFonts w:eastAsiaTheme="minorEastAsia"/>
        </w:rPr>
        <w:t>déclaration</w:t>
      </w:r>
      <w:r>
        <w:rPr>
          <w:rFonts w:eastAsiaTheme="minorEastAsia"/>
        </w:rPr>
        <w:t xml:space="preserve"> de la </w:t>
      </w:r>
      <w:r w:rsidRPr="00137AF8">
        <w:rPr>
          <w:rFonts w:eastAsiaTheme="minorEastAsia"/>
        </w:rPr>
        <w:t>délégation</w:t>
      </w:r>
      <w:r>
        <w:rPr>
          <w:rFonts w:eastAsiaTheme="minorEastAsia"/>
        </w:rPr>
        <w:t>, la Roumanie n</w:t>
      </w:r>
      <w:r w:rsidR="00346F1B">
        <w:rPr>
          <w:rFonts w:eastAsiaTheme="minorEastAsia"/>
        </w:rPr>
        <w:t>’</w:t>
      </w:r>
      <w:r>
        <w:rPr>
          <w:rFonts w:eastAsiaTheme="minorEastAsia"/>
        </w:rPr>
        <w:t>avait pas retiré</w:t>
      </w:r>
      <w:r w:rsidR="00700397">
        <w:rPr>
          <w:rFonts w:eastAsiaTheme="minorEastAsia"/>
        </w:rPr>
        <w:t xml:space="preserve"> son dossier mais elle avait ac</w:t>
      </w:r>
      <w:r>
        <w:rPr>
          <w:rFonts w:eastAsiaTheme="minorEastAsia"/>
        </w:rPr>
        <w:t xml:space="preserve">cepté la </w:t>
      </w:r>
      <w:r w:rsidRPr="00137AF8">
        <w:rPr>
          <w:rFonts w:eastAsiaTheme="minorEastAsia"/>
        </w:rPr>
        <w:t>recommandation</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Pr>
          <w:rFonts w:eastAsiaTheme="minorEastAsia"/>
        </w:rPr>
        <w:t xml:space="preserve">évaluation </w:t>
      </w:r>
      <w:r w:rsidR="00700397">
        <w:rPr>
          <w:rFonts w:eastAsiaTheme="minorEastAsia"/>
        </w:rPr>
        <w:t xml:space="preserve">et souhaitait poursuivre le travail sur son </w:t>
      </w:r>
      <w:r w:rsidR="00700397" w:rsidRPr="00700397">
        <w:rPr>
          <w:rFonts w:eastAsiaTheme="minorEastAsia"/>
        </w:rPr>
        <w:t>inventaire</w:t>
      </w:r>
      <w:r w:rsidR="00700397">
        <w:rPr>
          <w:rFonts w:eastAsiaTheme="minorEastAsia"/>
        </w:rPr>
        <w:t xml:space="preserve">. Par ailleurs, le débat étant déjà ouvert, la Roumanie ne pouvait plus, à ce stade, </w:t>
      </w:r>
      <w:r w:rsidR="00443FC6">
        <w:rPr>
          <w:rFonts w:eastAsiaTheme="minorEastAsia"/>
        </w:rPr>
        <w:t>retirer son dossier.</w:t>
      </w:r>
    </w:p>
    <w:p w14:paraId="6F7990E0" w14:textId="7A8F7731" w:rsidR="00700397" w:rsidRPr="00700397" w:rsidRDefault="00700397" w:rsidP="00F24F73">
      <w:pPr>
        <w:pStyle w:val="Orateurengris"/>
        <w:spacing w:before="120"/>
        <w:ind w:left="709" w:hanging="709"/>
        <w:rPr>
          <w:rFonts w:eastAsiaTheme="minorEastAsia"/>
        </w:rPr>
      </w:pPr>
      <w:r>
        <w:rPr>
          <w:rFonts w:eastAsiaTheme="minorEastAsia"/>
        </w:rPr>
        <w:t xml:space="preserve">Le </w:t>
      </w:r>
      <w:r w:rsidRPr="00700397">
        <w:rPr>
          <w:rFonts w:eastAsiaTheme="minorEastAsia"/>
          <w:b/>
        </w:rPr>
        <w:t>Président</w:t>
      </w:r>
      <w:r>
        <w:rPr>
          <w:rFonts w:eastAsiaTheme="minorEastAsia"/>
        </w:rPr>
        <w:t xml:space="preserve"> a fait remarquer que l</w:t>
      </w:r>
      <w:r w:rsidR="00346F1B">
        <w:rPr>
          <w:rFonts w:eastAsiaTheme="minorEastAsia"/>
        </w:rPr>
        <w:t>’</w:t>
      </w:r>
      <w:r w:rsidRPr="00700397">
        <w:rPr>
          <w:rFonts w:eastAsiaTheme="minorEastAsia"/>
        </w:rPr>
        <w:t>intervention</w:t>
      </w:r>
      <w:r>
        <w:rPr>
          <w:rFonts w:eastAsiaTheme="minorEastAsia"/>
        </w:rPr>
        <w:t xml:space="preserve"> de la Côte d</w:t>
      </w:r>
      <w:r w:rsidR="00346F1B">
        <w:rPr>
          <w:rFonts w:eastAsiaTheme="minorEastAsia"/>
        </w:rPr>
        <w:t>’</w:t>
      </w:r>
      <w:r>
        <w:rPr>
          <w:rFonts w:eastAsiaTheme="minorEastAsia"/>
        </w:rPr>
        <w:t>Ivoire avait permis de déterminer si la Roumanie retirait effectivement son dossier. Après avoir précisé qu</w:t>
      </w:r>
      <w:r w:rsidR="00346F1B">
        <w:rPr>
          <w:rFonts w:eastAsiaTheme="minorEastAsia"/>
        </w:rPr>
        <w:t>’</w:t>
      </w:r>
      <w:r>
        <w:rPr>
          <w:rFonts w:eastAsiaTheme="minorEastAsia"/>
        </w:rPr>
        <w:t>il était d</w:t>
      </w:r>
      <w:r w:rsidR="00346F1B">
        <w:rPr>
          <w:rFonts w:eastAsiaTheme="minorEastAsia"/>
        </w:rPr>
        <w:t>’</w:t>
      </w:r>
      <w:r>
        <w:rPr>
          <w:rFonts w:eastAsiaTheme="minorEastAsia"/>
        </w:rPr>
        <w:t xml:space="preserve">accord avec le </w:t>
      </w:r>
      <w:r w:rsidRPr="00700397">
        <w:rPr>
          <w:rFonts w:eastAsiaTheme="minorEastAsia"/>
        </w:rPr>
        <w:t>Secrétaire</w:t>
      </w:r>
      <w:r>
        <w:rPr>
          <w:rFonts w:eastAsiaTheme="minorEastAsia"/>
        </w:rPr>
        <w:t xml:space="preserve">, le Président est passé au </w:t>
      </w:r>
      <w:r w:rsidR="00443FC6">
        <w:rPr>
          <w:rFonts w:eastAsiaTheme="minorEastAsia"/>
        </w:rPr>
        <w:t>projet de décision.</w:t>
      </w:r>
    </w:p>
    <w:p w14:paraId="3E5DEDA0" w14:textId="617F8775" w:rsidR="00700397" w:rsidRPr="00700397" w:rsidRDefault="00700397" w:rsidP="00F24F73">
      <w:pPr>
        <w:pStyle w:val="Orateurengris"/>
        <w:spacing w:before="120"/>
        <w:ind w:left="709" w:hanging="709"/>
        <w:rPr>
          <w:rFonts w:eastAsiaTheme="minorEastAsia"/>
        </w:rPr>
      </w:pPr>
      <w:r>
        <w:rPr>
          <w:rFonts w:eastAsiaTheme="minorEastAsia"/>
        </w:rPr>
        <w:t xml:space="preserve">La </w:t>
      </w:r>
      <w:r w:rsidRPr="00700397">
        <w:rPr>
          <w:rFonts w:eastAsiaTheme="minorEastAsia"/>
        </w:rPr>
        <w:t>délégation</w:t>
      </w:r>
      <w:r>
        <w:rPr>
          <w:rFonts w:eastAsiaTheme="minorEastAsia"/>
        </w:rPr>
        <w:t xml:space="preserve"> de </w:t>
      </w:r>
      <w:r w:rsidRPr="00700397">
        <w:rPr>
          <w:rFonts w:eastAsiaTheme="minorEastAsia"/>
          <w:b/>
        </w:rPr>
        <w:t>Chypre</w:t>
      </w:r>
      <w:r>
        <w:rPr>
          <w:rFonts w:eastAsiaTheme="minorEastAsia"/>
        </w:rPr>
        <w:t xml:space="preserve"> s</w:t>
      </w:r>
      <w:r w:rsidR="00346F1B">
        <w:rPr>
          <w:rFonts w:eastAsiaTheme="minorEastAsia"/>
        </w:rPr>
        <w:t>’</w:t>
      </w:r>
      <w:r>
        <w:rPr>
          <w:rFonts w:eastAsiaTheme="minorEastAsia"/>
        </w:rPr>
        <w:t>interrogeait sur la procédure et sur la raison pour laquelle, puisque le dossier était clos</w:t>
      </w:r>
      <w:r w:rsidR="00003714">
        <w:rPr>
          <w:rFonts w:eastAsiaTheme="minorEastAsia"/>
        </w:rPr>
        <w:t xml:space="preserve">, la </w:t>
      </w:r>
      <w:r w:rsidR="00003714" w:rsidRPr="00003714">
        <w:rPr>
          <w:rFonts w:eastAsiaTheme="minorEastAsia"/>
        </w:rPr>
        <w:t>décision</w:t>
      </w:r>
      <w:r w:rsidR="00003714">
        <w:rPr>
          <w:rFonts w:eastAsiaTheme="minorEastAsia"/>
        </w:rPr>
        <w:t xml:space="preserve"> devait être adoptée </w:t>
      </w:r>
      <w:r w:rsidR="00003714" w:rsidRPr="00003714">
        <w:rPr>
          <w:rFonts w:eastAsiaTheme="minorEastAsia"/>
        </w:rPr>
        <w:t>paragraphe</w:t>
      </w:r>
      <w:r w:rsidR="009D3802">
        <w:rPr>
          <w:rFonts w:eastAsiaTheme="minorEastAsia"/>
        </w:rPr>
        <w:t xml:space="preserve"> par </w:t>
      </w:r>
      <w:r w:rsidR="00003714" w:rsidRPr="00003714">
        <w:rPr>
          <w:rFonts w:eastAsiaTheme="minorEastAsia"/>
        </w:rPr>
        <w:t>paragraphe</w:t>
      </w:r>
      <w:r w:rsidR="00443FC6">
        <w:rPr>
          <w:rFonts w:eastAsiaTheme="minorEastAsia"/>
        </w:rPr>
        <w:t>.</w:t>
      </w:r>
    </w:p>
    <w:p w14:paraId="16C7FECC" w14:textId="686F6D1E" w:rsidR="00003714" w:rsidRDefault="00003714" w:rsidP="00F24F73">
      <w:pPr>
        <w:pStyle w:val="Orateurengris"/>
        <w:spacing w:before="120"/>
        <w:ind w:left="709" w:hanging="709"/>
        <w:rPr>
          <w:rFonts w:eastAsiaTheme="minorEastAsia"/>
        </w:rPr>
      </w:pPr>
      <w:r>
        <w:rPr>
          <w:rFonts w:eastAsiaTheme="minorEastAsia"/>
        </w:rPr>
        <w:t xml:space="preserve">Le </w:t>
      </w:r>
      <w:r w:rsidRPr="00003714">
        <w:rPr>
          <w:rFonts w:eastAsiaTheme="minorEastAsia"/>
          <w:b/>
        </w:rPr>
        <w:t>Secrétaire</w:t>
      </w:r>
      <w:r>
        <w:rPr>
          <w:rFonts w:eastAsiaTheme="minorEastAsia"/>
        </w:rPr>
        <w:t xml:space="preserve"> a expliqué que puisque le Comité avait ouvert le débat sur un projet de décision, le Comité devait procéder </w:t>
      </w:r>
      <w:r w:rsidRPr="00003714">
        <w:rPr>
          <w:rFonts w:eastAsiaTheme="minorEastAsia"/>
        </w:rPr>
        <w:t>paragraphe</w:t>
      </w:r>
      <w:r>
        <w:rPr>
          <w:rFonts w:eastAsiaTheme="minorEastAsia"/>
        </w:rPr>
        <w:t xml:space="preserve"> par </w:t>
      </w:r>
      <w:r w:rsidRPr="00003714">
        <w:rPr>
          <w:rFonts w:eastAsiaTheme="minorEastAsia"/>
        </w:rPr>
        <w:t>paragraphe</w:t>
      </w:r>
      <w:r>
        <w:rPr>
          <w:rFonts w:eastAsiaTheme="minorEastAsia"/>
        </w:rPr>
        <w:t>. En outre, lorsqu</w:t>
      </w:r>
      <w:r w:rsidR="00346F1B">
        <w:rPr>
          <w:rFonts w:eastAsiaTheme="minorEastAsia"/>
        </w:rPr>
        <w:t>’</w:t>
      </w:r>
      <w:r>
        <w:rPr>
          <w:rFonts w:eastAsiaTheme="minorEastAsia"/>
        </w:rPr>
        <w:t xml:space="preserve">un </w:t>
      </w:r>
      <w:r w:rsidRPr="00003714">
        <w:rPr>
          <w:rFonts w:eastAsiaTheme="minorEastAsia"/>
        </w:rPr>
        <w:t>amendement</w:t>
      </w:r>
      <w:r>
        <w:rPr>
          <w:rFonts w:eastAsiaTheme="minorEastAsia"/>
        </w:rPr>
        <w:t xml:space="preserve"> était proposé, ce qui était ici le cas, il devait faire l</w:t>
      </w:r>
      <w:r w:rsidR="00346F1B">
        <w:rPr>
          <w:rFonts w:eastAsiaTheme="minorEastAsia"/>
        </w:rPr>
        <w:t>’</w:t>
      </w:r>
      <w:r>
        <w:rPr>
          <w:rFonts w:eastAsiaTheme="minorEastAsia"/>
        </w:rPr>
        <w:t>objet d</w:t>
      </w:r>
      <w:r w:rsidR="00346F1B">
        <w:rPr>
          <w:rFonts w:eastAsiaTheme="minorEastAsia"/>
        </w:rPr>
        <w:t>’</w:t>
      </w:r>
      <w:r>
        <w:rPr>
          <w:rFonts w:eastAsiaTheme="minorEastAsia"/>
        </w:rPr>
        <w:t>un débat par le Comité que celui-ci soit d</w:t>
      </w:r>
      <w:r w:rsidR="00346F1B">
        <w:rPr>
          <w:rFonts w:eastAsiaTheme="minorEastAsia"/>
        </w:rPr>
        <w:t>’</w:t>
      </w:r>
      <w:r w:rsidR="00443FC6">
        <w:rPr>
          <w:rFonts w:eastAsiaTheme="minorEastAsia"/>
        </w:rPr>
        <w:t>accord ou pas.</w:t>
      </w:r>
    </w:p>
    <w:p w14:paraId="6237D02E" w14:textId="1A842570" w:rsidR="00003714" w:rsidRPr="00003714" w:rsidRDefault="00003714" w:rsidP="00F24F73">
      <w:pPr>
        <w:pStyle w:val="Orateurengris"/>
        <w:spacing w:before="120"/>
        <w:ind w:left="709" w:hanging="709"/>
        <w:rPr>
          <w:rFonts w:eastAsiaTheme="minorEastAsia"/>
        </w:rPr>
      </w:pPr>
      <w:r>
        <w:rPr>
          <w:rFonts w:eastAsiaTheme="minorEastAsia"/>
        </w:rPr>
        <w:t xml:space="preserve">Le </w:t>
      </w:r>
      <w:r w:rsidRPr="00003714">
        <w:rPr>
          <w:rFonts w:eastAsiaTheme="minorEastAsia"/>
          <w:b/>
        </w:rPr>
        <w:t>Président</w:t>
      </w:r>
      <w:r>
        <w:rPr>
          <w:rFonts w:eastAsiaTheme="minorEastAsia"/>
        </w:rPr>
        <w:t xml:space="preserve"> a confirmé que la Hongrie avait effectivement présenté un </w:t>
      </w:r>
      <w:r w:rsidRPr="00003714">
        <w:rPr>
          <w:rFonts w:eastAsiaTheme="minorEastAsia"/>
        </w:rPr>
        <w:t>amendement</w:t>
      </w:r>
      <w:r>
        <w:rPr>
          <w:rFonts w:eastAsiaTheme="minorEastAsia"/>
        </w:rPr>
        <w:t xml:space="preserve">. Il est passé au </w:t>
      </w:r>
      <w:r w:rsidRPr="00003714">
        <w:rPr>
          <w:rFonts w:eastAsiaTheme="minorEastAsia"/>
        </w:rPr>
        <w:t>paragraphe</w:t>
      </w:r>
      <w:r>
        <w:rPr>
          <w:rFonts w:eastAsiaTheme="minorEastAsia"/>
        </w:rPr>
        <w:t xml:space="preserve"> 1 qui a été </w:t>
      </w:r>
      <w:r w:rsidR="008052AC">
        <w:rPr>
          <w:rFonts w:eastAsiaTheme="minorEastAsia"/>
        </w:rPr>
        <w:t>dûment</w:t>
      </w:r>
      <w:r>
        <w:rPr>
          <w:rFonts w:eastAsiaTheme="minorEastAsia"/>
        </w:rPr>
        <w:t xml:space="preserve"> adopté. Les </w:t>
      </w:r>
      <w:r w:rsidRPr="00003714">
        <w:rPr>
          <w:rFonts w:eastAsiaTheme="minorEastAsia"/>
        </w:rPr>
        <w:t>p</w:t>
      </w:r>
      <w:r>
        <w:rPr>
          <w:rFonts w:eastAsiaTheme="minorEastAsia"/>
        </w:rPr>
        <w:t xml:space="preserve">aragraphes concernant les critères R.1, R.2, R.3 et R.4 dans le </w:t>
      </w:r>
      <w:r w:rsidRPr="00003714">
        <w:rPr>
          <w:rFonts w:eastAsiaTheme="minorEastAsia"/>
        </w:rPr>
        <w:t>paragraphe</w:t>
      </w:r>
      <w:r>
        <w:rPr>
          <w:rFonts w:eastAsiaTheme="minorEastAsia"/>
        </w:rPr>
        <w:t xml:space="preserve"> 2, sans </w:t>
      </w:r>
      <w:r w:rsidRPr="00003714">
        <w:rPr>
          <w:rFonts w:eastAsiaTheme="minorEastAsia"/>
        </w:rPr>
        <w:t>amendement</w:t>
      </w:r>
      <w:r>
        <w:rPr>
          <w:rFonts w:eastAsiaTheme="minorEastAsia"/>
        </w:rPr>
        <w:t xml:space="preserve">, ont été </w:t>
      </w:r>
      <w:r w:rsidR="008052AC">
        <w:rPr>
          <w:rFonts w:eastAsiaTheme="minorEastAsia"/>
        </w:rPr>
        <w:t>dûment</w:t>
      </w:r>
      <w:r>
        <w:rPr>
          <w:rFonts w:eastAsiaTheme="minorEastAsia"/>
        </w:rPr>
        <w:t xml:space="preserve"> adoptés. Le Président a donné la parole à la Hongrie pour un possible </w:t>
      </w:r>
      <w:r w:rsidRPr="00003714">
        <w:rPr>
          <w:rFonts w:eastAsiaTheme="minorEastAsia"/>
        </w:rPr>
        <w:t>amendement</w:t>
      </w:r>
      <w:r>
        <w:rPr>
          <w:rFonts w:eastAsiaTheme="minorEastAsia"/>
        </w:rPr>
        <w:t xml:space="preserve"> au </w:t>
      </w:r>
      <w:r w:rsidRPr="00003714">
        <w:rPr>
          <w:rFonts w:eastAsiaTheme="minorEastAsia"/>
        </w:rPr>
        <w:t>paragraphe</w:t>
      </w:r>
      <w:r>
        <w:rPr>
          <w:rFonts w:eastAsiaTheme="minorEastAsia"/>
        </w:rPr>
        <w:t xml:space="preserve"> sur le </w:t>
      </w:r>
      <w:r w:rsidRPr="00003714">
        <w:rPr>
          <w:rFonts w:eastAsiaTheme="minorEastAsia"/>
        </w:rPr>
        <w:t>critère</w:t>
      </w:r>
      <w:r w:rsidR="00443FC6">
        <w:rPr>
          <w:rFonts w:eastAsiaTheme="minorEastAsia"/>
        </w:rPr>
        <w:t xml:space="preserve"> R.5.</w:t>
      </w:r>
    </w:p>
    <w:p w14:paraId="28C192C4" w14:textId="51DE6EF2" w:rsidR="00003714" w:rsidRPr="00003714" w:rsidRDefault="00003714" w:rsidP="00F24F73">
      <w:pPr>
        <w:pStyle w:val="Orateurengris"/>
        <w:spacing w:before="120"/>
        <w:ind w:left="709" w:hanging="709"/>
        <w:rPr>
          <w:rFonts w:eastAsiaTheme="minorEastAsia"/>
        </w:rPr>
      </w:pPr>
      <w:r>
        <w:rPr>
          <w:rFonts w:eastAsiaTheme="minorEastAsia"/>
        </w:rPr>
        <w:t xml:space="preserve">La </w:t>
      </w:r>
      <w:r w:rsidRPr="00003714">
        <w:rPr>
          <w:rFonts w:eastAsiaTheme="minorEastAsia"/>
        </w:rPr>
        <w:t>délégation</w:t>
      </w:r>
      <w:r>
        <w:rPr>
          <w:rFonts w:eastAsiaTheme="minorEastAsia"/>
        </w:rPr>
        <w:t xml:space="preserve"> de la </w:t>
      </w:r>
      <w:r w:rsidRPr="00E120A2">
        <w:rPr>
          <w:rFonts w:eastAsiaTheme="minorEastAsia"/>
          <w:b/>
        </w:rPr>
        <w:t>Hongrie</w:t>
      </w:r>
      <w:r>
        <w:rPr>
          <w:rFonts w:eastAsiaTheme="minorEastAsia"/>
        </w:rPr>
        <w:t xml:space="preserve"> a proposé d</w:t>
      </w:r>
      <w:r w:rsidR="00346F1B">
        <w:rPr>
          <w:rFonts w:eastAsiaTheme="minorEastAsia"/>
        </w:rPr>
        <w:t>’</w:t>
      </w:r>
      <w:r>
        <w:rPr>
          <w:rFonts w:eastAsiaTheme="minorEastAsia"/>
        </w:rPr>
        <w:t xml:space="preserve">inclure le </w:t>
      </w:r>
      <w:r w:rsidRPr="00003714">
        <w:rPr>
          <w:rFonts w:eastAsiaTheme="minorEastAsia"/>
        </w:rPr>
        <w:t>paragraphe</w:t>
      </w:r>
      <w:r>
        <w:rPr>
          <w:rFonts w:eastAsiaTheme="minorEastAsia"/>
        </w:rPr>
        <w:t xml:space="preserve"> sur le </w:t>
      </w:r>
      <w:r w:rsidRPr="00003714">
        <w:rPr>
          <w:rFonts w:eastAsiaTheme="minorEastAsia"/>
        </w:rPr>
        <w:t>critère</w:t>
      </w:r>
      <w:r>
        <w:rPr>
          <w:rFonts w:eastAsiaTheme="minorEastAsia"/>
        </w:rPr>
        <w:t xml:space="preserve"> R.5 dans le </w:t>
      </w:r>
      <w:r w:rsidRPr="00003714">
        <w:rPr>
          <w:rFonts w:eastAsiaTheme="minorEastAsia"/>
        </w:rPr>
        <w:t>paragraphe</w:t>
      </w:r>
      <w:r>
        <w:rPr>
          <w:rFonts w:eastAsiaTheme="minorEastAsia"/>
        </w:rPr>
        <w:t xml:space="preserve"> 2 et de supprimer la deuxième phrase du </w:t>
      </w:r>
      <w:r w:rsidRPr="00003714">
        <w:rPr>
          <w:rFonts w:eastAsiaTheme="minorEastAsia"/>
        </w:rPr>
        <w:t>paragraphe</w:t>
      </w:r>
      <w:r>
        <w:rPr>
          <w:rFonts w:eastAsiaTheme="minorEastAsia"/>
        </w:rPr>
        <w:t xml:space="preserve"> sur le </w:t>
      </w:r>
      <w:r w:rsidRPr="00003714">
        <w:rPr>
          <w:rFonts w:eastAsiaTheme="minorEastAsia"/>
        </w:rPr>
        <w:t>critère</w:t>
      </w:r>
      <w:r>
        <w:rPr>
          <w:rFonts w:eastAsiaTheme="minorEastAsia"/>
        </w:rPr>
        <w:t xml:space="preserve"> R.5 et de la remplacer par le </w:t>
      </w:r>
      <w:r w:rsidRPr="00003714">
        <w:rPr>
          <w:rFonts w:eastAsiaTheme="minorEastAsia"/>
        </w:rPr>
        <w:t>paragraphe</w:t>
      </w:r>
      <w:r>
        <w:rPr>
          <w:rFonts w:eastAsiaTheme="minorEastAsia"/>
        </w:rPr>
        <w:t xml:space="preserve"> standard, comme précédemment adopté dans les autres candidatures</w:t>
      </w:r>
      <w:r w:rsidR="00E120A2">
        <w:rPr>
          <w:rFonts w:eastAsiaTheme="minorEastAsia"/>
        </w:rPr>
        <w:t>, qui serait ainsi rédigé : « L</w:t>
      </w:r>
      <w:r w:rsidR="00346F1B">
        <w:rPr>
          <w:rFonts w:eastAsiaTheme="minorEastAsia"/>
        </w:rPr>
        <w:t>’</w:t>
      </w:r>
      <w:r w:rsidR="00E120A2" w:rsidRPr="00E120A2">
        <w:rPr>
          <w:rFonts w:eastAsiaTheme="minorEastAsia"/>
        </w:rPr>
        <w:t>inventaire</w:t>
      </w:r>
      <w:r w:rsidR="00E120A2">
        <w:rPr>
          <w:rFonts w:eastAsiaTheme="minorEastAsia"/>
        </w:rPr>
        <w:t xml:space="preserve"> est </w:t>
      </w:r>
      <w:r w:rsidR="00685916">
        <w:rPr>
          <w:rFonts w:eastAsiaTheme="minorEastAsia"/>
        </w:rPr>
        <w:t xml:space="preserve">élaboré </w:t>
      </w:r>
      <w:r w:rsidR="00E120A2">
        <w:rPr>
          <w:rFonts w:eastAsiaTheme="minorEastAsia"/>
        </w:rPr>
        <w:t xml:space="preserve">avec la </w:t>
      </w:r>
      <w:r w:rsidR="00E120A2" w:rsidRPr="00E120A2">
        <w:rPr>
          <w:rFonts w:eastAsiaTheme="minorEastAsia"/>
        </w:rPr>
        <w:t>participation</w:t>
      </w:r>
      <w:r w:rsidR="00E120A2">
        <w:rPr>
          <w:rFonts w:eastAsiaTheme="minorEastAsia"/>
        </w:rPr>
        <w:t xml:space="preserve"> des communautés et est </w:t>
      </w:r>
      <w:r w:rsidR="00E120A2" w:rsidRPr="00E120A2">
        <w:rPr>
          <w:rFonts w:eastAsiaTheme="minorEastAsia"/>
        </w:rPr>
        <w:t>régulièrement</w:t>
      </w:r>
      <w:r w:rsidR="00443FC6">
        <w:rPr>
          <w:rFonts w:eastAsiaTheme="minorEastAsia"/>
        </w:rPr>
        <w:t xml:space="preserve"> mis à jour ».</w:t>
      </w:r>
    </w:p>
    <w:p w14:paraId="69E6A61A" w14:textId="583D985E" w:rsidR="00E120A2" w:rsidRPr="00E120A2" w:rsidRDefault="00E120A2" w:rsidP="00F24F73">
      <w:pPr>
        <w:pStyle w:val="Orateurengris"/>
        <w:spacing w:before="120"/>
        <w:ind w:left="709" w:hanging="709"/>
        <w:rPr>
          <w:rFonts w:eastAsiaTheme="minorEastAsia"/>
        </w:rPr>
      </w:pPr>
      <w:r>
        <w:rPr>
          <w:rFonts w:eastAsiaTheme="minorEastAsia"/>
        </w:rPr>
        <w:t xml:space="preserve">La </w:t>
      </w:r>
      <w:r w:rsidRPr="00E120A2">
        <w:rPr>
          <w:rFonts w:eastAsiaTheme="minorEastAsia"/>
        </w:rPr>
        <w:t>délégation</w:t>
      </w:r>
      <w:r>
        <w:rPr>
          <w:rFonts w:eastAsiaTheme="minorEastAsia"/>
        </w:rPr>
        <w:t xml:space="preserve"> de </w:t>
      </w:r>
      <w:r w:rsidRPr="00E120A2">
        <w:rPr>
          <w:rFonts w:eastAsiaTheme="minorEastAsia"/>
          <w:b/>
        </w:rPr>
        <w:t>Sainte-Lucie</w:t>
      </w:r>
      <w:r>
        <w:rPr>
          <w:rFonts w:eastAsiaTheme="minorEastAsia"/>
        </w:rPr>
        <w:t xml:space="preserve"> était résolument opposée à cet </w:t>
      </w:r>
      <w:r w:rsidRPr="00E120A2">
        <w:rPr>
          <w:rFonts w:eastAsiaTheme="minorEastAsia"/>
        </w:rPr>
        <w:t>amendement</w:t>
      </w:r>
      <w:r>
        <w:rPr>
          <w:rFonts w:eastAsiaTheme="minorEastAsia"/>
        </w:rPr>
        <w:t xml:space="preserve">, ajoutant que la situation était très </w:t>
      </w:r>
      <w:r w:rsidR="00685916">
        <w:rPr>
          <w:rFonts w:eastAsiaTheme="minorEastAsia"/>
        </w:rPr>
        <w:t xml:space="preserve">étrange </w:t>
      </w:r>
      <w:r>
        <w:rPr>
          <w:rFonts w:eastAsiaTheme="minorEastAsia"/>
        </w:rPr>
        <w:t>car l</w:t>
      </w:r>
      <w:r w:rsidR="00346F1B">
        <w:rPr>
          <w:rFonts w:eastAsiaTheme="minorEastAsia"/>
        </w:rPr>
        <w:t>’</w:t>
      </w:r>
      <w:r>
        <w:rPr>
          <w:rFonts w:eastAsiaTheme="minorEastAsia"/>
        </w:rPr>
        <w:t xml:space="preserve">État soumissionnaire avait accepté la </w:t>
      </w:r>
      <w:r w:rsidRPr="00E120A2">
        <w:rPr>
          <w:rFonts w:eastAsiaTheme="minorEastAsia"/>
        </w:rPr>
        <w:t>recommandation</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Pr>
          <w:rFonts w:eastAsiaTheme="minorEastAsia"/>
        </w:rPr>
        <w:t xml:space="preserve">évaluation motivée par des problèmes dans son </w:t>
      </w:r>
      <w:r w:rsidRPr="00E120A2">
        <w:rPr>
          <w:rFonts w:eastAsiaTheme="minorEastAsia"/>
        </w:rPr>
        <w:t>inventaire</w:t>
      </w:r>
      <w:r>
        <w:rPr>
          <w:rFonts w:eastAsiaTheme="minorEastAsia"/>
        </w:rPr>
        <w:t>, et maintenant, un autre État allait à l</w:t>
      </w:r>
      <w:r w:rsidR="00346F1B">
        <w:rPr>
          <w:rFonts w:eastAsiaTheme="minorEastAsia"/>
        </w:rPr>
        <w:t>’</w:t>
      </w:r>
      <w:r>
        <w:rPr>
          <w:rFonts w:eastAsiaTheme="minorEastAsia"/>
        </w:rPr>
        <w:t xml:space="preserve">encontre de cette </w:t>
      </w:r>
      <w:r w:rsidRPr="00E120A2">
        <w:rPr>
          <w:rFonts w:eastAsiaTheme="minorEastAsia"/>
        </w:rPr>
        <w:t>recommandation</w:t>
      </w:r>
      <w:r>
        <w:rPr>
          <w:rFonts w:eastAsiaTheme="minorEastAsia"/>
        </w:rPr>
        <w:t xml:space="preserve">. La </w:t>
      </w:r>
      <w:r w:rsidRPr="00E120A2">
        <w:rPr>
          <w:rFonts w:eastAsiaTheme="minorEastAsia"/>
        </w:rPr>
        <w:t>délégation</w:t>
      </w:r>
      <w:r>
        <w:rPr>
          <w:rFonts w:eastAsiaTheme="minorEastAsia"/>
        </w:rPr>
        <w:t xml:space="preserve"> souhai</w:t>
      </w:r>
      <w:r w:rsidR="00443FC6">
        <w:rPr>
          <w:rFonts w:eastAsiaTheme="minorEastAsia"/>
        </w:rPr>
        <w:t>tait quelques éclaircissements.</w:t>
      </w:r>
    </w:p>
    <w:p w14:paraId="1C62A7F7" w14:textId="20EC79D6" w:rsidR="00E120A2" w:rsidRDefault="00E120A2" w:rsidP="00F24F73">
      <w:pPr>
        <w:pStyle w:val="Orateurengris"/>
        <w:spacing w:before="120"/>
        <w:ind w:left="709" w:hanging="709"/>
        <w:rPr>
          <w:rFonts w:eastAsiaTheme="minorEastAsia"/>
        </w:rPr>
      </w:pPr>
      <w:r>
        <w:rPr>
          <w:rFonts w:eastAsiaTheme="minorEastAsia"/>
        </w:rPr>
        <w:t xml:space="preserve">La </w:t>
      </w:r>
      <w:r w:rsidRPr="00E120A2">
        <w:rPr>
          <w:rFonts w:eastAsiaTheme="minorEastAsia"/>
        </w:rPr>
        <w:t>délégation</w:t>
      </w:r>
      <w:r>
        <w:rPr>
          <w:rFonts w:eastAsiaTheme="minorEastAsia"/>
        </w:rPr>
        <w:t xml:space="preserve"> de </w:t>
      </w:r>
      <w:r w:rsidRPr="00E120A2">
        <w:rPr>
          <w:rFonts w:eastAsiaTheme="minorEastAsia"/>
          <w:b/>
        </w:rPr>
        <w:t>Chypre</w:t>
      </w:r>
      <w:r>
        <w:rPr>
          <w:rFonts w:eastAsiaTheme="minorEastAsia"/>
        </w:rPr>
        <w:t xml:space="preserve"> était tout à fait d</w:t>
      </w:r>
      <w:r w:rsidR="00346F1B">
        <w:rPr>
          <w:rFonts w:eastAsiaTheme="minorEastAsia"/>
        </w:rPr>
        <w:t>’</w:t>
      </w:r>
      <w:r>
        <w:rPr>
          <w:rFonts w:eastAsiaTheme="minorEastAsia"/>
        </w:rPr>
        <w:t>accord avec Sainte-Lucie, ajoutant que l</w:t>
      </w:r>
      <w:r w:rsidR="00346F1B">
        <w:rPr>
          <w:rFonts w:eastAsiaTheme="minorEastAsia"/>
        </w:rPr>
        <w:t>’</w:t>
      </w:r>
      <w:r w:rsidRPr="00E120A2">
        <w:rPr>
          <w:rFonts w:eastAsiaTheme="minorEastAsia"/>
        </w:rPr>
        <w:t>amendement</w:t>
      </w:r>
      <w:r>
        <w:rPr>
          <w:rFonts w:eastAsiaTheme="minorEastAsia"/>
        </w:rPr>
        <w:t xml:space="preserve"> allait à l</w:t>
      </w:r>
      <w:r w:rsidR="00346F1B">
        <w:rPr>
          <w:rFonts w:eastAsiaTheme="minorEastAsia"/>
        </w:rPr>
        <w:t>’</w:t>
      </w:r>
      <w:r>
        <w:rPr>
          <w:rFonts w:eastAsiaTheme="minorEastAsia"/>
        </w:rPr>
        <w:t xml:space="preserve">encontre de la </w:t>
      </w:r>
      <w:r w:rsidRPr="00E120A2">
        <w:rPr>
          <w:rFonts w:eastAsiaTheme="minorEastAsia"/>
        </w:rPr>
        <w:t>décision</w:t>
      </w:r>
      <w:r>
        <w:rPr>
          <w:rFonts w:eastAsiaTheme="minorEastAsia"/>
        </w:rPr>
        <w:t xml:space="preserve"> de l</w:t>
      </w:r>
      <w:r w:rsidR="00346F1B">
        <w:rPr>
          <w:rFonts w:eastAsiaTheme="minorEastAsia"/>
        </w:rPr>
        <w:t>’</w:t>
      </w:r>
      <w:r>
        <w:rPr>
          <w:rFonts w:eastAsiaTheme="minorEastAsia"/>
        </w:rPr>
        <w:t xml:space="preserve">État soumissionnaire et de la </w:t>
      </w:r>
      <w:r w:rsidRPr="00E120A2">
        <w:rPr>
          <w:rFonts w:eastAsiaTheme="minorEastAsia"/>
        </w:rPr>
        <w:t>recommandation</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sidR="00443FC6">
        <w:rPr>
          <w:rFonts w:eastAsiaTheme="minorEastAsia"/>
        </w:rPr>
        <w:t>évaluation.</w:t>
      </w:r>
    </w:p>
    <w:p w14:paraId="032A2CDF" w14:textId="5A4E11B3" w:rsidR="00E120A2" w:rsidRDefault="00E120A2" w:rsidP="00F24F73">
      <w:pPr>
        <w:pStyle w:val="Orateurengris"/>
        <w:spacing w:before="120"/>
        <w:ind w:left="709" w:hanging="709"/>
        <w:rPr>
          <w:rFonts w:eastAsiaTheme="minorEastAsia"/>
        </w:rPr>
      </w:pPr>
      <w:r>
        <w:rPr>
          <w:rFonts w:eastAsiaTheme="minorEastAsia"/>
        </w:rPr>
        <w:t xml:space="preserve">La </w:t>
      </w:r>
      <w:r w:rsidRPr="00E120A2">
        <w:rPr>
          <w:rFonts w:eastAsiaTheme="minorEastAsia"/>
        </w:rPr>
        <w:t>délégation</w:t>
      </w:r>
      <w:r>
        <w:rPr>
          <w:rFonts w:eastAsiaTheme="minorEastAsia"/>
        </w:rPr>
        <w:t xml:space="preserve"> de l</w:t>
      </w:r>
      <w:r w:rsidR="00346F1B">
        <w:rPr>
          <w:rFonts w:eastAsiaTheme="minorEastAsia"/>
        </w:rPr>
        <w:t>’</w:t>
      </w:r>
      <w:r w:rsidRPr="00E120A2">
        <w:rPr>
          <w:rFonts w:eastAsiaTheme="minorEastAsia"/>
          <w:b/>
        </w:rPr>
        <w:t>Autriche</w:t>
      </w:r>
      <w:r>
        <w:rPr>
          <w:rFonts w:eastAsiaTheme="minorEastAsia"/>
        </w:rPr>
        <w:t xml:space="preserve"> souscrivait aux remarques de Sainte-Lucie et de Chypre, ajoutant qu</w:t>
      </w:r>
      <w:r w:rsidR="00346F1B">
        <w:rPr>
          <w:rFonts w:eastAsiaTheme="minorEastAsia"/>
        </w:rPr>
        <w:t>’</w:t>
      </w:r>
      <w:r>
        <w:rPr>
          <w:rFonts w:eastAsiaTheme="minorEastAsia"/>
        </w:rPr>
        <w:t xml:space="preserve">elle était, elle aussi, </w:t>
      </w:r>
      <w:r w:rsidR="00443FC6">
        <w:rPr>
          <w:rFonts w:eastAsiaTheme="minorEastAsia"/>
        </w:rPr>
        <w:t>désorientée par la situation.</w:t>
      </w:r>
    </w:p>
    <w:p w14:paraId="7EDAE49F" w14:textId="143A33DC" w:rsidR="00685916" w:rsidRPr="00685916" w:rsidRDefault="00685916" w:rsidP="00F24F73">
      <w:pPr>
        <w:pStyle w:val="Orateurengris"/>
        <w:spacing w:before="120"/>
        <w:ind w:left="709" w:hanging="709"/>
        <w:rPr>
          <w:rFonts w:eastAsiaTheme="minorEastAsia"/>
        </w:rPr>
      </w:pPr>
      <w:r w:rsidRPr="00685916">
        <w:rPr>
          <w:rFonts w:eastAsiaTheme="minorEastAsia"/>
        </w:rPr>
        <w:t xml:space="preserve">La délégation de la </w:t>
      </w:r>
      <w:r w:rsidRPr="00685916">
        <w:rPr>
          <w:rFonts w:eastAsiaTheme="minorEastAsia"/>
          <w:b/>
        </w:rPr>
        <w:t>Côte d</w:t>
      </w:r>
      <w:r w:rsidR="00346F1B">
        <w:rPr>
          <w:rFonts w:eastAsiaTheme="minorEastAsia"/>
          <w:b/>
        </w:rPr>
        <w:t>’</w:t>
      </w:r>
      <w:r w:rsidRPr="00685916">
        <w:rPr>
          <w:rFonts w:eastAsiaTheme="minorEastAsia"/>
          <w:b/>
        </w:rPr>
        <w:t>Ivoire</w:t>
      </w:r>
      <w:r>
        <w:rPr>
          <w:rFonts w:eastAsiaTheme="minorEastAsia"/>
        </w:rPr>
        <w:t xml:space="preserve"> était très étonnée de ce qui était en train se passer : un État soumissionnaire avait décidé d</w:t>
      </w:r>
      <w:r w:rsidR="00346F1B">
        <w:rPr>
          <w:rFonts w:eastAsiaTheme="minorEastAsia"/>
        </w:rPr>
        <w:t>’</w:t>
      </w:r>
      <w:r>
        <w:rPr>
          <w:rFonts w:eastAsiaTheme="minorEastAsia"/>
        </w:rPr>
        <w:t>accepter le projet de décision de l</w:t>
      </w:r>
      <w:r w:rsidR="00346F1B">
        <w:rPr>
          <w:rFonts w:eastAsiaTheme="minorEastAsia"/>
        </w:rPr>
        <w:t>’</w:t>
      </w:r>
      <w:r>
        <w:rPr>
          <w:rFonts w:eastAsiaTheme="minorEastAsia"/>
        </w:rPr>
        <w:t>Organe d</w:t>
      </w:r>
      <w:r w:rsidR="00346F1B">
        <w:rPr>
          <w:rFonts w:eastAsiaTheme="minorEastAsia"/>
        </w:rPr>
        <w:t>’</w:t>
      </w:r>
      <w:r>
        <w:rPr>
          <w:rFonts w:eastAsiaTheme="minorEastAsia"/>
        </w:rPr>
        <w:t>évaluation tandis qu</w:t>
      </w:r>
      <w:r w:rsidR="00346F1B">
        <w:rPr>
          <w:rFonts w:eastAsiaTheme="minorEastAsia"/>
        </w:rPr>
        <w:t>’</w:t>
      </w:r>
      <w:r>
        <w:rPr>
          <w:rFonts w:eastAsiaTheme="minorEastAsia"/>
        </w:rPr>
        <w:t>un autre pays souhaitait l</w:t>
      </w:r>
      <w:r w:rsidR="00346F1B">
        <w:rPr>
          <w:rFonts w:eastAsiaTheme="minorEastAsia"/>
        </w:rPr>
        <w:t>’</w:t>
      </w:r>
      <w:r w:rsidRPr="00685916">
        <w:rPr>
          <w:rFonts w:eastAsiaTheme="minorEastAsia"/>
        </w:rPr>
        <w:t>inscription</w:t>
      </w:r>
      <w:r w:rsidR="00443FC6">
        <w:rPr>
          <w:rFonts w:eastAsiaTheme="minorEastAsia"/>
        </w:rPr>
        <w:t>.</w:t>
      </w:r>
    </w:p>
    <w:p w14:paraId="7A51187A" w14:textId="28E14D36" w:rsidR="00685916" w:rsidRDefault="00685916" w:rsidP="00F24F73">
      <w:pPr>
        <w:pStyle w:val="Orateurengris"/>
        <w:spacing w:before="120"/>
        <w:ind w:left="709" w:hanging="709"/>
        <w:rPr>
          <w:rFonts w:eastAsiaTheme="minorEastAsia"/>
        </w:rPr>
      </w:pPr>
      <w:r>
        <w:rPr>
          <w:rFonts w:eastAsiaTheme="minorEastAsia"/>
        </w:rPr>
        <w:t xml:space="preserve">La </w:t>
      </w:r>
      <w:r w:rsidRPr="00685916">
        <w:rPr>
          <w:rFonts w:eastAsiaTheme="minorEastAsia"/>
        </w:rPr>
        <w:t>délégation</w:t>
      </w:r>
      <w:r>
        <w:rPr>
          <w:rFonts w:eastAsiaTheme="minorEastAsia"/>
        </w:rPr>
        <w:t xml:space="preserve"> des </w:t>
      </w:r>
      <w:r w:rsidRPr="00685916">
        <w:rPr>
          <w:rFonts w:eastAsiaTheme="minorEastAsia"/>
          <w:b/>
        </w:rPr>
        <w:t>Philippines</w:t>
      </w:r>
      <w:r>
        <w:rPr>
          <w:rFonts w:eastAsiaTheme="minorEastAsia"/>
        </w:rPr>
        <w:t xml:space="preserve"> s</w:t>
      </w:r>
      <w:r w:rsidR="00346F1B">
        <w:rPr>
          <w:rFonts w:eastAsiaTheme="minorEastAsia"/>
        </w:rPr>
        <w:t>’</w:t>
      </w:r>
      <w:r>
        <w:rPr>
          <w:rFonts w:eastAsiaTheme="minorEastAsia"/>
        </w:rPr>
        <w:t>est dite quelque peu déconcertée par la situation et a affirmé partager les opinions exprimées par la Côte d</w:t>
      </w:r>
      <w:r w:rsidR="00346F1B">
        <w:rPr>
          <w:rFonts w:eastAsiaTheme="minorEastAsia"/>
        </w:rPr>
        <w:t>’</w:t>
      </w:r>
      <w:r>
        <w:rPr>
          <w:rFonts w:eastAsiaTheme="minorEastAsia"/>
        </w:rPr>
        <w:t>Ivoire, Sainte-Lucie, Chypre et l</w:t>
      </w:r>
      <w:r w:rsidR="00346F1B">
        <w:rPr>
          <w:rFonts w:eastAsiaTheme="minorEastAsia"/>
        </w:rPr>
        <w:t>’</w:t>
      </w:r>
      <w:r w:rsidR="00443FC6">
        <w:rPr>
          <w:rFonts w:eastAsiaTheme="minorEastAsia"/>
        </w:rPr>
        <w:t>Autriche.</w:t>
      </w:r>
    </w:p>
    <w:p w14:paraId="58EA02BC" w14:textId="4205E78C" w:rsidR="005965D5" w:rsidRDefault="005965D5" w:rsidP="00F24F73">
      <w:pPr>
        <w:pStyle w:val="Orateurengris"/>
        <w:spacing w:before="120"/>
        <w:ind w:left="709" w:hanging="709"/>
        <w:rPr>
          <w:rFonts w:eastAsiaTheme="minorEastAsia"/>
        </w:rPr>
      </w:pPr>
      <w:r>
        <w:rPr>
          <w:rFonts w:eastAsiaTheme="minorEastAsia"/>
        </w:rPr>
        <w:t xml:space="preserve">La </w:t>
      </w:r>
      <w:r w:rsidRPr="005965D5">
        <w:rPr>
          <w:rFonts w:eastAsiaTheme="minorEastAsia"/>
        </w:rPr>
        <w:t>délégation</w:t>
      </w:r>
      <w:r>
        <w:rPr>
          <w:rFonts w:eastAsiaTheme="minorEastAsia"/>
        </w:rPr>
        <w:t xml:space="preserve"> de </w:t>
      </w:r>
      <w:r w:rsidRPr="005965D5">
        <w:rPr>
          <w:rFonts w:eastAsiaTheme="minorEastAsia"/>
          <w:b/>
        </w:rPr>
        <w:t>Cuba</w:t>
      </w:r>
      <w:r>
        <w:rPr>
          <w:rFonts w:eastAsiaTheme="minorEastAsia"/>
        </w:rPr>
        <w:t xml:space="preserve"> a fait remarquer que le Comité était en train de créer un précédent et qu</w:t>
      </w:r>
      <w:r w:rsidR="00346F1B">
        <w:rPr>
          <w:rFonts w:eastAsiaTheme="minorEastAsia"/>
        </w:rPr>
        <w:t>’</w:t>
      </w:r>
      <w:r>
        <w:rPr>
          <w:rFonts w:eastAsiaTheme="minorEastAsia"/>
        </w:rPr>
        <w:t xml:space="preserve">elle ne </w:t>
      </w:r>
      <w:r w:rsidR="00020B13">
        <w:rPr>
          <w:rFonts w:eastAsiaTheme="minorEastAsia"/>
        </w:rPr>
        <w:t xml:space="preserve">saurait accepter que des </w:t>
      </w:r>
      <w:r>
        <w:rPr>
          <w:rFonts w:eastAsiaTheme="minorEastAsia"/>
        </w:rPr>
        <w:t>États décident d</w:t>
      </w:r>
      <w:r w:rsidR="00346F1B">
        <w:rPr>
          <w:rFonts w:eastAsiaTheme="minorEastAsia"/>
        </w:rPr>
        <w:t>’</w:t>
      </w:r>
      <w:r>
        <w:rPr>
          <w:rFonts w:eastAsiaTheme="minorEastAsia"/>
        </w:rPr>
        <w:t>inscrire</w:t>
      </w:r>
      <w:r w:rsidR="00020B13">
        <w:rPr>
          <w:rFonts w:eastAsiaTheme="minorEastAsia"/>
        </w:rPr>
        <w:t xml:space="preserve"> des éléments au</w:t>
      </w:r>
      <w:r>
        <w:rPr>
          <w:rFonts w:eastAsiaTheme="minorEastAsia"/>
        </w:rPr>
        <w:t xml:space="preserve"> nom des États soumissionnaires. La </w:t>
      </w:r>
      <w:r w:rsidRPr="005965D5">
        <w:rPr>
          <w:rFonts w:eastAsiaTheme="minorEastAsia"/>
        </w:rPr>
        <w:t>délégation</w:t>
      </w:r>
      <w:r>
        <w:rPr>
          <w:rFonts w:eastAsiaTheme="minorEastAsia"/>
        </w:rPr>
        <w:t xml:space="preserve"> a rappelé que la Roumanie n</w:t>
      </w:r>
      <w:r w:rsidR="00346F1B">
        <w:rPr>
          <w:rFonts w:eastAsiaTheme="minorEastAsia"/>
        </w:rPr>
        <w:t>’</w:t>
      </w:r>
      <w:r>
        <w:rPr>
          <w:rFonts w:eastAsiaTheme="minorEastAsia"/>
        </w:rPr>
        <w:t xml:space="preserve">avait pas retiré sa </w:t>
      </w:r>
      <w:r w:rsidRPr="005965D5">
        <w:rPr>
          <w:rFonts w:eastAsiaTheme="minorEastAsia"/>
        </w:rPr>
        <w:t>candidature</w:t>
      </w:r>
      <w:r>
        <w:rPr>
          <w:rFonts w:eastAsiaTheme="minorEastAsia"/>
        </w:rPr>
        <w:t xml:space="preserve"> et que le Comité n</w:t>
      </w:r>
      <w:r w:rsidR="00346F1B">
        <w:rPr>
          <w:rFonts w:eastAsiaTheme="minorEastAsia"/>
        </w:rPr>
        <w:t>’</w:t>
      </w:r>
      <w:r>
        <w:rPr>
          <w:rFonts w:eastAsiaTheme="minorEastAsia"/>
        </w:rPr>
        <w:t>était pas là pour s</w:t>
      </w:r>
      <w:r w:rsidR="00346F1B">
        <w:rPr>
          <w:rFonts w:eastAsiaTheme="minorEastAsia"/>
        </w:rPr>
        <w:t>’</w:t>
      </w:r>
      <w:r>
        <w:rPr>
          <w:rFonts w:eastAsiaTheme="minorEastAsia"/>
        </w:rPr>
        <w:t xml:space="preserve">interroger sur les raisons qui sous-tendaient les décisions des États soumissionnaires. À ce </w:t>
      </w:r>
      <w:r w:rsidR="00020B13">
        <w:rPr>
          <w:rFonts w:eastAsiaTheme="minorEastAsia"/>
        </w:rPr>
        <w:t xml:space="preserve">moment précis </w:t>
      </w:r>
      <w:r>
        <w:rPr>
          <w:rFonts w:eastAsiaTheme="minorEastAsia"/>
        </w:rPr>
        <w:t>de la session, un État soumissionnaire n</w:t>
      </w:r>
      <w:r w:rsidR="00346F1B">
        <w:rPr>
          <w:rFonts w:eastAsiaTheme="minorEastAsia"/>
        </w:rPr>
        <w:t>’</w:t>
      </w:r>
      <w:r>
        <w:rPr>
          <w:rFonts w:eastAsiaTheme="minorEastAsia"/>
        </w:rPr>
        <w:t xml:space="preserve">avait pas retiré sa </w:t>
      </w:r>
      <w:r w:rsidRPr="005965D5">
        <w:rPr>
          <w:rFonts w:eastAsiaTheme="minorEastAsia"/>
        </w:rPr>
        <w:t>candidature</w:t>
      </w:r>
      <w:r>
        <w:rPr>
          <w:rFonts w:eastAsiaTheme="minorEastAsia"/>
        </w:rPr>
        <w:t xml:space="preserve"> mais avait décidé </w:t>
      </w:r>
      <w:r w:rsidR="00020B13">
        <w:rPr>
          <w:rFonts w:eastAsiaTheme="minorEastAsia"/>
        </w:rPr>
        <w:t>d</w:t>
      </w:r>
      <w:r w:rsidR="00346F1B">
        <w:rPr>
          <w:rFonts w:eastAsiaTheme="minorEastAsia"/>
        </w:rPr>
        <w:t>’</w:t>
      </w:r>
      <w:r w:rsidR="00020B13">
        <w:rPr>
          <w:rFonts w:eastAsiaTheme="minorEastAsia"/>
        </w:rPr>
        <w:t>accepter les recommandations de l</w:t>
      </w:r>
      <w:r w:rsidR="00346F1B">
        <w:rPr>
          <w:rFonts w:eastAsiaTheme="minorEastAsia"/>
        </w:rPr>
        <w:t>’</w:t>
      </w:r>
      <w:r w:rsidR="00020B13">
        <w:rPr>
          <w:rFonts w:eastAsiaTheme="minorEastAsia"/>
        </w:rPr>
        <w:t>Organe d</w:t>
      </w:r>
      <w:r w:rsidR="00346F1B">
        <w:rPr>
          <w:rFonts w:eastAsiaTheme="minorEastAsia"/>
        </w:rPr>
        <w:t>’</w:t>
      </w:r>
      <w:r w:rsidR="00020B13">
        <w:rPr>
          <w:rFonts w:eastAsiaTheme="minorEastAsia"/>
        </w:rPr>
        <w:t xml:space="preserve">évaluation. Le Comité ne pouvait donc pas adopter cet </w:t>
      </w:r>
      <w:r w:rsidR="00020B13" w:rsidRPr="00020B13">
        <w:rPr>
          <w:rFonts w:eastAsiaTheme="minorEastAsia"/>
        </w:rPr>
        <w:t>amendement</w:t>
      </w:r>
      <w:r w:rsidR="00020B13">
        <w:rPr>
          <w:rFonts w:eastAsiaTheme="minorEastAsia"/>
        </w:rPr>
        <w:t xml:space="preserve"> qui allait à l</w:t>
      </w:r>
      <w:r w:rsidR="00346F1B">
        <w:rPr>
          <w:rFonts w:eastAsiaTheme="minorEastAsia"/>
        </w:rPr>
        <w:t>’</w:t>
      </w:r>
      <w:r w:rsidR="00020B13">
        <w:rPr>
          <w:rFonts w:eastAsiaTheme="minorEastAsia"/>
        </w:rPr>
        <w:t>encontre de la décision de l</w:t>
      </w:r>
      <w:r w:rsidR="00346F1B">
        <w:rPr>
          <w:rFonts w:eastAsiaTheme="minorEastAsia"/>
        </w:rPr>
        <w:t>’</w:t>
      </w:r>
      <w:r w:rsidR="00020B13">
        <w:rPr>
          <w:rFonts w:eastAsiaTheme="minorEastAsia"/>
        </w:rPr>
        <w:t xml:space="preserve">État soumissionnaire, et même si des raisons pouvaient justifier cet </w:t>
      </w:r>
      <w:r w:rsidR="00020B13" w:rsidRPr="00020B13">
        <w:rPr>
          <w:rFonts w:eastAsiaTheme="minorEastAsia"/>
        </w:rPr>
        <w:t>amendement</w:t>
      </w:r>
      <w:r w:rsidR="00020B13">
        <w:rPr>
          <w:rFonts w:eastAsiaTheme="minorEastAsia"/>
        </w:rPr>
        <w:t>, le Comité ne devrait pas les entendre à ce stade du débat. On pourrait en débattre ultérieurement lorsque ces problèmes se poseraient à nouveau.</w:t>
      </w:r>
    </w:p>
    <w:p w14:paraId="283CF9E7" w14:textId="678FF645" w:rsidR="00020B13" w:rsidRPr="00D6192B" w:rsidRDefault="00020B13" w:rsidP="00F24F73">
      <w:pPr>
        <w:pStyle w:val="Orateurengris"/>
        <w:spacing w:before="120"/>
        <w:ind w:left="709" w:hanging="709"/>
        <w:rPr>
          <w:rFonts w:eastAsiaTheme="minorEastAsia"/>
        </w:rPr>
      </w:pPr>
      <w:r>
        <w:rPr>
          <w:rFonts w:eastAsiaTheme="minorEastAsia"/>
        </w:rPr>
        <w:t xml:space="preserve">Partageant le point de vue de Cuba, la </w:t>
      </w:r>
      <w:r w:rsidRPr="00020B13">
        <w:rPr>
          <w:rFonts w:eastAsiaTheme="minorEastAsia"/>
        </w:rPr>
        <w:t>délégation</w:t>
      </w:r>
      <w:r>
        <w:rPr>
          <w:rFonts w:eastAsiaTheme="minorEastAsia"/>
        </w:rPr>
        <w:t xml:space="preserve"> du </w:t>
      </w:r>
      <w:r w:rsidRPr="00020B13">
        <w:rPr>
          <w:rFonts w:eastAsiaTheme="minorEastAsia"/>
          <w:b/>
        </w:rPr>
        <w:t>Sénégal</w:t>
      </w:r>
      <w:r>
        <w:rPr>
          <w:rFonts w:eastAsiaTheme="minorEastAsia"/>
        </w:rPr>
        <w:t xml:space="preserve"> a réaffirmé que les procédures deva</w:t>
      </w:r>
      <w:r w:rsidR="0040131A">
        <w:rPr>
          <w:rFonts w:eastAsiaTheme="minorEastAsia"/>
        </w:rPr>
        <w:t>ient être respectées. Elle se demandait</w:t>
      </w:r>
      <w:r>
        <w:rPr>
          <w:rFonts w:eastAsiaTheme="minorEastAsia"/>
        </w:rPr>
        <w:t xml:space="preserve"> si la Hongrie avait bien la possibilité ou le droit de proposer un </w:t>
      </w:r>
      <w:r w:rsidRPr="00020B13">
        <w:rPr>
          <w:rFonts w:eastAsiaTheme="minorEastAsia"/>
        </w:rPr>
        <w:t>amendement</w:t>
      </w:r>
      <w:r w:rsidR="0040131A">
        <w:rPr>
          <w:rFonts w:eastAsiaTheme="minorEastAsia"/>
        </w:rPr>
        <w:t xml:space="preserve"> et elle </w:t>
      </w:r>
      <w:r w:rsidR="00B600B4">
        <w:rPr>
          <w:rFonts w:eastAsiaTheme="minorEastAsia"/>
        </w:rPr>
        <w:t>souhaitait</w:t>
      </w:r>
      <w:r>
        <w:rPr>
          <w:rFonts w:eastAsiaTheme="minorEastAsia"/>
        </w:rPr>
        <w:t xml:space="preserve"> des éclaircissements de la part du </w:t>
      </w:r>
      <w:r w:rsidRPr="00020B13">
        <w:rPr>
          <w:rFonts w:eastAsiaTheme="minorEastAsia"/>
        </w:rPr>
        <w:t>Secrétaire</w:t>
      </w:r>
      <w:r>
        <w:rPr>
          <w:rFonts w:eastAsiaTheme="minorEastAsia"/>
        </w:rPr>
        <w:t>. En tout état de cause, si la Hongrie avait l</w:t>
      </w:r>
      <w:r w:rsidR="00346F1B">
        <w:rPr>
          <w:rFonts w:eastAsiaTheme="minorEastAsia"/>
        </w:rPr>
        <w:t>’</w:t>
      </w:r>
      <w:r w:rsidRPr="00020B13">
        <w:rPr>
          <w:rFonts w:eastAsiaTheme="minorEastAsia"/>
        </w:rPr>
        <w:t>opportunité</w:t>
      </w:r>
      <w:r>
        <w:rPr>
          <w:rFonts w:eastAsiaTheme="minorEastAsia"/>
        </w:rPr>
        <w:t xml:space="preserve"> de proposer un </w:t>
      </w:r>
      <w:r w:rsidRPr="00020B13">
        <w:rPr>
          <w:rFonts w:eastAsiaTheme="minorEastAsia"/>
        </w:rPr>
        <w:t>amendement</w:t>
      </w:r>
      <w:r>
        <w:rPr>
          <w:rFonts w:eastAsiaTheme="minorEastAsia"/>
        </w:rPr>
        <w:t>, le Comité</w:t>
      </w:r>
      <w:r w:rsidR="00A31001">
        <w:rPr>
          <w:rFonts w:eastAsiaTheme="minorEastAsia"/>
        </w:rPr>
        <w:t>, de son cô</w:t>
      </w:r>
      <w:r w:rsidR="00D6192B">
        <w:rPr>
          <w:rFonts w:eastAsiaTheme="minorEastAsia"/>
        </w:rPr>
        <w:t xml:space="preserve">té, était </w:t>
      </w:r>
      <w:r>
        <w:rPr>
          <w:rFonts w:eastAsiaTheme="minorEastAsia"/>
        </w:rPr>
        <w:t xml:space="preserve">en droit de </w:t>
      </w:r>
      <w:r w:rsidR="00D6192B">
        <w:rPr>
          <w:rFonts w:eastAsiaTheme="minorEastAsia"/>
        </w:rPr>
        <w:t>ne pas être d</w:t>
      </w:r>
      <w:r w:rsidR="00346F1B">
        <w:rPr>
          <w:rFonts w:eastAsiaTheme="minorEastAsia"/>
        </w:rPr>
        <w:t>’</w:t>
      </w:r>
      <w:r w:rsidR="00D6192B">
        <w:rPr>
          <w:rFonts w:eastAsiaTheme="minorEastAsia"/>
        </w:rPr>
        <w:t xml:space="preserve">accord avec cet </w:t>
      </w:r>
      <w:r w:rsidR="00D6192B" w:rsidRPr="00D6192B">
        <w:rPr>
          <w:rFonts w:eastAsiaTheme="minorEastAsia"/>
        </w:rPr>
        <w:t>amendement</w:t>
      </w:r>
      <w:r w:rsidR="00D6192B">
        <w:rPr>
          <w:rFonts w:eastAsiaTheme="minorEastAsia"/>
        </w:rPr>
        <w:t xml:space="preserve"> et de le rejeter. La </w:t>
      </w:r>
      <w:r w:rsidR="00D6192B" w:rsidRPr="00D6192B">
        <w:rPr>
          <w:rFonts w:eastAsiaTheme="minorEastAsia"/>
        </w:rPr>
        <w:t>délégation</w:t>
      </w:r>
      <w:r w:rsidR="00D6192B">
        <w:rPr>
          <w:rFonts w:eastAsiaTheme="minorEastAsia"/>
        </w:rPr>
        <w:t xml:space="preserve"> a ajouté que lorsque la Roumanie avait accepté </w:t>
      </w:r>
      <w:r w:rsidR="003D6D27">
        <w:rPr>
          <w:rFonts w:eastAsiaTheme="minorEastAsia"/>
        </w:rPr>
        <w:t xml:space="preserve">de suivre </w:t>
      </w:r>
      <w:r w:rsidR="00D6192B">
        <w:rPr>
          <w:rFonts w:eastAsiaTheme="minorEastAsia"/>
        </w:rPr>
        <w:t xml:space="preserve">la </w:t>
      </w:r>
      <w:r w:rsidR="00D6192B" w:rsidRPr="00D6192B">
        <w:rPr>
          <w:rFonts w:eastAsiaTheme="minorEastAsia"/>
        </w:rPr>
        <w:t>recommandation</w:t>
      </w:r>
      <w:r w:rsidR="003D6D27">
        <w:rPr>
          <w:rFonts w:eastAsiaTheme="minorEastAsia"/>
        </w:rPr>
        <w:t xml:space="preserve"> et de </w:t>
      </w:r>
      <w:r w:rsidR="00D6192B" w:rsidRPr="00D6192B">
        <w:rPr>
          <w:rFonts w:eastAsiaTheme="minorEastAsia"/>
        </w:rPr>
        <w:t>retirer sa candidature à cause d</w:t>
      </w:r>
      <w:r w:rsidR="00346F1B">
        <w:rPr>
          <w:rFonts w:eastAsiaTheme="minorEastAsia"/>
        </w:rPr>
        <w:t>’</w:t>
      </w:r>
      <w:r w:rsidR="00D6192B" w:rsidRPr="00D6192B">
        <w:rPr>
          <w:rFonts w:eastAsiaTheme="minorEastAsia"/>
        </w:rPr>
        <w:t>un critère, on aurait dû l</w:t>
      </w:r>
      <w:r w:rsidR="00346F1B">
        <w:rPr>
          <w:rFonts w:eastAsiaTheme="minorEastAsia"/>
        </w:rPr>
        <w:t>’</w:t>
      </w:r>
      <w:r w:rsidR="00443FC6">
        <w:rPr>
          <w:rFonts w:eastAsiaTheme="minorEastAsia"/>
        </w:rPr>
        <w:t>ovationner.</w:t>
      </w:r>
    </w:p>
    <w:p w14:paraId="037ADC91" w14:textId="645FB24B" w:rsidR="00D6192B" w:rsidRDefault="003D6D27" w:rsidP="00F24F73">
      <w:pPr>
        <w:pStyle w:val="Orateurengris"/>
        <w:spacing w:before="120"/>
        <w:ind w:left="709" w:hanging="709"/>
        <w:rPr>
          <w:rFonts w:eastAsiaTheme="minorEastAsia"/>
        </w:rPr>
      </w:pPr>
      <w:r>
        <w:rPr>
          <w:rFonts w:eastAsiaTheme="minorEastAsia"/>
        </w:rPr>
        <w:t xml:space="preserve">La </w:t>
      </w:r>
      <w:r w:rsidRPr="003D6D27">
        <w:rPr>
          <w:rFonts w:eastAsiaTheme="minorEastAsia"/>
        </w:rPr>
        <w:t>délégation</w:t>
      </w:r>
      <w:r>
        <w:rPr>
          <w:rFonts w:eastAsiaTheme="minorEastAsia"/>
        </w:rPr>
        <w:t xml:space="preserve"> de la </w:t>
      </w:r>
      <w:r w:rsidRPr="003D6D27">
        <w:rPr>
          <w:rFonts w:eastAsiaTheme="minorEastAsia"/>
          <w:b/>
        </w:rPr>
        <w:t>République de Corée</w:t>
      </w:r>
      <w:r>
        <w:rPr>
          <w:rFonts w:eastAsiaTheme="minorEastAsia"/>
        </w:rPr>
        <w:t xml:space="preserve"> a exprimé son </w:t>
      </w:r>
      <w:r w:rsidR="00EF5E22">
        <w:rPr>
          <w:rFonts w:eastAsiaTheme="minorEastAsia"/>
        </w:rPr>
        <w:t>accord avec</w:t>
      </w:r>
      <w:r>
        <w:rPr>
          <w:rFonts w:eastAsiaTheme="minorEastAsia"/>
        </w:rPr>
        <w:t xml:space="preserve"> tous les commentaires qui venaient d</w:t>
      </w:r>
      <w:r w:rsidR="00346F1B">
        <w:rPr>
          <w:rFonts w:eastAsiaTheme="minorEastAsia"/>
        </w:rPr>
        <w:t>’</w:t>
      </w:r>
      <w:r w:rsidR="00443FC6">
        <w:rPr>
          <w:rFonts w:eastAsiaTheme="minorEastAsia"/>
        </w:rPr>
        <w:t>être formulés.</w:t>
      </w:r>
    </w:p>
    <w:p w14:paraId="4C996A05" w14:textId="4ACCCEE5" w:rsidR="003D6D27" w:rsidRDefault="003A6355" w:rsidP="00F24F73">
      <w:pPr>
        <w:pStyle w:val="Orateurengris"/>
        <w:spacing w:before="120"/>
        <w:ind w:left="709" w:hanging="709"/>
        <w:rPr>
          <w:rFonts w:eastAsiaTheme="minorEastAsia"/>
        </w:rPr>
      </w:pPr>
      <w:r>
        <w:rPr>
          <w:rFonts w:eastAsiaTheme="minorEastAsia"/>
        </w:rPr>
        <w:t>Le</w:t>
      </w:r>
      <w:r w:rsidR="003D6D27">
        <w:rPr>
          <w:rFonts w:eastAsiaTheme="minorEastAsia"/>
        </w:rPr>
        <w:t xml:space="preserve"> </w:t>
      </w:r>
      <w:r w:rsidR="003D6D27" w:rsidRPr="003D6D27">
        <w:rPr>
          <w:rFonts w:eastAsiaTheme="minorEastAsia"/>
          <w:b/>
        </w:rPr>
        <w:t>Président</w:t>
      </w:r>
      <w:r w:rsidR="003D6D27">
        <w:rPr>
          <w:rFonts w:eastAsiaTheme="minorEastAsia"/>
        </w:rPr>
        <w:t xml:space="preserve"> a constaté qu</w:t>
      </w:r>
      <w:r w:rsidR="00346F1B">
        <w:rPr>
          <w:rFonts w:eastAsiaTheme="minorEastAsia"/>
        </w:rPr>
        <w:t>’</w:t>
      </w:r>
      <w:r w:rsidR="003D6D27">
        <w:rPr>
          <w:rFonts w:eastAsiaTheme="minorEastAsia"/>
        </w:rPr>
        <w:t>il n</w:t>
      </w:r>
      <w:r w:rsidR="00346F1B">
        <w:rPr>
          <w:rFonts w:eastAsiaTheme="minorEastAsia"/>
        </w:rPr>
        <w:t>’</w:t>
      </w:r>
      <w:r w:rsidR="003D6D27">
        <w:rPr>
          <w:rFonts w:eastAsiaTheme="minorEastAsia"/>
        </w:rPr>
        <w:t xml:space="preserve">y avait clairement </w:t>
      </w:r>
      <w:r w:rsidR="00EF5E22">
        <w:rPr>
          <w:rFonts w:eastAsiaTheme="minorEastAsia"/>
        </w:rPr>
        <w:t xml:space="preserve">pas de </w:t>
      </w:r>
      <w:r w:rsidR="003D6D27">
        <w:rPr>
          <w:rFonts w:eastAsiaTheme="minorEastAsia"/>
        </w:rPr>
        <w:t>soutien pour l</w:t>
      </w:r>
      <w:r w:rsidR="00346F1B">
        <w:rPr>
          <w:rFonts w:eastAsiaTheme="minorEastAsia"/>
        </w:rPr>
        <w:t>’</w:t>
      </w:r>
      <w:r w:rsidR="003D6D27" w:rsidRPr="003D6D27">
        <w:rPr>
          <w:rFonts w:eastAsiaTheme="minorEastAsia"/>
        </w:rPr>
        <w:t>amendement</w:t>
      </w:r>
      <w:r w:rsidR="003D6D27">
        <w:rPr>
          <w:rFonts w:eastAsiaTheme="minorEastAsia"/>
        </w:rPr>
        <w:t xml:space="preserve">, et a demandé à la Hongrie si elle accepterait de retirer son </w:t>
      </w:r>
      <w:r w:rsidR="003D6D27" w:rsidRPr="003D6D27">
        <w:rPr>
          <w:rFonts w:eastAsiaTheme="minorEastAsia"/>
        </w:rPr>
        <w:t>amendement</w:t>
      </w:r>
      <w:r w:rsidR="00443FC6">
        <w:rPr>
          <w:rFonts w:eastAsiaTheme="minorEastAsia"/>
        </w:rPr>
        <w:t>.</w:t>
      </w:r>
    </w:p>
    <w:p w14:paraId="57E493D9" w14:textId="1DAFB37C" w:rsidR="007D60AC" w:rsidRPr="007D60AC" w:rsidRDefault="003D6D27" w:rsidP="00F24F73">
      <w:pPr>
        <w:pStyle w:val="Orateurengris"/>
        <w:spacing w:before="120"/>
        <w:ind w:left="709" w:hanging="709"/>
        <w:rPr>
          <w:rFonts w:eastAsiaTheme="minorEastAsia"/>
        </w:rPr>
      </w:pPr>
      <w:r>
        <w:rPr>
          <w:rFonts w:eastAsiaTheme="minorEastAsia"/>
        </w:rPr>
        <w:t xml:space="preserve">La </w:t>
      </w:r>
      <w:r w:rsidRPr="003D6D27">
        <w:rPr>
          <w:rFonts w:eastAsiaTheme="minorEastAsia"/>
        </w:rPr>
        <w:t>délégation</w:t>
      </w:r>
      <w:r>
        <w:rPr>
          <w:rFonts w:eastAsiaTheme="minorEastAsia"/>
        </w:rPr>
        <w:t xml:space="preserve"> de la </w:t>
      </w:r>
      <w:r w:rsidRPr="00EF5E22">
        <w:rPr>
          <w:rFonts w:eastAsiaTheme="minorEastAsia"/>
          <w:b/>
        </w:rPr>
        <w:t>Hongrie</w:t>
      </w:r>
      <w:r w:rsidR="0040131A">
        <w:rPr>
          <w:rFonts w:eastAsiaTheme="minorEastAsia"/>
        </w:rPr>
        <w:t xml:space="preserve"> souhaitait</w:t>
      </w:r>
      <w:r>
        <w:rPr>
          <w:rFonts w:eastAsiaTheme="minorEastAsia"/>
        </w:rPr>
        <w:t xml:space="preserve"> répondre aux pr</w:t>
      </w:r>
      <w:r w:rsidR="00A46CAD">
        <w:rPr>
          <w:rFonts w:eastAsiaTheme="minorEastAsia"/>
        </w:rPr>
        <w:t>éoccupations exprimées par les membres</w:t>
      </w:r>
      <w:r>
        <w:rPr>
          <w:rFonts w:eastAsiaTheme="minorEastAsia"/>
        </w:rPr>
        <w:t xml:space="preserve"> du Comité</w:t>
      </w:r>
      <w:r w:rsidR="007D60AC">
        <w:rPr>
          <w:rFonts w:eastAsiaTheme="minorEastAsia"/>
        </w:rPr>
        <w:t>. E</w:t>
      </w:r>
      <w:r>
        <w:rPr>
          <w:rFonts w:eastAsiaTheme="minorEastAsia"/>
        </w:rPr>
        <w:t xml:space="preserve">lle </w:t>
      </w:r>
      <w:r w:rsidR="007D60AC">
        <w:rPr>
          <w:rFonts w:eastAsiaTheme="minorEastAsia"/>
        </w:rPr>
        <w:t xml:space="preserve">a rappelé que la Roumanie avait présenté une </w:t>
      </w:r>
      <w:r w:rsidR="007D60AC" w:rsidRPr="007D60AC">
        <w:rPr>
          <w:rFonts w:eastAsiaTheme="minorEastAsia"/>
        </w:rPr>
        <w:t>candidature</w:t>
      </w:r>
      <w:r w:rsidR="007D60AC">
        <w:rPr>
          <w:rFonts w:eastAsiaTheme="minorEastAsia"/>
        </w:rPr>
        <w:t xml:space="preserve"> qui avait été </w:t>
      </w:r>
      <w:r w:rsidR="008052AC">
        <w:rPr>
          <w:rFonts w:eastAsiaTheme="minorEastAsia"/>
        </w:rPr>
        <w:t>dûment</w:t>
      </w:r>
      <w:r w:rsidR="007D60AC">
        <w:rPr>
          <w:rFonts w:eastAsiaTheme="minorEastAsia"/>
        </w:rPr>
        <w:t xml:space="preserve"> évaluée par l</w:t>
      </w:r>
      <w:r w:rsidR="00346F1B">
        <w:rPr>
          <w:rFonts w:eastAsiaTheme="minorEastAsia"/>
        </w:rPr>
        <w:t>’</w:t>
      </w:r>
      <w:r w:rsidR="007D60AC">
        <w:rPr>
          <w:rFonts w:eastAsiaTheme="minorEastAsia"/>
        </w:rPr>
        <w:t>Organe d</w:t>
      </w:r>
      <w:r w:rsidR="00346F1B">
        <w:rPr>
          <w:rFonts w:eastAsiaTheme="minorEastAsia"/>
        </w:rPr>
        <w:t>’</w:t>
      </w:r>
      <w:r w:rsidR="007D60AC">
        <w:rPr>
          <w:rFonts w:eastAsiaTheme="minorEastAsia"/>
        </w:rPr>
        <w:t>évaluation qui l</w:t>
      </w:r>
      <w:r w:rsidR="00346F1B">
        <w:rPr>
          <w:rFonts w:eastAsiaTheme="minorEastAsia"/>
        </w:rPr>
        <w:t>’</w:t>
      </w:r>
      <w:r w:rsidR="007D60AC">
        <w:rPr>
          <w:rFonts w:eastAsiaTheme="minorEastAsia"/>
        </w:rPr>
        <w:t>avait trouvée excellente à l</w:t>
      </w:r>
      <w:r w:rsidR="00346F1B">
        <w:rPr>
          <w:rFonts w:eastAsiaTheme="minorEastAsia"/>
        </w:rPr>
        <w:t>’</w:t>
      </w:r>
      <w:r w:rsidR="007D60AC">
        <w:rPr>
          <w:rFonts w:eastAsiaTheme="minorEastAsia"/>
        </w:rPr>
        <w:t xml:space="preserve">exception du </w:t>
      </w:r>
      <w:r w:rsidR="007D60AC" w:rsidRPr="007D60AC">
        <w:rPr>
          <w:rFonts w:eastAsiaTheme="minorEastAsia"/>
        </w:rPr>
        <w:t>critère</w:t>
      </w:r>
      <w:r w:rsidR="007D60AC">
        <w:rPr>
          <w:rFonts w:eastAsiaTheme="minorEastAsia"/>
        </w:rPr>
        <w:t xml:space="preserve"> R.5. C</w:t>
      </w:r>
      <w:r w:rsidR="007D60AC" w:rsidRPr="007D60AC">
        <w:rPr>
          <w:rFonts w:eastAsiaTheme="minorEastAsia"/>
        </w:rPr>
        <w:t>onformément</w:t>
      </w:r>
      <w:r w:rsidR="007D60AC">
        <w:rPr>
          <w:rFonts w:eastAsiaTheme="minorEastAsia"/>
        </w:rPr>
        <w:t xml:space="preserve"> aux procédures établies du Comité,</w:t>
      </w:r>
      <w:r w:rsidR="00EF5E22">
        <w:rPr>
          <w:rFonts w:eastAsiaTheme="minorEastAsia"/>
        </w:rPr>
        <w:t xml:space="preserve"> des </w:t>
      </w:r>
      <w:r w:rsidR="007D60AC">
        <w:rPr>
          <w:rFonts w:eastAsiaTheme="minorEastAsia"/>
        </w:rPr>
        <w:t xml:space="preserve">éclaircissements </w:t>
      </w:r>
      <w:r w:rsidR="00EF5E22">
        <w:rPr>
          <w:rFonts w:eastAsiaTheme="minorEastAsia"/>
        </w:rPr>
        <w:t xml:space="preserve">avaient été apportés sur ce critère </w:t>
      </w:r>
      <w:r w:rsidR="007D60AC">
        <w:rPr>
          <w:rFonts w:eastAsiaTheme="minorEastAsia"/>
        </w:rPr>
        <w:t xml:space="preserve">et la </w:t>
      </w:r>
      <w:r w:rsidR="007D60AC" w:rsidRPr="007D60AC">
        <w:rPr>
          <w:rFonts w:eastAsiaTheme="minorEastAsia"/>
        </w:rPr>
        <w:t>candidature</w:t>
      </w:r>
      <w:r w:rsidR="007D60AC">
        <w:rPr>
          <w:rFonts w:eastAsiaTheme="minorEastAsia"/>
        </w:rPr>
        <w:t xml:space="preserve"> satisfaisait </w:t>
      </w:r>
      <w:r w:rsidR="007D60AC" w:rsidRPr="007D60AC">
        <w:rPr>
          <w:rFonts w:eastAsiaTheme="minorEastAsia"/>
        </w:rPr>
        <w:t>désormais</w:t>
      </w:r>
      <w:r w:rsidR="00124F65">
        <w:rPr>
          <w:rFonts w:eastAsiaTheme="minorEastAsia"/>
        </w:rPr>
        <w:t xml:space="preserve"> les</w:t>
      </w:r>
      <w:r w:rsidR="007D60AC">
        <w:rPr>
          <w:rFonts w:eastAsiaTheme="minorEastAsia"/>
        </w:rPr>
        <w:t xml:space="preserve"> cinq critères. Ce même </w:t>
      </w:r>
      <w:r w:rsidR="007D60AC" w:rsidRPr="007D60AC">
        <w:rPr>
          <w:rFonts w:eastAsiaTheme="minorEastAsia"/>
        </w:rPr>
        <w:t>critère</w:t>
      </w:r>
      <w:r w:rsidR="007D60AC">
        <w:rPr>
          <w:rFonts w:eastAsiaTheme="minorEastAsia"/>
        </w:rPr>
        <w:t xml:space="preserve"> R.5 s</w:t>
      </w:r>
      <w:r w:rsidR="00346F1B">
        <w:rPr>
          <w:rFonts w:eastAsiaTheme="minorEastAsia"/>
        </w:rPr>
        <w:t>’</w:t>
      </w:r>
      <w:r w:rsidR="007D60AC">
        <w:rPr>
          <w:rFonts w:eastAsiaTheme="minorEastAsia"/>
        </w:rPr>
        <w:t xml:space="preserve">appliquait </w:t>
      </w:r>
      <w:r w:rsidR="007D60AC" w:rsidRPr="007D60AC">
        <w:rPr>
          <w:rFonts w:eastAsiaTheme="minorEastAsia"/>
        </w:rPr>
        <w:t>également</w:t>
      </w:r>
      <w:r w:rsidR="007D60AC">
        <w:rPr>
          <w:rFonts w:eastAsiaTheme="minorEastAsia"/>
        </w:rPr>
        <w:t xml:space="preserve"> dans la </w:t>
      </w:r>
      <w:r w:rsidR="007D60AC" w:rsidRPr="007D60AC">
        <w:rPr>
          <w:rFonts w:eastAsiaTheme="minorEastAsia"/>
        </w:rPr>
        <w:t>candidature</w:t>
      </w:r>
      <w:r w:rsidR="007D60AC">
        <w:rPr>
          <w:rFonts w:eastAsiaTheme="minorEastAsia"/>
        </w:rPr>
        <w:t xml:space="preserve"> suivante soumise par la Roumanie. La </w:t>
      </w:r>
      <w:r w:rsidR="007D60AC" w:rsidRPr="007D60AC">
        <w:rPr>
          <w:rFonts w:eastAsiaTheme="minorEastAsia"/>
        </w:rPr>
        <w:t>délégation</w:t>
      </w:r>
      <w:r w:rsidR="007D60AC">
        <w:rPr>
          <w:rFonts w:eastAsiaTheme="minorEastAsia"/>
        </w:rPr>
        <w:t xml:space="preserve"> ne savait pas si la situation s</w:t>
      </w:r>
      <w:r w:rsidR="00346F1B">
        <w:rPr>
          <w:rFonts w:eastAsiaTheme="minorEastAsia"/>
        </w:rPr>
        <w:t>’</w:t>
      </w:r>
      <w:r w:rsidR="007D60AC">
        <w:rPr>
          <w:rFonts w:eastAsiaTheme="minorEastAsia"/>
        </w:rPr>
        <w:t xml:space="preserve">était déjà présentée, c.-à-d. une </w:t>
      </w:r>
      <w:r w:rsidR="007D60AC" w:rsidRPr="007D60AC">
        <w:rPr>
          <w:rFonts w:eastAsiaTheme="minorEastAsia"/>
        </w:rPr>
        <w:t>candidature</w:t>
      </w:r>
      <w:r w:rsidR="00124F65">
        <w:rPr>
          <w:rFonts w:eastAsiaTheme="minorEastAsia"/>
        </w:rPr>
        <w:t xml:space="preserve"> qui satisfaisait les</w:t>
      </w:r>
      <w:r w:rsidR="007D60AC">
        <w:rPr>
          <w:rFonts w:eastAsiaTheme="minorEastAsia"/>
        </w:rPr>
        <w:t xml:space="preserve"> cinq critères </w:t>
      </w:r>
      <w:r w:rsidR="00EF5E22">
        <w:rPr>
          <w:rFonts w:eastAsiaTheme="minorEastAsia"/>
        </w:rPr>
        <w:t xml:space="preserve">était </w:t>
      </w:r>
      <w:r w:rsidR="007D60AC">
        <w:rPr>
          <w:rFonts w:eastAsiaTheme="minorEastAsia"/>
        </w:rPr>
        <w:t xml:space="preserve">renvoyée par le Comité. La </w:t>
      </w:r>
      <w:r w:rsidR="007D60AC" w:rsidRPr="007D60AC">
        <w:rPr>
          <w:rFonts w:eastAsiaTheme="minorEastAsia"/>
        </w:rPr>
        <w:t>délégation</w:t>
      </w:r>
      <w:r w:rsidR="007D60AC">
        <w:rPr>
          <w:rFonts w:eastAsiaTheme="minorEastAsia"/>
        </w:rPr>
        <w:t xml:space="preserve"> a insisté sur le fait que si ce critère n</w:t>
      </w:r>
      <w:r w:rsidR="00346F1B">
        <w:rPr>
          <w:rFonts w:eastAsiaTheme="minorEastAsia"/>
        </w:rPr>
        <w:t>’</w:t>
      </w:r>
      <w:r w:rsidR="007D60AC">
        <w:rPr>
          <w:rFonts w:eastAsiaTheme="minorEastAsia"/>
        </w:rPr>
        <w:t xml:space="preserve">était pas satisfait dans ce dossier, alors ce même critère ne </w:t>
      </w:r>
      <w:r w:rsidR="00EF5E22">
        <w:rPr>
          <w:rFonts w:eastAsiaTheme="minorEastAsia"/>
        </w:rPr>
        <w:t xml:space="preserve">pourrait </w:t>
      </w:r>
      <w:r w:rsidR="007D60AC">
        <w:rPr>
          <w:rFonts w:eastAsiaTheme="minorEastAsia"/>
        </w:rPr>
        <w:t xml:space="preserve">être satisfait dans le dossier suivant. La </w:t>
      </w:r>
      <w:r w:rsidR="007D60AC" w:rsidRPr="007D60AC">
        <w:rPr>
          <w:rFonts w:eastAsiaTheme="minorEastAsia"/>
        </w:rPr>
        <w:t>délégation</w:t>
      </w:r>
      <w:r w:rsidR="007D60AC">
        <w:rPr>
          <w:rFonts w:eastAsiaTheme="minorEastAsia"/>
        </w:rPr>
        <w:t xml:space="preserve"> estimait que la </w:t>
      </w:r>
      <w:r w:rsidR="007D60AC" w:rsidRPr="007D60AC">
        <w:rPr>
          <w:rFonts w:eastAsiaTheme="minorEastAsia"/>
        </w:rPr>
        <w:t>candidature</w:t>
      </w:r>
      <w:r w:rsidR="007D60AC">
        <w:rPr>
          <w:rFonts w:eastAsiaTheme="minorEastAsia"/>
        </w:rPr>
        <w:t xml:space="preserve"> de la Roumanie méritait d</w:t>
      </w:r>
      <w:r w:rsidR="00346F1B">
        <w:rPr>
          <w:rFonts w:eastAsiaTheme="minorEastAsia"/>
        </w:rPr>
        <w:t>’</w:t>
      </w:r>
      <w:r w:rsidR="007D60AC">
        <w:rPr>
          <w:rFonts w:eastAsiaTheme="minorEastAsia"/>
        </w:rPr>
        <w:t>être examinée avec toute l</w:t>
      </w:r>
      <w:r w:rsidR="00346F1B">
        <w:rPr>
          <w:rFonts w:eastAsiaTheme="minorEastAsia"/>
        </w:rPr>
        <w:t>’</w:t>
      </w:r>
      <w:r w:rsidR="007D60AC">
        <w:rPr>
          <w:rFonts w:eastAsiaTheme="minorEastAsia"/>
        </w:rPr>
        <w:t xml:space="preserve">attention qui était due à une </w:t>
      </w:r>
      <w:r w:rsidR="007D60AC" w:rsidRPr="007D60AC">
        <w:rPr>
          <w:rFonts w:eastAsiaTheme="minorEastAsia"/>
        </w:rPr>
        <w:t>candidature</w:t>
      </w:r>
      <w:r w:rsidR="0040131A">
        <w:rPr>
          <w:rFonts w:eastAsiaTheme="minorEastAsia"/>
        </w:rPr>
        <w:t xml:space="preserve"> satisfaisant</w:t>
      </w:r>
      <w:r w:rsidR="007D60AC">
        <w:rPr>
          <w:rFonts w:eastAsiaTheme="minorEastAsia"/>
        </w:rPr>
        <w:t xml:space="preserve"> tous les critères. </w:t>
      </w:r>
      <w:r w:rsidR="00EF5E22">
        <w:rPr>
          <w:rFonts w:eastAsiaTheme="minorEastAsia"/>
        </w:rPr>
        <w:t>Le Comité devait donc suivre ses procédures et inscrire l</w:t>
      </w:r>
      <w:r w:rsidR="00346F1B">
        <w:rPr>
          <w:rFonts w:eastAsiaTheme="minorEastAsia"/>
        </w:rPr>
        <w:t>’</w:t>
      </w:r>
      <w:r w:rsidR="00EF5E22" w:rsidRPr="00EF5E22">
        <w:rPr>
          <w:rFonts w:eastAsiaTheme="minorEastAsia"/>
        </w:rPr>
        <w:t>élément</w:t>
      </w:r>
      <w:r w:rsidR="00443FC6">
        <w:rPr>
          <w:rFonts w:eastAsiaTheme="minorEastAsia"/>
        </w:rPr>
        <w:t>.</w:t>
      </w:r>
    </w:p>
    <w:p w14:paraId="52D06352" w14:textId="2EE3A6DC" w:rsidR="00EF5E22" w:rsidRDefault="00EF5E22" w:rsidP="00F24F73">
      <w:pPr>
        <w:pStyle w:val="Orateurengris"/>
        <w:spacing w:before="120"/>
        <w:ind w:left="709" w:hanging="709"/>
        <w:rPr>
          <w:rFonts w:eastAsiaTheme="minorEastAsia"/>
        </w:rPr>
      </w:pPr>
      <w:r>
        <w:rPr>
          <w:rFonts w:eastAsiaTheme="minorEastAsia"/>
        </w:rPr>
        <w:t xml:space="preserve">Le </w:t>
      </w:r>
      <w:r w:rsidRPr="00EF5E22">
        <w:rPr>
          <w:rFonts w:eastAsiaTheme="minorEastAsia"/>
          <w:b/>
        </w:rPr>
        <w:t>Président</w:t>
      </w:r>
      <w:r>
        <w:rPr>
          <w:rFonts w:eastAsiaTheme="minorEastAsia"/>
        </w:rPr>
        <w:t xml:space="preserve"> a constaté que l</w:t>
      </w:r>
      <w:r w:rsidR="00346F1B">
        <w:rPr>
          <w:rFonts w:eastAsiaTheme="minorEastAsia"/>
        </w:rPr>
        <w:t>’</w:t>
      </w:r>
      <w:r w:rsidRPr="00EF5E22">
        <w:rPr>
          <w:rFonts w:eastAsiaTheme="minorEastAsia"/>
        </w:rPr>
        <w:t>amendement</w:t>
      </w:r>
      <w:r>
        <w:rPr>
          <w:rFonts w:eastAsiaTheme="minorEastAsia"/>
        </w:rPr>
        <w:t xml:space="preserve"> ne bénéficiait pas d</w:t>
      </w:r>
      <w:r w:rsidR="00346F1B">
        <w:rPr>
          <w:rFonts w:eastAsiaTheme="minorEastAsia"/>
        </w:rPr>
        <w:t>’</w:t>
      </w:r>
      <w:r>
        <w:rPr>
          <w:rFonts w:eastAsiaTheme="minorEastAsia"/>
        </w:rPr>
        <w:t>un large soutien et, e</w:t>
      </w:r>
      <w:r w:rsidRPr="00EF5E22">
        <w:rPr>
          <w:rFonts w:eastAsiaTheme="minorEastAsia"/>
        </w:rPr>
        <w:t>n l</w:t>
      </w:r>
      <w:r w:rsidR="00346F1B">
        <w:rPr>
          <w:rFonts w:eastAsiaTheme="minorEastAsia"/>
        </w:rPr>
        <w:t>’</w:t>
      </w:r>
      <w:r w:rsidRPr="00EF5E22">
        <w:rPr>
          <w:rFonts w:eastAsiaTheme="minorEastAsia"/>
        </w:rPr>
        <w:t>absence d</w:t>
      </w:r>
      <w:r w:rsidR="00346F1B">
        <w:rPr>
          <w:rFonts w:eastAsiaTheme="minorEastAsia"/>
        </w:rPr>
        <w:t>’</w:t>
      </w:r>
      <w:r>
        <w:rPr>
          <w:rFonts w:eastAsiaTheme="minorEastAsia"/>
        </w:rPr>
        <w:t xml:space="preserve">objections, celui-ci a été retiré et remplacé par le </w:t>
      </w:r>
      <w:r w:rsidRPr="00EF5E22">
        <w:rPr>
          <w:rFonts w:eastAsiaTheme="minorEastAsia"/>
        </w:rPr>
        <w:t>paragraphe</w:t>
      </w:r>
      <w:r>
        <w:rPr>
          <w:rFonts w:eastAsiaTheme="minorEastAsia"/>
        </w:rPr>
        <w:t xml:space="preserve"> d</w:t>
      </w:r>
      <w:r w:rsidR="00346F1B">
        <w:rPr>
          <w:rFonts w:eastAsiaTheme="minorEastAsia"/>
        </w:rPr>
        <w:t>’</w:t>
      </w:r>
      <w:r>
        <w:rPr>
          <w:rFonts w:eastAsiaTheme="minorEastAsia"/>
        </w:rPr>
        <w:t xml:space="preserve">origine sur le </w:t>
      </w:r>
      <w:r w:rsidRPr="00EF5E22">
        <w:rPr>
          <w:rFonts w:eastAsiaTheme="minorEastAsia"/>
        </w:rPr>
        <w:t>critère</w:t>
      </w:r>
      <w:r>
        <w:rPr>
          <w:rFonts w:eastAsiaTheme="minorEastAsia"/>
        </w:rPr>
        <w:t xml:space="preserve"> R.5 dans le </w:t>
      </w:r>
      <w:r w:rsidRPr="00EF5E22">
        <w:rPr>
          <w:rFonts w:eastAsiaTheme="minorEastAsia"/>
        </w:rPr>
        <w:t>paragraphe</w:t>
      </w:r>
      <w:r>
        <w:rPr>
          <w:rFonts w:eastAsiaTheme="minorEastAsia"/>
        </w:rPr>
        <w:t xml:space="preserve"> 3, qui a été </w:t>
      </w:r>
      <w:r w:rsidR="008052AC">
        <w:rPr>
          <w:rFonts w:eastAsiaTheme="minorEastAsia"/>
        </w:rPr>
        <w:t>dûment</w:t>
      </w:r>
      <w:r>
        <w:rPr>
          <w:rFonts w:eastAsiaTheme="minorEastAsia"/>
        </w:rPr>
        <w:t xml:space="preserve"> adopté. La Hongrie a </w:t>
      </w:r>
      <w:r w:rsidR="00833C35">
        <w:rPr>
          <w:rFonts w:eastAsiaTheme="minorEastAsia"/>
        </w:rPr>
        <w:t xml:space="preserve">proposé </w:t>
      </w:r>
      <w:r>
        <w:rPr>
          <w:rFonts w:eastAsiaTheme="minorEastAsia"/>
        </w:rPr>
        <w:t>une motion d</w:t>
      </w:r>
      <w:r w:rsidR="00346F1B">
        <w:rPr>
          <w:rFonts w:eastAsiaTheme="minorEastAsia"/>
        </w:rPr>
        <w:t>’</w:t>
      </w:r>
      <w:r w:rsidR="00443FC6">
        <w:rPr>
          <w:rFonts w:eastAsiaTheme="minorEastAsia"/>
        </w:rPr>
        <w:t>ordre.</w:t>
      </w:r>
    </w:p>
    <w:p w14:paraId="47C13016" w14:textId="01FE2616" w:rsidR="00EF5E22" w:rsidRPr="00EF5E22" w:rsidRDefault="00EF5E22" w:rsidP="00F24F73">
      <w:pPr>
        <w:pStyle w:val="Orateurengris"/>
        <w:spacing w:before="120"/>
        <w:ind w:left="709" w:hanging="709"/>
        <w:rPr>
          <w:rFonts w:eastAsiaTheme="minorEastAsia"/>
        </w:rPr>
      </w:pPr>
      <w:r>
        <w:rPr>
          <w:rFonts w:eastAsiaTheme="minorEastAsia"/>
        </w:rPr>
        <w:t>Comme c</w:t>
      </w:r>
      <w:r w:rsidR="00346F1B">
        <w:rPr>
          <w:rFonts w:eastAsiaTheme="minorEastAsia"/>
        </w:rPr>
        <w:t>’</w:t>
      </w:r>
      <w:r>
        <w:rPr>
          <w:rFonts w:eastAsiaTheme="minorEastAsia"/>
        </w:rPr>
        <w:t>était la première fois q</w:t>
      </w:r>
      <w:r w:rsidR="00BD50A9">
        <w:rPr>
          <w:rFonts w:eastAsiaTheme="minorEastAsia"/>
        </w:rPr>
        <w:t>u</w:t>
      </w:r>
      <w:r w:rsidR="00346F1B">
        <w:rPr>
          <w:rFonts w:eastAsiaTheme="minorEastAsia"/>
        </w:rPr>
        <w:t>’</w:t>
      </w:r>
      <w:r w:rsidR="00BD50A9">
        <w:rPr>
          <w:rFonts w:eastAsiaTheme="minorEastAsia"/>
        </w:rPr>
        <w:t>un tel</w:t>
      </w:r>
      <w:r>
        <w:rPr>
          <w:rFonts w:eastAsiaTheme="minorEastAsia"/>
        </w:rPr>
        <w:t xml:space="preserve"> </w:t>
      </w:r>
      <w:r w:rsidR="00BD50A9">
        <w:rPr>
          <w:rFonts w:eastAsiaTheme="minorEastAsia"/>
        </w:rPr>
        <w:t xml:space="preserve">problème </w:t>
      </w:r>
      <w:r>
        <w:rPr>
          <w:rFonts w:eastAsiaTheme="minorEastAsia"/>
        </w:rPr>
        <w:t>se</w:t>
      </w:r>
      <w:r w:rsidR="00BD50A9">
        <w:rPr>
          <w:rFonts w:eastAsiaTheme="minorEastAsia"/>
        </w:rPr>
        <w:t xml:space="preserve"> posait</w:t>
      </w:r>
      <w:r>
        <w:rPr>
          <w:rFonts w:eastAsiaTheme="minorEastAsia"/>
        </w:rPr>
        <w:t xml:space="preserve">, la </w:t>
      </w:r>
      <w:r w:rsidRPr="00EF5E22">
        <w:rPr>
          <w:rFonts w:eastAsiaTheme="minorEastAsia"/>
        </w:rPr>
        <w:t>délégation</w:t>
      </w:r>
      <w:r>
        <w:rPr>
          <w:rFonts w:eastAsiaTheme="minorEastAsia"/>
        </w:rPr>
        <w:t xml:space="preserve"> de la </w:t>
      </w:r>
      <w:r w:rsidRPr="00EF5E22">
        <w:rPr>
          <w:rFonts w:eastAsiaTheme="minorEastAsia"/>
          <w:b/>
        </w:rPr>
        <w:t>Hongrie</w:t>
      </w:r>
      <w:r>
        <w:rPr>
          <w:rFonts w:eastAsiaTheme="minorEastAsia"/>
        </w:rPr>
        <w:t xml:space="preserve"> a proposé une brève suspension de séance afin </w:t>
      </w:r>
      <w:r w:rsidR="00443FC6">
        <w:rPr>
          <w:rFonts w:eastAsiaTheme="minorEastAsia"/>
        </w:rPr>
        <w:t>de permettre des consultations.</w:t>
      </w:r>
    </w:p>
    <w:p w14:paraId="455848FF" w14:textId="5EACABE2" w:rsidR="00BD50A9" w:rsidRPr="00BD50A9" w:rsidRDefault="00BD50A9" w:rsidP="00F24F73">
      <w:pPr>
        <w:pStyle w:val="Orateurengris"/>
        <w:spacing w:before="120"/>
        <w:ind w:left="709" w:hanging="709"/>
        <w:rPr>
          <w:rFonts w:eastAsiaTheme="minorEastAsia"/>
        </w:rPr>
      </w:pPr>
      <w:r>
        <w:rPr>
          <w:rFonts w:eastAsiaTheme="minorEastAsia"/>
        </w:rPr>
        <w:t xml:space="preserve">Le </w:t>
      </w:r>
      <w:r w:rsidRPr="00BD50A9">
        <w:rPr>
          <w:rFonts w:eastAsiaTheme="minorEastAsia"/>
          <w:b/>
        </w:rPr>
        <w:t>Président</w:t>
      </w:r>
      <w:r>
        <w:rPr>
          <w:rFonts w:eastAsiaTheme="minorEastAsia"/>
        </w:rPr>
        <w:t xml:space="preserve"> a demandé au Comité s</w:t>
      </w:r>
      <w:r w:rsidR="00346F1B">
        <w:rPr>
          <w:rFonts w:eastAsiaTheme="minorEastAsia"/>
        </w:rPr>
        <w:t>’</w:t>
      </w:r>
      <w:r>
        <w:rPr>
          <w:rFonts w:eastAsiaTheme="minorEastAsia"/>
        </w:rPr>
        <w:t>il accept</w:t>
      </w:r>
      <w:r w:rsidR="00443FC6">
        <w:rPr>
          <w:rFonts w:eastAsiaTheme="minorEastAsia"/>
        </w:rPr>
        <w:t>ait cette suspension de séance.</w:t>
      </w:r>
    </w:p>
    <w:p w14:paraId="71F8BB83" w14:textId="5304609B" w:rsidR="00BD50A9" w:rsidRPr="00BD50A9" w:rsidRDefault="00BD50A9" w:rsidP="00F24F73">
      <w:pPr>
        <w:pStyle w:val="Orateurengris"/>
        <w:spacing w:before="120"/>
        <w:ind w:left="709" w:hanging="709"/>
        <w:rPr>
          <w:rFonts w:eastAsiaTheme="minorEastAsia"/>
        </w:rPr>
      </w:pPr>
      <w:r>
        <w:rPr>
          <w:rFonts w:eastAsiaTheme="minorEastAsia"/>
        </w:rPr>
        <w:t xml:space="preserve">La </w:t>
      </w:r>
      <w:r w:rsidRPr="00BD50A9">
        <w:rPr>
          <w:rFonts w:eastAsiaTheme="minorEastAsia"/>
        </w:rPr>
        <w:t>délégation</w:t>
      </w:r>
      <w:r>
        <w:rPr>
          <w:rFonts w:eastAsiaTheme="minorEastAsia"/>
        </w:rPr>
        <w:t xml:space="preserve"> de l</w:t>
      </w:r>
      <w:r w:rsidR="00346F1B">
        <w:rPr>
          <w:rFonts w:eastAsiaTheme="minorEastAsia"/>
        </w:rPr>
        <w:t>’</w:t>
      </w:r>
      <w:r w:rsidRPr="00BD50A9">
        <w:rPr>
          <w:rFonts w:eastAsiaTheme="minorEastAsia"/>
          <w:b/>
        </w:rPr>
        <w:t>Algérie</w:t>
      </w:r>
      <w:r>
        <w:rPr>
          <w:rFonts w:eastAsiaTheme="minorEastAsia"/>
        </w:rPr>
        <w:t xml:space="preserve"> s</w:t>
      </w:r>
      <w:r w:rsidR="00346F1B">
        <w:rPr>
          <w:rFonts w:eastAsiaTheme="minorEastAsia"/>
        </w:rPr>
        <w:t>’</w:t>
      </w:r>
      <w:r>
        <w:rPr>
          <w:rFonts w:eastAsiaTheme="minorEastAsia"/>
        </w:rPr>
        <w:t>est dite favorable à une suspension de séance pour permettre des consultations supplémentaires, car le Comité s</w:t>
      </w:r>
      <w:r w:rsidR="00346F1B">
        <w:rPr>
          <w:rFonts w:eastAsiaTheme="minorEastAsia"/>
        </w:rPr>
        <w:t>’</w:t>
      </w:r>
      <w:r>
        <w:rPr>
          <w:rFonts w:eastAsiaTheme="minorEastAsia"/>
        </w:rPr>
        <w:t xml:space="preserve">orientait vers une politisation dangereuse des débats </w:t>
      </w:r>
      <w:r w:rsidR="00A46CAD">
        <w:rPr>
          <w:rFonts w:eastAsiaTheme="minorEastAsia"/>
        </w:rPr>
        <w:t>et il serait plus sage que les membres</w:t>
      </w:r>
      <w:r>
        <w:rPr>
          <w:rFonts w:eastAsiaTheme="minorEastAsia"/>
        </w:rPr>
        <w:t xml:space="preserve"> du Comité se consultent avant de prendre une </w:t>
      </w:r>
      <w:r w:rsidRPr="00BD50A9">
        <w:rPr>
          <w:rFonts w:eastAsiaTheme="minorEastAsia"/>
        </w:rPr>
        <w:t>décision</w:t>
      </w:r>
      <w:r w:rsidR="00443FC6">
        <w:rPr>
          <w:rFonts w:eastAsiaTheme="minorEastAsia"/>
        </w:rPr>
        <w:t>.</w:t>
      </w:r>
    </w:p>
    <w:p w14:paraId="33D6F649" w14:textId="5B0ACC43" w:rsidR="00BD50A9" w:rsidRDefault="0027407A" w:rsidP="00F24F73">
      <w:pPr>
        <w:pStyle w:val="Orateurengris"/>
        <w:spacing w:before="120"/>
        <w:ind w:left="709" w:hanging="709"/>
        <w:rPr>
          <w:rFonts w:eastAsiaTheme="minorEastAsia"/>
        </w:rPr>
      </w:pPr>
      <w:r>
        <w:rPr>
          <w:rFonts w:eastAsiaTheme="minorEastAsia"/>
        </w:rPr>
        <w:t xml:space="preserve">La </w:t>
      </w:r>
      <w:r w:rsidRPr="0027407A">
        <w:rPr>
          <w:rFonts w:eastAsiaTheme="minorEastAsia"/>
        </w:rPr>
        <w:t>délégation</w:t>
      </w:r>
      <w:r>
        <w:rPr>
          <w:rFonts w:eastAsiaTheme="minorEastAsia"/>
        </w:rPr>
        <w:t xml:space="preserve"> de </w:t>
      </w:r>
      <w:r w:rsidRPr="0027407A">
        <w:rPr>
          <w:rFonts w:eastAsiaTheme="minorEastAsia"/>
          <w:b/>
        </w:rPr>
        <w:t>Chypre</w:t>
      </w:r>
      <w:r>
        <w:rPr>
          <w:rFonts w:eastAsiaTheme="minorEastAsia"/>
        </w:rPr>
        <w:t xml:space="preserve"> a rappelé que tant l</w:t>
      </w:r>
      <w:r w:rsidR="00346F1B">
        <w:rPr>
          <w:rFonts w:eastAsiaTheme="minorEastAsia"/>
        </w:rPr>
        <w:t>’</w:t>
      </w:r>
      <w:r>
        <w:rPr>
          <w:rFonts w:eastAsiaTheme="minorEastAsia"/>
        </w:rPr>
        <w:t>Organe d</w:t>
      </w:r>
      <w:r w:rsidR="00346F1B">
        <w:rPr>
          <w:rFonts w:eastAsiaTheme="minorEastAsia"/>
        </w:rPr>
        <w:t>’</w:t>
      </w:r>
      <w:r>
        <w:rPr>
          <w:rFonts w:eastAsiaTheme="minorEastAsia"/>
        </w:rPr>
        <w:t>évaluation que l</w:t>
      </w:r>
      <w:r w:rsidR="00346F1B">
        <w:rPr>
          <w:rFonts w:eastAsiaTheme="minorEastAsia"/>
        </w:rPr>
        <w:t>’</w:t>
      </w:r>
      <w:r>
        <w:rPr>
          <w:rFonts w:eastAsiaTheme="minorEastAsia"/>
        </w:rPr>
        <w:t>État soumissionnaire étaient d</w:t>
      </w:r>
      <w:r w:rsidR="00346F1B">
        <w:rPr>
          <w:rFonts w:eastAsiaTheme="minorEastAsia"/>
        </w:rPr>
        <w:t>’</w:t>
      </w:r>
      <w:r>
        <w:rPr>
          <w:rFonts w:eastAsiaTheme="minorEastAsia"/>
        </w:rPr>
        <w:t xml:space="preserve">accord pour renvoyer la </w:t>
      </w:r>
      <w:r w:rsidRPr="0027407A">
        <w:rPr>
          <w:rFonts w:eastAsiaTheme="minorEastAsia"/>
        </w:rPr>
        <w:t>candidature</w:t>
      </w:r>
      <w:r>
        <w:rPr>
          <w:rFonts w:eastAsiaTheme="minorEastAsia"/>
        </w:rPr>
        <w:t xml:space="preserve">. Elle ne voyait donc aucune raison pour </w:t>
      </w:r>
      <w:r w:rsidR="001437FF">
        <w:rPr>
          <w:rFonts w:eastAsiaTheme="minorEastAsia"/>
        </w:rPr>
        <w:t xml:space="preserve">accepter </w:t>
      </w:r>
      <w:r>
        <w:rPr>
          <w:rFonts w:eastAsiaTheme="minorEastAsia"/>
        </w:rPr>
        <w:t xml:space="preserve">une pause dans le déroulement de la session. </w:t>
      </w:r>
      <w:r w:rsidR="001437FF">
        <w:rPr>
          <w:rFonts w:eastAsiaTheme="minorEastAsia"/>
        </w:rPr>
        <w:t>S</w:t>
      </w:r>
      <w:r w:rsidR="00346F1B">
        <w:rPr>
          <w:rFonts w:eastAsiaTheme="minorEastAsia"/>
        </w:rPr>
        <w:t>’</w:t>
      </w:r>
      <w:r w:rsidR="001437FF">
        <w:rPr>
          <w:rFonts w:eastAsiaTheme="minorEastAsia"/>
        </w:rPr>
        <w:t>il s</w:t>
      </w:r>
      <w:r w:rsidR="00346F1B">
        <w:rPr>
          <w:rFonts w:eastAsiaTheme="minorEastAsia"/>
        </w:rPr>
        <w:t>’</w:t>
      </w:r>
      <w:r w:rsidR="001437FF">
        <w:rPr>
          <w:rFonts w:eastAsiaTheme="minorEastAsia"/>
        </w:rPr>
        <w:t>agissait d</w:t>
      </w:r>
      <w:r w:rsidR="00346F1B">
        <w:rPr>
          <w:rFonts w:eastAsiaTheme="minorEastAsia"/>
        </w:rPr>
        <w:t>’</w:t>
      </w:r>
      <w:r w:rsidR="001437FF">
        <w:rPr>
          <w:rFonts w:eastAsiaTheme="minorEastAsia"/>
        </w:rPr>
        <w:t>un problème politique, le Comité n</w:t>
      </w:r>
      <w:r w:rsidR="00346F1B">
        <w:rPr>
          <w:rFonts w:eastAsiaTheme="minorEastAsia"/>
        </w:rPr>
        <w:t>’</w:t>
      </w:r>
      <w:r w:rsidR="001437FF">
        <w:rPr>
          <w:rFonts w:eastAsiaTheme="minorEastAsia"/>
        </w:rPr>
        <w:t>était pas l</w:t>
      </w:r>
      <w:r w:rsidR="00346F1B">
        <w:rPr>
          <w:rFonts w:eastAsiaTheme="minorEastAsia"/>
        </w:rPr>
        <w:t>’</w:t>
      </w:r>
      <w:r w:rsidR="001437FF">
        <w:rPr>
          <w:rFonts w:eastAsiaTheme="minorEastAsia"/>
        </w:rPr>
        <w:t xml:space="preserve">assemblée adéquate pour le résoudre car on y débattait de candidatures au </w:t>
      </w:r>
      <w:r w:rsidR="001437FF" w:rsidRPr="001437FF">
        <w:rPr>
          <w:rFonts w:eastAsiaTheme="minorEastAsia"/>
        </w:rPr>
        <w:t>patrimoine</w:t>
      </w:r>
      <w:r w:rsidR="001437FF">
        <w:rPr>
          <w:rFonts w:eastAsiaTheme="minorEastAsia"/>
        </w:rPr>
        <w:t xml:space="preserve"> </w:t>
      </w:r>
      <w:r w:rsidR="001437FF" w:rsidRPr="001437FF">
        <w:rPr>
          <w:rFonts w:eastAsiaTheme="minorEastAsia"/>
        </w:rPr>
        <w:t>immatériel</w:t>
      </w:r>
      <w:r w:rsidR="001437FF">
        <w:rPr>
          <w:rFonts w:eastAsiaTheme="minorEastAsia"/>
        </w:rPr>
        <w:t>. Il était donc préférable d</w:t>
      </w:r>
      <w:r w:rsidR="00346F1B">
        <w:rPr>
          <w:rFonts w:eastAsiaTheme="minorEastAsia"/>
        </w:rPr>
        <w:t>’</w:t>
      </w:r>
      <w:r w:rsidR="001437FF">
        <w:rPr>
          <w:rFonts w:eastAsiaTheme="minorEastAsia"/>
        </w:rPr>
        <w:t>avancer plutôt que</w:t>
      </w:r>
      <w:r w:rsidR="00443FC6">
        <w:rPr>
          <w:rFonts w:eastAsiaTheme="minorEastAsia"/>
        </w:rPr>
        <w:t xml:space="preserve"> de rester bloqué sur ce point.</w:t>
      </w:r>
    </w:p>
    <w:p w14:paraId="2DFCFACB" w14:textId="001C18D8" w:rsidR="008F6F1A" w:rsidRPr="00B85FFA" w:rsidRDefault="001437FF" w:rsidP="00F24F73">
      <w:pPr>
        <w:pStyle w:val="Orateurengris"/>
        <w:spacing w:before="120"/>
        <w:ind w:left="709" w:hanging="709"/>
        <w:rPr>
          <w:rFonts w:eastAsiaTheme="minorEastAsia"/>
        </w:rPr>
      </w:pPr>
      <w:r w:rsidRPr="00B85FFA">
        <w:rPr>
          <w:rFonts w:eastAsiaTheme="minorEastAsia"/>
        </w:rPr>
        <w:t xml:space="preserve">Le </w:t>
      </w:r>
      <w:r w:rsidRPr="00B85FFA">
        <w:rPr>
          <w:rFonts w:eastAsiaTheme="minorEastAsia"/>
          <w:b/>
        </w:rPr>
        <w:t>Président</w:t>
      </w:r>
      <w:r w:rsidRPr="00B85FFA">
        <w:rPr>
          <w:rFonts w:eastAsiaTheme="minorEastAsia"/>
        </w:rPr>
        <w:t xml:space="preserve"> </w:t>
      </w:r>
      <w:r w:rsidR="008F6F1A" w:rsidRPr="00B85FFA">
        <w:rPr>
          <w:rFonts w:eastAsiaTheme="minorEastAsia"/>
        </w:rPr>
        <w:t>a précisé que l</w:t>
      </w:r>
      <w:r w:rsidR="00346F1B">
        <w:rPr>
          <w:rFonts w:eastAsiaTheme="minorEastAsia"/>
        </w:rPr>
        <w:t>’</w:t>
      </w:r>
      <w:r w:rsidR="008F6F1A" w:rsidRPr="00B85FFA">
        <w:rPr>
          <w:rFonts w:eastAsiaTheme="minorEastAsia"/>
        </w:rPr>
        <w:t>article 29 du Règlement intérieur</w:t>
      </w:r>
      <w:r w:rsidRPr="00B85FFA">
        <w:rPr>
          <w:rFonts w:eastAsiaTheme="minorEastAsia"/>
        </w:rPr>
        <w:t>, concernant les motions de procédure, stipulait qu</w:t>
      </w:r>
      <w:r w:rsidR="00346F1B">
        <w:rPr>
          <w:rFonts w:eastAsiaTheme="minorEastAsia"/>
        </w:rPr>
        <w:t>’</w:t>
      </w:r>
      <w:r w:rsidRPr="00B85FFA">
        <w:rPr>
          <w:rFonts w:eastAsiaTheme="minorEastAsia"/>
        </w:rPr>
        <w:t>au cours de la discussion</w:t>
      </w:r>
      <w:r w:rsidR="008F6F1A" w:rsidRPr="00B85FFA">
        <w:rPr>
          <w:rFonts w:eastAsiaTheme="minorEastAsia"/>
        </w:rPr>
        <w:t xml:space="preserve"> de toute question, un État </w:t>
      </w:r>
      <w:r w:rsidR="00A46CAD" w:rsidRPr="00B85FFA">
        <w:rPr>
          <w:rFonts w:eastAsiaTheme="minorEastAsia"/>
        </w:rPr>
        <w:t>membre</w:t>
      </w:r>
      <w:r w:rsidR="008F6F1A" w:rsidRPr="00B85FFA">
        <w:rPr>
          <w:rFonts w:eastAsiaTheme="minorEastAsia"/>
        </w:rPr>
        <w:t xml:space="preserve"> du Comité pouvait proposer une motion de procédure, une suspension ou un ajournement de la réunion, un ajournement du débat ou une clôture du débat. </w:t>
      </w:r>
      <w:r w:rsidR="00D218C0" w:rsidRPr="00B85FFA">
        <w:rPr>
          <w:rFonts w:eastAsiaTheme="minorEastAsia"/>
        </w:rPr>
        <w:t>Conséquemment</w:t>
      </w:r>
      <w:r w:rsidR="008F6F1A" w:rsidRPr="00B85FFA">
        <w:rPr>
          <w:rFonts w:eastAsiaTheme="minorEastAsia"/>
        </w:rPr>
        <w:t>, en vertu de l</w:t>
      </w:r>
      <w:r w:rsidR="00346F1B">
        <w:rPr>
          <w:rFonts w:eastAsiaTheme="minorEastAsia"/>
        </w:rPr>
        <w:t>’</w:t>
      </w:r>
      <w:r w:rsidR="008F6F1A" w:rsidRPr="00B85FFA">
        <w:rPr>
          <w:rFonts w:eastAsiaTheme="minorEastAsia"/>
        </w:rPr>
        <w:t xml:space="preserve">article 29, le Président </w:t>
      </w:r>
      <w:r w:rsidR="00D218C0" w:rsidRPr="00B85FFA">
        <w:rPr>
          <w:rFonts w:eastAsiaTheme="minorEastAsia"/>
        </w:rPr>
        <w:t xml:space="preserve">a suspendu </w:t>
      </w:r>
      <w:r w:rsidR="00443FC6">
        <w:rPr>
          <w:rFonts w:eastAsiaTheme="minorEastAsia"/>
        </w:rPr>
        <w:t>la réunion pour dix minutes.</w:t>
      </w:r>
    </w:p>
    <w:p w14:paraId="31FBA6F8" w14:textId="044C142C" w:rsidR="00EF26D0" w:rsidRPr="00685916" w:rsidRDefault="00BB4020" w:rsidP="00F24F73">
      <w:pPr>
        <w:pStyle w:val="Orateurengris"/>
        <w:numPr>
          <w:ilvl w:val="0"/>
          <w:numId w:val="0"/>
        </w:numPr>
        <w:spacing w:before="120"/>
        <w:ind w:left="709" w:hanging="709"/>
        <w:jc w:val="center"/>
        <w:rPr>
          <w:i/>
        </w:rPr>
      </w:pPr>
      <w:r w:rsidRPr="00685916">
        <w:rPr>
          <w:i/>
        </w:rPr>
        <w:t>[</w:t>
      </w:r>
      <w:r w:rsidR="00D218C0">
        <w:rPr>
          <w:i/>
        </w:rPr>
        <w:t>Suspension de 10 minutes des débats</w:t>
      </w:r>
      <w:r w:rsidRPr="00685916">
        <w:rPr>
          <w:i/>
        </w:rPr>
        <w:t>]</w:t>
      </w:r>
    </w:p>
    <w:p w14:paraId="70BF6037" w14:textId="670838A5" w:rsidR="00D218C0" w:rsidRPr="00D218C0" w:rsidRDefault="00D218C0" w:rsidP="00F24F73">
      <w:pPr>
        <w:pStyle w:val="Orateurengris"/>
        <w:spacing w:before="120"/>
        <w:ind w:left="709" w:hanging="709"/>
      </w:pPr>
      <w:r w:rsidRPr="00D218C0">
        <w:t xml:space="preserve">Le </w:t>
      </w:r>
      <w:r w:rsidRPr="00D218C0">
        <w:rPr>
          <w:b/>
        </w:rPr>
        <w:t>Président</w:t>
      </w:r>
      <w:r w:rsidRPr="00D218C0">
        <w:t xml:space="preserve"> est revenu à l</w:t>
      </w:r>
      <w:r w:rsidR="00346F1B">
        <w:t>’</w:t>
      </w:r>
      <w:r w:rsidRPr="00D218C0">
        <w:t>adoption du paragraphe</w:t>
      </w:r>
      <w:r>
        <w:t xml:space="preserve"> 4, et</w:t>
      </w:r>
      <w:r w:rsidRPr="00D218C0">
        <w:t xml:space="preserve"> en l</w:t>
      </w:r>
      <w:r w:rsidR="00346F1B">
        <w:t>’</w:t>
      </w:r>
      <w:r w:rsidRPr="00D218C0">
        <w:t>absence d</w:t>
      </w:r>
      <w:r w:rsidR="00346F1B">
        <w:t>’</w:t>
      </w:r>
      <w:r w:rsidRPr="00D218C0">
        <w:t>objections, le paragraphe 4 « Décide de renvoyer » a été adopté. Passant ensuite à l</w:t>
      </w:r>
      <w:r w:rsidR="00346F1B">
        <w:t>’</w:t>
      </w:r>
      <w:r w:rsidRPr="00D218C0">
        <w:t>adoption de la décision dans son ensemble, et en l</w:t>
      </w:r>
      <w:r w:rsidR="00346F1B">
        <w:t>’</w:t>
      </w:r>
      <w:r w:rsidRPr="00D218C0">
        <w:t>absence d</w:t>
      </w:r>
      <w:r w:rsidR="00346F1B">
        <w:t>’</w:t>
      </w:r>
      <w:r w:rsidRPr="00D218C0">
        <w:t xml:space="preserve">autres commentaires ou objections, le </w:t>
      </w:r>
      <w:r w:rsidRPr="00D218C0">
        <w:rPr>
          <w:b/>
        </w:rPr>
        <w:t>Président a déclaré adoptée la décision 11.COM 10.b.25 de renvoyer le pèlerinage de la Pentecôte à Şumuleu Ciuc (Csíksomlyó) à l</w:t>
      </w:r>
      <w:r w:rsidR="00346F1B">
        <w:rPr>
          <w:b/>
        </w:rPr>
        <w:t>’</w:t>
      </w:r>
      <w:r>
        <w:rPr>
          <w:b/>
        </w:rPr>
        <w:t>État soumissionnaire</w:t>
      </w:r>
      <w:r w:rsidRPr="00D218C0">
        <w:rPr>
          <w:b/>
        </w:rPr>
        <w:t xml:space="preserve"> pour complément d</w:t>
      </w:r>
      <w:r w:rsidR="00346F1B">
        <w:rPr>
          <w:b/>
        </w:rPr>
        <w:t>’</w:t>
      </w:r>
      <w:r w:rsidR="00443FC6">
        <w:rPr>
          <w:b/>
        </w:rPr>
        <w:t>information.</w:t>
      </w:r>
    </w:p>
    <w:p w14:paraId="11E79AFC" w14:textId="4EC1D789" w:rsidR="00D218C0" w:rsidRPr="00D218C0" w:rsidRDefault="00D218C0" w:rsidP="00F24F73">
      <w:pPr>
        <w:pStyle w:val="Orateurengris"/>
        <w:spacing w:before="120"/>
        <w:ind w:left="709" w:hanging="709"/>
        <w:rPr>
          <w:b/>
        </w:rPr>
      </w:pPr>
      <w:r w:rsidRPr="00D218C0">
        <w:t>La délégation de la</w:t>
      </w:r>
      <w:r>
        <w:rPr>
          <w:b/>
        </w:rPr>
        <w:t xml:space="preserve"> Roumanie </w:t>
      </w:r>
      <w:r w:rsidR="00A46CAD">
        <w:t>a remercié le Président et les membres</w:t>
      </w:r>
      <w:r>
        <w:t xml:space="preserve"> du Comité pour leur sage décision, ajoutant que le respect des procédures techniques profe</w:t>
      </w:r>
      <w:r w:rsidR="00443FC6">
        <w:t>ssionnelles prévalait.</w:t>
      </w:r>
    </w:p>
    <w:p w14:paraId="048C82CB" w14:textId="4A6C766F" w:rsidR="008119EB" w:rsidRPr="008119EB" w:rsidRDefault="008119EB" w:rsidP="00F24F73">
      <w:pPr>
        <w:pStyle w:val="Orateurengris"/>
        <w:spacing w:before="120"/>
        <w:ind w:left="709" w:hanging="709"/>
      </w:pPr>
      <w:r w:rsidRPr="008119EB">
        <w:t xml:space="preserve">La </w:t>
      </w:r>
      <w:r>
        <w:t xml:space="preserve">délégation de la </w:t>
      </w:r>
      <w:r w:rsidRPr="008119EB">
        <w:rPr>
          <w:b/>
        </w:rPr>
        <w:t>Hongrie</w:t>
      </w:r>
      <w:r>
        <w:t xml:space="preserve"> acceptait de se conformer au consensus même si elle était surprise par la procédure. Elle avait néanmoins noté que, dans son intervention, la Roumanie s</w:t>
      </w:r>
      <w:r w:rsidR="00346F1B">
        <w:t>’</w:t>
      </w:r>
      <w:r>
        <w:t>était engagée à réviser son dossier et à retravailler sur le critère R.5.</w:t>
      </w:r>
    </w:p>
    <w:p w14:paraId="5056DE3A" w14:textId="4937B492" w:rsidR="008119EB" w:rsidRPr="008119EB" w:rsidRDefault="008119EB" w:rsidP="00F24F73">
      <w:pPr>
        <w:pStyle w:val="Orateurengris"/>
        <w:spacing w:before="120"/>
        <w:ind w:left="709" w:hanging="709"/>
      </w:pPr>
      <w:r w:rsidRPr="008119EB">
        <w:t xml:space="preserve">Le </w:t>
      </w:r>
      <w:r w:rsidRPr="008119EB">
        <w:rPr>
          <w:b/>
        </w:rPr>
        <w:t>Président</w:t>
      </w:r>
      <w:r w:rsidRPr="008119EB">
        <w:t xml:space="preserve"> </w:t>
      </w:r>
      <w:r w:rsidR="0040131A">
        <w:t>souhaitait</w:t>
      </w:r>
      <w:r w:rsidR="00384178">
        <w:t xml:space="preserve"> </w:t>
      </w:r>
      <w:r w:rsidRPr="008119EB">
        <w:t>faire un léger changement à l</w:t>
      </w:r>
      <w:r w:rsidR="00346F1B">
        <w:t>’</w:t>
      </w:r>
      <w:r w:rsidRPr="008119EB">
        <w:t>ordre d</w:t>
      </w:r>
      <w:r w:rsidR="00346F1B">
        <w:t>’</w:t>
      </w:r>
      <w:r w:rsidRPr="008119EB">
        <w:t xml:space="preserve">examen </w:t>
      </w:r>
      <w:r>
        <w:t>des dossiers car l</w:t>
      </w:r>
      <w:r w:rsidR="00346F1B">
        <w:t>’</w:t>
      </w:r>
      <w:r>
        <w:t>interprétation en espagnol et en arabe ne serait pas disponible lors de la séance prolongée.</w:t>
      </w:r>
      <w:r w:rsidR="00833C35">
        <w:t xml:space="preserve"> Il a donc proposé de passer au dossier</w:t>
      </w:r>
      <w:r>
        <w:t xml:space="preserve"> soumis par la République bolivarienne du Venezuela, puis à </w:t>
      </w:r>
      <w:r w:rsidR="00833C35">
        <w:t xml:space="preserve">ceux de </w:t>
      </w:r>
      <w:r>
        <w:t>la Sui</w:t>
      </w:r>
      <w:r w:rsidR="00833C35">
        <w:t>sse et du Viet Nam. Il n</w:t>
      </w:r>
      <w:r w:rsidR="00346F1B">
        <w:t>’</w:t>
      </w:r>
      <w:r w:rsidR="00833C35">
        <w:t>y a eu aucune objection à cette proposition</w:t>
      </w:r>
      <w:r w:rsidR="00443FC6">
        <w:t>.</w:t>
      </w:r>
    </w:p>
    <w:p w14:paraId="2FA6FB9F" w14:textId="08B79C04" w:rsidR="00E86A15" w:rsidRPr="00E86A15" w:rsidRDefault="00E86A15" w:rsidP="00F24F73">
      <w:pPr>
        <w:pStyle w:val="Orateurengris"/>
        <w:spacing w:before="120"/>
        <w:ind w:left="709" w:hanging="709"/>
        <w:rPr>
          <w:rFonts w:eastAsiaTheme="minorEastAsia"/>
        </w:rPr>
      </w:pPr>
      <w:r>
        <w:rPr>
          <w:rFonts w:eastAsiaTheme="minorEastAsia"/>
        </w:rPr>
        <w:t xml:space="preserve">Le </w:t>
      </w:r>
      <w:r w:rsidRPr="00026FD0">
        <w:rPr>
          <w:rFonts w:eastAsiaTheme="minorEastAsia"/>
          <w:b/>
        </w:rPr>
        <w:t>Vice-Président de l</w:t>
      </w:r>
      <w:r w:rsidR="00346F1B">
        <w:rPr>
          <w:rFonts w:eastAsiaTheme="minorEastAsia"/>
          <w:b/>
        </w:rPr>
        <w:t>’</w:t>
      </w:r>
      <w:r w:rsidRPr="00026FD0">
        <w:rPr>
          <w:rFonts w:eastAsiaTheme="minorEastAsia"/>
          <w:b/>
        </w:rPr>
        <w:t>Organe d</w:t>
      </w:r>
      <w:r w:rsidR="00346F1B">
        <w:rPr>
          <w:rFonts w:eastAsiaTheme="minorEastAsia"/>
          <w:b/>
        </w:rPr>
        <w:t>’</w:t>
      </w:r>
      <w:r w:rsidRPr="00026FD0">
        <w:rPr>
          <w:rFonts w:eastAsiaTheme="minorEastAsia"/>
          <w:b/>
        </w:rPr>
        <w:t>évaluation</w:t>
      </w:r>
      <w:r>
        <w:rPr>
          <w:rFonts w:eastAsiaTheme="minorEastAsia"/>
        </w:rPr>
        <w:t xml:space="preserve"> est passé à la </w:t>
      </w:r>
      <w:r w:rsidRPr="00E86A15">
        <w:rPr>
          <w:rFonts w:eastAsiaTheme="minorEastAsia"/>
        </w:rPr>
        <w:t>candidature</w:t>
      </w:r>
      <w:r>
        <w:rPr>
          <w:rFonts w:eastAsiaTheme="minorEastAsia"/>
        </w:rPr>
        <w:t xml:space="preserve"> suivante, </w:t>
      </w:r>
      <w:bookmarkStart w:id="44" w:name="Decision10b36"/>
      <w:r w:rsidRPr="00026FD0">
        <w:rPr>
          <w:rFonts w:eastAsiaTheme="minorEastAsia"/>
          <w:b/>
        </w:rPr>
        <w:t>le carnaval d</w:t>
      </w:r>
      <w:r w:rsidR="00346F1B">
        <w:rPr>
          <w:rFonts w:eastAsiaTheme="minorEastAsia"/>
          <w:b/>
        </w:rPr>
        <w:t>’</w:t>
      </w:r>
      <w:r w:rsidRPr="00026FD0">
        <w:rPr>
          <w:rFonts w:eastAsiaTheme="minorEastAsia"/>
          <w:b/>
        </w:rPr>
        <w:t>El Callao, représentation festive d</w:t>
      </w:r>
      <w:r w:rsidR="00346F1B">
        <w:rPr>
          <w:rFonts w:eastAsiaTheme="minorEastAsia"/>
          <w:b/>
        </w:rPr>
        <w:t>’</w:t>
      </w:r>
      <w:r w:rsidRPr="00026FD0">
        <w:rPr>
          <w:rFonts w:eastAsiaTheme="minorEastAsia"/>
          <w:b/>
        </w:rPr>
        <w:t>une mémoire et d</w:t>
      </w:r>
      <w:r w:rsidR="00346F1B">
        <w:rPr>
          <w:rFonts w:eastAsiaTheme="minorEastAsia"/>
          <w:b/>
        </w:rPr>
        <w:t>’</w:t>
      </w:r>
      <w:r w:rsidRPr="00026FD0">
        <w:rPr>
          <w:rFonts w:eastAsiaTheme="minorEastAsia"/>
          <w:b/>
        </w:rPr>
        <w:t>une identité culturelle</w:t>
      </w:r>
      <w:r>
        <w:rPr>
          <w:rFonts w:eastAsiaTheme="minorEastAsia"/>
        </w:rPr>
        <w:t xml:space="preserve"> </w:t>
      </w:r>
      <w:bookmarkEnd w:id="44"/>
      <w:r>
        <w:rPr>
          <w:rFonts w:eastAsiaTheme="minorEastAsia"/>
        </w:rPr>
        <w:t xml:space="preserve">[projet de décision 11.COM 10.b.36], soumise par la </w:t>
      </w:r>
      <w:r w:rsidRPr="00E86A15">
        <w:rPr>
          <w:rFonts w:eastAsiaTheme="minorEastAsia"/>
        </w:rPr>
        <w:t>République</w:t>
      </w:r>
      <w:r>
        <w:rPr>
          <w:rFonts w:eastAsiaTheme="minorEastAsia"/>
        </w:rPr>
        <w:t xml:space="preserve"> bolivarienne du Venezuela. Le carna</w:t>
      </w:r>
      <w:r w:rsidR="008A1DB5">
        <w:rPr>
          <w:rFonts w:eastAsiaTheme="minorEastAsia"/>
        </w:rPr>
        <w:t>val d</w:t>
      </w:r>
      <w:r w:rsidR="00346F1B">
        <w:rPr>
          <w:rFonts w:eastAsiaTheme="minorEastAsia"/>
        </w:rPr>
        <w:t>’</w:t>
      </w:r>
      <w:r w:rsidR="008A1DB5">
        <w:rPr>
          <w:rFonts w:eastAsiaTheme="minorEastAsia"/>
        </w:rPr>
        <w:t>El Callao, pratiqué dans d</w:t>
      </w:r>
      <w:r>
        <w:rPr>
          <w:rFonts w:eastAsiaTheme="minorEastAsia"/>
        </w:rPr>
        <w:t>es communaut</w:t>
      </w:r>
      <w:r w:rsidR="00641308">
        <w:rPr>
          <w:rFonts w:eastAsiaTheme="minorEastAsia"/>
        </w:rPr>
        <w:t>és du Venezuela, était associé aux célébrations d</w:t>
      </w:r>
      <w:r w:rsidR="00346F1B">
        <w:rPr>
          <w:rFonts w:eastAsiaTheme="minorEastAsia"/>
        </w:rPr>
        <w:t>’</w:t>
      </w:r>
      <w:r w:rsidR="00641308">
        <w:rPr>
          <w:rFonts w:eastAsiaTheme="minorEastAsia"/>
        </w:rPr>
        <w:t>émancipation qui se déroulaient dans les îles francophones des Caraïbes.</w:t>
      </w:r>
      <w:r w:rsidR="008A1DB5">
        <w:rPr>
          <w:rFonts w:eastAsiaTheme="minorEastAsia"/>
        </w:rPr>
        <w:t xml:space="preserve"> De janvier à mars, des défilés</w:t>
      </w:r>
      <w:r w:rsidR="00641308">
        <w:rPr>
          <w:rFonts w:eastAsiaTheme="minorEastAsia"/>
        </w:rPr>
        <w:t xml:space="preserve"> réunissant jusqu</w:t>
      </w:r>
      <w:r w:rsidR="00346F1B">
        <w:rPr>
          <w:rFonts w:eastAsiaTheme="minorEastAsia"/>
        </w:rPr>
        <w:t>’</w:t>
      </w:r>
      <w:r w:rsidR="00641308">
        <w:rPr>
          <w:rFonts w:eastAsiaTheme="minorEastAsia"/>
        </w:rPr>
        <w:t>à 3</w:t>
      </w:r>
      <w:r w:rsidR="00346F1B">
        <w:rPr>
          <w:rFonts w:eastAsiaTheme="minorEastAsia"/>
        </w:rPr>
        <w:t> 000</w:t>
      </w:r>
      <w:r w:rsidR="00641308">
        <w:rPr>
          <w:rFonts w:eastAsiaTheme="minorEastAsia"/>
        </w:rPr>
        <w:t xml:space="preserve"> personnes déguisées en personnages historiques et imaginaires, parcouraient les rues</w:t>
      </w:r>
      <w:r w:rsidR="0040131A">
        <w:rPr>
          <w:rFonts w:eastAsiaTheme="minorEastAsia"/>
        </w:rPr>
        <w:t>,</w:t>
      </w:r>
      <w:r w:rsidR="00641308">
        <w:rPr>
          <w:rFonts w:eastAsiaTheme="minorEastAsia"/>
        </w:rPr>
        <w:t xml:space="preserve"> accompagnés de musique, de danse et de concerts. Le carnaval mettait en avant l</w:t>
      </w:r>
      <w:r w:rsidR="00346F1B">
        <w:rPr>
          <w:rFonts w:eastAsiaTheme="minorEastAsia"/>
        </w:rPr>
        <w:t>’</w:t>
      </w:r>
      <w:r w:rsidR="00641308">
        <w:rPr>
          <w:rFonts w:eastAsiaTheme="minorEastAsia"/>
        </w:rPr>
        <w:t>histoire des Callaoenses, renforçait leur identité culturelle, favorisait l</w:t>
      </w:r>
      <w:r w:rsidR="00346F1B">
        <w:rPr>
          <w:rFonts w:eastAsiaTheme="minorEastAsia"/>
        </w:rPr>
        <w:t>’</w:t>
      </w:r>
      <w:r w:rsidR="00641308">
        <w:rPr>
          <w:rFonts w:eastAsiaTheme="minorEastAsia"/>
        </w:rPr>
        <w:t xml:space="preserve">unité et encourageait la découverte de leur histoire par les jeunes générations. La transmission se faisait au sein du cercle familial et dans des écoles tenues par les </w:t>
      </w:r>
      <w:r w:rsidR="00641308" w:rsidRPr="00641308">
        <w:rPr>
          <w:rFonts w:eastAsiaTheme="minorEastAsia"/>
        </w:rPr>
        <w:t>détenteurs</w:t>
      </w:r>
      <w:r w:rsidR="00641308">
        <w:rPr>
          <w:rFonts w:eastAsiaTheme="minorEastAsia"/>
        </w:rPr>
        <w:t>. L</w:t>
      </w:r>
      <w:r w:rsidR="00346F1B">
        <w:rPr>
          <w:rFonts w:eastAsiaTheme="minorEastAsia"/>
        </w:rPr>
        <w:t>’</w:t>
      </w:r>
      <w:r w:rsidR="00641308">
        <w:rPr>
          <w:rFonts w:eastAsiaTheme="minorEastAsia"/>
        </w:rPr>
        <w:t>Organe d</w:t>
      </w:r>
      <w:r w:rsidR="00346F1B">
        <w:rPr>
          <w:rFonts w:eastAsiaTheme="minorEastAsia"/>
        </w:rPr>
        <w:t>’</w:t>
      </w:r>
      <w:r w:rsidR="00641308">
        <w:rPr>
          <w:rFonts w:eastAsiaTheme="minorEastAsia"/>
        </w:rPr>
        <w:t xml:space="preserve">évaluation avait décidé, </w:t>
      </w:r>
      <w:r w:rsidR="00026FD0">
        <w:rPr>
          <w:rFonts w:eastAsiaTheme="minorEastAsia"/>
        </w:rPr>
        <w:t>d</w:t>
      </w:r>
      <w:r w:rsidR="00346F1B">
        <w:rPr>
          <w:rFonts w:eastAsiaTheme="minorEastAsia"/>
        </w:rPr>
        <w:t>’</w:t>
      </w:r>
      <w:r w:rsidR="00026FD0">
        <w:rPr>
          <w:rFonts w:eastAsiaTheme="minorEastAsia"/>
        </w:rPr>
        <w:t xml:space="preserve">après les </w:t>
      </w:r>
      <w:r w:rsidR="00026FD0" w:rsidRPr="00026FD0">
        <w:rPr>
          <w:rFonts w:eastAsiaTheme="minorEastAsia"/>
        </w:rPr>
        <w:t>informations</w:t>
      </w:r>
      <w:r w:rsidR="00026FD0">
        <w:rPr>
          <w:rFonts w:eastAsiaTheme="minorEastAsia"/>
        </w:rPr>
        <w:t xml:space="preserve"> contenues dans le dossier, que la </w:t>
      </w:r>
      <w:r w:rsidR="00026FD0" w:rsidRPr="00026FD0">
        <w:rPr>
          <w:rFonts w:eastAsiaTheme="minorEastAsia"/>
        </w:rPr>
        <w:t>candidature</w:t>
      </w:r>
      <w:r w:rsidR="0040131A">
        <w:rPr>
          <w:rFonts w:eastAsiaTheme="minorEastAsia"/>
        </w:rPr>
        <w:t xml:space="preserve"> satisfaisait les</w:t>
      </w:r>
      <w:r w:rsidR="00026FD0">
        <w:rPr>
          <w:rFonts w:eastAsiaTheme="minorEastAsia"/>
        </w:rPr>
        <w:t xml:space="preserve"> critères R.1, R.2, R.3 et R.4. Le carnaval d</w:t>
      </w:r>
      <w:r w:rsidR="00346F1B">
        <w:rPr>
          <w:rFonts w:eastAsiaTheme="minorEastAsia"/>
        </w:rPr>
        <w:t>’</w:t>
      </w:r>
      <w:r w:rsidR="00026FD0">
        <w:rPr>
          <w:rFonts w:eastAsiaTheme="minorEastAsia"/>
        </w:rPr>
        <w:t>El Callao jouait un rôle important pour entretenir la mémoire locale et le sentiment d</w:t>
      </w:r>
      <w:r w:rsidR="00346F1B">
        <w:rPr>
          <w:rFonts w:eastAsiaTheme="minorEastAsia"/>
        </w:rPr>
        <w:t>’</w:t>
      </w:r>
      <w:r w:rsidR="00026FD0">
        <w:rPr>
          <w:rFonts w:eastAsiaTheme="minorEastAsia"/>
        </w:rPr>
        <w:t>appartenance et d</w:t>
      </w:r>
      <w:r w:rsidR="00346F1B">
        <w:rPr>
          <w:rFonts w:eastAsiaTheme="minorEastAsia"/>
        </w:rPr>
        <w:t>’</w:t>
      </w:r>
      <w:r w:rsidR="00026FD0">
        <w:rPr>
          <w:rFonts w:eastAsiaTheme="minorEastAsia"/>
        </w:rPr>
        <w:t>identité des communautés concernées. Différents aspects associés à ce carnaval favorisaient l</w:t>
      </w:r>
      <w:r w:rsidR="00346F1B">
        <w:rPr>
          <w:rFonts w:eastAsiaTheme="minorEastAsia"/>
        </w:rPr>
        <w:t>’</w:t>
      </w:r>
      <w:r w:rsidR="00026FD0">
        <w:rPr>
          <w:rFonts w:eastAsiaTheme="minorEastAsia"/>
        </w:rPr>
        <w:t>harmonie et le divertissement collectif tout en respectant la diversité d</w:t>
      </w:r>
      <w:r w:rsidR="00346F1B">
        <w:rPr>
          <w:rFonts w:eastAsiaTheme="minorEastAsia"/>
        </w:rPr>
        <w:t>’</w:t>
      </w:r>
      <w:r w:rsidR="00026FD0">
        <w:rPr>
          <w:rFonts w:eastAsiaTheme="minorEastAsia"/>
        </w:rPr>
        <w:t xml:space="preserve">autres individus, groupes et communautés. </w:t>
      </w:r>
      <w:r w:rsidR="00026FD0" w:rsidRPr="00026FD0">
        <w:rPr>
          <w:rFonts w:eastAsiaTheme="minorEastAsia"/>
        </w:rPr>
        <w:t>Toutefois</w:t>
      </w:r>
      <w:r w:rsidR="00026FD0">
        <w:rPr>
          <w:rFonts w:eastAsiaTheme="minorEastAsia"/>
        </w:rPr>
        <w:t>, l</w:t>
      </w:r>
      <w:r w:rsidR="00346F1B">
        <w:rPr>
          <w:rFonts w:eastAsiaTheme="minorEastAsia"/>
        </w:rPr>
        <w:t>’</w:t>
      </w:r>
      <w:r w:rsidR="00026FD0">
        <w:rPr>
          <w:rFonts w:eastAsiaTheme="minorEastAsia"/>
        </w:rPr>
        <w:t>Organe d</w:t>
      </w:r>
      <w:r w:rsidR="00346F1B">
        <w:rPr>
          <w:rFonts w:eastAsiaTheme="minorEastAsia"/>
        </w:rPr>
        <w:t>’</w:t>
      </w:r>
      <w:r w:rsidR="00026FD0">
        <w:rPr>
          <w:rFonts w:eastAsiaTheme="minorEastAsia"/>
        </w:rPr>
        <w:t xml:space="preserve">évaluation avait estimé que les </w:t>
      </w:r>
      <w:r w:rsidR="00026FD0" w:rsidRPr="00026FD0">
        <w:rPr>
          <w:rFonts w:eastAsiaTheme="minorEastAsia"/>
        </w:rPr>
        <w:t>informations</w:t>
      </w:r>
      <w:r w:rsidR="00026FD0">
        <w:rPr>
          <w:rFonts w:eastAsiaTheme="minorEastAsia"/>
        </w:rPr>
        <w:t xml:space="preserve"> contenues dans le dossier n</w:t>
      </w:r>
      <w:r w:rsidR="00346F1B">
        <w:rPr>
          <w:rFonts w:eastAsiaTheme="minorEastAsia"/>
        </w:rPr>
        <w:t>’</w:t>
      </w:r>
      <w:r w:rsidR="00026FD0">
        <w:rPr>
          <w:rFonts w:eastAsiaTheme="minorEastAsia"/>
        </w:rPr>
        <w:t xml:space="preserve">étaient pas suffisantes pour déterminer si le </w:t>
      </w:r>
      <w:r w:rsidR="00026FD0" w:rsidRPr="00026FD0">
        <w:rPr>
          <w:rFonts w:eastAsiaTheme="minorEastAsia"/>
        </w:rPr>
        <w:t>critère</w:t>
      </w:r>
      <w:r w:rsidR="00026FD0">
        <w:rPr>
          <w:rFonts w:eastAsiaTheme="minorEastAsia"/>
        </w:rPr>
        <w:t xml:space="preserve"> R.5 était satisfait. Le carnaval d</w:t>
      </w:r>
      <w:r w:rsidR="00346F1B">
        <w:rPr>
          <w:rFonts w:eastAsiaTheme="minorEastAsia"/>
        </w:rPr>
        <w:t>’</w:t>
      </w:r>
      <w:r w:rsidR="00026FD0">
        <w:rPr>
          <w:rFonts w:eastAsiaTheme="minorEastAsia"/>
        </w:rPr>
        <w:t xml:space="preserve">El Callao était inscrit au Registre vénézuélien du </w:t>
      </w:r>
      <w:r w:rsidR="00026FD0" w:rsidRPr="00026FD0">
        <w:rPr>
          <w:rFonts w:eastAsiaTheme="minorEastAsia"/>
        </w:rPr>
        <w:t>patrimoine</w:t>
      </w:r>
      <w:r w:rsidR="00026FD0">
        <w:rPr>
          <w:rFonts w:eastAsiaTheme="minorEastAsia"/>
        </w:rPr>
        <w:t xml:space="preserve"> </w:t>
      </w:r>
      <w:r w:rsidR="00026FD0" w:rsidRPr="00026FD0">
        <w:rPr>
          <w:rFonts w:eastAsiaTheme="minorEastAsia"/>
        </w:rPr>
        <w:t>culturel</w:t>
      </w:r>
      <w:r w:rsidR="00026FD0">
        <w:rPr>
          <w:rFonts w:eastAsiaTheme="minorEastAsia"/>
        </w:rPr>
        <w:t>, qui avait été préparé par l</w:t>
      </w:r>
      <w:r w:rsidR="00346F1B">
        <w:rPr>
          <w:rFonts w:eastAsiaTheme="minorEastAsia"/>
        </w:rPr>
        <w:t>’</w:t>
      </w:r>
      <w:r w:rsidR="00026FD0">
        <w:rPr>
          <w:rFonts w:eastAsiaTheme="minorEastAsia"/>
        </w:rPr>
        <w:t xml:space="preserve">Institut du </w:t>
      </w:r>
      <w:r w:rsidR="00026FD0" w:rsidRPr="00026FD0">
        <w:rPr>
          <w:rFonts w:eastAsiaTheme="minorEastAsia"/>
        </w:rPr>
        <w:t>patrimoine</w:t>
      </w:r>
      <w:r w:rsidR="00026FD0">
        <w:rPr>
          <w:rFonts w:eastAsiaTheme="minorEastAsia"/>
        </w:rPr>
        <w:t xml:space="preserve"> </w:t>
      </w:r>
      <w:r w:rsidR="00026FD0" w:rsidRPr="00026FD0">
        <w:rPr>
          <w:rFonts w:eastAsiaTheme="minorEastAsia"/>
        </w:rPr>
        <w:t>culturel</w:t>
      </w:r>
      <w:r w:rsidR="00026FD0">
        <w:rPr>
          <w:rFonts w:eastAsiaTheme="minorEastAsia"/>
        </w:rPr>
        <w:t xml:space="preserve"> entre 2004 et 2010, et des preuv</w:t>
      </w:r>
      <w:r w:rsidR="008A1DB5">
        <w:rPr>
          <w:rFonts w:eastAsiaTheme="minorEastAsia"/>
        </w:rPr>
        <w:t>es en avaient été fournies. L</w:t>
      </w:r>
      <w:r w:rsidR="00346F1B">
        <w:rPr>
          <w:rFonts w:eastAsiaTheme="minorEastAsia"/>
        </w:rPr>
        <w:t>’</w:t>
      </w:r>
      <w:r w:rsidR="008A1DB5">
        <w:rPr>
          <w:rFonts w:eastAsiaTheme="minorEastAsia"/>
        </w:rPr>
        <w:t>État soumissionnaire</w:t>
      </w:r>
      <w:r w:rsidR="00026FD0">
        <w:rPr>
          <w:rFonts w:eastAsiaTheme="minorEastAsia"/>
        </w:rPr>
        <w:t xml:space="preserve"> n</w:t>
      </w:r>
      <w:r w:rsidR="00346F1B">
        <w:rPr>
          <w:rFonts w:eastAsiaTheme="minorEastAsia"/>
        </w:rPr>
        <w:t>’</w:t>
      </w:r>
      <w:r w:rsidR="00026FD0">
        <w:rPr>
          <w:rFonts w:eastAsiaTheme="minorEastAsia"/>
        </w:rPr>
        <w:t xml:space="preserve">avait cependant pas indiqué de quelle manière la </w:t>
      </w:r>
      <w:r w:rsidR="00026FD0" w:rsidRPr="00026FD0">
        <w:rPr>
          <w:rFonts w:eastAsiaTheme="minorEastAsia"/>
        </w:rPr>
        <w:t>communauté</w:t>
      </w:r>
      <w:r w:rsidR="00026FD0">
        <w:rPr>
          <w:rFonts w:eastAsiaTheme="minorEastAsia"/>
        </w:rPr>
        <w:t xml:space="preserve"> avait participé au processus d</w:t>
      </w:r>
      <w:r w:rsidR="00346F1B">
        <w:rPr>
          <w:rFonts w:eastAsiaTheme="minorEastAsia"/>
        </w:rPr>
        <w:t>’</w:t>
      </w:r>
      <w:r w:rsidR="00026FD0" w:rsidRPr="00026FD0">
        <w:rPr>
          <w:rFonts w:eastAsiaTheme="minorEastAsia"/>
        </w:rPr>
        <w:t>inscription</w:t>
      </w:r>
      <w:r w:rsidR="00026FD0">
        <w:rPr>
          <w:rFonts w:eastAsiaTheme="minorEastAsia"/>
        </w:rPr>
        <w:t>, ni à quelle fréquence l</w:t>
      </w:r>
      <w:r w:rsidR="00346F1B">
        <w:rPr>
          <w:rFonts w:eastAsiaTheme="minorEastAsia"/>
        </w:rPr>
        <w:t>’</w:t>
      </w:r>
      <w:r w:rsidR="00026FD0" w:rsidRPr="00026FD0">
        <w:rPr>
          <w:rFonts w:eastAsiaTheme="minorEastAsia"/>
        </w:rPr>
        <w:t>inventaire</w:t>
      </w:r>
      <w:r w:rsidR="00026FD0">
        <w:rPr>
          <w:rFonts w:eastAsiaTheme="minorEastAsia"/>
        </w:rPr>
        <w:t xml:space="preserve"> était mis à jour. L</w:t>
      </w:r>
      <w:r w:rsidR="00346F1B">
        <w:rPr>
          <w:rFonts w:eastAsiaTheme="minorEastAsia"/>
        </w:rPr>
        <w:t>’</w:t>
      </w:r>
      <w:r w:rsidR="00026FD0">
        <w:rPr>
          <w:rFonts w:eastAsiaTheme="minorEastAsia"/>
        </w:rPr>
        <w:t>Organe d</w:t>
      </w:r>
      <w:r w:rsidR="00346F1B">
        <w:rPr>
          <w:rFonts w:eastAsiaTheme="minorEastAsia"/>
        </w:rPr>
        <w:t>’</w:t>
      </w:r>
      <w:r w:rsidR="00026FD0">
        <w:rPr>
          <w:rFonts w:eastAsiaTheme="minorEastAsia"/>
        </w:rPr>
        <w:t>évaluation avait décidé de recommander le renvoi du carnaval d</w:t>
      </w:r>
      <w:r w:rsidR="00346F1B">
        <w:rPr>
          <w:rFonts w:eastAsiaTheme="minorEastAsia"/>
        </w:rPr>
        <w:t>’</w:t>
      </w:r>
      <w:r w:rsidR="00026FD0">
        <w:rPr>
          <w:rFonts w:eastAsiaTheme="minorEastAsia"/>
        </w:rPr>
        <w:t>El Callao, représentation festive d</w:t>
      </w:r>
      <w:r w:rsidR="00346F1B">
        <w:rPr>
          <w:rFonts w:eastAsiaTheme="minorEastAsia"/>
        </w:rPr>
        <w:t>’</w:t>
      </w:r>
      <w:r w:rsidR="00026FD0">
        <w:rPr>
          <w:rFonts w:eastAsiaTheme="minorEastAsia"/>
        </w:rPr>
        <w:t>une mémoire et d</w:t>
      </w:r>
      <w:r w:rsidR="00346F1B">
        <w:rPr>
          <w:rFonts w:eastAsiaTheme="minorEastAsia"/>
        </w:rPr>
        <w:t>’</w:t>
      </w:r>
      <w:r w:rsidR="00026FD0">
        <w:rPr>
          <w:rFonts w:eastAsiaTheme="minorEastAsia"/>
        </w:rPr>
        <w:t>une identité culturelle à l</w:t>
      </w:r>
      <w:r w:rsidR="00346F1B">
        <w:rPr>
          <w:rFonts w:eastAsiaTheme="minorEastAsia"/>
        </w:rPr>
        <w:t>’</w:t>
      </w:r>
      <w:r w:rsidR="00026FD0">
        <w:rPr>
          <w:rFonts w:eastAsiaTheme="minorEastAsia"/>
        </w:rPr>
        <w:t>État soumissionnaire pour complément d</w:t>
      </w:r>
      <w:r w:rsidR="00346F1B">
        <w:rPr>
          <w:rFonts w:eastAsiaTheme="minorEastAsia"/>
        </w:rPr>
        <w:t>’</w:t>
      </w:r>
      <w:r w:rsidR="00443FC6">
        <w:rPr>
          <w:rFonts w:eastAsiaTheme="minorEastAsia"/>
        </w:rPr>
        <w:t>information.</w:t>
      </w:r>
    </w:p>
    <w:p w14:paraId="00017189" w14:textId="31EA9C69" w:rsidR="008A1DB5" w:rsidRPr="008A1DB5" w:rsidRDefault="008A1DB5" w:rsidP="00F24F73">
      <w:pPr>
        <w:pStyle w:val="Orateurengris"/>
        <w:spacing w:before="120"/>
        <w:ind w:left="709" w:hanging="709"/>
        <w:rPr>
          <w:rFonts w:eastAsiaTheme="minorEastAsia"/>
        </w:rPr>
      </w:pPr>
      <w:r w:rsidRPr="008A1DB5">
        <w:rPr>
          <w:rFonts w:eastAsiaTheme="minorEastAsia"/>
        </w:rPr>
        <w:t xml:space="preserve">Le </w:t>
      </w:r>
      <w:r w:rsidRPr="008A1DB5">
        <w:rPr>
          <w:rFonts w:eastAsiaTheme="minorEastAsia"/>
          <w:b/>
        </w:rPr>
        <w:t>Président</w:t>
      </w:r>
      <w:r w:rsidRPr="008A1DB5">
        <w:rPr>
          <w:rFonts w:eastAsiaTheme="minorEastAsia"/>
        </w:rPr>
        <w:t xml:space="preserve"> a remercié le </w:t>
      </w:r>
      <w:r>
        <w:rPr>
          <w:rFonts w:eastAsiaTheme="minorEastAsia"/>
        </w:rPr>
        <w:t>Vice-Président de l</w:t>
      </w:r>
      <w:r w:rsidR="00346F1B">
        <w:rPr>
          <w:rFonts w:eastAsiaTheme="minorEastAsia"/>
        </w:rPr>
        <w:t>’</w:t>
      </w:r>
      <w:r>
        <w:rPr>
          <w:rFonts w:eastAsiaTheme="minorEastAsia"/>
        </w:rPr>
        <w:t>Organe d</w:t>
      </w:r>
      <w:r w:rsidR="00346F1B">
        <w:rPr>
          <w:rFonts w:eastAsiaTheme="minorEastAsia"/>
        </w:rPr>
        <w:t>’</w:t>
      </w:r>
      <w:r>
        <w:rPr>
          <w:rFonts w:eastAsiaTheme="minorEastAsia"/>
        </w:rPr>
        <w:t>évaluation pour les explications détaillées, et a précisé qu</w:t>
      </w:r>
      <w:r w:rsidR="00346F1B">
        <w:rPr>
          <w:rFonts w:eastAsiaTheme="minorEastAsia"/>
        </w:rPr>
        <w:t>’</w:t>
      </w:r>
      <w:r>
        <w:rPr>
          <w:rFonts w:eastAsiaTheme="minorEastAsia"/>
        </w:rPr>
        <w:t>aucune demande de débat ou d</w:t>
      </w:r>
      <w:r w:rsidR="00346F1B">
        <w:rPr>
          <w:rFonts w:eastAsiaTheme="minorEastAsia"/>
        </w:rPr>
        <w:t>’</w:t>
      </w:r>
      <w:r w:rsidRPr="008A1DB5">
        <w:rPr>
          <w:rFonts w:eastAsiaTheme="minorEastAsia"/>
        </w:rPr>
        <w:t>amendement</w:t>
      </w:r>
      <w:r>
        <w:rPr>
          <w:rFonts w:eastAsiaTheme="minorEastAsia"/>
        </w:rPr>
        <w:t xml:space="preserve"> n</w:t>
      </w:r>
      <w:r w:rsidR="00346F1B">
        <w:rPr>
          <w:rFonts w:eastAsiaTheme="minorEastAsia"/>
        </w:rPr>
        <w:t>’</w:t>
      </w:r>
      <w:r w:rsidR="00443FC6">
        <w:rPr>
          <w:rFonts w:eastAsiaTheme="minorEastAsia"/>
        </w:rPr>
        <w:t>avait été reçue.</w:t>
      </w:r>
    </w:p>
    <w:p w14:paraId="5F29DFEF" w14:textId="7C49FB45" w:rsidR="00B94910" w:rsidRPr="00B94910" w:rsidRDefault="00EC5CD0" w:rsidP="00F24F73">
      <w:pPr>
        <w:pStyle w:val="Orateurengris"/>
        <w:spacing w:before="120"/>
        <w:ind w:left="709" w:hanging="709"/>
        <w:rPr>
          <w:rFonts w:eastAsiaTheme="minorEastAsia"/>
        </w:rPr>
      </w:pPr>
      <w:r>
        <w:rPr>
          <w:rFonts w:eastAsiaTheme="minorEastAsia"/>
        </w:rPr>
        <w:t xml:space="preserve">La </w:t>
      </w:r>
      <w:r w:rsidRPr="00EC5CD0">
        <w:rPr>
          <w:rFonts w:eastAsiaTheme="minorEastAsia"/>
        </w:rPr>
        <w:t>délégation</w:t>
      </w:r>
      <w:r>
        <w:rPr>
          <w:rFonts w:eastAsiaTheme="minorEastAsia"/>
        </w:rPr>
        <w:t xml:space="preserve"> de </w:t>
      </w:r>
      <w:r w:rsidRPr="00EC5CD0">
        <w:rPr>
          <w:rFonts w:eastAsiaTheme="minorEastAsia"/>
          <w:b/>
        </w:rPr>
        <w:t>Cuba</w:t>
      </w:r>
      <w:r>
        <w:rPr>
          <w:rFonts w:eastAsiaTheme="minorEastAsia"/>
        </w:rPr>
        <w:t xml:space="preserve"> a félicité le Venezuela d</w:t>
      </w:r>
      <w:r w:rsidR="00346F1B">
        <w:rPr>
          <w:rFonts w:eastAsiaTheme="minorEastAsia"/>
        </w:rPr>
        <w:t>’</w:t>
      </w:r>
      <w:r>
        <w:rPr>
          <w:rFonts w:eastAsiaTheme="minorEastAsia"/>
        </w:rPr>
        <w:t xml:space="preserve">avoir soumis ce dossier de grande qualité, comme le reflétait la </w:t>
      </w:r>
      <w:r w:rsidRPr="00EC5CD0">
        <w:rPr>
          <w:rFonts w:eastAsiaTheme="minorEastAsia"/>
        </w:rPr>
        <w:t>recommandation</w:t>
      </w:r>
      <w:r>
        <w:rPr>
          <w:rFonts w:eastAsiaTheme="minorEastAsia"/>
        </w:rPr>
        <w:t xml:space="preserve"> de l</w:t>
      </w:r>
      <w:r w:rsidR="00346F1B">
        <w:rPr>
          <w:rFonts w:eastAsiaTheme="minorEastAsia"/>
        </w:rPr>
        <w:t>’</w:t>
      </w:r>
      <w:r>
        <w:rPr>
          <w:rFonts w:eastAsiaTheme="minorEastAsia"/>
        </w:rPr>
        <w:t>Organe d</w:t>
      </w:r>
      <w:r w:rsidR="00346F1B">
        <w:rPr>
          <w:rFonts w:eastAsiaTheme="minorEastAsia"/>
        </w:rPr>
        <w:t>’</w:t>
      </w:r>
      <w:r>
        <w:rPr>
          <w:rFonts w:eastAsiaTheme="minorEastAsia"/>
        </w:rPr>
        <w:t>évaluation</w:t>
      </w:r>
      <w:r w:rsidR="00C51C33">
        <w:rPr>
          <w:rFonts w:eastAsiaTheme="minorEastAsia"/>
        </w:rPr>
        <w:t xml:space="preserve"> qu</w:t>
      </w:r>
      <w:r w:rsidR="00346F1B">
        <w:rPr>
          <w:rFonts w:eastAsiaTheme="minorEastAsia"/>
        </w:rPr>
        <w:t>’</w:t>
      </w:r>
      <w:r w:rsidR="00C51C33">
        <w:rPr>
          <w:rFonts w:eastAsiaTheme="minorEastAsia"/>
        </w:rPr>
        <w:t>elle remerciait pour ce travail</w:t>
      </w:r>
      <w:r w:rsidR="00B94910">
        <w:rPr>
          <w:rFonts w:eastAsiaTheme="minorEastAsia"/>
        </w:rPr>
        <w:t xml:space="preserve">. Elle souhaitait toutefois présenter un </w:t>
      </w:r>
      <w:r w:rsidR="00B94910" w:rsidRPr="00B94910">
        <w:rPr>
          <w:rFonts w:eastAsiaTheme="minorEastAsia"/>
        </w:rPr>
        <w:t>amendement</w:t>
      </w:r>
      <w:r w:rsidR="00B94910">
        <w:rPr>
          <w:rFonts w:eastAsiaTheme="minorEastAsia"/>
        </w:rPr>
        <w:t xml:space="preserve"> sur le </w:t>
      </w:r>
      <w:r w:rsidR="00B94910" w:rsidRPr="00B94910">
        <w:rPr>
          <w:rFonts w:eastAsiaTheme="minorEastAsia"/>
        </w:rPr>
        <w:t>critère</w:t>
      </w:r>
      <w:r w:rsidR="00C51C33">
        <w:rPr>
          <w:rFonts w:eastAsiaTheme="minorEastAsia"/>
        </w:rPr>
        <w:t xml:space="preserve"> R.5 qui, malgré l</w:t>
      </w:r>
      <w:r w:rsidR="00346F1B">
        <w:rPr>
          <w:rFonts w:eastAsiaTheme="minorEastAsia"/>
        </w:rPr>
        <w:t>’</w:t>
      </w:r>
      <w:r w:rsidR="00B94910" w:rsidRPr="00B94910">
        <w:rPr>
          <w:rFonts w:eastAsiaTheme="minorEastAsia"/>
        </w:rPr>
        <w:t>évaluation</w:t>
      </w:r>
      <w:r w:rsidR="00C51C33">
        <w:rPr>
          <w:rFonts w:eastAsiaTheme="minorEastAsia"/>
        </w:rPr>
        <w:t xml:space="preserve"> de l</w:t>
      </w:r>
      <w:r w:rsidR="00346F1B">
        <w:rPr>
          <w:rFonts w:eastAsiaTheme="minorEastAsia"/>
        </w:rPr>
        <w:t>’</w:t>
      </w:r>
      <w:r w:rsidR="00C51C33">
        <w:rPr>
          <w:rFonts w:eastAsiaTheme="minorEastAsia"/>
        </w:rPr>
        <w:t>Organe</w:t>
      </w:r>
      <w:r w:rsidR="00B94910">
        <w:rPr>
          <w:rFonts w:eastAsiaTheme="minorEastAsia"/>
        </w:rPr>
        <w:t>, démontrait que l</w:t>
      </w:r>
      <w:r w:rsidR="00346F1B">
        <w:rPr>
          <w:rFonts w:eastAsiaTheme="minorEastAsia"/>
        </w:rPr>
        <w:t>’</w:t>
      </w:r>
      <w:r w:rsidR="00B94910" w:rsidRPr="00B94910">
        <w:rPr>
          <w:rFonts w:eastAsiaTheme="minorEastAsia"/>
        </w:rPr>
        <w:t>élément</w:t>
      </w:r>
      <w:r w:rsidR="00B94910">
        <w:rPr>
          <w:rFonts w:eastAsiaTheme="minorEastAsia"/>
        </w:rPr>
        <w:t xml:space="preserve"> était inclus à l</w:t>
      </w:r>
      <w:r w:rsidR="00346F1B">
        <w:rPr>
          <w:rFonts w:eastAsiaTheme="minorEastAsia"/>
        </w:rPr>
        <w:t>’</w:t>
      </w:r>
      <w:r w:rsidR="00B94910" w:rsidRPr="00B94910">
        <w:rPr>
          <w:rFonts w:eastAsiaTheme="minorEastAsia"/>
        </w:rPr>
        <w:t>inventaire</w:t>
      </w:r>
      <w:r w:rsidR="00C51C33">
        <w:rPr>
          <w:rFonts w:eastAsiaTheme="minorEastAsia"/>
        </w:rPr>
        <w:t xml:space="preserve"> vénézuélien ; </w:t>
      </w:r>
      <w:r w:rsidR="00B94910">
        <w:rPr>
          <w:rFonts w:eastAsiaTheme="minorEastAsia"/>
        </w:rPr>
        <w:t xml:space="preserve">la </w:t>
      </w:r>
      <w:r w:rsidR="00B94910" w:rsidRPr="00B94910">
        <w:rPr>
          <w:rFonts w:eastAsiaTheme="minorEastAsia"/>
        </w:rPr>
        <w:t>participation</w:t>
      </w:r>
      <w:r w:rsidR="00B94910">
        <w:rPr>
          <w:rFonts w:eastAsiaTheme="minorEastAsia"/>
        </w:rPr>
        <w:t xml:space="preserve"> des communautés aux différe</w:t>
      </w:r>
      <w:r w:rsidR="00C51C33">
        <w:rPr>
          <w:rFonts w:eastAsiaTheme="minorEastAsia"/>
        </w:rPr>
        <w:t xml:space="preserve">ntes procédures légales avait </w:t>
      </w:r>
      <w:r w:rsidR="00C51C33" w:rsidRPr="00C51C33">
        <w:rPr>
          <w:rFonts w:eastAsiaTheme="minorEastAsia"/>
        </w:rPr>
        <w:t>également</w:t>
      </w:r>
      <w:r w:rsidR="00C51C33">
        <w:rPr>
          <w:rFonts w:eastAsiaTheme="minorEastAsia"/>
        </w:rPr>
        <w:t xml:space="preserve"> été bien documentée. Elle a rappelé que si l</w:t>
      </w:r>
      <w:r w:rsidR="00346F1B">
        <w:rPr>
          <w:rFonts w:eastAsiaTheme="minorEastAsia"/>
        </w:rPr>
        <w:t>’</w:t>
      </w:r>
      <w:r w:rsidR="00C51C33">
        <w:rPr>
          <w:rFonts w:eastAsiaTheme="minorEastAsia"/>
        </w:rPr>
        <w:t>Organe n</w:t>
      </w:r>
      <w:r w:rsidR="00346F1B">
        <w:rPr>
          <w:rFonts w:eastAsiaTheme="minorEastAsia"/>
        </w:rPr>
        <w:t>’</w:t>
      </w:r>
      <w:r w:rsidR="00C51C33">
        <w:rPr>
          <w:rFonts w:eastAsiaTheme="minorEastAsia"/>
        </w:rPr>
        <w:t xml:space="preserve">avait trouvé aucune indication précise de la manière dont la </w:t>
      </w:r>
      <w:r w:rsidR="00C51C33" w:rsidRPr="00C51C33">
        <w:rPr>
          <w:rFonts w:eastAsiaTheme="minorEastAsia"/>
        </w:rPr>
        <w:t>communauté</w:t>
      </w:r>
      <w:r w:rsidR="00C51C33">
        <w:rPr>
          <w:rFonts w:eastAsiaTheme="minorEastAsia"/>
        </w:rPr>
        <w:t xml:space="preserve"> avait pris part au processus d</w:t>
      </w:r>
      <w:r w:rsidR="00346F1B">
        <w:rPr>
          <w:rFonts w:eastAsiaTheme="minorEastAsia"/>
        </w:rPr>
        <w:t>’</w:t>
      </w:r>
      <w:r w:rsidR="00C51C33" w:rsidRPr="00C51C33">
        <w:rPr>
          <w:rFonts w:eastAsiaTheme="minorEastAsia"/>
        </w:rPr>
        <w:t>inscription</w:t>
      </w:r>
      <w:r w:rsidR="00C51C33">
        <w:rPr>
          <w:rFonts w:eastAsiaTheme="minorEastAsia"/>
        </w:rPr>
        <w:t>, il n</w:t>
      </w:r>
      <w:r w:rsidR="00346F1B">
        <w:rPr>
          <w:rFonts w:eastAsiaTheme="minorEastAsia"/>
        </w:rPr>
        <w:t>’</w:t>
      </w:r>
      <w:r w:rsidR="00C51C33">
        <w:rPr>
          <w:rFonts w:eastAsiaTheme="minorEastAsia"/>
        </w:rPr>
        <w:t xml:space="preserve">avait pas dit que la </w:t>
      </w:r>
      <w:r w:rsidR="00C51C33" w:rsidRPr="00C51C33">
        <w:rPr>
          <w:rFonts w:eastAsiaTheme="minorEastAsia"/>
        </w:rPr>
        <w:t>communauté</w:t>
      </w:r>
      <w:r w:rsidR="00C51C33">
        <w:rPr>
          <w:rFonts w:eastAsiaTheme="minorEastAsia"/>
        </w:rPr>
        <w:t xml:space="preserve"> n</w:t>
      </w:r>
      <w:r w:rsidR="00346F1B">
        <w:rPr>
          <w:rFonts w:eastAsiaTheme="minorEastAsia"/>
        </w:rPr>
        <w:t>’</w:t>
      </w:r>
      <w:r w:rsidR="00C51C33">
        <w:rPr>
          <w:rFonts w:eastAsiaTheme="minorEastAsia"/>
        </w:rPr>
        <w:t>avait pas participé. Le Comité devr</w:t>
      </w:r>
      <w:r w:rsidR="00443FC6">
        <w:rPr>
          <w:rFonts w:eastAsiaTheme="minorEastAsia"/>
        </w:rPr>
        <w:t>ait donc réexaminer le dossier.</w:t>
      </w:r>
    </w:p>
    <w:p w14:paraId="6783D823" w14:textId="75AEA09E" w:rsidR="00C51C33" w:rsidRDefault="00C51C33" w:rsidP="00F24F73">
      <w:pPr>
        <w:pStyle w:val="Orateurengris"/>
        <w:spacing w:before="120"/>
        <w:ind w:left="709" w:hanging="709"/>
        <w:rPr>
          <w:rFonts w:eastAsiaTheme="minorEastAsia"/>
        </w:rPr>
      </w:pPr>
      <w:r>
        <w:rPr>
          <w:rFonts w:eastAsiaTheme="minorEastAsia"/>
        </w:rPr>
        <w:t xml:space="preserve">La </w:t>
      </w:r>
      <w:r w:rsidRPr="00C51C33">
        <w:rPr>
          <w:rFonts w:eastAsiaTheme="minorEastAsia"/>
        </w:rPr>
        <w:t>délégation</w:t>
      </w:r>
      <w:r>
        <w:rPr>
          <w:rFonts w:eastAsiaTheme="minorEastAsia"/>
        </w:rPr>
        <w:t xml:space="preserve"> de la </w:t>
      </w:r>
      <w:r w:rsidRPr="005A06E7">
        <w:rPr>
          <w:rFonts w:eastAsiaTheme="minorEastAsia"/>
          <w:b/>
        </w:rPr>
        <w:t>Colombie</w:t>
      </w:r>
      <w:r>
        <w:rPr>
          <w:rFonts w:eastAsiaTheme="minorEastAsia"/>
        </w:rPr>
        <w:t xml:space="preserve"> estimait que le carnaval d</w:t>
      </w:r>
      <w:r w:rsidR="00346F1B">
        <w:rPr>
          <w:rFonts w:eastAsiaTheme="minorEastAsia"/>
        </w:rPr>
        <w:t>’</w:t>
      </w:r>
      <w:r>
        <w:rPr>
          <w:rFonts w:eastAsiaTheme="minorEastAsia"/>
        </w:rPr>
        <w:t>El Callao était essentiel pour l</w:t>
      </w:r>
      <w:r w:rsidR="00346F1B">
        <w:rPr>
          <w:rFonts w:eastAsiaTheme="minorEastAsia"/>
        </w:rPr>
        <w:t>’</w:t>
      </w:r>
      <w:r>
        <w:rPr>
          <w:rFonts w:eastAsiaTheme="minorEastAsia"/>
        </w:rPr>
        <w:t xml:space="preserve">État soumissionnaire car il commémorait la partie francophone du pays, qui faisait partie intégrante </w:t>
      </w:r>
      <w:r w:rsidR="005A06E7">
        <w:rPr>
          <w:rFonts w:eastAsiaTheme="minorEastAsia"/>
        </w:rPr>
        <w:t>de l</w:t>
      </w:r>
      <w:r w:rsidR="00346F1B">
        <w:rPr>
          <w:rFonts w:eastAsiaTheme="minorEastAsia"/>
        </w:rPr>
        <w:t>’</w:t>
      </w:r>
      <w:r w:rsidR="005A06E7">
        <w:rPr>
          <w:rFonts w:eastAsiaTheme="minorEastAsia"/>
        </w:rPr>
        <w:t>histoire du pays. S</w:t>
      </w:r>
      <w:r w:rsidR="00346F1B">
        <w:rPr>
          <w:rFonts w:eastAsiaTheme="minorEastAsia"/>
        </w:rPr>
        <w:t>’</w:t>
      </w:r>
      <w:r w:rsidR="005A06E7">
        <w:rPr>
          <w:rFonts w:eastAsiaTheme="minorEastAsia"/>
        </w:rPr>
        <w:t xml:space="preserve">agissant du </w:t>
      </w:r>
      <w:r w:rsidR="005A06E7" w:rsidRPr="005A06E7">
        <w:rPr>
          <w:rFonts w:eastAsiaTheme="minorEastAsia"/>
        </w:rPr>
        <w:t>critère</w:t>
      </w:r>
      <w:r w:rsidR="005A06E7">
        <w:rPr>
          <w:rFonts w:eastAsiaTheme="minorEastAsia"/>
        </w:rPr>
        <w:t xml:space="preserve"> R.5, elle pensait que l</w:t>
      </w:r>
      <w:r w:rsidR="00346F1B">
        <w:rPr>
          <w:rFonts w:eastAsiaTheme="minorEastAsia"/>
        </w:rPr>
        <w:t>’</w:t>
      </w:r>
      <w:r w:rsidR="005A06E7" w:rsidRPr="005A06E7">
        <w:rPr>
          <w:rFonts w:eastAsiaTheme="minorEastAsia"/>
        </w:rPr>
        <w:t>évaluation</w:t>
      </w:r>
      <w:r w:rsidR="005A06E7">
        <w:rPr>
          <w:rFonts w:eastAsiaTheme="minorEastAsia"/>
        </w:rPr>
        <w:t xml:space="preserve"> devrait prendre en </w:t>
      </w:r>
      <w:r w:rsidR="005A06E7" w:rsidRPr="005A06E7">
        <w:rPr>
          <w:rFonts w:eastAsiaTheme="minorEastAsia"/>
        </w:rPr>
        <w:t>considération</w:t>
      </w:r>
      <w:r w:rsidR="005A06E7">
        <w:rPr>
          <w:rFonts w:eastAsiaTheme="minorEastAsia"/>
        </w:rPr>
        <w:t xml:space="preserve"> certains éléments, </w:t>
      </w:r>
      <w:r w:rsidR="005A06E7" w:rsidRPr="005A06E7">
        <w:rPr>
          <w:rFonts w:eastAsiaTheme="minorEastAsia"/>
        </w:rPr>
        <w:t>par exemple</w:t>
      </w:r>
      <w:r w:rsidR="005A06E7">
        <w:rPr>
          <w:rFonts w:eastAsiaTheme="minorEastAsia"/>
        </w:rPr>
        <w:t xml:space="preserve">, la </w:t>
      </w:r>
      <w:r w:rsidR="005A06E7" w:rsidRPr="005A06E7">
        <w:rPr>
          <w:rFonts w:eastAsiaTheme="minorEastAsia"/>
        </w:rPr>
        <w:t>participation</w:t>
      </w:r>
      <w:r w:rsidR="005A06E7">
        <w:rPr>
          <w:rFonts w:eastAsiaTheme="minorEastAsia"/>
        </w:rPr>
        <w:t xml:space="preserve"> très active de la </w:t>
      </w:r>
      <w:r w:rsidR="005A06E7" w:rsidRPr="005A06E7">
        <w:rPr>
          <w:rFonts w:eastAsiaTheme="minorEastAsia"/>
        </w:rPr>
        <w:t>communauté</w:t>
      </w:r>
      <w:r w:rsidR="005A06E7">
        <w:rPr>
          <w:rFonts w:eastAsiaTheme="minorEastAsia"/>
        </w:rPr>
        <w:t xml:space="preserve"> à la </w:t>
      </w:r>
      <w:r w:rsidR="005A06E7" w:rsidRPr="005A06E7">
        <w:rPr>
          <w:rFonts w:eastAsiaTheme="minorEastAsia"/>
        </w:rPr>
        <w:t>préparation</w:t>
      </w:r>
      <w:r w:rsidR="005A06E7">
        <w:rPr>
          <w:rFonts w:eastAsiaTheme="minorEastAsia"/>
        </w:rPr>
        <w:t xml:space="preserve"> du dossier, e</w:t>
      </w:r>
      <w:r w:rsidR="0040131A">
        <w:rPr>
          <w:rFonts w:eastAsiaTheme="minorEastAsia"/>
        </w:rPr>
        <w:t>t le fait que le Venezuela avait</w:t>
      </w:r>
      <w:r w:rsidR="005A06E7">
        <w:rPr>
          <w:rFonts w:eastAsiaTheme="minorEastAsia"/>
        </w:rPr>
        <w:t xml:space="preserve"> fourni des preuves suffisantes du travail réalisé entre 2004 et 2014. </w:t>
      </w:r>
      <w:r w:rsidR="005A06E7" w:rsidRPr="005A06E7">
        <w:rPr>
          <w:rFonts w:eastAsiaTheme="minorEastAsia"/>
        </w:rPr>
        <w:t>En ce qui concerne</w:t>
      </w:r>
      <w:r w:rsidR="005A06E7">
        <w:rPr>
          <w:rFonts w:eastAsiaTheme="minorEastAsia"/>
        </w:rPr>
        <w:t xml:space="preserve"> la mise à jour régulière de l</w:t>
      </w:r>
      <w:r w:rsidR="00346F1B">
        <w:rPr>
          <w:rFonts w:eastAsiaTheme="minorEastAsia"/>
        </w:rPr>
        <w:t>’</w:t>
      </w:r>
      <w:r w:rsidR="005A06E7" w:rsidRPr="005A06E7">
        <w:rPr>
          <w:rFonts w:eastAsiaTheme="minorEastAsia"/>
        </w:rPr>
        <w:t>inventaire</w:t>
      </w:r>
      <w:r w:rsidR="005A06E7">
        <w:rPr>
          <w:rFonts w:eastAsiaTheme="minorEastAsia"/>
        </w:rPr>
        <w:t>, elle estimait que l</w:t>
      </w:r>
      <w:r w:rsidR="00346F1B">
        <w:rPr>
          <w:rFonts w:eastAsiaTheme="minorEastAsia"/>
        </w:rPr>
        <w:t>’</w:t>
      </w:r>
      <w:r w:rsidR="005A06E7">
        <w:rPr>
          <w:rFonts w:eastAsiaTheme="minorEastAsia"/>
        </w:rPr>
        <w:t>État soumissionnaire pourrait s</w:t>
      </w:r>
      <w:r w:rsidR="00346F1B">
        <w:rPr>
          <w:rFonts w:eastAsiaTheme="minorEastAsia"/>
        </w:rPr>
        <w:t>’</w:t>
      </w:r>
      <w:r w:rsidR="005A06E7">
        <w:rPr>
          <w:rFonts w:eastAsiaTheme="minorEastAsia"/>
        </w:rPr>
        <w:t>expliquer sur c</w:t>
      </w:r>
      <w:r w:rsidR="00F4069D">
        <w:rPr>
          <w:rFonts w:eastAsiaTheme="minorEastAsia"/>
        </w:rPr>
        <w:t xml:space="preserve">e point. Elle souhaitait </w:t>
      </w:r>
      <w:r w:rsidR="005A06E7">
        <w:rPr>
          <w:rFonts w:eastAsiaTheme="minorEastAsia"/>
        </w:rPr>
        <w:t>donc entendre le Venezuela afin qu</w:t>
      </w:r>
      <w:r w:rsidR="00346F1B">
        <w:rPr>
          <w:rFonts w:eastAsiaTheme="minorEastAsia"/>
        </w:rPr>
        <w:t>’</w:t>
      </w:r>
      <w:r w:rsidR="005A06E7">
        <w:rPr>
          <w:rFonts w:eastAsiaTheme="minorEastAsia"/>
        </w:rPr>
        <w:t xml:space="preserve">il explique précisément de quelle manière la </w:t>
      </w:r>
      <w:r w:rsidR="005A06E7" w:rsidRPr="005A06E7">
        <w:rPr>
          <w:rFonts w:eastAsiaTheme="minorEastAsia"/>
        </w:rPr>
        <w:t>communauté</w:t>
      </w:r>
      <w:r w:rsidR="005A06E7">
        <w:rPr>
          <w:rFonts w:eastAsiaTheme="minorEastAsia"/>
        </w:rPr>
        <w:t xml:space="preserve"> avait participé aux processus d</w:t>
      </w:r>
      <w:r w:rsidR="00346F1B">
        <w:rPr>
          <w:rFonts w:eastAsiaTheme="minorEastAsia"/>
        </w:rPr>
        <w:t>’</w:t>
      </w:r>
      <w:r w:rsidR="005A06E7" w:rsidRPr="005A06E7">
        <w:rPr>
          <w:rFonts w:eastAsiaTheme="minorEastAsia"/>
        </w:rPr>
        <w:t>inscription</w:t>
      </w:r>
      <w:r w:rsidR="005A06E7">
        <w:rPr>
          <w:rFonts w:eastAsiaTheme="minorEastAsia"/>
        </w:rPr>
        <w:t xml:space="preserve"> et à l</w:t>
      </w:r>
      <w:r w:rsidR="00346F1B">
        <w:rPr>
          <w:rFonts w:eastAsiaTheme="minorEastAsia"/>
        </w:rPr>
        <w:t>’</w:t>
      </w:r>
      <w:r w:rsidR="005A06E7" w:rsidRPr="005A06E7">
        <w:rPr>
          <w:rFonts w:eastAsiaTheme="minorEastAsia"/>
        </w:rPr>
        <w:t>inventaire</w:t>
      </w:r>
      <w:r w:rsidR="005A06E7">
        <w:rPr>
          <w:rFonts w:eastAsiaTheme="minorEastAsia"/>
        </w:rPr>
        <w:t>, et qu</w:t>
      </w:r>
      <w:r w:rsidR="00346F1B">
        <w:rPr>
          <w:rFonts w:eastAsiaTheme="minorEastAsia"/>
        </w:rPr>
        <w:t>’</w:t>
      </w:r>
      <w:r w:rsidR="005A06E7">
        <w:rPr>
          <w:rFonts w:eastAsiaTheme="minorEastAsia"/>
        </w:rPr>
        <w:t xml:space="preserve">il fournisse des </w:t>
      </w:r>
      <w:r w:rsidR="005A06E7" w:rsidRPr="005A06E7">
        <w:rPr>
          <w:rFonts w:eastAsiaTheme="minorEastAsia"/>
        </w:rPr>
        <w:t>informations</w:t>
      </w:r>
      <w:r w:rsidR="005A06E7">
        <w:rPr>
          <w:rFonts w:eastAsiaTheme="minorEastAsia"/>
        </w:rPr>
        <w:t xml:space="preserve"> sur la mise à jour de l</w:t>
      </w:r>
      <w:r w:rsidR="00346F1B">
        <w:rPr>
          <w:rFonts w:eastAsiaTheme="minorEastAsia"/>
        </w:rPr>
        <w:t>’</w:t>
      </w:r>
      <w:r w:rsidR="005A06E7" w:rsidRPr="005A06E7">
        <w:rPr>
          <w:rFonts w:eastAsiaTheme="minorEastAsia"/>
        </w:rPr>
        <w:t>inventaire</w:t>
      </w:r>
      <w:r w:rsidR="00443FC6">
        <w:rPr>
          <w:rFonts w:eastAsiaTheme="minorEastAsia"/>
        </w:rPr>
        <w:t>.</w:t>
      </w:r>
    </w:p>
    <w:p w14:paraId="052DE660" w14:textId="0F3939BF" w:rsidR="005A06E7" w:rsidRDefault="005A06E7" w:rsidP="00F24F73">
      <w:pPr>
        <w:pStyle w:val="Orateurengris"/>
        <w:spacing w:before="120"/>
        <w:ind w:left="709" w:hanging="709"/>
        <w:rPr>
          <w:rFonts w:eastAsiaTheme="minorEastAsia"/>
        </w:rPr>
      </w:pPr>
      <w:r>
        <w:rPr>
          <w:rFonts w:eastAsiaTheme="minorEastAsia"/>
        </w:rPr>
        <w:t xml:space="preserve">Le </w:t>
      </w:r>
      <w:r w:rsidRPr="005A06E7">
        <w:rPr>
          <w:rFonts w:eastAsiaTheme="minorEastAsia"/>
          <w:b/>
        </w:rPr>
        <w:t>Président</w:t>
      </w:r>
      <w:r>
        <w:rPr>
          <w:rFonts w:eastAsiaTheme="minorEastAsia"/>
        </w:rPr>
        <w:t xml:space="preserve"> a fait remarquer que la Colombie avait posé une qu</w:t>
      </w:r>
      <w:r w:rsidR="00443FC6">
        <w:rPr>
          <w:rFonts w:eastAsiaTheme="minorEastAsia"/>
        </w:rPr>
        <w:t>estion spécifique au Venezuela.</w:t>
      </w:r>
    </w:p>
    <w:p w14:paraId="141D53D1" w14:textId="4754B5EC" w:rsidR="001014D7" w:rsidRPr="001014D7" w:rsidRDefault="005A06E7" w:rsidP="00F24F73">
      <w:pPr>
        <w:pStyle w:val="Orateurengris"/>
        <w:spacing w:before="120"/>
        <w:ind w:left="709" w:hanging="709"/>
        <w:rPr>
          <w:rFonts w:eastAsiaTheme="minorEastAsia"/>
        </w:rPr>
      </w:pPr>
      <w:r>
        <w:rPr>
          <w:rFonts w:eastAsiaTheme="minorEastAsia"/>
        </w:rPr>
        <w:t xml:space="preserve">La </w:t>
      </w:r>
      <w:r w:rsidRPr="005A06E7">
        <w:rPr>
          <w:rFonts w:eastAsiaTheme="minorEastAsia"/>
        </w:rPr>
        <w:t>délégation</w:t>
      </w:r>
      <w:r>
        <w:rPr>
          <w:rFonts w:eastAsiaTheme="minorEastAsia"/>
        </w:rPr>
        <w:t xml:space="preserve"> de la </w:t>
      </w:r>
      <w:r w:rsidRPr="001014D7">
        <w:rPr>
          <w:rFonts w:eastAsiaTheme="minorEastAsia"/>
          <w:b/>
        </w:rPr>
        <w:t>République bolivarienne du Venezuela</w:t>
      </w:r>
      <w:r>
        <w:rPr>
          <w:rFonts w:eastAsiaTheme="minorEastAsia"/>
        </w:rPr>
        <w:t xml:space="preserve"> a débuté son </w:t>
      </w:r>
      <w:r w:rsidRPr="005A06E7">
        <w:rPr>
          <w:rFonts w:eastAsiaTheme="minorEastAsia"/>
        </w:rPr>
        <w:t>intervention</w:t>
      </w:r>
      <w:r>
        <w:rPr>
          <w:rFonts w:eastAsiaTheme="minorEastAsia"/>
        </w:rPr>
        <w:t xml:space="preserve"> en remerciant </w:t>
      </w:r>
      <w:r w:rsidR="001014D7">
        <w:rPr>
          <w:rFonts w:eastAsiaTheme="minorEastAsia"/>
        </w:rPr>
        <w:t>le G</w:t>
      </w:r>
      <w:r w:rsidR="001014D7" w:rsidRPr="001014D7">
        <w:rPr>
          <w:rFonts w:eastAsiaTheme="minorEastAsia"/>
        </w:rPr>
        <w:t>ouvernement</w:t>
      </w:r>
      <w:r w:rsidR="001014D7">
        <w:rPr>
          <w:rFonts w:eastAsiaTheme="minorEastAsia"/>
        </w:rPr>
        <w:t xml:space="preserve"> de l</w:t>
      </w:r>
      <w:r w:rsidR="00346F1B">
        <w:rPr>
          <w:rFonts w:eastAsiaTheme="minorEastAsia"/>
        </w:rPr>
        <w:t>’</w:t>
      </w:r>
      <w:r w:rsidR="001014D7" w:rsidRPr="001014D7">
        <w:rPr>
          <w:rFonts w:eastAsiaTheme="minorEastAsia"/>
        </w:rPr>
        <w:t>Éthiopie</w:t>
      </w:r>
      <w:r w:rsidR="001014D7">
        <w:rPr>
          <w:rFonts w:eastAsiaTheme="minorEastAsia"/>
        </w:rPr>
        <w:t xml:space="preserve"> pour son hospitalité, ainsi que Cuba pour sa demande d</w:t>
      </w:r>
      <w:r w:rsidR="00346F1B">
        <w:rPr>
          <w:rFonts w:eastAsiaTheme="minorEastAsia"/>
        </w:rPr>
        <w:t>’</w:t>
      </w:r>
      <w:r w:rsidR="001014D7">
        <w:rPr>
          <w:rFonts w:eastAsiaTheme="minorEastAsia"/>
        </w:rPr>
        <w:t xml:space="preserve">ouverture du débat lui donnant ainsi la possibilité de démontrer que le </w:t>
      </w:r>
      <w:r w:rsidR="001014D7" w:rsidRPr="001014D7">
        <w:rPr>
          <w:rFonts w:eastAsiaTheme="minorEastAsia"/>
        </w:rPr>
        <w:t>critère</w:t>
      </w:r>
      <w:r w:rsidR="001014D7">
        <w:rPr>
          <w:rFonts w:eastAsiaTheme="minorEastAsia"/>
        </w:rPr>
        <w:t xml:space="preserve"> R.5 était satisfait, comme exposé dans le dossier de candidature et mentionné par la Colombie. La </w:t>
      </w:r>
      <w:r w:rsidR="001014D7" w:rsidRPr="001014D7">
        <w:rPr>
          <w:rFonts w:eastAsiaTheme="minorEastAsia"/>
        </w:rPr>
        <w:t>délégation</w:t>
      </w:r>
      <w:r w:rsidR="001014D7">
        <w:rPr>
          <w:rFonts w:eastAsiaTheme="minorEastAsia"/>
        </w:rPr>
        <w:t xml:space="preserve"> a évoqué la </w:t>
      </w:r>
      <w:r w:rsidR="001014D7" w:rsidRPr="001014D7">
        <w:rPr>
          <w:rFonts w:eastAsiaTheme="minorEastAsia"/>
        </w:rPr>
        <w:t>participation</w:t>
      </w:r>
      <w:r w:rsidR="001014D7">
        <w:rPr>
          <w:rFonts w:eastAsiaTheme="minorEastAsia"/>
        </w:rPr>
        <w:t xml:space="preserve"> constante de la </w:t>
      </w:r>
      <w:r w:rsidR="001014D7" w:rsidRPr="001014D7">
        <w:rPr>
          <w:rFonts w:eastAsiaTheme="minorEastAsia"/>
        </w:rPr>
        <w:t>communauté</w:t>
      </w:r>
      <w:r w:rsidR="001014D7">
        <w:rPr>
          <w:rFonts w:eastAsiaTheme="minorEastAsia"/>
        </w:rPr>
        <w:t xml:space="preserve"> tant au processus d</w:t>
      </w:r>
      <w:r w:rsidR="00346F1B">
        <w:rPr>
          <w:rFonts w:eastAsiaTheme="minorEastAsia"/>
        </w:rPr>
        <w:t>’</w:t>
      </w:r>
      <w:r w:rsidR="001014D7" w:rsidRPr="001014D7">
        <w:rPr>
          <w:rFonts w:eastAsiaTheme="minorEastAsia"/>
        </w:rPr>
        <w:t>inscription</w:t>
      </w:r>
      <w:r w:rsidR="001014D7">
        <w:rPr>
          <w:rFonts w:eastAsiaTheme="minorEastAsia"/>
        </w:rPr>
        <w:t xml:space="preserve"> qu</w:t>
      </w:r>
      <w:r w:rsidR="00346F1B">
        <w:rPr>
          <w:rFonts w:eastAsiaTheme="minorEastAsia"/>
        </w:rPr>
        <w:t>’</w:t>
      </w:r>
      <w:r w:rsidR="001014D7">
        <w:rPr>
          <w:rFonts w:eastAsiaTheme="minorEastAsia"/>
        </w:rPr>
        <w:t>à l</w:t>
      </w:r>
      <w:r w:rsidR="00346F1B">
        <w:rPr>
          <w:rFonts w:eastAsiaTheme="minorEastAsia"/>
        </w:rPr>
        <w:t>’</w:t>
      </w:r>
      <w:r w:rsidR="001014D7" w:rsidRPr="001014D7">
        <w:rPr>
          <w:rFonts w:eastAsiaTheme="minorEastAsia"/>
        </w:rPr>
        <w:t>inventaire</w:t>
      </w:r>
      <w:r w:rsidR="001014D7">
        <w:rPr>
          <w:rFonts w:eastAsiaTheme="minorEastAsia"/>
        </w:rPr>
        <w:t xml:space="preserve"> de l</w:t>
      </w:r>
      <w:r w:rsidR="00346F1B">
        <w:rPr>
          <w:rFonts w:eastAsiaTheme="minorEastAsia"/>
        </w:rPr>
        <w:t>’</w:t>
      </w:r>
      <w:r w:rsidR="001014D7" w:rsidRPr="001014D7">
        <w:rPr>
          <w:rFonts w:eastAsiaTheme="minorEastAsia"/>
        </w:rPr>
        <w:t>élément</w:t>
      </w:r>
      <w:r w:rsidR="001014D7">
        <w:rPr>
          <w:rFonts w:eastAsiaTheme="minorEastAsia"/>
        </w:rPr>
        <w:t>, qui avaient été réalisés dans le cadre d</w:t>
      </w:r>
      <w:r w:rsidR="00346F1B">
        <w:rPr>
          <w:rFonts w:eastAsiaTheme="minorEastAsia"/>
        </w:rPr>
        <w:t>’</w:t>
      </w:r>
      <w:r w:rsidR="001014D7">
        <w:rPr>
          <w:rFonts w:eastAsiaTheme="minorEastAsia"/>
        </w:rPr>
        <w:t xml:space="preserve">une procédure régulière de consultation des responsables de la </w:t>
      </w:r>
      <w:r w:rsidR="001014D7" w:rsidRPr="001014D7">
        <w:rPr>
          <w:rFonts w:eastAsiaTheme="minorEastAsia"/>
        </w:rPr>
        <w:t>communauté</w:t>
      </w:r>
      <w:r w:rsidR="001014D7">
        <w:rPr>
          <w:rFonts w:eastAsiaTheme="minorEastAsia"/>
        </w:rPr>
        <w:t xml:space="preserve">. En outre, les rapports et avis administratifs et juridiques rédigés par le </w:t>
      </w:r>
      <w:r w:rsidR="001014D7" w:rsidRPr="001014D7">
        <w:rPr>
          <w:rFonts w:eastAsiaTheme="minorEastAsia"/>
        </w:rPr>
        <w:t>gouvernement</w:t>
      </w:r>
      <w:r w:rsidR="001014D7">
        <w:rPr>
          <w:rFonts w:eastAsiaTheme="minorEastAsia"/>
        </w:rPr>
        <w:t xml:space="preserve"> étaient en permanence mis à jo</w:t>
      </w:r>
      <w:r w:rsidR="008D1024">
        <w:rPr>
          <w:rFonts w:eastAsiaTheme="minorEastAsia"/>
        </w:rPr>
        <w:t xml:space="preserve">ur, </w:t>
      </w:r>
      <w:r w:rsidR="008D1024" w:rsidRPr="008D1024">
        <w:rPr>
          <w:rFonts w:eastAsiaTheme="minorEastAsia"/>
        </w:rPr>
        <w:t>conformément</w:t>
      </w:r>
      <w:r w:rsidR="008D1024">
        <w:rPr>
          <w:rFonts w:eastAsiaTheme="minorEastAsia"/>
        </w:rPr>
        <w:t xml:space="preserve"> au chapitre III des Directives opérationnelles de la </w:t>
      </w:r>
      <w:r w:rsidR="008D1024" w:rsidRPr="008D1024">
        <w:rPr>
          <w:rFonts w:eastAsiaTheme="minorEastAsia"/>
        </w:rPr>
        <w:t>Convention</w:t>
      </w:r>
      <w:r w:rsidR="008D1024">
        <w:rPr>
          <w:rFonts w:eastAsiaTheme="minorEastAsia"/>
        </w:rPr>
        <w:t>. Le dossier du registre présenté dans le dossier de candidature était l</w:t>
      </w:r>
      <w:r w:rsidR="00346F1B">
        <w:rPr>
          <w:rFonts w:eastAsiaTheme="minorEastAsia"/>
        </w:rPr>
        <w:t>’</w:t>
      </w:r>
      <w:r w:rsidR="008D1024">
        <w:rPr>
          <w:rFonts w:eastAsiaTheme="minorEastAsia"/>
        </w:rPr>
        <w:t xml:space="preserve">exemple le plus récent du processus régulier de mise à jour qui résultait des recherches des communautés locales. Ces ateliers étaient organisés avec des </w:t>
      </w:r>
      <w:r w:rsidR="008D1024" w:rsidRPr="008D1024">
        <w:rPr>
          <w:rFonts w:eastAsiaTheme="minorEastAsia"/>
        </w:rPr>
        <w:t>détenteurs</w:t>
      </w:r>
      <w:r w:rsidR="008D1024">
        <w:rPr>
          <w:rFonts w:eastAsiaTheme="minorEastAsia"/>
        </w:rPr>
        <w:t xml:space="preserve"> et des praticiens locaux, ainsi qu</w:t>
      </w:r>
      <w:r w:rsidR="00346F1B">
        <w:rPr>
          <w:rFonts w:eastAsiaTheme="minorEastAsia"/>
        </w:rPr>
        <w:t>’</w:t>
      </w:r>
      <w:r w:rsidR="008D1024">
        <w:rPr>
          <w:rFonts w:eastAsiaTheme="minorEastAsia"/>
        </w:rPr>
        <w:t>avec des universitaires, ce qui avait permi</w:t>
      </w:r>
      <w:r w:rsidR="00EE18B1">
        <w:rPr>
          <w:rFonts w:eastAsiaTheme="minorEastAsia"/>
        </w:rPr>
        <w:t>s à l</w:t>
      </w:r>
      <w:r w:rsidR="00346F1B">
        <w:rPr>
          <w:rFonts w:eastAsiaTheme="minorEastAsia"/>
        </w:rPr>
        <w:t>’</w:t>
      </w:r>
      <w:r w:rsidR="00EE18B1">
        <w:rPr>
          <w:rFonts w:eastAsiaTheme="minorEastAsia"/>
        </w:rPr>
        <w:t>élément d</w:t>
      </w:r>
      <w:r w:rsidR="00346F1B">
        <w:rPr>
          <w:rFonts w:eastAsiaTheme="minorEastAsia"/>
        </w:rPr>
        <w:t>’</w:t>
      </w:r>
      <w:r w:rsidR="00EE18B1">
        <w:rPr>
          <w:rFonts w:eastAsiaTheme="minorEastAsia"/>
        </w:rPr>
        <w:t>être qualifié d</w:t>
      </w:r>
      <w:r w:rsidR="00346F1B">
        <w:rPr>
          <w:rFonts w:eastAsiaTheme="minorEastAsia"/>
        </w:rPr>
        <w:t>’</w:t>
      </w:r>
      <w:r w:rsidR="00EE18B1">
        <w:rPr>
          <w:rFonts w:eastAsiaTheme="minorEastAsia"/>
        </w:rPr>
        <w:t> « </w:t>
      </w:r>
      <w:r w:rsidR="008D1024">
        <w:rPr>
          <w:rFonts w:eastAsiaTheme="minorEastAsia"/>
        </w:rPr>
        <w:t>absolument essentiel</w:t>
      </w:r>
      <w:r w:rsidR="00EE18B1">
        <w:rPr>
          <w:rFonts w:eastAsiaTheme="minorEastAsia"/>
        </w:rPr>
        <w:t> »</w:t>
      </w:r>
      <w:r w:rsidR="008D1024">
        <w:rPr>
          <w:rFonts w:eastAsiaTheme="minorEastAsia"/>
        </w:rPr>
        <w:t xml:space="preserve"> au regard de l</w:t>
      </w:r>
      <w:r w:rsidR="00346F1B">
        <w:rPr>
          <w:rFonts w:eastAsiaTheme="minorEastAsia"/>
        </w:rPr>
        <w:t>’</w:t>
      </w:r>
      <w:r w:rsidR="008D1024">
        <w:rPr>
          <w:rFonts w:eastAsiaTheme="minorEastAsia"/>
        </w:rPr>
        <w:t xml:space="preserve">identité culturelle. La nature même de cette </w:t>
      </w:r>
      <w:r w:rsidR="008D1024" w:rsidRPr="008D1024">
        <w:rPr>
          <w:rFonts w:eastAsiaTheme="minorEastAsia"/>
        </w:rPr>
        <w:t>inscription</w:t>
      </w:r>
      <w:r w:rsidR="008D1024">
        <w:rPr>
          <w:rFonts w:eastAsiaTheme="minorEastAsia"/>
        </w:rPr>
        <w:t xml:space="preserve"> était</w:t>
      </w:r>
      <w:r w:rsidR="00485044">
        <w:rPr>
          <w:rFonts w:eastAsiaTheme="minorEastAsia"/>
        </w:rPr>
        <w:t xml:space="preserve"> participative</w:t>
      </w:r>
      <w:r w:rsidR="008D1024">
        <w:rPr>
          <w:rFonts w:eastAsiaTheme="minorEastAsia"/>
        </w:rPr>
        <w:t>, depuis 2005 lorsque l</w:t>
      </w:r>
      <w:r w:rsidR="00346F1B">
        <w:rPr>
          <w:rFonts w:eastAsiaTheme="minorEastAsia"/>
        </w:rPr>
        <w:t>’</w:t>
      </w:r>
      <w:r w:rsidR="008D1024">
        <w:rPr>
          <w:rFonts w:eastAsiaTheme="minorEastAsia"/>
        </w:rPr>
        <w:t xml:space="preserve">élément avait été inclus au Registre vénézuélien du </w:t>
      </w:r>
      <w:r w:rsidR="008D1024" w:rsidRPr="008D1024">
        <w:rPr>
          <w:rFonts w:eastAsiaTheme="minorEastAsia"/>
        </w:rPr>
        <w:t>patrimoine</w:t>
      </w:r>
      <w:r w:rsidR="008D1024">
        <w:rPr>
          <w:rFonts w:eastAsiaTheme="minorEastAsia"/>
        </w:rPr>
        <w:t xml:space="preserve"> </w:t>
      </w:r>
      <w:r w:rsidR="008D1024" w:rsidRPr="008D1024">
        <w:rPr>
          <w:rFonts w:eastAsiaTheme="minorEastAsia"/>
        </w:rPr>
        <w:t>culturel</w:t>
      </w:r>
      <w:r w:rsidR="00EE18B1">
        <w:rPr>
          <w:rFonts w:eastAsiaTheme="minorEastAsia"/>
        </w:rPr>
        <w:t>, et 2011</w:t>
      </w:r>
      <w:r w:rsidR="008D1024">
        <w:rPr>
          <w:rFonts w:eastAsiaTheme="minorEastAsia"/>
        </w:rPr>
        <w:t xml:space="preserve"> lorsque </w:t>
      </w:r>
      <w:r w:rsidR="00485044">
        <w:rPr>
          <w:rFonts w:eastAsiaTheme="minorEastAsia"/>
        </w:rPr>
        <w:t>l</w:t>
      </w:r>
      <w:r w:rsidR="00346F1B">
        <w:rPr>
          <w:rFonts w:eastAsiaTheme="minorEastAsia"/>
        </w:rPr>
        <w:t>’</w:t>
      </w:r>
      <w:r w:rsidR="00485044">
        <w:rPr>
          <w:rFonts w:eastAsiaTheme="minorEastAsia"/>
        </w:rPr>
        <w:t>élément « </w:t>
      </w:r>
      <w:r w:rsidR="008D1024">
        <w:rPr>
          <w:rFonts w:eastAsiaTheme="minorEastAsia"/>
        </w:rPr>
        <w:t xml:space="preserve">les Madamas de </w:t>
      </w:r>
      <w:r w:rsidR="00485044">
        <w:rPr>
          <w:rFonts w:eastAsiaTheme="minorEastAsia"/>
        </w:rPr>
        <w:t xml:space="preserve">El </w:t>
      </w:r>
      <w:r w:rsidR="008D1024">
        <w:rPr>
          <w:rFonts w:eastAsiaTheme="minorEastAsia"/>
        </w:rPr>
        <w:t>Callao</w:t>
      </w:r>
      <w:r w:rsidR="00485044">
        <w:rPr>
          <w:rFonts w:eastAsiaTheme="minorEastAsia"/>
        </w:rPr>
        <w:t> » avai</w:t>
      </w:r>
      <w:r w:rsidR="008D1024">
        <w:rPr>
          <w:rFonts w:eastAsiaTheme="minorEastAsia"/>
        </w:rPr>
        <w:t xml:space="preserve">t </w:t>
      </w:r>
      <w:r w:rsidR="008D1024" w:rsidRPr="008D1024">
        <w:rPr>
          <w:rFonts w:eastAsiaTheme="minorEastAsia"/>
        </w:rPr>
        <w:t>également</w:t>
      </w:r>
      <w:r w:rsidR="00485044">
        <w:rPr>
          <w:rFonts w:eastAsiaTheme="minorEastAsia"/>
        </w:rPr>
        <w:t xml:space="preserve"> été inclus</w:t>
      </w:r>
      <w:r w:rsidR="008D1024">
        <w:rPr>
          <w:rFonts w:eastAsiaTheme="minorEastAsia"/>
        </w:rPr>
        <w:t xml:space="preserve"> au même inventaire. </w:t>
      </w:r>
      <w:r w:rsidR="00485044">
        <w:rPr>
          <w:rFonts w:eastAsiaTheme="minorEastAsia"/>
        </w:rPr>
        <w:t xml:space="preserve">Plusieurs travaux de </w:t>
      </w:r>
      <w:r w:rsidR="00485044" w:rsidRPr="00485044">
        <w:rPr>
          <w:rFonts w:eastAsiaTheme="minorEastAsia"/>
        </w:rPr>
        <w:t>recherche</w:t>
      </w:r>
      <w:r w:rsidR="00485044">
        <w:rPr>
          <w:rFonts w:eastAsiaTheme="minorEastAsia"/>
        </w:rPr>
        <w:t xml:space="preserve"> et activités de </w:t>
      </w:r>
      <w:r w:rsidR="00485044" w:rsidRPr="00485044">
        <w:rPr>
          <w:rFonts w:eastAsiaTheme="minorEastAsia"/>
        </w:rPr>
        <w:t>documentation</w:t>
      </w:r>
      <w:r w:rsidR="00485044">
        <w:rPr>
          <w:rFonts w:eastAsiaTheme="minorEastAsia"/>
        </w:rPr>
        <w:t xml:space="preserve"> étaient réalisés sur les </w:t>
      </w:r>
      <w:r w:rsidR="00485044" w:rsidRPr="00485044">
        <w:rPr>
          <w:rFonts w:eastAsiaTheme="minorEastAsia"/>
        </w:rPr>
        <w:t>détenteurs</w:t>
      </w:r>
      <w:r w:rsidR="00485044">
        <w:rPr>
          <w:rFonts w:eastAsiaTheme="minorEastAsia"/>
        </w:rPr>
        <w:t>, ce qui permettait d</w:t>
      </w:r>
      <w:r w:rsidR="00346F1B">
        <w:rPr>
          <w:rFonts w:eastAsiaTheme="minorEastAsia"/>
        </w:rPr>
        <w:t>’</w:t>
      </w:r>
      <w:r w:rsidR="00485044">
        <w:rPr>
          <w:rFonts w:eastAsiaTheme="minorEastAsia"/>
        </w:rPr>
        <w:t xml:space="preserve">enrichir les éléments descriptifs du carnaval. En conséquence, en 2014, avec la </w:t>
      </w:r>
      <w:r w:rsidR="00485044" w:rsidRPr="00485044">
        <w:rPr>
          <w:rFonts w:eastAsiaTheme="minorEastAsia"/>
        </w:rPr>
        <w:t>participation</w:t>
      </w:r>
      <w:r w:rsidR="00485044">
        <w:rPr>
          <w:rFonts w:eastAsiaTheme="minorEastAsia"/>
        </w:rPr>
        <w:t xml:space="preserve"> directe de 46 communautés de </w:t>
      </w:r>
      <w:r w:rsidR="00485044" w:rsidRPr="00485044">
        <w:rPr>
          <w:rFonts w:eastAsiaTheme="minorEastAsia"/>
        </w:rPr>
        <w:t>détenteurs</w:t>
      </w:r>
      <w:r w:rsidR="00485044">
        <w:rPr>
          <w:rFonts w:eastAsiaTheme="minorEastAsia"/>
        </w:rPr>
        <w:t xml:space="preserve"> et de responsables de cette tradition, l</w:t>
      </w:r>
      <w:r w:rsidR="00346F1B">
        <w:rPr>
          <w:rFonts w:eastAsiaTheme="minorEastAsia"/>
        </w:rPr>
        <w:t>’</w:t>
      </w:r>
      <w:r w:rsidR="00485044">
        <w:rPr>
          <w:rFonts w:eastAsiaTheme="minorEastAsia"/>
        </w:rPr>
        <w:t xml:space="preserve">État soumissionnaire </w:t>
      </w:r>
      <w:r w:rsidR="00EE18B1">
        <w:rPr>
          <w:rFonts w:eastAsiaTheme="minorEastAsia"/>
        </w:rPr>
        <w:t>avait pu soumettre</w:t>
      </w:r>
      <w:r w:rsidR="00BA12C1">
        <w:rPr>
          <w:rFonts w:eastAsiaTheme="minorEastAsia"/>
        </w:rPr>
        <w:t>, dans le dossier de candidature,</w:t>
      </w:r>
      <w:r w:rsidR="00EE18B1">
        <w:rPr>
          <w:rFonts w:eastAsiaTheme="minorEastAsia"/>
        </w:rPr>
        <w:t xml:space="preserve"> la version la plus actualisée de l</w:t>
      </w:r>
      <w:r w:rsidR="00346F1B">
        <w:rPr>
          <w:rFonts w:eastAsiaTheme="minorEastAsia"/>
        </w:rPr>
        <w:t>’</w:t>
      </w:r>
      <w:r w:rsidR="00EE18B1">
        <w:rPr>
          <w:rFonts w:eastAsiaTheme="minorEastAsia"/>
        </w:rPr>
        <w:t>inclusion au registre. Compte tenu de toutes ces considérations, l</w:t>
      </w:r>
      <w:r w:rsidR="00346F1B">
        <w:rPr>
          <w:rFonts w:eastAsiaTheme="minorEastAsia"/>
        </w:rPr>
        <w:t>’</w:t>
      </w:r>
      <w:r w:rsidR="00EE18B1">
        <w:rPr>
          <w:rFonts w:eastAsiaTheme="minorEastAsia"/>
        </w:rPr>
        <w:t xml:space="preserve">État soumissionnaire </w:t>
      </w:r>
      <w:r w:rsidR="00F4069D">
        <w:rPr>
          <w:rFonts w:eastAsiaTheme="minorEastAsia"/>
        </w:rPr>
        <w:t>demandait</w:t>
      </w:r>
      <w:r w:rsidR="00EE18B1">
        <w:rPr>
          <w:rFonts w:eastAsiaTheme="minorEastAsia"/>
        </w:rPr>
        <w:t xml:space="preserve"> au Comité de se prononcer en faveur de l</w:t>
      </w:r>
      <w:r w:rsidR="00346F1B">
        <w:rPr>
          <w:rFonts w:eastAsiaTheme="minorEastAsia"/>
        </w:rPr>
        <w:t>’</w:t>
      </w:r>
      <w:r w:rsidR="00EE18B1" w:rsidRPr="00EE18B1">
        <w:rPr>
          <w:rFonts w:eastAsiaTheme="minorEastAsia"/>
        </w:rPr>
        <w:t>inscription</w:t>
      </w:r>
      <w:r w:rsidR="00EE18B1">
        <w:rPr>
          <w:rFonts w:eastAsiaTheme="minorEastAsia"/>
        </w:rPr>
        <w:t xml:space="preserve"> du carnaval d</w:t>
      </w:r>
      <w:r w:rsidR="00346F1B">
        <w:rPr>
          <w:rFonts w:eastAsiaTheme="minorEastAsia"/>
        </w:rPr>
        <w:t>’</w:t>
      </w:r>
      <w:r w:rsidR="00443FC6">
        <w:rPr>
          <w:rFonts w:eastAsiaTheme="minorEastAsia"/>
        </w:rPr>
        <w:t>El Callao.</w:t>
      </w:r>
    </w:p>
    <w:p w14:paraId="33320E46" w14:textId="23BE318D" w:rsidR="00BA12C1" w:rsidRPr="00BA12C1" w:rsidRDefault="00BA12C1" w:rsidP="00F24F73">
      <w:pPr>
        <w:pStyle w:val="Orateurengris"/>
        <w:spacing w:before="120"/>
        <w:ind w:left="709" w:hanging="709"/>
        <w:rPr>
          <w:rFonts w:eastAsiaTheme="minorEastAsia"/>
        </w:rPr>
      </w:pPr>
      <w:r>
        <w:rPr>
          <w:rFonts w:eastAsiaTheme="minorEastAsia"/>
        </w:rPr>
        <w:t xml:space="preserve">Afin de gagner du temps, le </w:t>
      </w:r>
      <w:r w:rsidRPr="00BA12C1">
        <w:rPr>
          <w:rFonts w:eastAsiaTheme="minorEastAsia"/>
          <w:b/>
        </w:rPr>
        <w:t>Président</w:t>
      </w:r>
      <w:r w:rsidR="00F4069D">
        <w:rPr>
          <w:rFonts w:eastAsiaTheme="minorEastAsia"/>
        </w:rPr>
        <w:t xml:space="preserve"> souhaitait</w:t>
      </w:r>
      <w:r>
        <w:rPr>
          <w:rFonts w:eastAsiaTheme="minorEastAsia"/>
        </w:rPr>
        <w:t xml:space="preserve"> procéder à l</w:t>
      </w:r>
      <w:r w:rsidR="00346F1B">
        <w:rPr>
          <w:rFonts w:eastAsiaTheme="minorEastAsia"/>
        </w:rPr>
        <w:t>’</w:t>
      </w:r>
      <w:r>
        <w:rPr>
          <w:rFonts w:eastAsiaTheme="minorEastAsia"/>
        </w:rPr>
        <w:t>adoption du projet de décision. En l</w:t>
      </w:r>
      <w:r w:rsidR="00346F1B">
        <w:rPr>
          <w:rFonts w:eastAsiaTheme="minorEastAsia"/>
        </w:rPr>
        <w:t>’</w:t>
      </w:r>
      <w:r>
        <w:rPr>
          <w:rFonts w:eastAsiaTheme="minorEastAsia"/>
        </w:rPr>
        <w:t>absence d</w:t>
      </w:r>
      <w:r w:rsidR="00346F1B">
        <w:rPr>
          <w:rFonts w:eastAsiaTheme="minorEastAsia"/>
        </w:rPr>
        <w:t>’</w:t>
      </w:r>
      <w:r w:rsidRPr="00BA12C1">
        <w:rPr>
          <w:rFonts w:eastAsiaTheme="minorEastAsia"/>
        </w:rPr>
        <w:t>objections</w:t>
      </w:r>
      <w:r>
        <w:rPr>
          <w:rFonts w:eastAsiaTheme="minorEastAsia"/>
        </w:rPr>
        <w:t xml:space="preserve">, le </w:t>
      </w:r>
      <w:r w:rsidRPr="00BA12C1">
        <w:rPr>
          <w:rFonts w:eastAsiaTheme="minorEastAsia"/>
        </w:rPr>
        <w:t>paragraphe</w:t>
      </w:r>
      <w:r>
        <w:rPr>
          <w:rFonts w:eastAsiaTheme="minorEastAsia"/>
        </w:rPr>
        <w:t xml:space="preserve"> 1 a été adopté. Les </w:t>
      </w:r>
      <w:r w:rsidRPr="00BA12C1">
        <w:rPr>
          <w:rFonts w:eastAsiaTheme="minorEastAsia"/>
        </w:rPr>
        <w:t>p</w:t>
      </w:r>
      <w:r>
        <w:rPr>
          <w:rFonts w:eastAsiaTheme="minorEastAsia"/>
        </w:rPr>
        <w:t xml:space="preserve">aragraphes sur les critères R.1, R.2, R.3 et R.4 du </w:t>
      </w:r>
      <w:r w:rsidRPr="00BA12C1">
        <w:rPr>
          <w:rFonts w:eastAsiaTheme="minorEastAsia"/>
        </w:rPr>
        <w:t>paragraphe</w:t>
      </w:r>
      <w:r>
        <w:rPr>
          <w:rFonts w:eastAsiaTheme="minorEastAsia"/>
        </w:rPr>
        <w:t xml:space="preserve"> 2 ont </w:t>
      </w:r>
      <w:r w:rsidRPr="00BA12C1">
        <w:rPr>
          <w:rFonts w:eastAsiaTheme="minorEastAsia"/>
        </w:rPr>
        <w:t>également</w:t>
      </w:r>
      <w:r>
        <w:rPr>
          <w:rFonts w:eastAsiaTheme="minorEastAsia"/>
        </w:rPr>
        <w:t xml:space="preserve"> été adoptés. Le Président est passé à l</w:t>
      </w:r>
      <w:r w:rsidR="00346F1B">
        <w:rPr>
          <w:rFonts w:eastAsiaTheme="minorEastAsia"/>
        </w:rPr>
        <w:t>’</w:t>
      </w:r>
      <w:r w:rsidRPr="00BA12C1">
        <w:rPr>
          <w:rFonts w:eastAsiaTheme="minorEastAsia"/>
        </w:rPr>
        <w:t>amendement</w:t>
      </w:r>
      <w:r>
        <w:rPr>
          <w:rFonts w:eastAsiaTheme="minorEastAsia"/>
        </w:rPr>
        <w:t xml:space="preserve"> au </w:t>
      </w:r>
      <w:r w:rsidRPr="00BA12C1">
        <w:rPr>
          <w:rFonts w:eastAsiaTheme="minorEastAsia"/>
        </w:rPr>
        <w:t>paragraphe</w:t>
      </w:r>
      <w:r>
        <w:rPr>
          <w:rFonts w:eastAsiaTheme="minorEastAsia"/>
        </w:rPr>
        <w:t xml:space="preserve"> sur le </w:t>
      </w:r>
      <w:r w:rsidRPr="00BA12C1">
        <w:rPr>
          <w:rFonts w:eastAsiaTheme="minorEastAsia"/>
        </w:rPr>
        <w:t>critère</w:t>
      </w:r>
      <w:r>
        <w:rPr>
          <w:rFonts w:eastAsiaTheme="minorEastAsia"/>
        </w:rPr>
        <w:t xml:space="preserve"> R.5.</w:t>
      </w:r>
    </w:p>
    <w:p w14:paraId="792827F4" w14:textId="673E0399" w:rsidR="00BA12C1" w:rsidRDefault="00BA12C1" w:rsidP="00F24F73">
      <w:pPr>
        <w:pStyle w:val="Orateurengris"/>
        <w:spacing w:before="120"/>
        <w:ind w:left="709" w:hanging="709"/>
        <w:rPr>
          <w:rFonts w:eastAsiaTheme="minorEastAsia"/>
        </w:rPr>
      </w:pPr>
      <w:r>
        <w:rPr>
          <w:rFonts w:eastAsiaTheme="minorEastAsia"/>
        </w:rPr>
        <w:t xml:space="preserve">La </w:t>
      </w:r>
      <w:r w:rsidRPr="00BA12C1">
        <w:rPr>
          <w:rFonts w:eastAsiaTheme="minorEastAsia"/>
        </w:rPr>
        <w:t>délégation</w:t>
      </w:r>
      <w:r>
        <w:rPr>
          <w:rFonts w:eastAsiaTheme="minorEastAsia"/>
        </w:rPr>
        <w:t xml:space="preserve"> de </w:t>
      </w:r>
      <w:r w:rsidRPr="00D95CCC">
        <w:rPr>
          <w:rFonts w:eastAsiaTheme="minorEastAsia"/>
          <w:b/>
        </w:rPr>
        <w:t>Cuba</w:t>
      </w:r>
      <w:r>
        <w:rPr>
          <w:rFonts w:eastAsiaTheme="minorEastAsia"/>
        </w:rPr>
        <w:t xml:space="preserve"> a proposé de supprimer le </w:t>
      </w:r>
      <w:r w:rsidRPr="00BA12C1">
        <w:rPr>
          <w:rFonts w:eastAsiaTheme="minorEastAsia"/>
        </w:rPr>
        <w:t>paragraphe</w:t>
      </w:r>
      <w:r>
        <w:rPr>
          <w:rFonts w:eastAsiaTheme="minorEastAsia"/>
        </w:rPr>
        <w:t xml:space="preserve"> 3 du projet de décision et de déplacer le </w:t>
      </w:r>
      <w:r w:rsidRPr="00BA12C1">
        <w:rPr>
          <w:rFonts w:eastAsiaTheme="minorEastAsia"/>
        </w:rPr>
        <w:t>paragraphe</w:t>
      </w:r>
      <w:r>
        <w:rPr>
          <w:rFonts w:eastAsiaTheme="minorEastAsia"/>
        </w:rPr>
        <w:t xml:space="preserve"> consacré au </w:t>
      </w:r>
      <w:r w:rsidRPr="00BA12C1">
        <w:rPr>
          <w:rFonts w:eastAsiaTheme="minorEastAsia"/>
        </w:rPr>
        <w:t>critère</w:t>
      </w:r>
      <w:r>
        <w:rPr>
          <w:rFonts w:eastAsiaTheme="minorEastAsia"/>
        </w:rPr>
        <w:t xml:space="preserve"> R.5 dans le </w:t>
      </w:r>
      <w:r w:rsidRPr="00BA12C1">
        <w:rPr>
          <w:rFonts w:eastAsiaTheme="minorEastAsia"/>
        </w:rPr>
        <w:t>paragraphe</w:t>
      </w:r>
      <w:r>
        <w:rPr>
          <w:rFonts w:eastAsiaTheme="minorEastAsia"/>
        </w:rPr>
        <w:t xml:space="preserve"> 2</w:t>
      </w:r>
      <w:r w:rsidR="00D95CCC">
        <w:rPr>
          <w:rFonts w:eastAsiaTheme="minorEastAsia"/>
        </w:rPr>
        <w:t xml:space="preserve"> en supprimant les phrases « Décide en outre […] », et « Cependant, l</w:t>
      </w:r>
      <w:r w:rsidR="00346F1B">
        <w:rPr>
          <w:rFonts w:eastAsiaTheme="minorEastAsia"/>
        </w:rPr>
        <w:t>’</w:t>
      </w:r>
      <w:r w:rsidR="00D95CCC">
        <w:rPr>
          <w:rFonts w:eastAsiaTheme="minorEastAsia"/>
        </w:rPr>
        <w:t>État soumissionnaire n</w:t>
      </w:r>
      <w:r w:rsidR="00346F1B">
        <w:rPr>
          <w:rFonts w:eastAsiaTheme="minorEastAsia"/>
        </w:rPr>
        <w:t>’</w:t>
      </w:r>
      <w:r w:rsidR="00D95CCC">
        <w:rPr>
          <w:rFonts w:eastAsiaTheme="minorEastAsia"/>
        </w:rPr>
        <w:t xml:space="preserve">a pas indiqué […] ». Le </w:t>
      </w:r>
      <w:r w:rsidR="00D95CCC" w:rsidRPr="00D95CCC">
        <w:rPr>
          <w:rFonts w:eastAsiaTheme="minorEastAsia"/>
        </w:rPr>
        <w:t>paragraphe</w:t>
      </w:r>
      <w:r w:rsidR="00D95CCC">
        <w:rPr>
          <w:rFonts w:eastAsiaTheme="minorEastAsia"/>
        </w:rPr>
        <w:t xml:space="preserve"> 3 serait donc ainsi rédigé : « Décide d</w:t>
      </w:r>
      <w:r w:rsidR="00346F1B">
        <w:rPr>
          <w:rFonts w:eastAsiaTheme="minorEastAsia"/>
        </w:rPr>
        <w:t>’</w:t>
      </w:r>
      <w:r w:rsidR="00D95CCC">
        <w:rPr>
          <w:rFonts w:eastAsiaTheme="minorEastAsia"/>
        </w:rPr>
        <w:t xml:space="preserve">inscrire… ». On ajouterait </w:t>
      </w:r>
      <w:r w:rsidR="00D95CCC" w:rsidRPr="00D95CCC">
        <w:rPr>
          <w:rFonts w:eastAsiaTheme="minorEastAsia"/>
        </w:rPr>
        <w:t>également</w:t>
      </w:r>
      <w:r w:rsidR="00D95CCC">
        <w:rPr>
          <w:rFonts w:eastAsiaTheme="minorEastAsia"/>
        </w:rPr>
        <w:t xml:space="preserve"> le </w:t>
      </w:r>
      <w:r w:rsidR="00D95CCC" w:rsidRPr="00D95CCC">
        <w:rPr>
          <w:rFonts w:eastAsiaTheme="minorEastAsia"/>
        </w:rPr>
        <w:t>paragraphe</w:t>
      </w:r>
      <w:r w:rsidR="00D95CCC">
        <w:rPr>
          <w:rFonts w:eastAsiaTheme="minorEastAsia"/>
        </w:rPr>
        <w:t xml:space="preserve"> standard : « Remercie la </w:t>
      </w:r>
      <w:r w:rsidR="00D95CCC" w:rsidRPr="00D95CCC">
        <w:rPr>
          <w:rFonts w:eastAsiaTheme="minorEastAsia"/>
        </w:rPr>
        <w:t>délégation</w:t>
      </w:r>
      <w:r w:rsidR="00D95CCC">
        <w:rPr>
          <w:rFonts w:eastAsiaTheme="minorEastAsia"/>
        </w:rPr>
        <w:t xml:space="preserve"> des éclaircissements » qui deviendrait le nouveau </w:t>
      </w:r>
      <w:r w:rsidR="00D95CCC" w:rsidRPr="00D95CCC">
        <w:rPr>
          <w:rFonts w:eastAsiaTheme="minorEastAsia"/>
        </w:rPr>
        <w:t>paragraphe</w:t>
      </w:r>
      <w:r w:rsidR="00443FC6">
        <w:rPr>
          <w:rFonts w:eastAsiaTheme="minorEastAsia"/>
        </w:rPr>
        <w:t xml:space="preserve"> 4.</w:t>
      </w:r>
    </w:p>
    <w:p w14:paraId="35C46571" w14:textId="5CA47A5C" w:rsidR="00D95CCC" w:rsidRDefault="00D95CCC" w:rsidP="00F24F73">
      <w:pPr>
        <w:pStyle w:val="Orateurengris"/>
        <w:spacing w:before="120"/>
        <w:ind w:left="709" w:hanging="709"/>
        <w:rPr>
          <w:rFonts w:eastAsiaTheme="minorEastAsia"/>
        </w:rPr>
      </w:pPr>
      <w:r>
        <w:rPr>
          <w:rFonts w:eastAsiaTheme="minorEastAsia"/>
        </w:rPr>
        <w:t xml:space="preserve">Le </w:t>
      </w:r>
      <w:r w:rsidRPr="00D95CCC">
        <w:rPr>
          <w:rFonts w:eastAsiaTheme="minorEastAsia"/>
          <w:b/>
        </w:rPr>
        <w:t>Président</w:t>
      </w:r>
      <w:r>
        <w:rPr>
          <w:rFonts w:eastAsiaTheme="minorEastAsia"/>
        </w:rPr>
        <w:t xml:space="preserve"> est passé à l</w:t>
      </w:r>
      <w:r w:rsidR="00346F1B">
        <w:rPr>
          <w:rFonts w:eastAsiaTheme="minorEastAsia"/>
        </w:rPr>
        <w:t>’</w:t>
      </w:r>
      <w:r>
        <w:rPr>
          <w:rFonts w:eastAsiaTheme="minorEastAsia"/>
        </w:rPr>
        <w:t xml:space="preserve">adoption du </w:t>
      </w:r>
      <w:r w:rsidRPr="00D95CCC">
        <w:rPr>
          <w:rFonts w:eastAsiaTheme="minorEastAsia"/>
        </w:rPr>
        <w:t>paragraphe</w:t>
      </w:r>
      <w:r>
        <w:rPr>
          <w:rFonts w:eastAsiaTheme="minorEastAsia"/>
        </w:rPr>
        <w:t xml:space="preserve"> sur le </w:t>
      </w:r>
      <w:r w:rsidRPr="00D95CCC">
        <w:rPr>
          <w:rFonts w:eastAsiaTheme="minorEastAsia"/>
        </w:rPr>
        <w:t>critère</w:t>
      </w:r>
      <w:r>
        <w:rPr>
          <w:rFonts w:eastAsiaTheme="minorEastAsia"/>
        </w:rPr>
        <w:t xml:space="preserve"> R.5 et, e</w:t>
      </w:r>
      <w:r w:rsidRPr="00D95CCC">
        <w:rPr>
          <w:rFonts w:eastAsiaTheme="minorEastAsia"/>
        </w:rPr>
        <w:t>n l</w:t>
      </w:r>
      <w:r w:rsidR="00346F1B">
        <w:rPr>
          <w:rFonts w:eastAsiaTheme="minorEastAsia"/>
        </w:rPr>
        <w:t>’</w:t>
      </w:r>
      <w:r w:rsidRPr="00D95CCC">
        <w:rPr>
          <w:rFonts w:eastAsiaTheme="minorEastAsia"/>
        </w:rPr>
        <w:t>absence d</w:t>
      </w:r>
      <w:r w:rsidR="00346F1B">
        <w:rPr>
          <w:rFonts w:eastAsiaTheme="minorEastAsia"/>
        </w:rPr>
        <w:t>’</w:t>
      </w:r>
      <w:r>
        <w:rPr>
          <w:rFonts w:eastAsiaTheme="minorEastAsia"/>
        </w:rPr>
        <w:t xml:space="preserve">objections, il a été </w:t>
      </w:r>
      <w:r w:rsidR="008052AC">
        <w:rPr>
          <w:rFonts w:eastAsiaTheme="minorEastAsia"/>
        </w:rPr>
        <w:t>dûment</w:t>
      </w:r>
      <w:r>
        <w:rPr>
          <w:rFonts w:eastAsiaTheme="minorEastAsia"/>
        </w:rPr>
        <w:t xml:space="preserve"> adopté. Le </w:t>
      </w:r>
      <w:r w:rsidRPr="00D95CCC">
        <w:rPr>
          <w:rFonts w:eastAsiaTheme="minorEastAsia"/>
        </w:rPr>
        <w:t>paragraphe</w:t>
      </w:r>
      <w:r>
        <w:rPr>
          <w:rFonts w:eastAsiaTheme="minorEastAsia"/>
        </w:rPr>
        <w:t xml:space="preserve"> 3 « Inscrit » et le </w:t>
      </w:r>
      <w:r w:rsidRPr="00D95CCC">
        <w:rPr>
          <w:rFonts w:eastAsiaTheme="minorEastAsia"/>
        </w:rPr>
        <w:t>paragraphe</w:t>
      </w:r>
      <w:r>
        <w:rPr>
          <w:rFonts w:eastAsiaTheme="minorEastAsia"/>
        </w:rPr>
        <w:t xml:space="preserve"> 4 ajouté « Remercie la </w:t>
      </w:r>
      <w:r w:rsidRPr="00D95CCC">
        <w:rPr>
          <w:rFonts w:eastAsiaTheme="minorEastAsia"/>
        </w:rPr>
        <w:t>délégation</w:t>
      </w:r>
      <w:r>
        <w:rPr>
          <w:rFonts w:eastAsiaTheme="minorEastAsia"/>
        </w:rPr>
        <w:t xml:space="preserve"> » ont </w:t>
      </w:r>
      <w:r w:rsidRPr="00D95CCC">
        <w:rPr>
          <w:rFonts w:eastAsiaTheme="minorEastAsia"/>
        </w:rPr>
        <w:t>également</w:t>
      </w:r>
      <w:r>
        <w:rPr>
          <w:rFonts w:eastAsiaTheme="minorEastAsia"/>
        </w:rPr>
        <w:t xml:space="preserve"> été déclarés adoptés. Passant à l</w:t>
      </w:r>
      <w:r w:rsidR="00346F1B">
        <w:rPr>
          <w:rFonts w:eastAsiaTheme="minorEastAsia"/>
        </w:rPr>
        <w:t>’</w:t>
      </w:r>
      <w:r>
        <w:rPr>
          <w:rFonts w:eastAsiaTheme="minorEastAsia"/>
        </w:rPr>
        <w:t xml:space="preserve">adoption de la </w:t>
      </w:r>
      <w:r w:rsidRPr="00D95CCC">
        <w:rPr>
          <w:rFonts w:eastAsiaTheme="minorEastAsia"/>
        </w:rPr>
        <w:t>décision</w:t>
      </w:r>
      <w:r>
        <w:rPr>
          <w:rFonts w:eastAsiaTheme="minorEastAsia"/>
        </w:rPr>
        <w:t xml:space="preserve"> dans son ensemble et, e</w:t>
      </w:r>
      <w:r w:rsidRPr="00D95CCC">
        <w:rPr>
          <w:rFonts w:eastAsiaTheme="minorEastAsia"/>
        </w:rPr>
        <w:t>n l</w:t>
      </w:r>
      <w:r w:rsidR="00346F1B">
        <w:rPr>
          <w:rFonts w:eastAsiaTheme="minorEastAsia"/>
        </w:rPr>
        <w:t>’</w:t>
      </w:r>
      <w:r w:rsidRPr="00D95CCC">
        <w:rPr>
          <w:rFonts w:eastAsiaTheme="minorEastAsia"/>
        </w:rPr>
        <w:t>absence d</w:t>
      </w:r>
      <w:r w:rsidR="00346F1B">
        <w:rPr>
          <w:rFonts w:eastAsiaTheme="minorEastAsia"/>
        </w:rPr>
        <w:t>’</w:t>
      </w:r>
      <w:r>
        <w:rPr>
          <w:rFonts w:eastAsiaTheme="minorEastAsia"/>
        </w:rPr>
        <w:t xml:space="preserve">autres commentaires ou objections, le </w:t>
      </w:r>
      <w:r w:rsidRPr="00D95CCC">
        <w:rPr>
          <w:rFonts w:eastAsiaTheme="minorEastAsia"/>
          <w:b/>
        </w:rPr>
        <w:t>Président a déclaré adoptée la décision 11.COM 10.b.36 d</w:t>
      </w:r>
      <w:r w:rsidR="00346F1B">
        <w:rPr>
          <w:rFonts w:eastAsiaTheme="minorEastAsia"/>
          <w:b/>
        </w:rPr>
        <w:t>’</w:t>
      </w:r>
      <w:r w:rsidRPr="00D95CCC">
        <w:rPr>
          <w:rFonts w:eastAsiaTheme="minorEastAsia"/>
          <w:b/>
        </w:rPr>
        <w:t>inscrire le carnaval d</w:t>
      </w:r>
      <w:r w:rsidR="00346F1B">
        <w:rPr>
          <w:rFonts w:eastAsiaTheme="minorEastAsia"/>
          <w:b/>
        </w:rPr>
        <w:t>’</w:t>
      </w:r>
      <w:r w:rsidRPr="00D95CCC">
        <w:rPr>
          <w:rFonts w:eastAsiaTheme="minorEastAsia"/>
          <w:b/>
        </w:rPr>
        <w:t>El Callao, représentation festive d</w:t>
      </w:r>
      <w:r w:rsidR="00346F1B">
        <w:rPr>
          <w:rFonts w:eastAsiaTheme="minorEastAsia"/>
          <w:b/>
        </w:rPr>
        <w:t>’</w:t>
      </w:r>
      <w:r w:rsidRPr="00D95CCC">
        <w:rPr>
          <w:rFonts w:eastAsiaTheme="minorEastAsia"/>
          <w:b/>
        </w:rPr>
        <w:t>une mémoire et d</w:t>
      </w:r>
      <w:r w:rsidR="00346F1B">
        <w:rPr>
          <w:rFonts w:eastAsiaTheme="minorEastAsia"/>
          <w:b/>
        </w:rPr>
        <w:t>’</w:t>
      </w:r>
      <w:r w:rsidRPr="00D95CCC">
        <w:rPr>
          <w:rFonts w:eastAsiaTheme="minorEastAsia"/>
          <w:b/>
        </w:rPr>
        <w:t>une identité culturelle sur la Liste représentative du patrimoine culturel immatériel de l</w:t>
      </w:r>
      <w:r w:rsidR="00346F1B">
        <w:rPr>
          <w:rFonts w:eastAsiaTheme="minorEastAsia"/>
          <w:b/>
        </w:rPr>
        <w:t>’</w:t>
      </w:r>
      <w:r w:rsidRPr="00D95CCC">
        <w:rPr>
          <w:rFonts w:eastAsiaTheme="minorEastAsia"/>
          <w:b/>
        </w:rPr>
        <w:t>humanité</w:t>
      </w:r>
      <w:r w:rsidR="00443FC6">
        <w:rPr>
          <w:rFonts w:eastAsiaTheme="minorEastAsia"/>
        </w:rPr>
        <w:t>.</w:t>
      </w:r>
    </w:p>
    <w:p w14:paraId="45EE262E" w14:textId="64A228A0" w:rsidR="00D95CCC" w:rsidRDefault="00D95CCC" w:rsidP="00F24F73">
      <w:pPr>
        <w:pStyle w:val="Orateurengris"/>
        <w:spacing w:before="120"/>
        <w:ind w:left="709" w:hanging="709"/>
        <w:rPr>
          <w:rFonts w:eastAsiaTheme="minorEastAsia"/>
        </w:rPr>
      </w:pPr>
      <w:r>
        <w:rPr>
          <w:rFonts w:eastAsiaTheme="minorEastAsia"/>
        </w:rPr>
        <w:t xml:space="preserve">La </w:t>
      </w:r>
      <w:r w:rsidRPr="00D95CCC">
        <w:rPr>
          <w:rFonts w:eastAsiaTheme="minorEastAsia"/>
        </w:rPr>
        <w:t>délégation</w:t>
      </w:r>
      <w:r>
        <w:rPr>
          <w:rFonts w:eastAsiaTheme="minorEastAsia"/>
        </w:rPr>
        <w:t xml:space="preserve"> de la </w:t>
      </w:r>
      <w:r w:rsidRPr="00D95CCC">
        <w:rPr>
          <w:rFonts w:eastAsiaTheme="minorEastAsia"/>
          <w:b/>
        </w:rPr>
        <w:t>République bolivarienne du Venezuela</w:t>
      </w:r>
      <w:r>
        <w:rPr>
          <w:rFonts w:eastAsiaTheme="minorEastAsia"/>
        </w:rPr>
        <w:t xml:space="preserve"> a chaleureusement </w:t>
      </w:r>
      <w:r w:rsidR="00FA6266">
        <w:rPr>
          <w:rFonts w:eastAsiaTheme="minorEastAsia"/>
        </w:rPr>
        <w:t xml:space="preserve">remercié le Président, le Comité et tous les délégués, </w:t>
      </w:r>
      <w:r w:rsidR="00FA6266" w:rsidRPr="00FA6266">
        <w:rPr>
          <w:rFonts w:eastAsiaTheme="minorEastAsia"/>
        </w:rPr>
        <w:t>en particulier</w:t>
      </w:r>
      <w:r w:rsidR="00FA6266">
        <w:rPr>
          <w:rFonts w:eastAsiaTheme="minorEastAsia"/>
        </w:rPr>
        <w:t xml:space="preserve"> l</w:t>
      </w:r>
      <w:r w:rsidR="00346F1B">
        <w:rPr>
          <w:rFonts w:eastAsiaTheme="minorEastAsia"/>
        </w:rPr>
        <w:t>’</w:t>
      </w:r>
      <w:r w:rsidR="00FA6266">
        <w:rPr>
          <w:rFonts w:eastAsiaTheme="minorEastAsia"/>
        </w:rPr>
        <w:t>Éthiopie pour son travail ardu d</w:t>
      </w:r>
      <w:r w:rsidR="00346F1B">
        <w:rPr>
          <w:rFonts w:eastAsiaTheme="minorEastAsia"/>
        </w:rPr>
        <w:t>’</w:t>
      </w:r>
      <w:r w:rsidR="00FA6266" w:rsidRPr="00FA6266">
        <w:rPr>
          <w:rFonts w:eastAsiaTheme="minorEastAsia"/>
        </w:rPr>
        <w:t>organisation</w:t>
      </w:r>
      <w:r w:rsidR="00FA6266">
        <w:rPr>
          <w:rFonts w:eastAsiaTheme="minorEastAsia"/>
        </w:rPr>
        <w:t xml:space="preserve"> de cette session. La </w:t>
      </w:r>
      <w:r w:rsidR="00FA6266" w:rsidRPr="00FA6266">
        <w:rPr>
          <w:rFonts w:eastAsiaTheme="minorEastAsia"/>
        </w:rPr>
        <w:t>délégation</w:t>
      </w:r>
      <w:r w:rsidR="00821ACB">
        <w:rPr>
          <w:rFonts w:eastAsiaTheme="minorEastAsia"/>
        </w:rPr>
        <w:t xml:space="preserve"> a évoqué la grande valeur </w:t>
      </w:r>
      <w:r w:rsidR="00FA6266">
        <w:rPr>
          <w:rFonts w:eastAsiaTheme="minorEastAsia"/>
        </w:rPr>
        <w:t>de sa constitution qui, dans</w:t>
      </w:r>
      <w:r w:rsidR="00982001">
        <w:rPr>
          <w:rFonts w:eastAsiaTheme="minorEastAsia"/>
        </w:rPr>
        <w:t xml:space="preserve"> ses premières pages, louait la</w:t>
      </w:r>
      <w:r w:rsidR="00FA6266">
        <w:rPr>
          <w:rFonts w:eastAsiaTheme="minorEastAsia"/>
        </w:rPr>
        <w:t xml:space="preserve"> culture en tant que vecteur de </w:t>
      </w:r>
      <w:r w:rsidR="00D55C52">
        <w:rPr>
          <w:rFonts w:eastAsiaTheme="minorEastAsia"/>
        </w:rPr>
        <w:t xml:space="preserve">la </w:t>
      </w:r>
      <w:r w:rsidR="00FA6266">
        <w:rPr>
          <w:rFonts w:eastAsiaTheme="minorEastAsia"/>
        </w:rPr>
        <w:t>paix, et d</w:t>
      </w:r>
      <w:r w:rsidR="00982001">
        <w:rPr>
          <w:rFonts w:eastAsiaTheme="minorEastAsia"/>
        </w:rPr>
        <w:t>éfinissait la nation vénézuélienne comme une</w:t>
      </w:r>
      <w:r w:rsidR="000052D2">
        <w:rPr>
          <w:rFonts w:eastAsiaTheme="minorEastAsia"/>
        </w:rPr>
        <w:t xml:space="preserve"> société pluri</w:t>
      </w:r>
      <w:r w:rsidR="00FA6266">
        <w:rPr>
          <w:rFonts w:eastAsiaTheme="minorEastAsia"/>
        </w:rPr>
        <w:t xml:space="preserve">culturelle et multiethnique. </w:t>
      </w:r>
      <w:r w:rsidR="007F0B85">
        <w:rPr>
          <w:rFonts w:eastAsiaTheme="minorEastAsia"/>
        </w:rPr>
        <w:t>C</w:t>
      </w:r>
      <w:r w:rsidR="00346F1B">
        <w:rPr>
          <w:rFonts w:eastAsiaTheme="minorEastAsia"/>
        </w:rPr>
        <w:t>’</w:t>
      </w:r>
      <w:r w:rsidR="007F0B85">
        <w:rPr>
          <w:rFonts w:eastAsiaTheme="minorEastAsia"/>
        </w:rPr>
        <w:t>était la raison pour laquelle</w:t>
      </w:r>
      <w:r w:rsidR="00FA6266">
        <w:rPr>
          <w:rFonts w:eastAsiaTheme="minorEastAsia"/>
        </w:rPr>
        <w:t xml:space="preserve"> la </w:t>
      </w:r>
      <w:r w:rsidR="00FA6266" w:rsidRPr="00FA6266">
        <w:rPr>
          <w:rFonts w:eastAsiaTheme="minorEastAsia"/>
        </w:rPr>
        <w:t>délégation</w:t>
      </w:r>
      <w:r w:rsidR="00FA6266">
        <w:rPr>
          <w:rFonts w:eastAsiaTheme="minorEastAsia"/>
        </w:rPr>
        <w:t xml:space="preserve"> jouait un rôle actif dans la </w:t>
      </w:r>
      <w:r w:rsidR="00FA6266" w:rsidRPr="00FA6266">
        <w:rPr>
          <w:rFonts w:eastAsiaTheme="minorEastAsia"/>
        </w:rPr>
        <w:t>Convention</w:t>
      </w:r>
      <w:r w:rsidR="007F0B85">
        <w:rPr>
          <w:rFonts w:eastAsiaTheme="minorEastAsia"/>
        </w:rPr>
        <w:t xml:space="preserve"> en ajoutant chaque année un </w:t>
      </w:r>
      <w:r w:rsidR="007F0B85" w:rsidRPr="007F0B85">
        <w:rPr>
          <w:rFonts w:eastAsiaTheme="minorEastAsia"/>
        </w:rPr>
        <w:t>élément</w:t>
      </w:r>
      <w:r w:rsidR="001433F2">
        <w:rPr>
          <w:rFonts w:eastAsiaTheme="minorEastAsia"/>
        </w:rPr>
        <w:t xml:space="preserve"> du PCI aux L</w:t>
      </w:r>
      <w:r w:rsidR="007F0B85">
        <w:rPr>
          <w:rFonts w:eastAsiaTheme="minorEastAsia"/>
        </w:rPr>
        <w:t>istes, ce qui témoignait de la force et de la créativité du peuple vénézuélien. Le carnaval d</w:t>
      </w:r>
      <w:r w:rsidR="00346F1B">
        <w:rPr>
          <w:rFonts w:eastAsiaTheme="minorEastAsia"/>
        </w:rPr>
        <w:t>’</w:t>
      </w:r>
      <w:r w:rsidR="007F0B85">
        <w:rPr>
          <w:rFonts w:eastAsiaTheme="minorEastAsia"/>
        </w:rPr>
        <w:t>El Ca</w:t>
      </w:r>
      <w:r w:rsidR="00982001">
        <w:rPr>
          <w:rFonts w:eastAsiaTheme="minorEastAsia"/>
        </w:rPr>
        <w:t>llao incarnait la mémoire d</w:t>
      </w:r>
      <w:r w:rsidR="00346F1B">
        <w:rPr>
          <w:rFonts w:eastAsiaTheme="minorEastAsia"/>
        </w:rPr>
        <w:t>’</w:t>
      </w:r>
      <w:r w:rsidR="00982001">
        <w:rPr>
          <w:rFonts w:eastAsiaTheme="minorEastAsia"/>
        </w:rPr>
        <w:t>une i</w:t>
      </w:r>
      <w:r w:rsidR="007F0B85">
        <w:rPr>
          <w:rFonts w:eastAsiaTheme="minorEastAsia"/>
        </w:rPr>
        <w:t xml:space="preserve">dentité culturelle qui </w:t>
      </w:r>
      <w:r w:rsidR="00982001">
        <w:rPr>
          <w:rFonts w:eastAsiaTheme="minorEastAsia"/>
        </w:rPr>
        <w:t xml:space="preserve">dépassait les frontières </w:t>
      </w:r>
      <w:r w:rsidR="00DD6F6C">
        <w:rPr>
          <w:rFonts w:eastAsiaTheme="minorEastAsia"/>
        </w:rPr>
        <w:t>de notre pays</w:t>
      </w:r>
      <w:r w:rsidR="00982001">
        <w:rPr>
          <w:rFonts w:eastAsiaTheme="minorEastAsia"/>
        </w:rPr>
        <w:t>, s</w:t>
      </w:r>
      <w:r w:rsidR="00346F1B">
        <w:rPr>
          <w:rFonts w:eastAsiaTheme="minorEastAsia"/>
        </w:rPr>
        <w:t>’</w:t>
      </w:r>
      <w:r w:rsidR="00982001">
        <w:rPr>
          <w:rFonts w:eastAsiaTheme="minorEastAsia"/>
        </w:rPr>
        <w:t xml:space="preserve">ouvrant sur </w:t>
      </w:r>
      <w:r w:rsidR="007F0B85">
        <w:rPr>
          <w:rFonts w:eastAsiaTheme="minorEastAsia"/>
        </w:rPr>
        <w:t>les Antilles et d</w:t>
      </w:r>
      <w:r w:rsidR="00346F1B">
        <w:rPr>
          <w:rFonts w:eastAsiaTheme="minorEastAsia"/>
        </w:rPr>
        <w:t>’</w:t>
      </w:r>
      <w:r w:rsidR="007F0B85">
        <w:rPr>
          <w:rFonts w:eastAsiaTheme="minorEastAsia"/>
        </w:rPr>
        <w:t>autre</w:t>
      </w:r>
      <w:r w:rsidR="00D55C52">
        <w:rPr>
          <w:rFonts w:eastAsiaTheme="minorEastAsia"/>
        </w:rPr>
        <w:t>s parties des Caraïbes d</w:t>
      </w:r>
      <w:r w:rsidR="00346F1B">
        <w:rPr>
          <w:rFonts w:eastAsiaTheme="minorEastAsia"/>
        </w:rPr>
        <w:t>’</w:t>
      </w:r>
      <w:r w:rsidR="00D55C52">
        <w:rPr>
          <w:rFonts w:eastAsiaTheme="minorEastAsia"/>
        </w:rPr>
        <w:t xml:space="preserve">origine africaine, </w:t>
      </w:r>
      <w:r w:rsidR="007F0B85">
        <w:rPr>
          <w:rFonts w:eastAsiaTheme="minorEastAsia"/>
        </w:rPr>
        <w:t>où l</w:t>
      </w:r>
      <w:r w:rsidR="00346F1B">
        <w:rPr>
          <w:rFonts w:eastAsiaTheme="minorEastAsia"/>
        </w:rPr>
        <w:t>’</w:t>
      </w:r>
      <w:r w:rsidR="007F0B85">
        <w:rPr>
          <w:rFonts w:eastAsiaTheme="minorEastAsia"/>
        </w:rPr>
        <w:t xml:space="preserve">on parlait </w:t>
      </w:r>
      <w:r w:rsidR="00D55C52">
        <w:rPr>
          <w:rFonts w:eastAsiaTheme="minorEastAsia"/>
        </w:rPr>
        <w:t>l</w:t>
      </w:r>
      <w:r w:rsidR="00346F1B">
        <w:rPr>
          <w:rFonts w:eastAsiaTheme="minorEastAsia"/>
        </w:rPr>
        <w:t>’</w:t>
      </w:r>
      <w:r w:rsidR="007F0B85">
        <w:rPr>
          <w:rFonts w:eastAsiaTheme="minorEastAsia"/>
        </w:rPr>
        <w:t xml:space="preserve">anglais, </w:t>
      </w:r>
      <w:r w:rsidR="00D55C52">
        <w:rPr>
          <w:rFonts w:eastAsiaTheme="minorEastAsia"/>
        </w:rPr>
        <w:t xml:space="preserve">le </w:t>
      </w:r>
      <w:r w:rsidR="007F0B85">
        <w:rPr>
          <w:rFonts w:eastAsiaTheme="minorEastAsia"/>
        </w:rPr>
        <w:t xml:space="preserve">français, </w:t>
      </w:r>
      <w:r w:rsidR="00D55C52">
        <w:rPr>
          <w:rFonts w:eastAsiaTheme="minorEastAsia"/>
        </w:rPr>
        <w:t>l</w:t>
      </w:r>
      <w:r w:rsidR="00346F1B">
        <w:rPr>
          <w:rFonts w:eastAsiaTheme="minorEastAsia"/>
        </w:rPr>
        <w:t>’</w:t>
      </w:r>
      <w:r w:rsidR="007F0B85">
        <w:rPr>
          <w:rFonts w:eastAsiaTheme="minorEastAsia"/>
        </w:rPr>
        <w:t xml:space="preserve">espagnol, </w:t>
      </w:r>
      <w:r w:rsidR="00D55C52">
        <w:rPr>
          <w:rFonts w:eastAsiaTheme="minorEastAsia"/>
        </w:rPr>
        <w:t xml:space="preserve">le </w:t>
      </w:r>
      <w:r w:rsidR="007F0B85">
        <w:rPr>
          <w:rFonts w:eastAsiaTheme="minorEastAsia"/>
        </w:rPr>
        <w:t xml:space="preserve">créole et </w:t>
      </w:r>
      <w:r w:rsidR="00D55C52">
        <w:rPr>
          <w:rFonts w:eastAsiaTheme="minorEastAsia"/>
        </w:rPr>
        <w:t xml:space="preserve">le </w:t>
      </w:r>
      <w:r w:rsidR="007F0B85">
        <w:rPr>
          <w:rFonts w:eastAsiaTheme="minorEastAsia"/>
        </w:rPr>
        <w:t>patois. Venue</w:t>
      </w:r>
      <w:r w:rsidR="00982001">
        <w:rPr>
          <w:rFonts w:eastAsiaTheme="minorEastAsia"/>
        </w:rPr>
        <w:t>s</w:t>
      </w:r>
      <w:r w:rsidR="007F0B85">
        <w:rPr>
          <w:rFonts w:eastAsiaTheme="minorEastAsia"/>
        </w:rPr>
        <w:t xml:space="preserve"> d</w:t>
      </w:r>
      <w:r w:rsidR="00982001">
        <w:rPr>
          <w:rFonts w:eastAsiaTheme="minorEastAsia"/>
        </w:rPr>
        <w:t>e ces contrées lointaines, ces</w:t>
      </w:r>
      <w:r w:rsidR="007F0B85">
        <w:rPr>
          <w:rFonts w:eastAsiaTheme="minorEastAsia"/>
        </w:rPr>
        <w:t xml:space="preserve"> </w:t>
      </w:r>
      <w:r w:rsidR="007F0B85" w:rsidRPr="007F0B85">
        <w:rPr>
          <w:rFonts w:eastAsiaTheme="minorEastAsia"/>
        </w:rPr>
        <w:t>communauté</w:t>
      </w:r>
      <w:r w:rsidR="00982001">
        <w:rPr>
          <w:rFonts w:eastAsiaTheme="minorEastAsia"/>
        </w:rPr>
        <w:t>s s</w:t>
      </w:r>
      <w:r w:rsidR="00346F1B">
        <w:rPr>
          <w:rFonts w:eastAsiaTheme="minorEastAsia"/>
        </w:rPr>
        <w:t>’</w:t>
      </w:r>
      <w:r w:rsidR="00982001">
        <w:rPr>
          <w:rFonts w:eastAsiaTheme="minorEastAsia"/>
        </w:rPr>
        <w:t>étaient</w:t>
      </w:r>
      <w:r w:rsidR="007F0B85">
        <w:rPr>
          <w:rFonts w:eastAsiaTheme="minorEastAsia"/>
        </w:rPr>
        <w:t xml:space="preserve"> constituée</w:t>
      </w:r>
      <w:r w:rsidR="00982001">
        <w:rPr>
          <w:rFonts w:eastAsiaTheme="minorEastAsia"/>
        </w:rPr>
        <w:t>s</w:t>
      </w:r>
      <w:r w:rsidR="007F0B85">
        <w:rPr>
          <w:rFonts w:eastAsiaTheme="minorEastAsia"/>
        </w:rPr>
        <w:t xml:space="preserve"> </w:t>
      </w:r>
      <w:r w:rsidR="00B600B4">
        <w:rPr>
          <w:rFonts w:eastAsiaTheme="minorEastAsia"/>
        </w:rPr>
        <w:t>au-dessus</w:t>
      </w:r>
      <w:r w:rsidR="007F0B85">
        <w:rPr>
          <w:rFonts w:eastAsiaTheme="minorEastAsia"/>
        </w:rPr>
        <w:t xml:space="preserve"> de la plus célèbre mine d</w:t>
      </w:r>
      <w:r w:rsidR="00346F1B">
        <w:rPr>
          <w:rFonts w:eastAsiaTheme="minorEastAsia"/>
        </w:rPr>
        <w:t>’</w:t>
      </w:r>
      <w:r w:rsidR="007F0B85">
        <w:rPr>
          <w:rFonts w:eastAsiaTheme="minorEastAsia"/>
        </w:rPr>
        <w:t>or du pays, et avec le travail de la mine, ces populations avai</w:t>
      </w:r>
      <w:r w:rsidR="00982001">
        <w:rPr>
          <w:rFonts w:eastAsiaTheme="minorEastAsia"/>
        </w:rPr>
        <w:t>en</w:t>
      </w:r>
      <w:r w:rsidR="007F0B85">
        <w:rPr>
          <w:rFonts w:eastAsiaTheme="minorEastAsia"/>
        </w:rPr>
        <w:t xml:space="preserve">t progressivement construit des coutumes ancestrales </w:t>
      </w:r>
      <w:r w:rsidR="002926D4">
        <w:rPr>
          <w:rFonts w:eastAsiaTheme="minorEastAsia"/>
        </w:rPr>
        <w:t>qui, au fil des générations, s</w:t>
      </w:r>
      <w:r w:rsidR="00346F1B">
        <w:rPr>
          <w:rFonts w:eastAsiaTheme="minorEastAsia"/>
        </w:rPr>
        <w:t>’</w:t>
      </w:r>
      <w:r w:rsidR="002926D4">
        <w:rPr>
          <w:rFonts w:eastAsiaTheme="minorEastAsia"/>
        </w:rPr>
        <w:t xml:space="preserve">étaient enrichies pour constituer ce que le Président Hugo Chavez avait défini comme </w:t>
      </w:r>
      <w:r w:rsidR="000052D2">
        <w:rPr>
          <w:rFonts w:eastAsiaTheme="minorEastAsia"/>
        </w:rPr>
        <w:t>« </w:t>
      </w:r>
      <w:r w:rsidR="002926D4" w:rsidRPr="000052D2">
        <w:rPr>
          <w:rFonts w:eastAsiaTheme="minorEastAsia"/>
          <w:i/>
        </w:rPr>
        <w:t>notre</w:t>
      </w:r>
      <w:r w:rsidR="002926D4">
        <w:rPr>
          <w:rFonts w:eastAsiaTheme="minorEastAsia"/>
        </w:rPr>
        <w:t xml:space="preserve"> </w:t>
      </w:r>
      <w:r w:rsidR="002926D4" w:rsidRPr="002926D4">
        <w:rPr>
          <w:rFonts w:eastAsiaTheme="minorEastAsia"/>
          <w:i/>
        </w:rPr>
        <w:t>Americana</w:t>
      </w:r>
      <w:r w:rsidR="000052D2">
        <w:rPr>
          <w:rFonts w:eastAsiaTheme="minorEastAsia"/>
          <w:i/>
        </w:rPr>
        <w:t> »</w:t>
      </w:r>
      <w:r w:rsidR="002926D4">
        <w:rPr>
          <w:rFonts w:eastAsiaTheme="minorEastAsia"/>
        </w:rPr>
        <w:t xml:space="preserve">. Les Américains, ou ancêtres, avaient quitté le continent africain et, </w:t>
      </w:r>
      <w:r w:rsidR="00982001">
        <w:rPr>
          <w:rFonts w:eastAsiaTheme="minorEastAsia"/>
        </w:rPr>
        <w:t xml:space="preserve">en raison des </w:t>
      </w:r>
      <w:r w:rsidR="002926D4">
        <w:rPr>
          <w:rFonts w:eastAsiaTheme="minorEastAsia"/>
        </w:rPr>
        <w:t>circonstances historiques, avaient so</w:t>
      </w:r>
      <w:r w:rsidR="00DD6F6C">
        <w:rPr>
          <w:rFonts w:eastAsiaTheme="minorEastAsia"/>
        </w:rPr>
        <w:t>u</w:t>
      </w:r>
      <w:r w:rsidR="002926D4">
        <w:rPr>
          <w:rFonts w:eastAsiaTheme="minorEastAsia"/>
        </w:rPr>
        <w:t xml:space="preserve">ffert pour donner la vie aux Amériques. </w:t>
      </w:r>
      <w:r w:rsidR="00DD6F6C">
        <w:rPr>
          <w:rFonts w:eastAsiaTheme="minorEastAsia"/>
        </w:rPr>
        <w:t xml:space="preserve">La </w:t>
      </w:r>
      <w:r w:rsidR="00DD6F6C" w:rsidRPr="00DD6F6C">
        <w:rPr>
          <w:rFonts w:eastAsiaTheme="minorEastAsia"/>
        </w:rPr>
        <w:t>délégation</w:t>
      </w:r>
      <w:r w:rsidR="00DD6F6C">
        <w:rPr>
          <w:rFonts w:eastAsiaTheme="minorEastAsia"/>
        </w:rPr>
        <w:t xml:space="preserve"> a demandé si elle pourrait être autorisée à interpréter un hommage au peupl</w:t>
      </w:r>
      <w:r w:rsidR="00D55C52">
        <w:rPr>
          <w:rFonts w:eastAsiaTheme="minorEastAsia"/>
        </w:rPr>
        <w:t>e d</w:t>
      </w:r>
      <w:r w:rsidR="00346F1B">
        <w:rPr>
          <w:rFonts w:eastAsiaTheme="minorEastAsia"/>
        </w:rPr>
        <w:t>’</w:t>
      </w:r>
      <w:r w:rsidR="00D55C52">
        <w:rPr>
          <w:rFonts w:eastAsiaTheme="minorEastAsia"/>
        </w:rPr>
        <w:t>Afrique, un peuple qui s</w:t>
      </w:r>
      <w:r w:rsidR="00346F1B">
        <w:rPr>
          <w:rFonts w:eastAsiaTheme="minorEastAsia"/>
        </w:rPr>
        <w:t>’</w:t>
      </w:r>
      <w:r w:rsidR="00D55C52">
        <w:rPr>
          <w:rFonts w:eastAsiaTheme="minorEastAsia"/>
        </w:rPr>
        <w:t xml:space="preserve">était </w:t>
      </w:r>
      <w:r w:rsidR="00DD6F6C">
        <w:rPr>
          <w:rFonts w:eastAsiaTheme="minorEastAsia"/>
        </w:rPr>
        <w:t xml:space="preserve">battu pour </w:t>
      </w:r>
      <w:r w:rsidR="000052D2">
        <w:rPr>
          <w:rFonts w:eastAsiaTheme="minorEastAsia"/>
        </w:rPr>
        <w:t>conquérir notre</w:t>
      </w:r>
      <w:r w:rsidR="00DD6F6C">
        <w:rPr>
          <w:rFonts w:eastAsiaTheme="minorEastAsia"/>
        </w:rPr>
        <w:t xml:space="preserve"> liberté, avec une chanson évoquant la joie et la douleur. La </w:t>
      </w:r>
      <w:r w:rsidR="00DD6F6C" w:rsidRPr="00DD6F6C">
        <w:rPr>
          <w:rFonts w:eastAsiaTheme="minorEastAsia"/>
        </w:rPr>
        <w:t>délégation</w:t>
      </w:r>
      <w:r w:rsidR="00DD6F6C">
        <w:rPr>
          <w:rFonts w:eastAsiaTheme="minorEastAsia"/>
        </w:rPr>
        <w:t xml:space="preserve"> a conclu son </w:t>
      </w:r>
      <w:r w:rsidR="00DD6F6C" w:rsidRPr="00DD6F6C">
        <w:rPr>
          <w:rFonts w:eastAsiaTheme="minorEastAsia"/>
        </w:rPr>
        <w:t>intervention</w:t>
      </w:r>
      <w:r w:rsidR="00DD6F6C">
        <w:rPr>
          <w:rFonts w:eastAsiaTheme="minorEastAsia"/>
        </w:rPr>
        <w:t xml:space="preserve"> en remerciant une </w:t>
      </w:r>
      <w:r w:rsidR="00982001">
        <w:rPr>
          <w:rFonts w:eastAsiaTheme="minorEastAsia"/>
        </w:rPr>
        <w:t xml:space="preserve">fois </w:t>
      </w:r>
      <w:r w:rsidR="00DD6F6C">
        <w:rPr>
          <w:rFonts w:eastAsiaTheme="minorEastAsia"/>
        </w:rPr>
        <w:t>encore le Comité</w:t>
      </w:r>
      <w:r w:rsidR="00443FC6">
        <w:rPr>
          <w:rFonts w:eastAsiaTheme="minorEastAsia"/>
        </w:rPr>
        <w:t>.</w:t>
      </w:r>
    </w:p>
    <w:p w14:paraId="5C14A6B8" w14:textId="309488EA" w:rsidR="00982001" w:rsidRPr="00982001" w:rsidRDefault="00982001" w:rsidP="00F24F73">
      <w:pPr>
        <w:pStyle w:val="Orateurengris"/>
        <w:spacing w:before="120"/>
        <w:ind w:left="709" w:hanging="709"/>
      </w:pPr>
      <w:r>
        <w:t xml:space="preserve">Le </w:t>
      </w:r>
      <w:r w:rsidRPr="00982001">
        <w:rPr>
          <w:b/>
        </w:rPr>
        <w:t>Président</w:t>
      </w:r>
      <w:r>
        <w:t xml:space="preserve"> a remercié le Venezuela pour ses paroles fort aimables, ajoutant que la culture était en effet un </w:t>
      </w:r>
      <w:r w:rsidR="00443FC6">
        <w:t>vecteur de paix.</w:t>
      </w:r>
    </w:p>
    <w:p w14:paraId="5B7011E9" w14:textId="17D40790" w:rsidR="004D3E14" w:rsidRPr="008A1DB5" w:rsidRDefault="00D55C52" w:rsidP="00F24F73">
      <w:pPr>
        <w:pStyle w:val="Orateurengris"/>
        <w:numPr>
          <w:ilvl w:val="0"/>
          <w:numId w:val="0"/>
        </w:numPr>
        <w:spacing w:before="120"/>
        <w:ind w:left="709" w:hanging="709"/>
        <w:jc w:val="center"/>
        <w:rPr>
          <w:rFonts w:eastAsiaTheme="minorEastAsia"/>
          <w:i/>
        </w:rPr>
      </w:pPr>
      <w:r>
        <w:rPr>
          <w:rFonts w:eastAsiaTheme="minorEastAsia"/>
          <w:i/>
        </w:rPr>
        <w:t>[Prestation musicale</w:t>
      </w:r>
      <w:r w:rsidR="004D3E14" w:rsidRPr="008A1DB5">
        <w:rPr>
          <w:rFonts w:eastAsiaTheme="minorEastAsia"/>
          <w:i/>
        </w:rPr>
        <w:t>]</w:t>
      </w:r>
    </w:p>
    <w:p w14:paraId="5238A88D" w14:textId="5CE245CE" w:rsidR="00D55C52" w:rsidRPr="00D55C52" w:rsidRDefault="00D55C52" w:rsidP="00F24F73">
      <w:pPr>
        <w:pStyle w:val="Orateurengris"/>
        <w:spacing w:before="120"/>
        <w:ind w:left="709" w:hanging="709"/>
        <w:rPr>
          <w:rFonts w:cs="Times New Roman"/>
          <w:szCs w:val="24"/>
        </w:rPr>
      </w:pPr>
      <w:r>
        <w:rPr>
          <w:rFonts w:cs="Times New Roman"/>
          <w:szCs w:val="24"/>
        </w:rPr>
        <w:t xml:space="preserve">Le </w:t>
      </w:r>
      <w:r w:rsidRPr="00D55C52">
        <w:rPr>
          <w:rFonts w:cs="Times New Roman"/>
          <w:b/>
          <w:szCs w:val="24"/>
        </w:rPr>
        <w:t>Président</w:t>
      </w:r>
      <w:r>
        <w:rPr>
          <w:rFonts w:cs="Times New Roman"/>
          <w:szCs w:val="24"/>
        </w:rPr>
        <w:t xml:space="preserve"> est passé à la </w:t>
      </w:r>
      <w:r w:rsidRPr="00D55C52">
        <w:rPr>
          <w:rFonts w:cs="Times New Roman"/>
          <w:szCs w:val="24"/>
        </w:rPr>
        <w:t>candidature</w:t>
      </w:r>
      <w:r>
        <w:rPr>
          <w:rFonts w:cs="Times New Roman"/>
          <w:szCs w:val="24"/>
        </w:rPr>
        <w:t xml:space="preserve"> s</w:t>
      </w:r>
      <w:r w:rsidR="00443FC6">
        <w:rPr>
          <w:rFonts w:cs="Times New Roman"/>
          <w:szCs w:val="24"/>
        </w:rPr>
        <w:t>uivante, soumise par la Suisse.</w:t>
      </w:r>
    </w:p>
    <w:p w14:paraId="356433E3" w14:textId="6BCFBB96" w:rsidR="00D55C52" w:rsidRPr="00DA1921" w:rsidRDefault="00D55C52" w:rsidP="00F24F73">
      <w:pPr>
        <w:pStyle w:val="Orateurengris"/>
        <w:spacing w:before="120"/>
        <w:ind w:left="709" w:hanging="709"/>
        <w:rPr>
          <w:rFonts w:eastAsia="MS Mincho"/>
        </w:rPr>
      </w:pPr>
      <w:r>
        <w:rPr>
          <w:rFonts w:eastAsia="MS Mincho"/>
        </w:rPr>
        <w:t xml:space="preserve">Le </w:t>
      </w:r>
      <w:r w:rsidRPr="00D55C52">
        <w:rPr>
          <w:rFonts w:eastAsia="MS Mincho"/>
          <w:b/>
        </w:rPr>
        <w:t>Vice-Président de l</w:t>
      </w:r>
      <w:r w:rsidR="00346F1B">
        <w:rPr>
          <w:rFonts w:eastAsia="MS Mincho"/>
          <w:b/>
        </w:rPr>
        <w:t>’</w:t>
      </w:r>
      <w:r w:rsidRPr="00D55C52">
        <w:rPr>
          <w:rFonts w:eastAsia="MS Mincho"/>
          <w:b/>
        </w:rPr>
        <w:t>Organe d</w:t>
      </w:r>
      <w:r w:rsidR="00346F1B">
        <w:rPr>
          <w:rFonts w:eastAsia="MS Mincho"/>
          <w:b/>
        </w:rPr>
        <w:t>’</w:t>
      </w:r>
      <w:r w:rsidRPr="00D55C52">
        <w:rPr>
          <w:rFonts w:eastAsia="MS Mincho"/>
          <w:b/>
        </w:rPr>
        <w:t>évaluation</w:t>
      </w:r>
      <w:r>
        <w:rPr>
          <w:rFonts w:eastAsia="MS Mincho"/>
        </w:rPr>
        <w:t xml:space="preserve"> a présenté la </w:t>
      </w:r>
      <w:r w:rsidRPr="00D55C52">
        <w:rPr>
          <w:rFonts w:eastAsia="MS Mincho"/>
        </w:rPr>
        <w:t>candidature</w:t>
      </w:r>
      <w:r>
        <w:rPr>
          <w:rFonts w:eastAsia="MS Mincho"/>
        </w:rPr>
        <w:t xml:space="preserve"> suivante, </w:t>
      </w:r>
      <w:bookmarkStart w:id="45" w:name="Decision10b32"/>
      <w:r w:rsidRPr="00D55C52">
        <w:rPr>
          <w:rFonts w:eastAsia="MS Mincho"/>
          <w:b/>
        </w:rPr>
        <w:t>la Fête des vignerons de Vevey</w:t>
      </w:r>
      <w:bookmarkEnd w:id="45"/>
      <w:r>
        <w:rPr>
          <w:rFonts w:eastAsia="MS Mincho"/>
        </w:rPr>
        <w:t xml:space="preserve"> [projet de décision 11.COM 10.b.32], soumise par la Suisse. La Fête des vignerons faisait partie du </w:t>
      </w:r>
      <w:r w:rsidRPr="00D55C52">
        <w:rPr>
          <w:rFonts w:eastAsia="MS Mincho"/>
        </w:rPr>
        <w:t>patrimoine</w:t>
      </w:r>
      <w:r>
        <w:rPr>
          <w:rFonts w:eastAsia="MS Mincho"/>
        </w:rPr>
        <w:t xml:space="preserve"> vivant de Vevey, en Suisse, qui célébrait la communauté des vignerons. D</w:t>
      </w:r>
      <w:r w:rsidR="00346F1B">
        <w:rPr>
          <w:rFonts w:eastAsia="MS Mincho"/>
        </w:rPr>
        <w:t>’</w:t>
      </w:r>
      <w:r>
        <w:rPr>
          <w:rFonts w:eastAsia="MS Mincho"/>
        </w:rPr>
        <w:t>abord simple parade, elle comptait désormais quinze événements répartis sur trois semaines</w:t>
      </w:r>
      <w:r w:rsidR="00DA1921">
        <w:rPr>
          <w:rFonts w:eastAsia="MS Mincho"/>
        </w:rPr>
        <w:t>,</w:t>
      </w:r>
      <w:r>
        <w:rPr>
          <w:rFonts w:eastAsia="MS Mincho"/>
        </w:rPr>
        <w:t xml:space="preserve"> et 5</w:t>
      </w:r>
      <w:r w:rsidR="00346F1B">
        <w:rPr>
          <w:rFonts w:eastAsia="MS Mincho"/>
        </w:rPr>
        <w:t> 000</w:t>
      </w:r>
      <w:r>
        <w:rPr>
          <w:rFonts w:eastAsia="MS Mincho"/>
        </w:rPr>
        <w:t xml:space="preserve"> personnes y participaient. </w:t>
      </w:r>
      <w:r w:rsidR="000052D2">
        <w:rPr>
          <w:rFonts w:eastAsia="MS Mincho"/>
        </w:rPr>
        <w:t>Reposant sur un thème traditionnel avec des remises de prix pour les meilleurs vignerons, ainsi que de la musique, de la nourriture et des processions vers la ville voisine de La Tour-de-Peliz, la fête était organisée par la Confrérie des vignerons de Vevey avec l</w:t>
      </w:r>
      <w:r w:rsidR="00346F1B">
        <w:rPr>
          <w:rFonts w:eastAsia="MS Mincho"/>
        </w:rPr>
        <w:t>’</w:t>
      </w:r>
      <w:r w:rsidR="000052D2">
        <w:rPr>
          <w:rFonts w:eastAsia="MS Mincho"/>
        </w:rPr>
        <w:t>aide de bénévoles. Elle encourageait l</w:t>
      </w:r>
      <w:r w:rsidR="00346F1B">
        <w:rPr>
          <w:rFonts w:eastAsia="MS Mincho"/>
        </w:rPr>
        <w:t>’</w:t>
      </w:r>
      <w:r w:rsidR="000052D2">
        <w:rPr>
          <w:rFonts w:eastAsia="MS Mincho"/>
        </w:rPr>
        <w:t xml:space="preserve">esprit de </w:t>
      </w:r>
      <w:r w:rsidR="000052D2" w:rsidRPr="000052D2">
        <w:rPr>
          <w:rFonts w:eastAsia="MS Mincho"/>
        </w:rPr>
        <w:t>communauté</w:t>
      </w:r>
      <w:r w:rsidR="000052D2">
        <w:rPr>
          <w:rFonts w:eastAsia="MS Mincho"/>
        </w:rPr>
        <w:t xml:space="preserve"> et la vie artistique et stimulait le </w:t>
      </w:r>
      <w:r w:rsidR="000052D2" w:rsidRPr="000052D2">
        <w:rPr>
          <w:rFonts w:eastAsia="MS Mincho"/>
        </w:rPr>
        <w:t>savoir-faire</w:t>
      </w:r>
      <w:r w:rsidR="000052D2">
        <w:rPr>
          <w:rFonts w:eastAsia="MS Mincho"/>
        </w:rPr>
        <w:t xml:space="preserve"> des vignerons. </w:t>
      </w:r>
      <w:r w:rsidR="00DA1921">
        <w:rPr>
          <w:rFonts w:eastAsia="MS Mincho"/>
        </w:rPr>
        <w:t>L</w:t>
      </w:r>
      <w:r w:rsidR="00346F1B">
        <w:rPr>
          <w:rFonts w:eastAsia="MS Mincho"/>
        </w:rPr>
        <w:t>’</w:t>
      </w:r>
      <w:r w:rsidR="00DA1921">
        <w:rPr>
          <w:rFonts w:eastAsia="MS Mincho"/>
        </w:rPr>
        <w:t>Organe d</w:t>
      </w:r>
      <w:r w:rsidR="00346F1B">
        <w:rPr>
          <w:rFonts w:eastAsia="MS Mincho"/>
        </w:rPr>
        <w:t>’</w:t>
      </w:r>
      <w:r w:rsidR="00DA1921">
        <w:rPr>
          <w:rFonts w:eastAsia="MS Mincho"/>
        </w:rPr>
        <w:t xml:space="preserve">évaluation avait décidé que, selon les </w:t>
      </w:r>
      <w:r w:rsidR="00DA1921" w:rsidRPr="00DA1921">
        <w:rPr>
          <w:rFonts w:eastAsia="MS Mincho"/>
        </w:rPr>
        <w:t>informations</w:t>
      </w:r>
      <w:r w:rsidR="00DA1921">
        <w:rPr>
          <w:rFonts w:eastAsia="MS Mincho"/>
        </w:rPr>
        <w:t xml:space="preserve"> contenues dans le dossier, la </w:t>
      </w:r>
      <w:r w:rsidR="00DA1921" w:rsidRPr="00DA1921">
        <w:rPr>
          <w:rFonts w:eastAsia="MS Mincho"/>
        </w:rPr>
        <w:t>candidature</w:t>
      </w:r>
      <w:r w:rsidR="00F4069D">
        <w:rPr>
          <w:rFonts w:eastAsia="MS Mincho"/>
        </w:rPr>
        <w:t xml:space="preserve"> satisfaisait </w:t>
      </w:r>
      <w:r w:rsidR="00DA1921">
        <w:rPr>
          <w:rFonts w:eastAsia="MS Mincho"/>
        </w:rPr>
        <w:t>l</w:t>
      </w:r>
      <w:r w:rsidR="00346F1B">
        <w:rPr>
          <w:rFonts w:eastAsia="MS Mincho"/>
        </w:rPr>
        <w:t>’</w:t>
      </w:r>
      <w:r w:rsidR="00DA1921">
        <w:rPr>
          <w:rFonts w:eastAsia="MS Mincho"/>
        </w:rPr>
        <w:t xml:space="preserve">ensemble des </w:t>
      </w:r>
      <w:r w:rsidR="00DA1921" w:rsidRPr="00DA1921">
        <w:rPr>
          <w:rFonts w:eastAsia="MS Mincho"/>
        </w:rPr>
        <w:t xml:space="preserve">cinq critères. </w:t>
      </w:r>
      <w:r w:rsidR="00DA1921">
        <w:rPr>
          <w:rFonts w:eastAsia="MS Mincho"/>
        </w:rPr>
        <w:t>L</w:t>
      </w:r>
      <w:r w:rsidR="00346F1B">
        <w:rPr>
          <w:rFonts w:eastAsia="MS Mincho"/>
        </w:rPr>
        <w:t>’</w:t>
      </w:r>
      <w:r w:rsidR="00DA1921">
        <w:rPr>
          <w:rFonts w:eastAsia="MS Mincho"/>
        </w:rPr>
        <w:t>Organe d</w:t>
      </w:r>
      <w:r w:rsidR="00346F1B">
        <w:rPr>
          <w:rFonts w:eastAsia="MS Mincho"/>
        </w:rPr>
        <w:t>’</w:t>
      </w:r>
      <w:r w:rsidR="00DA1921">
        <w:rPr>
          <w:rFonts w:eastAsia="MS Mincho"/>
        </w:rPr>
        <w:t xml:space="preserve">évaluation avait été ravi de constater que les mesures de sauvegarde proposées prévoyaient la </w:t>
      </w:r>
      <w:r w:rsidR="00DA1921" w:rsidRPr="00DA1921">
        <w:rPr>
          <w:rFonts w:eastAsia="MS Mincho"/>
        </w:rPr>
        <w:t>réalisation</w:t>
      </w:r>
      <w:r w:rsidR="00DA1921">
        <w:rPr>
          <w:rFonts w:eastAsia="MS Mincho"/>
        </w:rPr>
        <w:t xml:space="preserve"> de films, l</w:t>
      </w:r>
      <w:r w:rsidR="00346F1B">
        <w:rPr>
          <w:rFonts w:eastAsia="MS Mincho"/>
        </w:rPr>
        <w:t>’</w:t>
      </w:r>
      <w:r w:rsidR="00DA1921" w:rsidRPr="00DA1921">
        <w:rPr>
          <w:rFonts w:eastAsia="MS Mincho"/>
        </w:rPr>
        <w:t>organisation</w:t>
      </w:r>
      <w:r w:rsidR="00DA1921">
        <w:rPr>
          <w:rFonts w:eastAsia="MS Mincho"/>
        </w:rPr>
        <w:t xml:space="preserve"> d</w:t>
      </w:r>
      <w:r w:rsidR="00346F1B">
        <w:rPr>
          <w:rFonts w:eastAsia="MS Mincho"/>
        </w:rPr>
        <w:t>’</w:t>
      </w:r>
      <w:r w:rsidR="00DA1921">
        <w:rPr>
          <w:rFonts w:eastAsia="MS Mincho"/>
        </w:rPr>
        <w:t xml:space="preserve">expositions, des publications, des activités de formation et des projets en </w:t>
      </w:r>
      <w:r w:rsidR="00DA1921" w:rsidRPr="00DA1921">
        <w:rPr>
          <w:rFonts w:eastAsia="MS Mincho"/>
        </w:rPr>
        <w:t>collaboration</w:t>
      </w:r>
      <w:r w:rsidR="00DA1921">
        <w:rPr>
          <w:rFonts w:eastAsia="MS Mincho"/>
        </w:rPr>
        <w:t xml:space="preserve"> avec l</w:t>
      </w:r>
      <w:r w:rsidR="00346F1B">
        <w:rPr>
          <w:rFonts w:eastAsia="MS Mincho"/>
        </w:rPr>
        <w:t>’</w:t>
      </w:r>
      <w:r w:rsidR="00DA1921">
        <w:rPr>
          <w:rFonts w:eastAsia="MS Mincho"/>
        </w:rPr>
        <w:t>A</w:t>
      </w:r>
      <w:r w:rsidR="00DA1921" w:rsidRPr="00DA1921">
        <w:rPr>
          <w:rFonts w:eastAsia="MS Mincho"/>
        </w:rPr>
        <w:t>ssociation</w:t>
      </w:r>
      <w:r w:rsidR="00DA1921">
        <w:rPr>
          <w:rFonts w:eastAsia="MS Mincho"/>
        </w:rPr>
        <w:t xml:space="preserve"> du </w:t>
      </w:r>
      <w:r w:rsidR="00DA1921" w:rsidRPr="00DA1921">
        <w:rPr>
          <w:rFonts w:eastAsia="MS Mincho"/>
        </w:rPr>
        <w:t>patrimoine</w:t>
      </w:r>
      <w:r w:rsidR="00DA1921">
        <w:rPr>
          <w:rFonts w:eastAsia="MS Mincho"/>
        </w:rPr>
        <w:t xml:space="preserve"> mondial de Lavaux. Le dossier précisait </w:t>
      </w:r>
      <w:r w:rsidR="00DA1921" w:rsidRPr="00DA1921">
        <w:rPr>
          <w:rFonts w:eastAsia="MS Mincho"/>
        </w:rPr>
        <w:t>également</w:t>
      </w:r>
      <w:r w:rsidR="00DA1921">
        <w:rPr>
          <w:rFonts w:eastAsia="MS Mincho"/>
        </w:rPr>
        <w:t xml:space="preserve"> que, compte tenu de l</w:t>
      </w:r>
      <w:r w:rsidR="00346F1B">
        <w:rPr>
          <w:rFonts w:eastAsia="MS Mincho"/>
        </w:rPr>
        <w:t>’</w:t>
      </w:r>
      <w:r w:rsidR="00DA1921">
        <w:rPr>
          <w:rFonts w:eastAsia="MS Mincho"/>
        </w:rPr>
        <w:t>aspect public de l</w:t>
      </w:r>
      <w:r w:rsidR="00346F1B">
        <w:rPr>
          <w:rFonts w:eastAsia="MS Mincho"/>
        </w:rPr>
        <w:t>’</w:t>
      </w:r>
      <w:r w:rsidR="00DA1921" w:rsidRPr="00DA1921">
        <w:rPr>
          <w:rFonts w:eastAsia="MS Mincho"/>
        </w:rPr>
        <w:t>élément</w:t>
      </w:r>
      <w:r w:rsidR="00DA1921">
        <w:rPr>
          <w:rFonts w:eastAsia="MS Mincho"/>
        </w:rPr>
        <w:t xml:space="preserve">, les </w:t>
      </w:r>
      <w:r w:rsidR="00DA1921" w:rsidRPr="00DA1921">
        <w:rPr>
          <w:rFonts w:eastAsia="MS Mincho"/>
        </w:rPr>
        <w:t>détenteurs</w:t>
      </w:r>
      <w:r w:rsidR="00DA1921">
        <w:rPr>
          <w:rFonts w:eastAsia="MS Mincho"/>
        </w:rPr>
        <w:t xml:space="preserve"> avaient anticipé la </w:t>
      </w:r>
      <w:r w:rsidR="00DA1921" w:rsidRPr="00DA1921">
        <w:rPr>
          <w:rFonts w:eastAsia="MS Mincho"/>
        </w:rPr>
        <w:t>visibilité</w:t>
      </w:r>
      <w:r w:rsidR="00DA1921">
        <w:rPr>
          <w:rFonts w:eastAsia="MS Mincho"/>
        </w:rPr>
        <w:t xml:space="preserve"> accrue de l</w:t>
      </w:r>
      <w:r w:rsidR="00346F1B">
        <w:rPr>
          <w:rFonts w:eastAsia="MS Mincho"/>
        </w:rPr>
        <w:t>’</w:t>
      </w:r>
      <w:r w:rsidR="00DA1921" w:rsidRPr="00DA1921">
        <w:rPr>
          <w:rFonts w:eastAsia="MS Mincho"/>
        </w:rPr>
        <w:t>élément</w:t>
      </w:r>
      <w:r w:rsidR="00DA1921">
        <w:rPr>
          <w:rFonts w:eastAsia="MS Mincho"/>
        </w:rPr>
        <w:t xml:space="preserve"> et la publicité qui lui serait faite et avaient prévu les moyens d</w:t>
      </w:r>
      <w:r w:rsidR="00346F1B">
        <w:rPr>
          <w:rFonts w:eastAsia="MS Mincho"/>
        </w:rPr>
        <w:t>’</w:t>
      </w:r>
      <w:r w:rsidR="00DA1921">
        <w:rPr>
          <w:rFonts w:eastAsia="MS Mincho"/>
        </w:rPr>
        <w:t>y faire face. L</w:t>
      </w:r>
      <w:r w:rsidR="00346F1B">
        <w:rPr>
          <w:rFonts w:eastAsia="MS Mincho"/>
        </w:rPr>
        <w:t>’</w:t>
      </w:r>
      <w:r w:rsidR="00DA1921">
        <w:rPr>
          <w:rFonts w:eastAsia="MS Mincho"/>
        </w:rPr>
        <w:t>Organe d</w:t>
      </w:r>
      <w:r w:rsidR="00346F1B">
        <w:rPr>
          <w:rFonts w:eastAsia="MS Mincho"/>
        </w:rPr>
        <w:t>’</w:t>
      </w:r>
      <w:r w:rsidR="00DA1921">
        <w:rPr>
          <w:rFonts w:eastAsia="MS Mincho"/>
        </w:rPr>
        <w:t>évaluation avait décidé de recommander l</w:t>
      </w:r>
      <w:r w:rsidR="00346F1B">
        <w:rPr>
          <w:rFonts w:eastAsia="MS Mincho"/>
        </w:rPr>
        <w:t>’</w:t>
      </w:r>
      <w:r w:rsidR="00DA1921" w:rsidRPr="00DA1921">
        <w:rPr>
          <w:rFonts w:eastAsia="MS Mincho"/>
        </w:rPr>
        <w:t>inscription</w:t>
      </w:r>
      <w:r w:rsidR="00DA1921">
        <w:rPr>
          <w:rFonts w:eastAsia="MS Mincho"/>
        </w:rPr>
        <w:t xml:space="preserve"> du festival des vignerons de Vevey sur la Liste représentative.</w:t>
      </w:r>
    </w:p>
    <w:p w14:paraId="1CF206EA" w14:textId="6F338986" w:rsidR="007F6D02" w:rsidRDefault="007F6D02" w:rsidP="00F24F73">
      <w:pPr>
        <w:pStyle w:val="Orateurengris"/>
        <w:spacing w:before="120"/>
        <w:ind w:left="709" w:hanging="709"/>
      </w:pPr>
      <w:r>
        <w:t>Après avoir remercié le Vice-Président de l</w:t>
      </w:r>
      <w:r w:rsidR="00346F1B">
        <w:t>’</w:t>
      </w:r>
      <w:r>
        <w:t>Organe d</w:t>
      </w:r>
      <w:r w:rsidR="00346F1B">
        <w:t>’</w:t>
      </w:r>
      <w:r>
        <w:t>évaluation et notant qu</w:t>
      </w:r>
      <w:r w:rsidR="00346F1B">
        <w:t>’</w:t>
      </w:r>
      <w:r>
        <w:t>aucun amendement n</w:t>
      </w:r>
      <w:r w:rsidR="00346F1B">
        <w:t>’</w:t>
      </w:r>
      <w:r>
        <w:t xml:space="preserve">avait été présenté, le </w:t>
      </w:r>
      <w:r w:rsidRPr="007F6D02">
        <w:rPr>
          <w:b/>
        </w:rPr>
        <w:t>Président</w:t>
      </w:r>
      <w:r>
        <w:t xml:space="preserve"> a proposé d</w:t>
      </w:r>
      <w:r w:rsidR="00346F1B">
        <w:t>’</w:t>
      </w:r>
      <w:r>
        <w:t>adopter la décision dans son ensemble. En l</w:t>
      </w:r>
      <w:r w:rsidR="00346F1B">
        <w:t>’</w:t>
      </w:r>
      <w:r>
        <w:t>absence de commentaires ou d</w:t>
      </w:r>
      <w:r w:rsidR="00346F1B">
        <w:t>’</w:t>
      </w:r>
      <w:r>
        <w:t xml:space="preserve">objections, le </w:t>
      </w:r>
      <w:r w:rsidRPr="007F6D02">
        <w:rPr>
          <w:b/>
        </w:rPr>
        <w:t>Président a déclaré adoptée la décision 11.COM 10.b.32 d</w:t>
      </w:r>
      <w:r w:rsidR="00346F1B">
        <w:rPr>
          <w:b/>
        </w:rPr>
        <w:t>’</w:t>
      </w:r>
      <w:r>
        <w:rPr>
          <w:b/>
        </w:rPr>
        <w:t>inscrire la Fête</w:t>
      </w:r>
      <w:r w:rsidRPr="007F6D02">
        <w:rPr>
          <w:b/>
        </w:rPr>
        <w:t xml:space="preserve"> des vignerons de Vevey sur la Liste représentative du patrimoine culturel immatériel de l</w:t>
      </w:r>
      <w:r w:rsidR="00346F1B">
        <w:rPr>
          <w:b/>
        </w:rPr>
        <w:t>’</w:t>
      </w:r>
      <w:r w:rsidRPr="007F6D02">
        <w:rPr>
          <w:b/>
        </w:rPr>
        <w:t>humanité</w:t>
      </w:r>
      <w:r w:rsidR="00443FC6">
        <w:t>.</w:t>
      </w:r>
    </w:p>
    <w:p w14:paraId="53283193" w14:textId="08EBCEBB" w:rsidR="0056267B" w:rsidRDefault="00EF09EE" w:rsidP="00F24F73">
      <w:pPr>
        <w:pStyle w:val="Orateurengris"/>
        <w:spacing w:before="120"/>
        <w:ind w:left="709" w:hanging="709"/>
      </w:pPr>
      <w:r>
        <w:t xml:space="preserve">La délégation de la </w:t>
      </w:r>
      <w:r w:rsidRPr="00EF09EE">
        <w:rPr>
          <w:b/>
        </w:rPr>
        <w:t>Suisse</w:t>
      </w:r>
      <w:r>
        <w:t xml:space="preserve"> s</w:t>
      </w:r>
      <w:r w:rsidR="00346F1B">
        <w:t>’</w:t>
      </w:r>
      <w:r>
        <w:t xml:space="preserve">est dite très heureuse de voir le premier </w:t>
      </w:r>
      <w:r w:rsidR="001433F2">
        <w:t>élément suisse inscrit sur les L</w:t>
      </w:r>
      <w:r>
        <w:t>istes du PCI de l</w:t>
      </w:r>
      <w:r w:rsidR="00346F1B">
        <w:t>’</w:t>
      </w:r>
      <w:r>
        <w:t xml:space="preserve">UNESCO. La Fête des vignerons figurerait désormais au </w:t>
      </w:r>
      <w:r w:rsidR="00A31001">
        <w:t>côté</w:t>
      </w:r>
      <w:r>
        <w:t xml:space="preserve"> des manifestations les plus diverses de la créativité humain</w:t>
      </w:r>
      <w:r w:rsidR="0078543D">
        <w:t>e</w:t>
      </w:r>
      <w:r>
        <w:t xml:space="preserve"> dans le monde entier. Elle a adressé ses sincères remerciements à l</w:t>
      </w:r>
      <w:r w:rsidR="00346F1B">
        <w:t>’</w:t>
      </w:r>
      <w:r>
        <w:t>Organe d</w:t>
      </w:r>
      <w:r w:rsidR="00346F1B">
        <w:t>’</w:t>
      </w:r>
      <w:r>
        <w:t>évaluation pour son analyse approfondie, et au Comité pour sa décision. Après avoir ratifié la Convention en 2008, la Suisse avait passé beaucoup de temps à élaborer des mesures de sauvegarde</w:t>
      </w:r>
      <w:r w:rsidR="0056267B">
        <w:t xml:space="preserve"> et à dresser un inventaire d</w:t>
      </w:r>
      <w:r>
        <w:t>u patrimoine immatériel présent sur son territoire. Cette inscription était l</w:t>
      </w:r>
      <w:r w:rsidR="00346F1B">
        <w:t>’</w:t>
      </w:r>
      <w:r>
        <w:t>aboutissement d</w:t>
      </w:r>
      <w:r w:rsidR="00346F1B">
        <w:t>’</w:t>
      </w:r>
      <w:r>
        <w:t>un effort de longue haleine. Elle espérait que l</w:t>
      </w:r>
      <w:r w:rsidR="00346F1B">
        <w:t>’</w:t>
      </w:r>
      <w:r>
        <w:t>élément serait bientôt rejoint par d</w:t>
      </w:r>
      <w:r w:rsidR="00346F1B">
        <w:t>’</w:t>
      </w:r>
      <w:r>
        <w:t xml:space="preserve">autres traditions </w:t>
      </w:r>
      <w:r w:rsidR="0056267B">
        <w:t xml:space="preserve">dont </w:t>
      </w:r>
      <w:r>
        <w:t xml:space="preserve">la Suisse </w:t>
      </w:r>
      <w:r w:rsidR="0078543D">
        <w:t>avait l</w:t>
      </w:r>
      <w:r w:rsidR="00346F1B">
        <w:t>’</w:t>
      </w:r>
      <w:r w:rsidR="0078543D">
        <w:t>intention de proposer l</w:t>
      </w:r>
      <w:r w:rsidR="00346F1B">
        <w:t>’</w:t>
      </w:r>
      <w:r w:rsidR="0078543D">
        <w:t>inscription et</w:t>
      </w:r>
      <w:r>
        <w:t xml:space="preserve"> qui avaient été inscrites sur une liste indicative validée en 2014. L</w:t>
      </w:r>
      <w:r w:rsidR="00346F1B">
        <w:t>’</w:t>
      </w:r>
      <w:r>
        <w:t xml:space="preserve">originalité de la Fête des vignerons résidait </w:t>
      </w:r>
      <w:r w:rsidR="0056267B">
        <w:t>dans la mise en évidence du lien entre patrimoine matériel et immatériel. La reconnaissance de cette interdépendance consoliderait l</w:t>
      </w:r>
      <w:r w:rsidR="00346F1B">
        <w:t>’</w:t>
      </w:r>
      <w:r w:rsidR="0056267B">
        <w:t xml:space="preserve">action des parties prenantes engagées dans la préservation du site et de la culture qui lui était associée. Le succès de la première candidature de la Suisse devait être attribuée aux contributions des détenteurs. Par un message vidéo, </w:t>
      </w:r>
      <w:r w:rsidR="0056267B" w:rsidRPr="0056267B">
        <w:rPr>
          <w:b/>
        </w:rPr>
        <w:t>un représentant de la Confrérie des vignerons</w:t>
      </w:r>
      <w:r w:rsidR="0056267B">
        <w:t xml:space="preserve"> a évoqué l</w:t>
      </w:r>
      <w:r w:rsidR="00346F1B">
        <w:t>’</w:t>
      </w:r>
      <w:r w:rsidR="0056267B">
        <w:t>honneur et la joie ressentis à l</w:t>
      </w:r>
      <w:r w:rsidR="00346F1B">
        <w:t>’</w:t>
      </w:r>
      <w:r w:rsidR="0056267B">
        <w:t>occasion de cette décision. C</w:t>
      </w:r>
      <w:r w:rsidR="00346F1B">
        <w:t>’</w:t>
      </w:r>
      <w:r w:rsidR="0056267B">
        <w:t>était également une joie énorme pour la Sui</w:t>
      </w:r>
      <w:r w:rsidR="0078543D">
        <w:t>sse et un honneur pour le pays</w:t>
      </w:r>
      <w:r w:rsidR="0056267B">
        <w:t xml:space="preserve"> de Vaud, la commune de Vevey et toute la population du pays. Le représentant de la confrérie a </w:t>
      </w:r>
      <w:r w:rsidR="0078543D">
        <w:t>évoqué la prochaine Fête des vignerons qui serait bientôt organisée en 2019. Toute la population de Vevey célébrait et applaudissait la décision d</w:t>
      </w:r>
      <w:r w:rsidR="00443FC6">
        <w:t>ont elle était très fière.</w:t>
      </w:r>
    </w:p>
    <w:p w14:paraId="5F6D1AA1" w14:textId="2010F89B" w:rsidR="0078543D" w:rsidRPr="0078543D" w:rsidRDefault="0078543D" w:rsidP="00F24F73">
      <w:pPr>
        <w:pStyle w:val="Orateurengris"/>
        <w:spacing w:before="120"/>
        <w:ind w:left="709" w:hanging="709"/>
      </w:pPr>
      <w:r w:rsidRPr="0078543D">
        <w:t xml:space="preserve">Le </w:t>
      </w:r>
      <w:r w:rsidRPr="0078543D">
        <w:rPr>
          <w:b/>
        </w:rPr>
        <w:t>Président</w:t>
      </w:r>
      <w:r w:rsidRPr="0078543D">
        <w:t xml:space="preserve"> a félicité la Suisse</w:t>
      </w:r>
      <w:r>
        <w:t>. Il a informé le Comité qu</w:t>
      </w:r>
      <w:r w:rsidR="00346F1B">
        <w:t>’</w:t>
      </w:r>
      <w:r>
        <w:t>il y aurait vraisemblablemen</w:t>
      </w:r>
      <w:r w:rsidR="001B6757">
        <w:t>t une double séance prolongée le</w:t>
      </w:r>
      <w:r>
        <w:t xml:space="preserve"> soir </w:t>
      </w:r>
      <w:r w:rsidR="001B6757">
        <w:t xml:space="preserve">même, </w:t>
      </w:r>
      <w:r>
        <w:t>et que l</w:t>
      </w:r>
      <w:r w:rsidR="00346F1B">
        <w:t>’</w:t>
      </w:r>
      <w:r>
        <w:t>interprétation serait disponible tout au long de ces séances. Il est passé au dossier de candidature s</w:t>
      </w:r>
      <w:r w:rsidR="00443FC6">
        <w:t>uivant, soumis par le Viet Nam.</w:t>
      </w:r>
    </w:p>
    <w:p w14:paraId="22ED5273" w14:textId="0A6BCF34" w:rsidR="0010083F" w:rsidRPr="0010083F" w:rsidRDefault="001B6757" w:rsidP="00F24F73">
      <w:pPr>
        <w:pStyle w:val="Orateurengris"/>
        <w:spacing w:before="120"/>
        <w:ind w:left="709" w:hanging="709"/>
        <w:rPr>
          <w:rFonts w:eastAsiaTheme="minorEastAsia"/>
          <w:b/>
        </w:rPr>
      </w:pPr>
      <w:r w:rsidRPr="001B6757">
        <w:rPr>
          <w:rFonts w:eastAsiaTheme="minorEastAsia"/>
        </w:rPr>
        <w:t>Le</w:t>
      </w:r>
      <w:r>
        <w:rPr>
          <w:rFonts w:eastAsiaTheme="minorEastAsia"/>
          <w:b/>
        </w:rPr>
        <w:t xml:space="preserve"> Vice-Président de l</w:t>
      </w:r>
      <w:r w:rsidR="00346F1B">
        <w:rPr>
          <w:rFonts w:eastAsiaTheme="minorEastAsia"/>
          <w:b/>
        </w:rPr>
        <w:t>’</w:t>
      </w:r>
      <w:r>
        <w:rPr>
          <w:rFonts w:eastAsiaTheme="minorEastAsia"/>
          <w:b/>
        </w:rPr>
        <w:t>Organe d</w:t>
      </w:r>
      <w:r w:rsidR="00346F1B">
        <w:rPr>
          <w:rFonts w:eastAsiaTheme="minorEastAsia"/>
          <w:b/>
        </w:rPr>
        <w:t>’</w:t>
      </w:r>
      <w:r>
        <w:rPr>
          <w:rFonts w:eastAsiaTheme="minorEastAsia"/>
          <w:b/>
        </w:rPr>
        <w:t xml:space="preserve">évaluation </w:t>
      </w:r>
      <w:r>
        <w:rPr>
          <w:rFonts w:eastAsiaTheme="minorEastAsia"/>
        </w:rPr>
        <w:t xml:space="preserve">est passé à la </w:t>
      </w:r>
      <w:r w:rsidRPr="001B6757">
        <w:rPr>
          <w:rFonts w:eastAsiaTheme="minorEastAsia"/>
        </w:rPr>
        <w:t>candidature</w:t>
      </w:r>
      <w:r>
        <w:rPr>
          <w:rFonts w:eastAsiaTheme="minorEastAsia"/>
        </w:rPr>
        <w:t xml:space="preserve"> suivante, </w:t>
      </w:r>
      <w:bookmarkStart w:id="46" w:name="Decision10b37"/>
      <w:r w:rsidRPr="001B6757">
        <w:rPr>
          <w:rFonts w:eastAsiaTheme="minorEastAsia"/>
          <w:b/>
        </w:rPr>
        <w:t xml:space="preserve">les pratiques liées à la croyance </w:t>
      </w:r>
      <w:r>
        <w:rPr>
          <w:rFonts w:eastAsiaTheme="minorEastAsia"/>
          <w:b/>
        </w:rPr>
        <w:t>v</w:t>
      </w:r>
      <w:r w:rsidRPr="001B6757">
        <w:rPr>
          <w:rFonts w:eastAsiaTheme="minorEastAsia"/>
          <w:b/>
        </w:rPr>
        <w:t>iêt en les déesses-mères des Trois mondes</w:t>
      </w:r>
      <w:bookmarkEnd w:id="46"/>
      <w:r>
        <w:rPr>
          <w:rFonts w:eastAsiaTheme="minorEastAsia"/>
        </w:rPr>
        <w:t xml:space="preserve"> [projet de décision 11.COM 10.b.37], soumise par le Viet Nam. Pour répondre à </w:t>
      </w:r>
      <w:r w:rsidR="00222FB8">
        <w:rPr>
          <w:rFonts w:eastAsiaTheme="minorEastAsia"/>
        </w:rPr>
        <w:t>des demandes d</w:t>
      </w:r>
      <w:r w:rsidR="00346F1B">
        <w:rPr>
          <w:rFonts w:eastAsiaTheme="minorEastAsia"/>
        </w:rPr>
        <w:t>’</w:t>
      </w:r>
      <w:r w:rsidR="00222FB8">
        <w:rPr>
          <w:rFonts w:eastAsiaTheme="minorEastAsia"/>
        </w:rPr>
        <w:t xml:space="preserve">ordre spirituel et </w:t>
      </w:r>
      <w:r>
        <w:rPr>
          <w:rFonts w:eastAsiaTheme="minorEastAsia"/>
        </w:rPr>
        <w:t>à des attentes du quotidien et pour attirer la chance afin d</w:t>
      </w:r>
      <w:r w:rsidR="00346F1B">
        <w:rPr>
          <w:rFonts w:eastAsiaTheme="minorEastAsia"/>
        </w:rPr>
        <w:t>’</w:t>
      </w:r>
      <w:r>
        <w:rPr>
          <w:rFonts w:eastAsiaTheme="minorEastAsia"/>
        </w:rPr>
        <w:t>être en bonne santé et de réussir, les communautés du Viet Nam vénéraient les déesses-mères des Trois mondes : le ciel, l</w:t>
      </w:r>
      <w:r w:rsidR="00346F1B">
        <w:rPr>
          <w:rFonts w:eastAsiaTheme="minorEastAsia"/>
        </w:rPr>
        <w:t>’</w:t>
      </w:r>
      <w:r>
        <w:rPr>
          <w:rFonts w:eastAsiaTheme="minorEastAsia"/>
        </w:rPr>
        <w:t xml:space="preserve">eau et les montagnes et les forêts. Parmi ces déesses mères, on </w:t>
      </w:r>
      <w:r w:rsidR="00222FB8">
        <w:rPr>
          <w:rFonts w:eastAsiaTheme="minorEastAsia"/>
        </w:rPr>
        <w:t xml:space="preserve">pouvait citer </w:t>
      </w:r>
      <w:r>
        <w:rPr>
          <w:rFonts w:eastAsiaTheme="minorEastAsia"/>
        </w:rPr>
        <w:t>Lieu Hanh et d</w:t>
      </w:r>
      <w:r w:rsidR="00346F1B">
        <w:rPr>
          <w:rFonts w:eastAsiaTheme="minorEastAsia"/>
        </w:rPr>
        <w:t>’</w:t>
      </w:r>
      <w:r>
        <w:rPr>
          <w:rFonts w:eastAsiaTheme="minorEastAsia"/>
        </w:rPr>
        <w:t xml:space="preserve">autres esprits considérés comme des héros. La tradition consistait en un culte quotidien, des cérémonies, des rituels et des festivals. Transmises par les </w:t>
      </w:r>
      <w:r w:rsidRPr="001B6757">
        <w:rPr>
          <w:rFonts w:eastAsiaTheme="minorEastAsia"/>
        </w:rPr>
        <w:t>détenteurs</w:t>
      </w:r>
      <w:r>
        <w:rPr>
          <w:rFonts w:eastAsiaTheme="minorEastAsia"/>
        </w:rPr>
        <w:t xml:space="preserve">, </w:t>
      </w:r>
      <w:r w:rsidR="00222FB8">
        <w:rPr>
          <w:rFonts w:eastAsiaTheme="minorEastAsia"/>
        </w:rPr>
        <w:t xml:space="preserve">tels que </w:t>
      </w:r>
      <w:r>
        <w:rPr>
          <w:rFonts w:eastAsiaTheme="minorEastAsia"/>
        </w:rPr>
        <w:t xml:space="preserve">les prêtres des temples, </w:t>
      </w:r>
      <w:r w:rsidR="0010083F">
        <w:rPr>
          <w:rFonts w:eastAsiaTheme="minorEastAsia"/>
        </w:rPr>
        <w:t xml:space="preserve">les </w:t>
      </w:r>
      <w:r w:rsidR="0010083F" w:rsidRPr="0010083F">
        <w:rPr>
          <w:rFonts w:eastAsiaTheme="minorEastAsia"/>
        </w:rPr>
        <w:t>activités</w:t>
      </w:r>
      <w:r w:rsidR="0010083F">
        <w:rPr>
          <w:rFonts w:eastAsiaTheme="minorEastAsia"/>
        </w:rPr>
        <w:t xml:space="preserve"> étaient le fondement des relations sociales en liant les </w:t>
      </w:r>
      <w:r w:rsidR="00A46CAD">
        <w:rPr>
          <w:rFonts w:eastAsiaTheme="minorEastAsia"/>
        </w:rPr>
        <w:t>membres</w:t>
      </w:r>
      <w:r w:rsidR="0010083F">
        <w:rPr>
          <w:rFonts w:eastAsiaTheme="minorEastAsia"/>
        </w:rPr>
        <w:t xml:space="preserve"> de la </w:t>
      </w:r>
      <w:r w:rsidR="0010083F" w:rsidRPr="0010083F">
        <w:rPr>
          <w:rFonts w:eastAsiaTheme="minorEastAsia"/>
        </w:rPr>
        <w:t>communauté</w:t>
      </w:r>
      <w:r w:rsidR="0010083F">
        <w:rPr>
          <w:rFonts w:eastAsiaTheme="minorEastAsia"/>
        </w:rPr>
        <w:t xml:space="preserve"> et en conservant un aspect de son </w:t>
      </w:r>
      <w:r w:rsidR="0010083F" w:rsidRPr="0010083F">
        <w:rPr>
          <w:rFonts w:eastAsiaTheme="minorEastAsia"/>
        </w:rPr>
        <w:t>patrimoine</w:t>
      </w:r>
      <w:r w:rsidR="0010083F">
        <w:rPr>
          <w:rFonts w:eastAsiaTheme="minorEastAsia"/>
        </w:rPr>
        <w:t xml:space="preserve"> </w:t>
      </w:r>
      <w:r w:rsidR="0010083F" w:rsidRPr="0010083F">
        <w:rPr>
          <w:rFonts w:eastAsiaTheme="minorEastAsia"/>
        </w:rPr>
        <w:t>culturel</w:t>
      </w:r>
      <w:r w:rsidR="0010083F">
        <w:rPr>
          <w:rFonts w:eastAsiaTheme="minorEastAsia"/>
        </w:rPr>
        <w:t xml:space="preserve">. À la lecture des </w:t>
      </w:r>
      <w:r w:rsidR="0010083F" w:rsidRPr="0010083F">
        <w:rPr>
          <w:rFonts w:eastAsiaTheme="minorEastAsia"/>
        </w:rPr>
        <w:t>informations</w:t>
      </w:r>
      <w:r w:rsidR="0010083F">
        <w:rPr>
          <w:rFonts w:eastAsiaTheme="minorEastAsia"/>
        </w:rPr>
        <w:t xml:space="preserve"> contenues dans le dossier, l</w:t>
      </w:r>
      <w:r w:rsidR="00346F1B">
        <w:rPr>
          <w:rFonts w:eastAsiaTheme="minorEastAsia"/>
        </w:rPr>
        <w:t>’</w:t>
      </w:r>
      <w:r w:rsidR="0010083F">
        <w:rPr>
          <w:rFonts w:eastAsiaTheme="minorEastAsia"/>
        </w:rPr>
        <w:t>Organe d</w:t>
      </w:r>
      <w:r w:rsidR="00346F1B">
        <w:rPr>
          <w:rFonts w:eastAsiaTheme="minorEastAsia"/>
        </w:rPr>
        <w:t>’</w:t>
      </w:r>
      <w:r w:rsidR="0010083F">
        <w:rPr>
          <w:rFonts w:eastAsiaTheme="minorEastAsia"/>
        </w:rPr>
        <w:t xml:space="preserve">évaluation avait décidé que la </w:t>
      </w:r>
      <w:r w:rsidR="0010083F" w:rsidRPr="0010083F">
        <w:rPr>
          <w:rFonts w:eastAsiaTheme="minorEastAsia"/>
        </w:rPr>
        <w:t>candidature</w:t>
      </w:r>
      <w:r w:rsidR="00F4069D">
        <w:rPr>
          <w:rFonts w:eastAsiaTheme="minorEastAsia"/>
        </w:rPr>
        <w:t xml:space="preserve"> satisfaisait </w:t>
      </w:r>
      <w:r w:rsidR="0010083F">
        <w:rPr>
          <w:rFonts w:eastAsiaTheme="minorEastAsia"/>
        </w:rPr>
        <w:t>l</w:t>
      </w:r>
      <w:r w:rsidR="00346F1B">
        <w:rPr>
          <w:rFonts w:eastAsiaTheme="minorEastAsia"/>
        </w:rPr>
        <w:t>’</w:t>
      </w:r>
      <w:r w:rsidR="0010083F">
        <w:rPr>
          <w:rFonts w:eastAsiaTheme="minorEastAsia"/>
        </w:rPr>
        <w:t>ensemble des cinq critères requis pour l</w:t>
      </w:r>
      <w:r w:rsidR="00346F1B">
        <w:rPr>
          <w:rFonts w:eastAsiaTheme="minorEastAsia"/>
        </w:rPr>
        <w:t>’</w:t>
      </w:r>
      <w:r w:rsidR="0010083F" w:rsidRPr="0010083F">
        <w:rPr>
          <w:rFonts w:eastAsiaTheme="minorEastAsia"/>
        </w:rPr>
        <w:t>inscription</w:t>
      </w:r>
      <w:r w:rsidR="0010083F">
        <w:rPr>
          <w:rFonts w:eastAsiaTheme="minorEastAsia"/>
        </w:rPr>
        <w:t xml:space="preserve"> sur la Liste représentative. Pour les communautés concernées, c</w:t>
      </w:r>
      <w:r w:rsidR="0010083F" w:rsidRPr="0010083F">
        <w:rPr>
          <w:rFonts w:eastAsiaTheme="minorEastAsia"/>
        </w:rPr>
        <w:t>ette pratique était un important moyen d</w:t>
      </w:r>
      <w:r w:rsidR="00346F1B">
        <w:rPr>
          <w:rFonts w:eastAsiaTheme="minorEastAsia"/>
        </w:rPr>
        <w:t>’</w:t>
      </w:r>
      <w:r w:rsidR="0010083F" w:rsidRPr="0010083F">
        <w:rPr>
          <w:rFonts w:eastAsiaTheme="minorEastAsia"/>
        </w:rPr>
        <w:t>expression de la mémoire historique</w:t>
      </w:r>
      <w:r w:rsidR="0010083F">
        <w:rPr>
          <w:rFonts w:eastAsiaTheme="minorEastAsia"/>
        </w:rPr>
        <w:t>, de l</w:t>
      </w:r>
      <w:r w:rsidR="00346F1B">
        <w:rPr>
          <w:rFonts w:eastAsiaTheme="minorEastAsia"/>
        </w:rPr>
        <w:t>’</w:t>
      </w:r>
      <w:r w:rsidR="0010083F">
        <w:rPr>
          <w:rFonts w:eastAsiaTheme="minorEastAsia"/>
        </w:rPr>
        <w:t>identité culturelle et du sentiment d</w:t>
      </w:r>
      <w:r w:rsidR="00346F1B">
        <w:rPr>
          <w:rFonts w:eastAsiaTheme="minorEastAsia"/>
        </w:rPr>
        <w:t>’</w:t>
      </w:r>
      <w:r w:rsidR="0010083F">
        <w:rPr>
          <w:rFonts w:eastAsiaTheme="minorEastAsia"/>
        </w:rPr>
        <w:t>unité, et une réponse à leurs attentes spirituelles. Le dossier démontrait que la nature ouverte de l</w:t>
      </w:r>
      <w:r w:rsidR="00346F1B">
        <w:rPr>
          <w:rFonts w:eastAsiaTheme="minorEastAsia"/>
        </w:rPr>
        <w:t>’</w:t>
      </w:r>
      <w:r w:rsidR="0010083F" w:rsidRPr="0010083F">
        <w:rPr>
          <w:rFonts w:eastAsiaTheme="minorEastAsia"/>
        </w:rPr>
        <w:t>élément</w:t>
      </w:r>
      <w:r w:rsidR="0010083F">
        <w:rPr>
          <w:rFonts w:eastAsiaTheme="minorEastAsia"/>
        </w:rPr>
        <w:t xml:space="preserve"> encourageait la tolérance interethnique et interreligieuse.</w:t>
      </w:r>
      <w:r w:rsidR="00222FB8">
        <w:rPr>
          <w:rFonts w:eastAsiaTheme="minorEastAsia"/>
        </w:rPr>
        <w:t xml:space="preserve"> Différents groupes ethniques du</w:t>
      </w:r>
      <w:r w:rsidR="0010083F">
        <w:rPr>
          <w:rFonts w:eastAsiaTheme="minorEastAsia"/>
        </w:rPr>
        <w:t xml:space="preserve"> Viet Nam partageant l</w:t>
      </w:r>
      <w:r w:rsidR="00346F1B">
        <w:rPr>
          <w:rFonts w:eastAsiaTheme="minorEastAsia"/>
        </w:rPr>
        <w:t>’</w:t>
      </w:r>
      <w:r w:rsidR="0010083F" w:rsidRPr="0010083F">
        <w:rPr>
          <w:rFonts w:eastAsiaTheme="minorEastAsia"/>
        </w:rPr>
        <w:t>élément</w:t>
      </w:r>
      <w:r w:rsidR="0010083F">
        <w:rPr>
          <w:rFonts w:eastAsiaTheme="minorEastAsia"/>
        </w:rPr>
        <w:t xml:space="preserve">, son </w:t>
      </w:r>
      <w:r w:rsidR="0010083F" w:rsidRPr="0010083F">
        <w:rPr>
          <w:rFonts w:eastAsiaTheme="minorEastAsia"/>
        </w:rPr>
        <w:t>inscription</w:t>
      </w:r>
      <w:r w:rsidR="0010083F">
        <w:rPr>
          <w:rFonts w:eastAsiaTheme="minorEastAsia"/>
        </w:rPr>
        <w:t xml:space="preserve"> favoriserait le dialogue et encouragerait le respect de la diversité culturelle au niveau local. L</w:t>
      </w:r>
      <w:r w:rsidR="00346F1B">
        <w:rPr>
          <w:rFonts w:eastAsiaTheme="minorEastAsia"/>
        </w:rPr>
        <w:t>’</w:t>
      </w:r>
      <w:r w:rsidR="0010083F">
        <w:rPr>
          <w:rFonts w:eastAsiaTheme="minorEastAsia"/>
        </w:rPr>
        <w:t>Organe d</w:t>
      </w:r>
      <w:r w:rsidR="00346F1B">
        <w:rPr>
          <w:rFonts w:eastAsiaTheme="minorEastAsia"/>
        </w:rPr>
        <w:t>’</w:t>
      </w:r>
      <w:r w:rsidR="0010083F">
        <w:rPr>
          <w:rFonts w:eastAsiaTheme="minorEastAsia"/>
        </w:rPr>
        <w:t>évaluation avait décidé de recommander l</w:t>
      </w:r>
      <w:r w:rsidR="00346F1B">
        <w:rPr>
          <w:rFonts w:eastAsiaTheme="minorEastAsia"/>
        </w:rPr>
        <w:t>’</w:t>
      </w:r>
      <w:r w:rsidR="0010083F" w:rsidRPr="0010083F">
        <w:rPr>
          <w:rFonts w:eastAsiaTheme="minorEastAsia"/>
        </w:rPr>
        <w:t>inscription</w:t>
      </w:r>
      <w:r w:rsidR="0010083F">
        <w:rPr>
          <w:rFonts w:eastAsiaTheme="minorEastAsia"/>
        </w:rPr>
        <w:t xml:space="preserve"> des pratiques liées à la croyance viêt en les déesses-mères des Trois monde</w:t>
      </w:r>
      <w:r w:rsidR="00222FB8">
        <w:rPr>
          <w:rFonts w:eastAsiaTheme="minorEastAsia"/>
        </w:rPr>
        <w:t>s</w:t>
      </w:r>
      <w:r w:rsidR="00443FC6">
        <w:rPr>
          <w:rFonts w:eastAsiaTheme="minorEastAsia"/>
        </w:rPr>
        <w:t xml:space="preserve"> sur la Liste représentative.</w:t>
      </w:r>
    </w:p>
    <w:p w14:paraId="4DA53E8C" w14:textId="31942D86" w:rsidR="00222FB8" w:rsidRDefault="00222FB8" w:rsidP="00F24F73">
      <w:pPr>
        <w:pStyle w:val="Orateurengris"/>
        <w:spacing w:before="120"/>
        <w:ind w:left="709" w:hanging="709"/>
      </w:pPr>
      <w:r>
        <w:t>Après avoir remercié le Vice-Président de l</w:t>
      </w:r>
      <w:r w:rsidR="00346F1B">
        <w:t>’</w:t>
      </w:r>
      <w:r>
        <w:t>Organe d</w:t>
      </w:r>
      <w:r w:rsidR="00346F1B">
        <w:t>’</w:t>
      </w:r>
      <w:r>
        <w:t>évaluation et avoir signalé qu</w:t>
      </w:r>
      <w:r w:rsidR="00346F1B">
        <w:t>’</w:t>
      </w:r>
      <w:r>
        <w:t>aucun amendement n</w:t>
      </w:r>
      <w:r w:rsidR="00346F1B">
        <w:t>’</w:t>
      </w:r>
      <w:r>
        <w:t xml:space="preserve">avait été présenté, le </w:t>
      </w:r>
      <w:r w:rsidRPr="00222FB8">
        <w:rPr>
          <w:b/>
        </w:rPr>
        <w:t>Président</w:t>
      </w:r>
      <w:r>
        <w:t xml:space="preserve"> a proposé d</w:t>
      </w:r>
      <w:r w:rsidR="00346F1B">
        <w:t>’</w:t>
      </w:r>
      <w:r>
        <w:t>adopter la décision dans son ensemble. En l</w:t>
      </w:r>
      <w:r w:rsidR="00346F1B">
        <w:t>’</w:t>
      </w:r>
      <w:r>
        <w:t>absence de commentaires ou d</w:t>
      </w:r>
      <w:r w:rsidR="00346F1B">
        <w:t>’</w:t>
      </w:r>
      <w:r>
        <w:t xml:space="preserve">objections, le </w:t>
      </w:r>
      <w:r w:rsidRPr="00222FB8">
        <w:rPr>
          <w:b/>
        </w:rPr>
        <w:t>Président a déclaré adoptée la décision 11.COM 10.b.37 d</w:t>
      </w:r>
      <w:r w:rsidR="00346F1B">
        <w:rPr>
          <w:b/>
        </w:rPr>
        <w:t>’</w:t>
      </w:r>
      <w:r w:rsidRPr="00222FB8">
        <w:rPr>
          <w:b/>
        </w:rPr>
        <w:t>inscrire les pratiques liées à la croyance viêt en les déesses-mères des Trois mondes sur la Liste représentative du patrimoine culturel immatériel de l</w:t>
      </w:r>
      <w:r w:rsidR="00346F1B">
        <w:rPr>
          <w:b/>
        </w:rPr>
        <w:t>’</w:t>
      </w:r>
      <w:r w:rsidRPr="00222FB8">
        <w:rPr>
          <w:b/>
        </w:rPr>
        <w:t>humanité</w:t>
      </w:r>
      <w:r w:rsidR="00443FC6">
        <w:t>.</w:t>
      </w:r>
    </w:p>
    <w:p w14:paraId="3205D10B" w14:textId="3C244BB5" w:rsidR="00222FB8" w:rsidRPr="00222FB8" w:rsidRDefault="00222FB8" w:rsidP="00F24F73">
      <w:pPr>
        <w:pStyle w:val="Orateurengris"/>
        <w:spacing w:before="120"/>
        <w:ind w:left="709" w:hanging="709"/>
        <w:rPr>
          <w:rFonts w:cs="Times New Roman"/>
          <w:szCs w:val="24"/>
        </w:rPr>
      </w:pPr>
      <w:r w:rsidRPr="00222FB8">
        <w:rPr>
          <w:rFonts w:cs="Times New Roman"/>
          <w:szCs w:val="24"/>
        </w:rPr>
        <w:t>Au nom</w:t>
      </w:r>
      <w:r>
        <w:rPr>
          <w:rFonts w:cs="Times New Roman"/>
          <w:szCs w:val="24"/>
        </w:rPr>
        <w:t xml:space="preserve"> de son </w:t>
      </w:r>
      <w:r w:rsidRPr="00222FB8">
        <w:rPr>
          <w:rFonts w:cs="Times New Roman"/>
          <w:szCs w:val="24"/>
        </w:rPr>
        <w:t>gouvernement</w:t>
      </w:r>
      <w:r>
        <w:rPr>
          <w:rFonts w:cs="Times New Roman"/>
          <w:szCs w:val="24"/>
        </w:rPr>
        <w:t xml:space="preserve">, la </w:t>
      </w:r>
      <w:r w:rsidRPr="00222FB8">
        <w:rPr>
          <w:rFonts w:cs="Times New Roman"/>
          <w:szCs w:val="24"/>
        </w:rPr>
        <w:t>délégation</w:t>
      </w:r>
      <w:r>
        <w:rPr>
          <w:rFonts w:cs="Times New Roman"/>
          <w:szCs w:val="24"/>
        </w:rPr>
        <w:t xml:space="preserve"> du </w:t>
      </w:r>
      <w:r w:rsidRPr="00222FB8">
        <w:rPr>
          <w:rFonts w:cs="Times New Roman"/>
          <w:b/>
          <w:szCs w:val="24"/>
        </w:rPr>
        <w:t>Viet Nam</w:t>
      </w:r>
      <w:r>
        <w:rPr>
          <w:rFonts w:cs="Times New Roman"/>
          <w:szCs w:val="24"/>
        </w:rPr>
        <w:t xml:space="preserve"> a adressé ses sincères remerciements pour cette </w:t>
      </w:r>
      <w:r w:rsidRPr="00222FB8">
        <w:rPr>
          <w:rFonts w:cs="Times New Roman"/>
          <w:szCs w:val="24"/>
        </w:rPr>
        <w:t>inscription</w:t>
      </w:r>
      <w:r>
        <w:rPr>
          <w:rFonts w:cs="Times New Roman"/>
          <w:szCs w:val="24"/>
        </w:rPr>
        <w:t xml:space="preserve">, qui avait une </w:t>
      </w:r>
      <w:r w:rsidRPr="00222FB8">
        <w:rPr>
          <w:rFonts w:cs="Times New Roman"/>
          <w:szCs w:val="24"/>
        </w:rPr>
        <w:t xml:space="preserve">signification </w:t>
      </w:r>
      <w:r>
        <w:rPr>
          <w:rFonts w:cs="Times New Roman"/>
          <w:szCs w:val="24"/>
        </w:rPr>
        <w:t xml:space="preserve">importante et multiple. </w:t>
      </w:r>
      <w:r w:rsidR="008F6940">
        <w:rPr>
          <w:rFonts w:cs="Times New Roman"/>
          <w:szCs w:val="24"/>
        </w:rPr>
        <w:t xml:space="preserve">La communauté des croyants </w:t>
      </w:r>
      <w:r w:rsidR="00F4069D">
        <w:rPr>
          <w:rFonts w:cs="Times New Roman"/>
          <w:szCs w:val="24"/>
        </w:rPr>
        <w:t xml:space="preserve">espérait </w:t>
      </w:r>
      <w:r w:rsidR="008F6940">
        <w:rPr>
          <w:rFonts w:cs="Times New Roman"/>
          <w:szCs w:val="24"/>
        </w:rPr>
        <w:t xml:space="preserve">ce </w:t>
      </w:r>
      <w:r w:rsidR="0088526F">
        <w:rPr>
          <w:rFonts w:cs="Times New Roman"/>
          <w:szCs w:val="24"/>
        </w:rPr>
        <w:t>jour depuis très longtemps et cette</w:t>
      </w:r>
      <w:r w:rsidR="008F6940">
        <w:rPr>
          <w:rFonts w:cs="Times New Roman"/>
          <w:szCs w:val="24"/>
        </w:rPr>
        <w:t xml:space="preserve"> décision </w:t>
      </w:r>
      <w:r w:rsidR="0049339F">
        <w:rPr>
          <w:rFonts w:cs="Times New Roman"/>
          <w:szCs w:val="24"/>
        </w:rPr>
        <w:t xml:space="preserve">était très encourageante pour eux </w:t>
      </w:r>
      <w:r w:rsidR="008F6940">
        <w:rPr>
          <w:rFonts w:cs="Times New Roman"/>
          <w:szCs w:val="24"/>
        </w:rPr>
        <w:t>car ils étaient très fiers de leur identité culturelle</w:t>
      </w:r>
      <w:r w:rsidR="0088526F">
        <w:rPr>
          <w:rFonts w:cs="Times New Roman"/>
          <w:szCs w:val="24"/>
        </w:rPr>
        <w:t xml:space="preserve">. Le </w:t>
      </w:r>
      <w:r w:rsidR="0088526F" w:rsidRPr="0088526F">
        <w:rPr>
          <w:rFonts w:cs="Times New Roman"/>
          <w:b/>
          <w:szCs w:val="24"/>
        </w:rPr>
        <w:t xml:space="preserve">Vice-Président du Conseil populaire de la </w:t>
      </w:r>
      <w:r w:rsidR="0088526F" w:rsidRPr="000A6378">
        <w:rPr>
          <w:rFonts w:cs="Times New Roman"/>
          <w:b/>
          <w:szCs w:val="24"/>
        </w:rPr>
        <w:t>province de</w:t>
      </w:r>
      <w:r w:rsidR="0088526F" w:rsidRPr="0088526F">
        <w:rPr>
          <w:rFonts w:cs="Times New Roman"/>
          <w:b/>
          <w:szCs w:val="24"/>
        </w:rPr>
        <w:t xml:space="preserve"> Nam Dinh</w:t>
      </w:r>
      <w:r w:rsidR="0088526F">
        <w:rPr>
          <w:rFonts w:cs="Times New Roman"/>
          <w:szCs w:val="24"/>
        </w:rPr>
        <w:t xml:space="preserve"> s</w:t>
      </w:r>
      <w:r w:rsidR="00346F1B">
        <w:rPr>
          <w:rFonts w:cs="Times New Roman"/>
          <w:szCs w:val="24"/>
        </w:rPr>
        <w:t>’</w:t>
      </w:r>
      <w:r w:rsidR="0088526F">
        <w:rPr>
          <w:rFonts w:cs="Times New Roman"/>
          <w:szCs w:val="24"/>
        </w:rPr>
        <w:t xml:space="preserve">est exprimé au nom tout le peuple de </w:t>
      </w:r>
      <w:r w:rsidR="0088526F" w:rsidRPr="000A6378">
        <w:rPr>
          <w:rFonts w:cs="Times New Roman"/>
          <w:szCs w:val="24"/>
        </w:rPr>
        <w:t>province de</w:t>
      </w:r>
      <w:r w:rsidR="0049339F">
        <w:rPr>
          <w:rFonts w:cs="Times New Roman"/>
          <w:szCs w:val="24"/>
        </w:rPr>
        <w:t xml:space="preserve"> Nam Dinh, profanes </w:t>
      </w:r>
      <w:r w:rsidR="0088526F">
        <w:rPr>
          <w:rFonts w:cs="Times New Roman"/>
          <w:szCs w:val="24"/>
        </w:rPr>
        <w:t xml:space="preserve">et croyants en les déesses-mères, qui étaient en train de regarder la retransmission de la réunion et étaient immensément reconnaissants de cette </w:t>
      </w:r>
      <w:r w:rsidR="0088526F" w:rsidRPr="0088526F">
        <w:rPr>
          <w:rFonts w:cs="Times New Roman"/>
          <w:szCs w:val="24"/>
        </w:rPr>
        <w:t>inscription</w:t>
      </w:r>
      <w:r w:rsidR="0049339F">
        <w:rPr>
          <w:rFonts w:cs="Times New Roman"/>
          <w:szCs w:val="24"/>
        </w:rPr>
        <w:t>. Cett</w:t>
      </w:r>
      <w:r w:rsidR="0088526F">
        <w:rPr>
          <w:rFonts w:cs="Times New Roman"/>
          <w:szCs w:val="24"/>
        </w:rPr>
        <w:t xml:space="preserve">e </w:t>
      </w:r>
      <w:r w:rsidR="0088526F" w:rsidRPr="0088526F">
        <w:rPr>
          <w:rFonts w:cs="Times New Roman"/>
          <w:szCs w:val="24"/>
        </w:rPr>
        <w:t>inscription</w:t>
      </w:r>
      <w:r w:rsidR="0088526F">
        <w:rPr>
          <w:rFonts w:cs="Times New Roman"/>
          <w:szCs w:val="24"/>
        </w:rPr>
        <w:t xml:space="preserve"> revêtait une importance capitale, elle témoignait de la riche identité culturelle du Viet Nam et de son sens de l</w:t>
      </w:r>
      <w:r w:rsidR="00346F1B">
        <w:rPr>
          <w:rFonts w:cs="Times New Roman"/>
          <w:szCs w:val="24"/>
        </w:rPr>
        <w:t>’</w:t>
      </w:r>
      <w:r w:rsidR="0088526F">
        <w:rPr>
          <w:rFonts w:cs="Times New Roman"/>
          <w:szCs w:val="24"/>
        </w:rPr>
        <w:t>unité et de l</w:t>
      </w:r>
      <w:r w:rsidR="00346F1B">
        <w:rPr>
          <w:rFonts w:cs="Times New Roman"/>
          <w:szCs w:val="24"/>
        </w:rPr>
        <w:t>’</w:t>
      </w:r>
      <w:r w:rsidR="0088526F">
        <w:rPr>
          <w:rFonts w:cs="Times New Roman"/>
          <w:szCs w:val="24"/>
        </w:rPr>
        <w:t>appartenance, elle favorisait la diversité culturelle et encourageait le dialogue entre les individu</w:t>
      </w:r>
      <w:r w:rsidR="0049339F">
        <w:rPr>
          <w:rFonts w:cs="Times New Roman"/>
          <w:szCs w:val="24"/>
        </w:rPr>
        <w:t>s, les communautés et différent</w:t>
      </w:r>
      <w:r w:rsidR="0088526F">
        <w:rPr>
          <w:rFonts w:cs="Times New Roman"/>
          <w:szCs w:val="24"/>
        </w:rPr>
        <w:t xml:space="preserve">s groupes ethniques. </w:t>
      </w:r>
      <w:r w:rsidR="0049339F" w:rsidRPr="0049339F">
        <w:rPr>
          <w:rFonts w:cs="Times New Roman"/>
          <w:szCs w:val="24"/>
        </w:rPr>
        <w:t>Conformément</w:t>
      </w:r>
      <w:r w:rsidR="0049339F">
        <w:rPr>
          <w:rFonts w:cs="Times New Roman"/>
          <w:szCs w:val="24"/>
        </w:rPr>
        <w:t xml:space="preserve"> aux nobles objectifs de tolérance, de compassion et de grâce prônés par l</w:t>
      </w:r>
      <w:r w:rsidR="00346F1B">
        <w:rPr>
          <w:rFonts w:cs="Times New Roman"/>
          <w:szCs w:val="24"/>
        </w:rPr>
        <w:t>’</w:t>
      </w:r>
      <w:r w:rsidR="0049339F">
        <w:rPr>
          <w:rFonts w:cs="Times New Roman"/>
          <w:szCs w:val="24"/>
        </w:rPr>
        <w:t xml:space="preserve">UNESCO, le Viet Nam accordait depuis fort longtemps une grande importance aux femmes et à la </w:t>
      </w:r>
      <w:r w:rsidR="0049339F" w:rsidRPr="0049339F">
        <w:rPr>
          <w:rFonts w:cs="Times New Roman"/>
          <w:szCs w:val="24"/>
        </w:rPr>
        <w:t>protection</w:t>
      </w:r>
      <w:r w:rsidR="0049339F">
        <w:rPr>
          <w:rFonts w:cs="Times New Roman"/>
          <w:szCs w:val="24"/>
        </w:rPr>
        <w:t xml:space="preserve"> de l</w:t>
      </w:r>
      <w:r w:rsidR="00346F1B">
        <w:rPr>
          <w:rFonts w:cs="Times New Roman"/>
          <w:szCs w:val="24"/>
        </w:rPr>
        <w:t>’</w:t>
      </w:r>
      <w:r w:rsidR="0049339F" w:rsidRPr="0049339F">
        <w:rPr>
          <w:rFonts w:cs="Times New Roman"/>
          <w:szCs w:val="24"/>
        </w:rPr>
        <w:t>environnement</w:t>
      </w:r>
      <w:r w:rsidR="0049339F">
        <w:rPr>
          <w:rFonts w:cs="Times New Roman"/>
          <w:szCs w:val="24"/>
        </w:rPr>
        <w:t xml:space="preserve"> car les déesses-mères représentaient la mère du ciel, la mère de l</w:t>
      </w:r>
      <w:r w:rsidR="00346F1B">
        <w:rPr>
          <w:rFonts w:cs="Times New Roman"/>
          <w:szCs w:val="24"/>
        </w:rPr>
        <w:t>’</w:t>
      </w:r>
      <w:r w:rsidR="0049339F">
        <w:rPr>
          <w:rFonts w:cs="Times New Roman"/>
          <w:szCs w:val="24"/>
        </w:rPr>
        <w:t xml:space="preserve">eau et la mère de la forêt. Au nom du Comité populaire de Nam Dinh et de la </w:t>
      </w:r>
      <w:r w:rsidR="0049339F" w:rsidRPr="0049339F">
        <w:rPr>
          <w:rFonts w:cs="Times New Roman"/>
          <w:szCs w:val="24"/>
        </w:rPr>
        <w:t>communauté</w:t>
      </w:r>
      <w:r w:rsidR="0049339F">
        <w:rPr>
          <w:rFonts w:cs="Times New Roman"/>
          <w:szCs w:val="24"/>
        </w:rPr>
        <w:t xml:space="preserve"> locale, le Viet Nam s</w:t>
      </w:r>
      <w:r w:rsidR="00346F1B">
        <w:rPr>
          <w:rFonts w:cs="Times New Roman"/>
          <w:szCs w:val="24"/>
        </w:rPr>
        <w:t>’</w:t>
      </w:r>
      <w:r w:rsidR="0049339F">
        <w:rPr>
          <w:rFonts w:cs="Times New Roman"/>
          <w:szCs w:val="24"/>
        </w:rPr>
        <w:t>était engagé à mettre en œuvre le plan d</w:t>
      </w:r>
      <w:r w:rsidR="00346F1B">
        <w:rPr>
          <w:rFonts w:cs="Times New Roman"/>
          <w:szCs w:val="24"/>
        </w:rPr>
        <w:t>’</w:t>
      </w:r>
      <w:r w:rsidR="0049339F">
        <w:rPr>
          <w:rFonts w:cs="Times New Roman"/>
          <w:szCs w:val="24"/>
        </w:rPr>
        <w:t xml:space="preserve">action pour la </w:t>
      </w:r>
      <w:r w:rsidR="0049339F" w:rsidRPr="0049339F">
        <w:rPr>
          <w:rFonts w:cs="Times New Roman"/>
          <w:szCs w:val="24"/>
        </w:rPr>
        <w:t>sauvegarde</w:t>
      </w:r>
      <w:r w:rsidR="0049339F">
        <w:rPr>
          <w:rFonts w:cs="Times New Roman"/>
          <w:szCs w:val="24"/>
        </w:rPr>
        <w:t xml:space="preserve"> de ces pratiques liées à la croyance viêt. Il a </w:t>
      </w:r>
      <w:r w:rsidR="00655A22">
        <w:rPr>
          <w:rFonts w:cs="Times New Roman"/>
          <w:szCs w:val="24"/>
        </w:rPr>
        <w:t xml:space="preserve">adressé </w:t>
      </w:r>
      <w:r w:rsidR="0049339F">
        <w:rPr>
          <w:rFonts w:cs="Times New Roman"/>
          <w:szCs w:val="24"/>
        </w:rPr>
        <w:t>ses sincères remerciements à l</w:t>
      </w:r>
      <w:r w:rsidR="00346F1B">
        <w:rPr>
          <w:rFonts w:cs="Times New Roman"/>
          <w:szCs w:val="24"/>
        </w:rPr>
        <w:t>’</w:t>
      </w:r>
      <w:r w:rsidR="0049339F">
        <w:rPr>
          <w:rFonts w:cs="Times New Roman"/>
          <w:szCs w:val="24"/>
        </w:rPr>
        <w:t>Organe d</w:t>
      </w:r>
      <w:r w:rsidR="00346F1B">
        <w:rPr>
          <w:rFonts w:cs="Times New Roman"/>
          <w:szCs w:val="24"/>
        </w:rPr>
        <w:t>’</w:t>
      </w:r>
      <w:r w:rsidR="00A46CAD">
        <w:rPr>
          <w:rFonts w:cs="Times New Roman"/>
          <w:szCs w:val="24"/>
        </w:rPr>
        <w:t>évaluation, aux membres</w:t>
      </w:r>
      <w:r w:rsidR="0049339F">
        <w:rPr>
          <w:rFonts w:cs="Times New Roman"/>
          <w:szCs w:val="24"/>
        </w:rPr>
        <w:t xml:space="preserve"> du Comité</w:t>
      </w:r>
      <w:r w:rsidR="00655A22">
        <w:rPr>
          <w:rFonts w:cs="Times New Roman"/>
          <w:szCs w:val="24"/>
        </w:rPr>
        <w:t>,</w:t>
      </w:r>
      <w:r w:rsidR="0049339F">
        <w:rPr>
          <w:rFonts w:cs="Times New Roman"/>
          <w:szCs w:val="24"/>
        </w:rPr>
        <w:t xml:space="preserve"> et au Secrétariat pour son travail et s</w:t>
      </w:r>
      <w:r w:rsidR="00443FC6">
        <w:rPr>
          <w:rFonts w:cs="Times New Roman"/>
          <w:szCs w:val="24"/>
        </w:rPr>
        <w:t>on soutien.</w:t>
      </w:r>
    </w:p>
    <w:p w14:paraId="4FA88DC4" w14:textId="3C32D736" w:rsidR="003856AE" w:rsidRPr="0078543D" w:rsidRDefault="00655A22" w:rsidP="00F24F73">
      <w:pPr>
        <w:pStyle w:val="Orateurengris"/>
        <w:numPr>
          <w:ilvl w:val="0"/>
          <w:numId w:val="0"/>
        </w:numPr>
        <w:spacing w:before="120"/>
        <w:ind w:left="709" w:hanging="709"/>
        <w:jc w:val="center"/>
      </w:pPr>
      <w:r>
        <w:rPr>
          <w:i/>
        </w:rPr>
        <w:t>[Une vidéo consacrée à l</w:t>
      </w:r>
      <w:r w:rsidR="00346F1B">
        <w:rPr>
          <w:i/>
        </w:rPr>
        <w:t>’</w:t>
      </w:r>
      <w:r w:rsidRPr="00655A22">
        <w:rPr>
          <w:i/>
        </w:rPr>
        <w:t>élément</w:t>
      </w:r>
      <w:r>
        <w:rPr>
          <w:i/>
        </w:rPr>
        <w:t xml:space="preserve"> a été projetée</w:t>
      </w:r>
      <w:r w:rsidR="003856AE" w:rsidRPr="0078543D">
        <w:rPr>
          <w:i/>
        </w:rPr>
        <w:t>]</w:t>
      </w:r>
    </w:p>
    <w:p w14:paraId="23A45845" w14:textId="617145E5" w:rsidR="00655A22" w:rsidRDefault="00655A22" w:rsidP="00F24F73">
      <w:pPr>
        <w:pStyle w:val="Orateurengris"/>
        <w:spacing w:before="120"/>
        <w:ind w:left="709" w:hanging="709"/>
      </w:pPr>
      <w:r>
        <w:t xml:space="preserve">Le </w:t>
      </w:r>
      <w:r w:rsidRPr="00655A22">
        <w:rPr>
          <w:b/>
        </w:rPr>
        <w:t>Président</w:t>
      </w:r>
      <w:r>
        <w:t xml:space="preserve"> a félicité le Viet Nam, et est passé au dossier de candidature suivant, soumis par la Rouman</w:t>
      </w:r>
      <w:r w:rsidR="00443FC6">
        <w:t>ie et la République de Moldova.</w:t>
      </w:r>
    </w:p>
    <w:p w14:paraId="34585C99" w14:textId="1D60B7CE" w:rsidR="006F6732" w:rsidRDefault="00657D95" w:rsidP="00F24F73">
      <w:pPr>
        <w:pStyle w:val="Orateurengris"/>
        <w:spacing w:before="120"/>
        <w:ind w:left="709" w:hanging="709"/>
      </w:pPr>
      <w:r>
        <w:t xml:space="preserve">Le </w:t>
      </w:r>
      <w:r w:rsidRPr="00657D95">
        <w:rPr>
          <w:b/>
        </w:rPr>
        <w:t>Vice-Président de l</w:t>
      </w:r>
      <w:r w:rsidR="00346F1B">
        <w:rPr>
          <w:b/>
        </w:rPr>
        <w:t>’</w:t>
      </w:r>
      <w:r w:rsidRPr="00657D95">
        <w:rPr>
          <w:b/>
        </w:rPr>
        <w:t>Organe d</w:t>
      </w:r>
      <w:r w:rsidR="00346F1B">
        <w:rPr>
          <w:b/>
        </w:rPr>
        <w:t>’</w:t>
      </w:r>
      <w:r w:rsidRPr="00657D95">
        <w:rPr>
          <w:b/>
        </w:rPr>
        <w:t>évaluation</w:t>
      </w:r>
      <w:r>
        <w:t xml:space="preserve"> est passé à la candidature suivante, </w:t>
      </w:r>
      <w:bookmarkStart w:id="47" w:name="Decision10b26"/>
      <w:r w:rsidRPr="00657D95">
        <w:rPr>
          <w:b/>
        </w:rPr>
        <w:t>l</w:t>
      </w:r>
      <w:r w:rsidR="00346F1B">
        <w:rPr>
          <w:b/>
        </w:rPr>
        <w:t>’</w:t>
      </w:r>
      <w:r w:rsidRPr="00657D95">
        <w:rPr>
          <w:b/>
        </w:rPr>
        <w:t>artisanat traditionnel du tapis mural en Roumanie et en République de Moldova</w:t>
      </w:r>
      <w:r>
        <w:t xml:space="preserve"> </w:t>
      </w:r>
      <w:bookmarkEnd w:id="47"/>
      <w:r>
        <w:t xml:space="preserve">[projet de décision 11.COM 10.b.26], soumise par la Roumanie et la République de Moldova. Autrefois, les tapis muraux fabriqués par les communautés de tisserands de Roumanie et de la République de </w:t>
      </w:r>
      <w:r w:rsidR="001B5D91">
        <w:t>Moldova étaient utilisés à des fins décoratives</w:t>
      </w:r>
      <w:r>
        <w:t xml:space="preserve">, </w:t>
      </w:r>
      <w:r w:rsidR="001B5D91">
        <w:t xml:space="preserve">pour </w:t>
      </w:r>
      <w:r>
        <w:t>les funérailles et les expositions et faisaient partie de la dot des jeunes mariées. À l</w:t>
      </w:r>
      <w:r w:rsidR="00346F1B">
        <w:t>’</w:t>
      </w:r>
      <w:r>
        <w:t>époque actuelle, ils étaient principalement appréciés en tant qu</w:t>
      </w:r>
      <w:r w:rsidR="00346F1B">
        <w:t>’</w:t>
      </w:r>
      <w:r>
        <w:t>œuvres d</w:t>
      </w:r>
      <w:r w:rsidR="00346F1B">
        <w:t>’</w:t>
      </w:r>
      <w:r>
        <w:t xml:space="preserve">art. </w:t>
      </w:r>
      <w:r w:rsidR="006F6732">
        <w:t>Les techniques avaient évolué passant de l</w:t>
      </w:r>
      <w:r w:rsidR="00346F1B">
        <w:t>’</w:t>
      </w:r>
      <w:r w:rsidR="006F6732">
        <w:t>utilisation de métiers verticaux ou horizontaux dans certaines régions à un piquage serré ou d</w:t>
      </w:r>
      <w:r w:rsidR="00346F1B">
        <w:t>’</w:t>
      </w:r>
      <w:r w:rsidR="006F6732">
        <w:t xml:space="preserve">autres formes, les tisserands pouvant désormais travailler à </w:t>
      </w:r>
      <w:r w:rsidR="001B5D91">
        <w:t xml:space="preserve">leur </w:t>
      </w:r>
      <w:r w:rsidR="006F6732">
        <w:t>domicile. Expression de la créativité et de l</w:t>
      </w:r>
      <w:r w:rsidR="00346F1B">
        <w:t>’</w:t>
      </w:r>
      <w:r w:rsidR="006F6732">
        <w:t>identité, et outil de cohésion sociale, l</w:t>
      </w:r>
      <w:r w:rsidR="00346F1B">
        <w:t>’</w:t>
      </w:r>
      <w:r w:rsidR="006F6732">
        <w:t>artisanat était transmis par les familles et dans les centres d</w:t>
      </w:r>
      <w:r w:rsidR="00346F1B">
        <w:t>’</w:t>
      </w:r>
      <w:r w:rsidR="006F6732">
        <w:t>artisanat et les collèges. D</w:t>
      </w:r>
      <w:r w:rsidR="00346F1B">
        <w:t>’</w:t>
      </w:r>
      <w:r w:rsidR="006F6732">
        <w:t>après les informations contenues dans le dossier de candidature, l</w:t>
      </w:r>
      <w:r w:rsidR="00346F1B">
        <w:t>’</w:t>
      </w:r>
      <w:r w:rsidR="006F6732">
        <w:t>Organe d</w:t>
      </w:r>
      <w:r w:rsidR="00346F1B">
        <w:t>’</w:t>
      </w:r>
      <w:r w:rsidR="006F6732">
        <w:t xml:space="preserve">évaluation avait estimé que la candidature satisfaisait </w:t>
      </w:r>
      <w:r w:rsidR="00417BA1">
        <w:t xml:space="preserve">les </w:t>
      </w:r>
      <w:r w:rsidR="006F6732">
        <w:t>critères R.1. R.2, R.3 et R.4. Le dossier décrivait le savoir-faire et l</w:t>
      </w:r>
      <w:r w:rsidR="00346F1B">
        <w:t>’</w:t>
      </w:r>
      <w:r w:rsidR="006F6732">
        <w:t>art du tissage de tapis muraux en Roumanie et en République de Moldova comme un important élément de la vie communautaire et un symbole de l</w:t>
      </w:r>
      <w:r w:rsidR="00346F1B">
        <w:t>’</w:t>
      </w:r>
      <w:r w:rsidR="006F6732">
        <w:t>identité locale et nationale, réunissant différents segments des communautés concernées. L</w:t>
      </w:r>
      <w:r w:rsidR="00346F1B">
        <w:t>’</w:t>
      </w:r>
      <w:r w:rsidR="006F6732">
        <w:t>Organe avait été heureux d</w:t>
      </w:r>
      <w:r w:rsidR="00346F1B">
        <w:t>’</w:t>
      </w:r>
      <w:r w:rsidR="006F6732">
        <w:t>apprendre que les communautés avaient lancé des initiatives dans les deux pays afin de revitaliser l</w:t>
      </w:r>
      <w:r w:rsidR="00346F1B">
        <w:t>’</w:t>
      </w:r>
      <w:r w:rsidR="006F6732">
        <w:t>artisanat du tapis mural. Toutefois, l</w:t>
      </w:r>
      <w:r w:rsidR="00346F1B">
        <w:t>’</w:t>
      </w:r>
      <w:r w:rsidR="006F6732">
        <w:t>Organe d</w:t>
      </w:r>
      <w:r w:rsidR="00346F1B">
        <w:t>’</w:t>
      </w:r>
      <w:r w:rsidR="006F6732">
        <w:t>évaluation avait décidé que les informations contenues dans le dossier n</w:t>
      </w:r>
      <w:r w:rsidR="00346F1B">
        <w:t>’</w:t>
      </w:r>
      <w:r w:rsidR="006F6732">
        <w:t>étaient pas suffisantes pou</w:t>
      </w:r>
      <w:r w:rsidR="001B5D91">
        <w:t>r</w:t>
      </w:r>
      <w:r w:rsidR="006F6732">
        <w:t xml:space="preserve"> déterminer si le critère R.5 était satisfait. L</w:t>
      </w:r>
      <w:r w:rsidR="00346F1B">
        <w:t>’</w:t>
      </w:r>
      <w:r w:rsidR="006F6732">
        <w:t>élément était inscrit depuis 2009 au Répertoire roumain du PCI, et depuis 2012 à l</w:t>
      </w:r>
      <w:r w:rsidR="00346F1B">
        <w:t>’</w:t>
      </w:r>
      <w:r w:rsidR="006F6732">
        <w:t xml:space="preserve">Inventaire national du PCI de la République de Moldova. </w:t>
      </w:r>
      <w:r w:rsidR="001B5D91">
        <w:t>Un mécanisme de mise à jour avait débuté en Roumanie mais des informations sur un mécanisme semblable en République de Moldova faisaient défaut dans le dossier. L</w:t>
      </w:r>
      <w:r w:rsidR="00346F1B">
        <w:t>’</w:t>
      </w:r>
      <w:r w:rsidR="001B5D91">
        <w:t>Organe d</w:t>
      </w:r>
      <w:r w:rsidR="00346F1B">
        <w:t>’</w:t>
      </w:r>
      <w:r w:rsidR="001B5D91">
        <w:t>évaluation avait décidé de recommander le renvoi de l</w:t>
      </w:r>
      <w:r w:rsidR="00346F1B">
        <w:t>’</w:t>
      </w:r>
      <w:r w:rsidR="001B5D91">
        <w:t>artisanat traditionnel du tapis mural en Roumanie et en République de Moldova aux États soumissionnaires pour complément d</w:t>
      </w:r>
      <w:r w:rsidR="00346F1B">
        <w:t>’</w:t>
      </w:r>
      <w:r w:rsidR="00443FC6">
        <w:t>information.</w:t>
      </w:r>
    </w:p>
    <w:p w14:paraId="4D5F68C5" w14:textId="776930C5" w:rsidR="001B5D91" w:rsidRDefault="001B5D91" w:rsidP="00F24F73">
      <w:pPr>
        <w:pStyle w:val="Orateurengris"/>
        <w:spacing w:before="120"/>
        <w:ind w:left="709" w:hanging="709"/>
      </w:pPr>
      <w:r>
        <w:t xml:space="preserve">Le </w:t>
      </w:r>
      <w:r w:rsidRPr="001B5D91">
        <w:rPr>
          <w:b/>
        </w:rPr>
        <w:t>Président</w:t>
      </w:r>
      <w:r>
        <w:t xml:space="preserve"> a remercié le Vice-Président de l</w:t>
      </w:r>
      <w:r w:rsidR="00346F1B">
        <w:t>’</w:t>
      </w:r>
      <w:r>
        <w:t>Organe d</w:t>
      </w:r>
      <w:r w:rsidR="00346F1B">
        <w:t>’</w:t>
      </w:r>
      <w:r>
        <w:t>évaluation pour l</w:t>
      </w:r>
      <w:r w:rsidR="00346F1B">
        <w:t>’</w:t>
      </w:r>
      <w:r>
        <w:t>explication détaillée et a signalé qu</w:t>
      </w:r>
      <w:r w:rsidR="00346F1B">
        <w:t>’</w:t>
      </w:r>
      <w:r>
        <w:t>une demande de débat avait été reçue et qu</w:t>
      </w:r>
      <w:r w:rsidR="00346F1B">
        <w:t>’</w:t>
      </w:r>
      <w:r>
        <w:t>u</w:t>
      </w:r>
      <w:r w:rsidR="00443FC6">
        <w:t>n amendement avait été proposé.</w:t>
      </w:r>
    </w:p>
    <w:p w14:paraId="62083932" w14:textId="7F8D247C" w:rsidR="001B5D91" w:rsidRPr="001B5D91" w:rsidRDefault="00860980" w:rsidP="00F24F73">
      <w:pPr>
        <w:pStyle w:val="Orateurengris"/>
        <w:spacing w:before="120"/>
        <w:ind w:left="709" w:hanging="709"/>
      </w:pPr>
      <w:r>
        <w:t xml:space="preserve">La délégation de la </w:t>
      </w:r>
      <w:r w:rsidRPr="00860980">
        <w:rPr>
          <w:b/>
        </w:rPr>
        <w:t>Bulgarie</w:t>
      </w:r>
      <w:r>
        <w:t xml:space="preserve"> avait attentivement étudié les commentaires formulés par l</w:t>
      </w:r>
      <w:r w:rsidR="00346F1B">
        <w:t>’</w:t>
      </w:r>
      <w:r>
        <w:t>Organe d</w:t>
      </w:r>
      <w:r w:rsidR="00346F1B">
        <w:t>’</w:t>
      </w:r>
      <w:r>
        <w:t>évaluation à propos de la candi</w:t>
      </w:r>
      <w:r w:rsidR="00A46CAD">
        <w:t>dature, et elle remerciait ses membres</w:t>
      </w:r>
      <w:r>
        <w:t xml:space="preserve"> pour leur travail très exhaustif. Elle estimait que la candidature présentée par les deux pays était bien construite et complète, et que les détails relatifs aux mécanismes de mise à jour </w:t>
      </w:r>
      <w:r w:rsidR="00E823C6">
        <w:t>de l</w:t>
      </w:r>
      <w:r w:rsidR="00346F1B">
        <w:t>’</w:t>
      </w:r>
      <w:r w:rsidR="00E823C6">
        <w:t>inventaire national tant en Roumanie qu</w:t>
      </w:r>
      <w:r w:rsidR="00346F1B">
        <w:t>’</w:t>
      </w:r>
      <w:r w:rsidR="00E823C6">
        <w:t xml:space="preserve">en République de Moldova étaient inclus et bien expliqués dans le dossier. La candidature satisfaisait donc </w:t>
      </w:r>
      <w:r w:rsidR="00417BA1">
        <w:t xml:space="preserve">les </w:t>
      </w:r>
      <w:r w:rsidR="00E823C6">
        <w:t xml:space="preserve">exigences du critère R.5. Ceci étant, elle a exprimé le souhait que les États soumissionnaires communiquent des détails supplémentaires sur </w:t>
      </w:r>
      <w:r w:rsidR="00443FC6">
        <w:t>la mise à jour des inventaires.</w:t>
      </w:r>
    </w:p>
    <w:p w14:paraId="699E9657" w14:textId="5AF8EF3C" w:rsidR="00E823C6" w:rsidRPr="00E823C6" w:rsidRDefault="00E823C6" w:rsidP="00F24F73">
      <w:pPr>
        <w:pStyle w:val="Orateurengris"/>
        <w:spacing w:before="120"/>
        <w:ind w:left="709" w:hanging="709"/>
      </w:pPr>
      <w:r>
        <w:t xml:space="preserve">Le </w:t>
      </w:r>
      <w:r w:rsidRPr="00E823C6">
        <w:rPr>
          <w:b/>
        </w:rPr>
        <w:t>Président</w:t>
      </w:r>
      <w:r>
        <w:t xml:space="preserve"> a donné la parole aux États soumissionnaires afin qu</w:t>
      </w:r>
      <w:r w:rsidR="00346F1B">
        <w:t>’</w:t>
      </w:r>
      <w:r>
        <w:t xml:space="preserve">ils </w:t>
      </w:r>
      <w:r w:rsidR="00443FC6">
        <w:t>apportent des éclaircissements.</w:t>
      </w:r>
    </w:p>
    <w:p w14:paraId="25086A3B" w14:textId="38B98BCF" w:rsidR="00E823C6" w:rsidRDefault="00E823C6" w:rsidP="00F24F73">
      <w:pPr>
        <w:pStyle w:val="Orateurengris"/>
        <w:spacing w:before="120"/>
        <w:ind w:left="709" w:hanging="709"/>
      </w:pPr>
      <w:r>
        <w:t xml:space="preserve">La délégation de la </w:t>
      </w:r>
      <w:r w:rsidRPr="00E823C6">
        <w:rPr>
          <w:b/>
        </w:rPr>
        <w:t>Roumanie</w:t>
      </w:r>
      <w:r>
        <w:t xml:space="preserve"> a fait remarquer que, s</w:t>
      </w:r>
      <w:r w:rsidR="00346F1B">
        <w:t>’</w:t>
      </w:r>
      <w:r>
        <w:t>agissant des détails complémentaires à apporter, il s</w:t>
      </w:r>
      <w:r w:rsidR="00346F1B">
        <w:t>’</w:t>
      </w:r>
      <w:r>
        <w:t>agissait d</w:t>
      </w:r>
      <w:r w:rsidR="00346F1B">
        <w:t>’</w:t>
      </w:r>
      <w:r>
        <w:t>une interprétation de la législation de la République de Moldova. Elle préférait donc laisse</w:t>
      </w:r>
      <w:r w:rsidR="00443FC6">
        <w:t>r celle-ci répondre en premier.</w:t>
      </w:r>
    </w:p>
    <w:p w14:paraId="11B45EE4" w14:textId="3465F9D6" w:rsidR="00A40F2B" w:rsidRPr="00E823C6" w:rsidRDefault="00E823C6" w:rsidP="00F24F73">
      <w:pPr>
        <w:pStyle w:val="Orateurengris"/>
        <w:spacing w:before="120"/>
        <w:ind w:left="709" w:hanging="709"/>
      </w:pPr>
      <w:r>
        <w:t>En ce qui concerne le mécanisme de mise à jour de l</w:t>
      </w:r>
      <w:r w:rsidR="00346F1B">
        <w:t>’</w:t>
      </w:r>
      <w:r>
        <w:t xml:space="preserve">inventaire, la délégation de la </w:t>
      </w:r>
      <w:r w:rsidRPr="00916657">
        <w:rPr>
          <w:b/>
        </w:rPr>
        <w:t>République de Moldova</w:t>
      </w:r>
      <w:r>
        <w:t xml:space="preserve"> a </w:t>
      </w:r>
      <w:r w:rsidR="00D95BF7">
        <w:t xml:space="preserve">souligné </w:t>
      </w:r>
      <w:r>
        <w:t xml:space="preserve">que ce </w:t>
      </w:r>
      <w:r w:rsidR="00916657">
        <w:t xml:space="preserve">point </w:t>
      </w:r>
      <w:r>
        <w:t>avait été exposé dans le formulaire de ca</w:t>
      </w:r>
      <w:r w:rsidR="00D95BF7">
        <w:t xml:space="preserve">ndidature à la </w:t>
      </w:r>
      <w:r w:rsidR="00916657">
        <w:t>page 21</w:t>
      </w:r>
      <w:r w:rsidR="00D95BF7">
        <w:t>, point 5</w:t>
      </w:r>
      <w:r w:rsidR="00916657">
        <w:t xml:space="preserve">. Il y était </w:t>
      </w:r>
      <w:r w:rsidR="00D95BF7">
        <w:t xml:space="preserve">précisé </w:t>
      </w:r>
      <w:r w:rsidR="00916657">
        <w:t>que c</w:t>
      </w:r>
      <w:r w:rsidR="00346F1B">
        <w:t>’</w:t>
      </w:r>
      <w:r w:rsidR="00916657">
        <w:t>était le ministère de la Culture de la République de Moldova qui était chargé de l</w:t>
      </w:r>
      <w:r w:rsidR="00346F1B">
        <w:t>’</w:t>
      </w:r>
      <w:r w:rsidR="00916657">
        <w:t>inventaire par l</w:t>
      </w:r>
      <w:r w:rsidR="00346F1B">
        <w:t>’</w:t>
      </w:r>
      <w:r w:rsidR="00916657">
        <w:t>intermédiaire de son organe compétent. S</w:t>
      </w:r>
      <w:r w:rsidR="00346F1B">
        <w:t>’</w:t>
      </w:r>
      <w:r w:rsidR="00916657">
        <w:t>agissant du projet de décision et des informations manquantes sur les mécanismes de mise à jour de l</w:t>
      </w:r>
      <w:r w:rsidR="00346F1B">
        <w:t>’</w:t>
      </w:r>
      <w:r w:rsidR="00916657">
        <w:t>inventaire, la délégation avait le sentiment qu</w:t>
      </w:r>
      <w:r w:rsidR="00346F1B">
        <w:t>’</w:t>
      </w:r>
      <w:r w:rsidR="00916657">
        <w:t>il s</w:t>
      </w:r>
      <w:r w:rsidR="00346F1B">
        <w:t>’</w:t>
      </w:r>
      <w:r w:rsidR="00916657">
        <w:t>agissait d</w:t>
      </w:r>
      <w:r w:rsidR="00346F1B">
        <w:t>’</w:t>
      </w:r>
      <w:r w:rsidR="00916657">
        <w:t>un problème de libellé, car la procé</w:t>
      </w:r>
      <w:r w:rsidR="00417BA1">
        <w:t>dure satisfaisait pleinement les</w:t>
      </w:r>
      <w:r w:rsidR="00916657">
        <w:t xml:space="preserve"> exigences des articles 11 et 12 de la Convention et était également conforme à la législation nationale de la République de Moldova, et de ce fait, les informations étaient complètes. L</w:t>
      </w:r>
      <w:r w:rsidR="00346F1B">
        <w:t>’</w:t>
      </w:r>
      <w:r w:rsidR="00916657">
        <w:t xml:space="preserve">inventaire était administré par le ministère de la Culture </w:t>
      </w:r>
      <w:r w:rsidR="00A40F2B">
        <w:t>et constamment mis à jour, le plus souvent par les experts de la Commission nationale de sauvegarde du patrimoine culturel immatériel qui restaient en contact permanent avec les communautés, les ONG et les institutions locales. Comme précisé dans le dossier, le volume A de l</w:t>
      </w:r>
      <w:r w:rsidR="00346F1B">
        <w:t>’</w:t>
      </w:r>
      <w:r w:rsidR="00A40F2B">
        <w:t>Inventaire national moldave était préparé par la Commission nationale de sauvegarde du patrimoine culturel immatériel, avec des contributions d</w:t>
      </w:r>
      <w:r w:rsidR="00346F1B">
        <w:t>’</w:t>
      </w:r>
      <w:r w:rsidR="00A40F2B">
        <w:t>experts, de représentants de la société civile et des communautés détentrices. Par ailleurs, conformément à la légis</w:t>
      </w:r>
      <w:r w:rsidR="005A2F28">
        <w:t>lation nationale, le ministre</w:t>
      </w:r>
      <w:r w:rsidR="00A40F2B">
        <w:t xml:space="preserve"> de la Culture, par l</w:t>
      </w:r>
      <w:r w:rsidR="00346F1B">
        <w:t>’</w:t>
      </w:r>
      <w:r w:rsidR="00A40F2B">
        <w:t>intermédiaire de la Commission nationale pour le patrimoine culturel immatériel, était responsable de l</w:t>
      </w:r>
      <w:r w:rsidR="00346F1B">
        <w:t>’</w:t>
      </w:r>
      <w:r w:rsidR="00A40F2B">
        <w:t>administration de l</w:t>
      </w:r>
      <w:r w:rsidR="00346F1B">
        <w:t>’</w:t>
      </w:r>
      <w:r w:rsidR="00A40F2B">
        <w:t>inventaire, de l</w:t>
      </w:r>
      <w:r w:rsidR="00346F1B">
        <w:t>’</w:t>
      </w:r>
      <w:r w:rsidR="00A40F2B">
        <w:t xml:space="preserve">approbation des documents réglementaires, de la mise à jour permanente des dossiers de chaque élément inscrit au Registre avec la participation de chercheurs, de spécialistes, des communautés détentrices et des ONG concernées, et de la publication de ressources, sous forme imprimée et électronique. </w:t>
      </w:r>
      <w:r w:rsidR="00EC6860">
        <w:t>Aux yeux de la nation moldave</w:t>
      </w:r>
      <w:r w:rsidR="00417BA1">
        <w:t>,</w:t>
      </w:r>
      <w:r w:rsidR="00EC6860">
        <w:t xml:space="preserve"> et d</w:t>
      </w:r>
      <w:r w:rsidR="00346F1B">
        <w:t>’</w:t>
      </w:r>
      <w:r w:rsidR="00EC6860">
        <w:t>un point de vue juridique, la mise à jour</w:t>
      </w:r>
      <w:r w:rsidR="00D95BF7">
        <w:t xml:space="preserve"> permanente de l</w:t>
      </w:r>
      <w:r w:rsidR="00346F1B">
        <w:t>’</w:t>
      </w:r>
      <w:r w:rsidR="00D95BF7">
        <w:t xml:space="preserve">inventaire était </w:t>
      </w:r>
      <w:r w:rsidR="00EC6860">
        <w:t xml:space="preserve">une condition </w:t>
      </w:r>
      <w:r w:rsidR="00EC6860" w:rsidRPr="00EC6860">
        <w:rPr>
          <w:i/>
        </w:rPr>
        <w:t>sine qua non</w:t>
      </w:r>
      <w:r w:rsidR="00EC6860">
        <w:rPr>
          <w:i/>
        </w:rPr>
        <w:t xml:space="preserve"> </w:t>
      </w:r>
      <w:r w:rsidR="00EC6860">
        <w:t>de la tenue de l</w:t>
      </w:r>
      <w:r w:rsidR="00346F1B">
        <w:t>’</w:t>
      </w:r>
      <w:r w:rsidR="00EC6860">
        <w:t xml:space="preserve">inventaire. Sur la base de ces explications, la République de Moldova et la Roumanie estimaient que les « informations manquantes » </w:t>
      </w:r>
      <w:r w:rsidR="00D95BF7">
        <w:t xml:space="preserve">étaient en fait des informations nécessitant des éclaircissements et </w:t>
      </w:r>
      <w:r w:rsidR="00EC6860">
        <w:t>une inte</w:t>
      </w:r>
      <w:r w:rsidR="00443FC6">
        <w:t>rprétation pertinente du texte.</w:t>
      </w:r>
    </w:p>
    <w:p w14:paraId="09056414" w14:textId="57563BA8" w:rsidR="00D95BF7" w:rsidRDefault="00D95BF7" w:rsidP="00F24F73">
      <w:pPr>
        <w:pStyle w:val="Orateurengris"/>
        <w:spacing w:before="120"/>
        <w:ind w:left="709" w:hanging="709"/>
      </w:pPr>
      <w:r>
        <w:t xml:space="preserve">La délégation de la </w:t>
      </w:r>
      <w:r w:rsidRPr="00D95BF7">
        <w:rPr>
          <w:b/>
        </w:rPr>
        <w:t>Roumanie</w:t>
      </w:r>
      <w:r>
        <w:t xml:space="preserve"> a aimablement suggéré et recommandé au Comité de ne pas renvoyer ce dossier, comme il l</w:t>
      </w:r>
      <w:r w:rsidR="00346F1B">
        <w:t>’</w:t>
      </w:r>
      <w:r>
        <w:t>avait fait pour le dossier précédent, car les choses étaie</w:t>
      </w:r>
      <w:r w:rsidR="00443FC6">
        <w:t>nt ici tout à fait différentes.</w:t>
      </w:r>
    </w:p>
    <w:p w14:paraId="3F9B5AF2" w14:textId="5EF7943E" w:rsidR="00D95BF7" w:rsidRPr="00D95BF7" w:rsidRDefault="00D95BF7" w:rsidP="00F24F73">
      <w:pPr>
        <w:pStyle w:val="Orateurengris"/>
        <w:spacing w:before="120"/>
        <w:ind w:left="709" w:hanging="709"/>
      </w:pPr>
      <w:r>
        <w:t xml:space="preserve">Le </w:t>
      </w:r>
      <w:r w:rsidRPr="00D95BF7">
        <w:rPr>
          <w:b/>
        </w:rPr>
        <w:t>Président</w:t>
      </w:r>
      <w:r>
        <w:t xml:space="preserve"> a rappelé à la Roumanie qu</w:t>
      </w:r>
      <w:r w:rsidR="00346F1B">
        <w:t>’</w:t>
      </w:r>
      <w:r>
        <w:t>elle devait uniquemen</w:t>
      </w:r>
      <w:r w:rsidR="00443FC6">
        <w:t>t répondre à la question posée.</w:t>
      </w:r>
    </w:p>
    <w:p w14:paraId="29B1EA1D" w14:textId="00FC9FC3" w:rsidR="00D95BF7" w:rsidRPr="00D95BF7" w:rsidRDefault="005A2F28" w:rsidP="00F24F73">
      <w:pPr>
        <w:pStyle w:val="Orateurengris"/>
        <w:spacing w:before="120"/>
        <w:ind w:left="709" w:hanging="709"/>
      </w:pPr>
      <w:r>
        <w:t>La délégation d</w:t>
      </w:r>
      <w:r w:rsidR="00D95BF7" w:rsidRPr="00D95BF7">
        <w:t>e</w:t>
      </w:r>
      <w:r>
        <w:t xml:space="preserve"> </w:t>
      </w:r>
      <w:r w:rsidR="00D95BF7" w:rsidRPr="00D95BF7">
        <w:t xml:space="preserve">la </w:t>
      </w:r>
      <w:r w:rsidR="00D95BF7" w:rsidRPr="005A2F28">
        <w:rPr>
          <w:b/>
        </w:rPr>
        <w:t>Roumanie</w:t>
      </w:r>
      <w:r w:rsidR="00D95BF7" w:rsidRPr="00D95BF7">
        <w:t xml:space="preserve"> </w:t>
      </w:r>
      <w:r w:rsidR="00417BA1">
        <w:t>souhaitait</w:t>
      </w:r>
      <w:r>
        <w:t xml:space="preserve"> </w:t>
      </w:r>
      <w:r w:rsidR="00D95BF7">
        <w:t>souligner l</w:t>
      </w:r>
      <w:r w:rsidR="00346F1B">
        <w:t>’</w:t>
      </w:r>
      <w:r w:rsidR="00D95BF7">
        <w:t xml:space="preserve">importance de ce dossier, </w:t>
      </w:r>
      <w:r>
        <w:t>corroborant ainsi ce qu</w:t>
      </w:r>
      <w:r w:rsidR="00346F1B">
        <w:t>’</w:t>
      </w:r>
      <w:r>
        <w:t>a</w:t>
      </w:r>
      <w:r w:rsidR="00D95BF7">
        <w:t>va</w:t>
      </w:r>
      <w:r>
        <w:t>ient</w:t>
      </w:r>
      <w:r w:rsidR="00D95BF7">
        <w:t xml:space="preserve"> </w:t>
      </w:r>
      <w:r>
        <w:t>exprimé les ministres de la Culture de la Roumanie et de la République de Moldova dans une lettre commune soumise à l</w:t>
      </w:r>
      <w:r w:rsidR="00346F1B">
        <w:t>’</w:t>
      </w:r>
      <w:r>
        <w:t>attention du Président. Hormis la remarque technique de l</w:t>
      </w:r>
      <w:r w:rsidR="00346F1B">
        <w:t>’</w:t>
      </w:r>
      <w:r>
        <w:t>Organe d</w:t>
      </w:r>
      <w:r w:rsidR="00346F1B">
        <w:t>’</w:t>
      </w:r>
      <w:r>
        <w:t>évaluation, les deux ministres avaient convenu que les cinq critères étaient tous remplis conformément à la législation nationale, rendant ainsi possible l</w:t>
      </w:r>
      <w:r w:rsidR="00346F1B">
        <w:t>’</w:t>
      </w:r>
      <w:r>
        <w:t>inscription de l</w:t>
      </w:r>
      <w:r w:rsidR="00346F1B">
        <w:t>’</w:t>
      </w:r>
      <w:r>
        <w:t>élément. La délégation a fait remarquer qu</w:t>
      </w:r>
      <w:r w:rsidR="00346F1B">
        <w:t>’</w:t>
      </w:r>
      <w:r>
        <w:t>il s</w:t>
      </w:r>
      <w:r w:rsidR="00346F1B">
        <w:t>’</w:t>
      </w:r>
      <w:r>
        <w:t>agissait du troisième dossier en commun avec la République de Moldova, ce qui illustrait clairement leurs valeurs culturelles et le</w:t>
      </w:r>
      <w:r w:rsidR="00443FC6">
        <w:t>ur patrimoine national communs.</w:t>
      </w:r>
    </w:p>
    <w:p w14:paraId="474687E1" w14:textId="1AB2ECA1" w:rsidR="005A2F28" w:rsidRDefault="005A2F28" w:rsidP="00F24F73">
      <w:pPr>
        <w:pStyle w:val="Orateurengris"/>
        <w:spacing w:before="120"/>
        <w:ind w:left="709" w:hanging="709"/>
      </w:pPr>
      <w:r>
        <w:t xml:space="preserve">La délégation de </w:t>
      </w:r>
      <w:r w:rsidRPr="005A2F28">
        <w:rPr>
          <w:b/>
        </w:rPr>
        <w:t>Cuba</w:t>
      </w:r>
      <w:r>
        <w:t xml:space="preserve"> a dit accepter l</w:t>
      </w:r>
      <w:r w:rsidR="00346F1B">
        <w:t>’</w:t>
      </w:r>
      <w:r>
        <w:t>explication donnée par la Moldavie et, par conséquent, soutenir l</w:t>
      </w:r>
      <w:r w:rsidR="00346F1B">
        <w:t>’</w:t>
      </w:r>
      <w:r w:rsidR="00443FC6">
        <w:t>inscription.</w:t>
      </w:r>
    </w:p>
    <w:p w14:paraId="1273FEC3" w14:textId="11E6850B" w:rsidR="003C1F2C" w:rsidRPr="003C1F2C" w:rsidRDefault="003C1F2C" w:rsidP="00F24F73">
      <w:pPr>
        <w:pStyle w:val="Orateurengris"/>
        <w:spacing w:before="120"/>
        <w:ind w:left="709" w:hanging="709"/>
      </w:pPr>
      <w:r>
        <w:t>La délégation de l</w:t>
      </w:r>
      <w:r w:rsidR="00346F1B">
        <w:t>’</w:t>
      </w:r>
      <w:r w:rsidRPr="003C1F2C">
        <w:rPr>
          <w:b/>
        </w:rPr>
        <w:t>Arménie</w:t>
      </w:r>
      <w:r>
        <w:t xml:space="preserve"> était également favorable à l</w:t>
      </w:r>
      <w:r w:rsidR="00346F1B">
        <w:t>’</w:t>
      </w:r>
      <w:r>
        <w:t>inscription, en particulier compte tenu des explications très claires de la Moldav</w:t>
      </w:r>
      <w:r w:rsidR="00443FC6">
        <w:t>ie.</w:t>
      </w:r>
    </w:p>
    <w:p w14:paraId="56EBF5AB" w14:textId="0ADA28B3" w:rsidR="003C1F2C" w:rsidRPr="003C1F2C" w:rsidRDefault="003C1F2C" w:rsidP="00F24F73">
      <w:pPr>
        <w:pStyle w:val="Orateurengris"/>
        <w:spacing w:before="120"/>
        <w:ind w:left="709" w:hanging="709"/>
      </w:pPr>
      <w:r>
        <w:t xml:space="preserve">Le </w:t>
      </w:r>
      <w:r w:rsidRPr="003C1F2C">
        <w:rPr>
          <w:b/>
        </w:rPr>
        <w:t>Président</w:t>
      </w:r>
      <w:r>
        <w:t xml:space="preserve"> a procédé à l</w:t>
      </w:r>
      <w:r w:rsidR="00346F1B">
        <w:t>’</w:t>
      </w:r>
      <w:r>
        <w:t>adoption du projet de décision paragraphe par paragraphe. Le Président a précisé que l</w:t>
      </w:r>
      <w:r w:rsidR="00346F1B">
        <w:t>’</w:t>
      </w:r>
      <w:r>
        <w:t>Autriche était également favorable à l</w:t>
      </w:r>
      <w:r w:rsidR="00346F1B">
        <w:t>’</w:t>
      </w:r>
      <w:r>
        <w:t>inscription. En l</w:t>
      </w:r>
      <w:r w:rsidR="00346F1B">
        <w:t>’</w:t>
      </w:r>
      <w:r>
        <w:t>absence d</w:t>
      </w:r>
      <w:r w:rsidR="00346F1B">
        <w:t>’</w:t>
      </w:r>
      <w:r>
        <w:t xml:space="preserve">objections au paragraphe 1, celui-ci a été </w:t>
      </w:r>
      <w:r w:rsidR="008052AC">
        <w:t>dûment</w:t>
      </w:r>
      <w:r>
        <w:t xml:space="preserve"> adopté. Dans le paragraphe 2, les paragraphes consacrés aux critères R.1, R.2, R.3 et R.4 ont également été adoptés sans objections. Le paragraphe sur le critère R.5, avec l</w:t>
      </w:r>
      <w:r w:rsidR="00346F1B">
        <w:t>’</w:t>
      </w:r>
      <w:r>
        <w:t xml:space="preserve">amendement proposé par la Bulgarie, a été </w:t>
      </w:r>
      <w:r w:rsidR="008052AC">
        <w:t>dûment</w:t>
      </w:r>
      <w:r>
        <w:t xml:space="preserve"> adopté tel qu</w:t>
      </w:r>
      <w:r w:rsidR="00346F1B">
        <w:t>’</w:t>
      </w:r>
      <w:r>
        <w:t>amendé. Le paragraphe 3 « Inscrit », tel qu</w:t>
      </w:r>
      <w:r w:rsidR="00346F1B">
        <w:t>’</w:t>
      </w:r>
      <w:r>
        <w:t>amendé par la Bulgarie, a été adopté sans objections. Le paragraphe standard 4</w:t>
      </w:r>
      <w:r w:rsidR="00443FC6">
        <w:t xml:space="preserve"> a été inséré dans la décision.</w:t>
      </w:r>
    </w:p>
    <w:p w14:paraId="5EE97642" w14:textId="449B6C3D" w:rsidR="003C1F2C" w:rsidRPr="003C1F2C" w:rsidRDefault="003C1F2C" w:rsidP="00F24F73">
      <w:pPr>
        <w:pStyle w:val="Orateurengris"/>
        <w:spacing w:before="120"/>
        <w:ind w:left="709" w:hanging="709"/>
      </w:pPr>
      <w:r>
        <w:t xml:space="preserve">La délégation de la </w:t>
      </w:r>
      <w:r w:rsidRPr="003C1F2C">
        <w:rPr>
          <w:b/>
        </w:rPr>
        <w:t>Palestine</w:t>
      </w:r>
      <w:r>
        <w:t xml:space="preserve"> a signalé qu</w:t>
      </w:r>
      <w:r w:rsidR="00346F1B">
        <w:t>’</w:t>
      </w:r>
      <w:r>
        <w:t>une correction était nécessaire c</w:t>
      </w:r>
      <w:r w:rsidR="00443FC6">
        <w:t>ar il y avait deux délégations.</w:t>
      </w:r>
    </w:p>
    <w:p w14:paraId="098C3FDF" w14:textId="691CC5AB" w:rsidR="003C1F2C" w:rsidRPr="003C1F2C" w:rsidRDefault="003C1F2C" w:rsidP="00F24F73">
      <w:pPr>
        <w:pStyle w:val="Orateurengris"/>
        <w:spacing w:before="120"/>
        <w:ind w:left="709" w:hanging="709"/>
      </w:pPr>
      <w:r>
        <w:t xml:space="preserve">Le </w:t>
      </w:r>
      <w:r w:rsidRPr="000F652C">
        <w:rPr>
          <w:b/>
        </w:rPr>
        <w:t>Président</w:t>
      </w:r>
      <w:r>
        <w:t xml:space="preserve"> a préci</w:t>
      </w:r>
      <w:r w:rsidR="000F652C">
        <w:t>sé que la faute serait corrigée</w:t>
      </w:r>
      <w:r>
        <w:t>. En l</w:t>
      </w:r>
      <w:r w:rsidR="00346F1B">
        <w:t>’</w:t>
      </w:r>
      <w:r>
        <w:t>absence d</w:t>
      </w:r>
      <w:r w:rsidR="00346F1B">
        <w:t>’</w:t>
      </w:r>
      <w:r>
        <w:t xml:space="preserve">autres objections </w:t>
      </w:r>
      <w:r w:rsidR="000F652C">
        <w:t>ou commentaires, le paragraphe 4 a été adopté. Il est ensuite passé à l</w:t>
      </w:r>
      <w:r w:rsidR="00346F1B">
        <w:t>’</w:t>
      </w:r>
      <w:r w:rsidR="000F652C">
        <w:t>adoption de la décision dans son ensemble. En l</w:t>
      </w:r>
      <w:r w:rsidR="00346F1B">
        <w:t>’</w:t>
      </w:r>
      <w:r w:rsidR="000F652C">
        <w:t>absence d</w:t>
      </w:r>
      <w:r w:rsidR="00346F1B">
        <w:t>’</w:t>
      </w:r>
      <w:r w:rsidR="000F652C">
        <w:t xml:space="preserve">autres commentaires ou objections, le </w:t>
      </w:r>
      <w:r w:rsidR="000F652C" w:rsidRPr="000F652C">
        <w:rPr>
          <w:b/>
        </w:rPr>
        <w:t>Président a déclaré adoptée la décision 11.COM 10.b.26 d</w:t>
      </w:r>
      <w:r w:rsidR="00346F1B">
        <w:rPr>
          <w:b/>
        </w:rPr>
        <w:t>’</w:t>
      </w:r>
      <w:r w:rsidR="000F652C" w:rsidRPr="000F652C">
        <w:rPr>
          <w:b/>
        </w:rPr>
        <w:t>inscrire l</w:t>
      </w:r>
      <w:r w:rsidR="00346F1B">
        <w:rPr>
          <w:b/>
        </w:rPr>
        <w:t>’</w:t>
      </w:r>
      <w:r w:rsidR="000F652C" w:rsidRPr="000F652C">
        <w:rPr>
          <w:b/>
        </w:rPr>
        <w:t>artisanat traditionnel du tapis mural en Roumanie et en République de Moldova sur la Liste représentative du patrimoine culturel immatériel de l</w:t>
      </w:r>
      <w:r w:rsidR="00346F1B">
        <w:rPr>
          <w:b/>
        </w:rPr>
        <w:t>’</w:t>
      </w:r>
      <w:r w:rsidR="000F652C" w:rsidRPr="000F652C">
        <w:rPr>
          <w:b/>
        </w:rPr>
        <w:t>humanité</w:t>
      </w:r>
      <w:r w:rsidR="00443FC6">
        <w:t>.</w:t>
      </w:r>
    </w:p>
    <w:p w14:paraId="3D230DBB" w14:textId="4CEF13F5" w:rsidR="001964DF" w:rsidRDefault="000F652C" w:rsidP="00F24F73">
      <w:pPr>
        <w:pStyle w:val="Orateurengris"/>
        <w:spacing w:before="120"/>
        <w:ind w:left="709" w:hanging="709"/>
      </w:pPr>
      <w:r w:rsidRPr="002D3669">
        <w:t>La délégation</w:t>
      </w:r>
      <w:r w:rsidR="002D3669" w:rsidRPr="002D3669">
        <w:t xml:space="preserve"> d</w:t>
      </w:r>
      <w:r w:rsidRPr="002D3669">
        <w:t>e</w:t>
      </w:r>
      <w:r w:rsidR="002D3669" w:rsidRPr="002D3669">
        <w:t xml:space="preserve"> </w:t>
      </w:r>
      <w:r w:rsidRPr="002D3669">
        <w:t xml:space="preserve">la </w:t>
      </w:r>
      <w:r w:rsidRPr="00E93227">
        <w:rPr>
          <w:b/>
        </w:rPr>
        <w:t>Roumanie</w:t>
      </w:r>
      <w:r w:rsidRPr="002D3669">
        <w:t xml:space="preserve"> </w:t>
      </w:r>
      <w:r w:rsidR="00EC5411">
        <w:t>a souligné que</w:t>
      </w:r>
      <w:r w:rsidR="00E93227">
        <w:t xml:space="preserve"> le temps était désormais venu pour l</w:t>
      </w:r>
      <w:r w:rsidR="00346F1B">
        <w:t>’</w:t>
      </w:r>
      <w:r w:rsidR="00E93227">
        <w:t>UNESCO de renouveler son patrimoine immatériel avec de nouveaux éléments, ajoutant que ce n</w:t>
      </w:r>
      <w:r w:rsidR="00346F1B">
        <w:t>’</w:t>
      </w:r>
      <w:r w:rsidR="00E93227">
        <w:t>étaient plus seulement les éléments nationaux mais également les éléments régionaux qui étaient désormais sur le devant de la scène et rev</w:t>
      </w:r>
      <w:r w:rsidR="009572CE">
        <w:t xml:space="preserve">endiquaient leur importance sur </w:t>
      </w:r>
      <w:r w:rsidR="00E93227">
        <w:t xml:space="preserve">la carte mondiale du patrimoine. </w:t>
      </w:r>
      <w:r w:rsidR="009572CE">
        <w:t>L</w:t>
      </w:r>
      <w:r w:rsidR="00346F1B">
        <w:t>’</w:t>
      </w:r>
      <w:r w:rsidR="009572CE">
        <w:t>inscription de l</w:t>
      </w:r>
      <w:r w:rsidR="00346F1B">
        <w:t>’</w:t>
      </w:r>
      <w:r w:rsidR="009572CE">
        <w:t>artisanat traditionnel du tapis mural, célébrée ce jour, était une étape vers une meilleure compréhension de la sauvegarde et de ce qu</w:t>
      </w:r>
      <w:r w:rsidR="00346F1B">
        <w:t>’</w:t>
      </w:r>
      <w:r w:rsidR="009572CE">
        <w:t xml:space="preserve">il convenait de partager, et de laisser de </w:t>
      </w:r>
      <w:r w:rsidR="00A31001">
        <w:t>côté</w:t>
      </w:r>
      <w:r w:rsidR="009572CE">
        <w:t>, pour les générations futures. Cette journée était encore plus particulière pour le peuple roumain, car il célébrait dans la joie sa fête nat</w:t>
      </w:r>
      <w:r w:rsidR="001964DF">
        <w:t>io</w:t>
      </w:r>
      <w:r w:rsidR="00D52FDB">
        <w:t>nale. La délégation a évoqué cette histoire faite de témoignages qui démontrai</w:t>
      </w:r>
      <w:r w:rsidR="001964DF">
        <w:t>t de quelle façon la culture, le patrimoine immatériel ou matériel, et les traditions étaient des liens qui unissaient les populations pour parler une langue commune et mener des projets conjoints. Elle a adressé ses remerciements au Comité et aux États qui avaient pleinement reconnu l</w:t>
      </w:r>
      <w:r w:rsidR="00346F1B">
        <w:t>’</w:t>
      </w:r>
      <w:r w:rsidR="001964DF">
        <w:t xml:space="preserve">importance de cette adoption. Au nom des deux gouvernements, des remerciements très sincères </w:t>
      </w:r>
      <w:r w:rsidR="00D52FDB">
        <w:t xml:space="preserve">ont été </w:t>
      </w:r>
      <w:r w:rsidR="001964DF">
        <w:t>exprimés pour cette reconnaissance. La délégation a également rendu hommage aux efforts, à la compréhension et au dévouement des dét</w:t>
      </w:r>
      <w:r w:rsidR="00D52FDB">
        <w:t>enteurs et communautés impliqués, et enfin, au G</w:t>
      </w:r>
      <w:r w:rsidR="001964DF">
        <w:t>ouvernement éthiopien et à tous les organes ayant participé à l</w:t>
      </w:r>
      <w:r w:rsidR="00346F1B">
        <w:t>’</w:t>
      </w:r>
      <w:r w:rsidR="001964DF">
        <w:t>organisation de la session pour leur exceptionnelle hospitalité. La délégation a assuré le Comité que la Roumanie et la République de Moldova identifieraient et présenteraient de nouveaux éléments de leur culture afin d</w:t>
      </w:r>
      <w:r w:rsidR="00346F1B">
        <w:t>’</w:t>
      </w:r>
      <w:r w:rsidR="001964DF">
        <w:t>élargir le patrimoine de l</w:t>
      </w:r>
      <w:r w:rsidR="00346F1B">
        <w:t>’</w:t>
      </w:r>
      <w:r w:rsidR="00443FC6">
        <w:t>UNESCO.</w:t>
      </w:r>
    </w:p>
    <w:p w14:paraId="0A4D13F5" w14:textId="6EDA495F" w:rsidR="009572CE" w:rsidRPr="002D3669" w:rsidRDefault="002D389A" w:rsidP="00F24F73">
      <w:pPr>
        <w:pStyle w:val="Orateurengris"/>
        <w:spacing w:before="120"/>
        <w:ind w:left="709" w:hanging="709"/>
      </w:pPr>
      <w:r>
        <w:t>Au nom du ministère de la Culture, l</w:t>
      </w:r>
      <w:r w:rsidR="00D52FDB">
        <w:t xml:space="preserve">a délégation de la </w:t>
      </w:r>
      <w:r w:rsidR="00D52FDB" w:rsidRPr="002D389A">
        <w:rPr>
          <w:b/>
        </w:rPr>
        <w:t>République de Moldova</w:t>
      </w:r>
      <w:r w:rsidR="00D52FDB">
        <w:t xml:space="preserve"> a remercié tous les délégués pour leur soutien et leur compréhension</w:t>
      </w:r>
      <w:r>
        <w:t>. Elle était fière de l</w:t>
      </w:r>
      <w:r w:rsidR="00346F1B">
        <w:t>’</w:t>
      </w:r>
      <w:r>
        <w:t>inscription de l</w:t>
      </w:r>
      <w:r w:rsidR="00346F1B">
        <w:t>’</w:t>
      </w:r>
      <w:r>
        <w:t>élément sur la Liste représentative, et cette inscription contribuerait grandement au développement et à la reconnaissance de ses tapis, tout en améliorant la compréhension de cet artisanat et en lui accorda</w:t>
      </w:r>
      <w:r w:rsidR="00443FC6">
        <w:t>nt une plus grande visibilité.</w:t>
      </w:r>
    </w:p>
    <w:p w14:paraId="115ADA93" w14:textId="257A0F9C" w:rsidR="002D389A" w:rsidRPr="002D389A" w:rsidRDefault="002D389A" w:rsidP="00F24F73">
      <w:pPr>
        <w:pStyle w:val="Orateurengris"/>
        <w:spacing w:before="120"/>
        <w:ind w:left="709" w:hanging="709"/>
      </w:pPr>
      <w:r>
        <w:t xml:space="preserve">Le </w:t>
      </w:r>
      <w:r w:rsidRPr="002D389A">
        <w:rPr>
          <w:b/>
        </w:rPr>
        <w:t>Président</w:t>
      </w:r>
      <w:r>
        <w:t xml:space="preserve"> a donné la parole au Secrétaire pour quelques annonces d</w:t>
      </w:r>
      <w:r w:rsidR="00346F1B">
        <w:t>’</w:t>
      </w:r>
      <w:r w:rsidR="00443FC6">
        <w:t>ordre pratique.</w:t>
      </w:r>
    </w:p>
    <w:p w14:paraId="05FC7337" w14:textId="0E4DA020" w:rsidR="002D389A" w:rsidRPr="002D389A" w:rsidRDefault="002D389A" w:rsidP="00F24F73">
      <w:pPr>
        <w:pStyle w:val="Orateurengris"/>
        <w:spacing w:before="120"/>
        <w:ind w:left="709" w:hanging="709"/>
      </w:pPr>
      <w:r>
        <w:t xml:space="preserve">Le </w:t>
      </w:r>
      <w:r w:rsidRPr="002D389A">
        <w:rPr>
          <w:b/>
        </w:rPr>
        <w:t>Secrétaire</w:t>
      </w:r>
      <w:r>
        <w:t xml:space="preserve"> a attiré l</w:t>
      </w:r>
      <w:r w:rsidR="00346F1B">
        <w:t>’</w:t>
      </w:r>
      <w:r>
        <w:t>attention du Comité sur le fait qu</w:t>
      </w:r>
      <w:r w:rsidR="00346F1B">
        <w:t>’</w:t>
      </w:r>
      <w:r>
        <w:t>il était sérieusement en retard sur le programme de la session, ajoutant que des points essentiels de l</w:t>
      </w:r>
      <w:r w:rsidR="00346F1B">
        <w:t>’</w:t>
      </w:r>
      <w:r>
        <w:t>ordre du jour devaient être adoptés, et donc être traités pour le cycle d</w:t>
      </w:r>
      <w:r w:rsidR="00346F1B">
        <w:t>’</w:t>
      </w:r>
      <w:r>
        <w:t>évaluation à venir, en 2017. Il était donc impératif d</w:t>
      </w:r>
      <w:r w:rsidR="00346F1B">
        <w:t>’</w:t>
      </w:r>
      <w:r>
        <w:t>achever le point 10 de l</w:t>
      </w:r>
      <w:r w:rsidR="00346F1B">
        <w:t>’</w:t>
      </w:r>
      <w:r>
        <w:t>ordre du jour et, éventuellement, de suspendre les points non essentiels. Le Secrétaire a donc proposé deux séances prolongées en soirée avec une heure d</w:t>
      </w:r>
      <w:r w:rsidR="004137C0">
        <w:t>e pause entre les deux</w:t>
      </w:r>
      <w:r>
        <w:t xml:space="preserve">, au cours de laquelle </w:t>
      </w:r>
      <w:r w:rsidR="004137C0">
        <w:t>la délégation de la Turquie serait l</w:t>
      </w:r>
      <w:r w:rsidR="00346F1B">
        <w:t>’</w:t>
      </w:r>
      <w:r w:rsidR="004137C0">
        <w:t>hôte d</w:t>
      </w:r>
      <w:r w:rsidR="00346F1B">
        <w:t>’</w:t>
      </w:r>
      <w:r w:rsidR="00443FC6">
        <w:t>une réception.</w:t>
      </w:r>
    </w:p>
    <w:p w14:paraId="633793E3" w14:textId="0576F96E" w:rsidR="00267EE3" w:rsidRPr="004137C0" w:rsidRDefault="004137C0" w:rsidP="002B4948">
      <w:pPr>
        <w:pStyle w:val="Orateurengris"/>
        <w:numPr>
          <w:ilvl w:val="0"/>
          <w:numId w:val="0"/>
        </w:numPr>
        <w:spacing w:before="120"/>
        <w:ind w:left="709" w:hanging="709"/>
        <w:jc w:val="center"/>
        <w:outlineLvl w:val="0"/>
        <w:rPr>
          <w:i/>
        </w:rPr>
      </w:pPr>
      <w:r w:rsidRPr="000A6378">
        <w:rPr>
          <w:rFonts w:eastAsia="Cambria"/>
          <w:i/>
        </w:rPr>
        <w:t>[</w:t>
      </w:r>
      <w:r>
        <w:rPr>
          <w:rFonts w:eastAsia="Cambria"/>
          <w:i/>
        </w:rPr>
        <w:t>Jeudi 1</w:t>
      </w:r>
      <w:r w:rsidRPr="004137C0">
        <w:rPr>
          <w:rFonts w:eastAsia="Cambria"/>
          <w:i/>
          <w:vertAlign w:val="superscript"/>
        </w:rPr>
        <w:t>er</w:t>
      </w:r>
      <w:r>
        <w:rPr>
          <w:rFonts w:eastAsia="Cambria"/>
          <w:i/>
        </w:rPr>
        <w:t xml:space="preserve"> décembre, séance du soir</w:t>
      </w:r>
      <w:r w:rsidRPr="004137C0">
        <w:rPr>
          <w:rFonts w:eastAsia="Cambria"/>
          <w:i/>
        </w:rPr>
        <w:t>,</w:t>
      </w:r>
      <w:r>
        <w:rPr>
          <w:rFonts w:eastAsia="Cambria"/>
          <w:i/>
        </w:rPr>
        <w:t xml:space="preserve"> 1</w:t>
      </w:r>
      <w:r w:rsidRPr="004137C0">
        <w:rPr>
          <w:rFonts w:eastAsia="Cambria"/>
          <w:i/>
          <w:vertAlign w:val="superscript"/>
        </w:rPr>
        <w:t>ère</w:t>
      </w:r>
      <w:r>
        <w:rPr>
          <w:rFonts w:eastAsia="Cambria"/>
          <w:i/>
        </w:rPr>
        <w:t xml:space="preserve"> partie</w:t>
      </w:r>
      <w:r w:rsidR="005D4506" w:rsidRPr="004137C0">
        <w:rPr>
          <w:i/>
        </w:rPr>
        <w:t>]</w:t>
      </w:r>
    </w:p>
    <w:p w14:paraId="756BBE23" w14:textId="73B755D9" w:rsidR="004137C0" w:rsidRPr="004137C0" w:rsidRDefault="004137C0" w:rsidP="00F24F73">
      <w:pPr>
        <w:pStyle w:val="Orateurengris"/>
        <w:spacing w:before="120"/>
        <w:ind w:left="709" w:hanging="709"/>
      </w:pPr>
      <w:r>
        <w:t xml:space="preserve">Le </w:t>
      </w:r>
      <w:r w:rsidRPr="004137C0">
        <w:rPr>
          <w:b/>
        </w:rPr>
        <w:t>Président</w:t>
      </w:r>
      <w:r>
        <w:t xml:space="preserve"> est passé au dossier suivant, soumis par</w:t>
      </w:r>
      <w:r w:rsidR="00443FC6">
        <w:t xml:space="preserve"> la Slovaquie et la Tchéquie.</w:t>
      </w:r>
    </w:p>
    <w:p w14:paraId="2EB57ADA" w14:textId="66E47634" w:rsidR="00295F05" w:rsidRPr="004137C0" w:rsidRDefault="004137C0" w:rsidP="00F24F73">
      <w:pPr>
        <w:pStyle w:val="Orateurengris"/>
        <w:spacing w:before="120"/>
        <w:ind w:left="709" w:hanging="709"/>
      </w:pPr>
      <w:r>
        <w:t xml:space="preserve">Le </w:t>
      </w:r>
      <w:r w:rsidRPr="00295F05">
        <w:rPr>
          <w:b/>
        </w:rPr>
        <w:t>Vice-Président</w:t>
      </w:r>
      <w:r>
        <w:t xml:space="preserve"> </w:t>
      </w:r>
      <w:r w:rsidR="00295F05" w:rsidRPr="00295F05">
        <w:rPr>
          <w:b/>
        </w:rPr>
        <w:t>de l</w:t>
      </w:r>
      <w:r w:rsidR="00346F1B">
        <w:rPr>
          <w:b/>
        </w:rPr>
        <w:t>’</w:t>
      </w:r>
      <w:r w:rsidR="00295F05" w:rsidRPr="00295F05">
        <w:rPr>
          <w:b/>
        </w:rPr>
        <w:t>Organe d</w:t>
      </w:r>
      <w:r w:rsidR="00346F1B">
        <w:rPr>
          <w:b/>
        </w:rPr>
        <w:t>’</w:t>
      </w:r>
      <w:r w:rsidR="00295F05" w:rsidRPr="00295F05">
        <w:rPr>
          <w:b/>
        </w:rPr>
        <w:t>évaluation</w:t>
      </w:r>
      <w:r w:rsidR="00295F05">
        <w:t xml:space="preserve"> </w:t>
      </w:r>
      <w:r>
        <w:t xml:space="preserve">est passé à la candidature suivante, </w:t>
      </w:r>
      <w:bookmarkStart w:id="48" w:name="Decision10b28"/>
      <w:r w:rsidRPr="004137C0">
        <w:rPr>
          <w:b/>
        </w:rPr>
        <w:t>le théâtre de marionnettes en Slovaquie et en Tchéquie</w:t>
      </w:r>
      <w:bookmarkEnd w:id="48"/>
      <w:r>
        <w:t xml:space="preserve"> [projet de décision 11.COM 10.b.28], soumise par la Slovaquie</w:t>
      </w:r>
      <w:r w:rsidR="00440CA5">
        <w:t xml:space="preserve"> et la Tchéquie</w:t>
      </w:r>
      <w:r>
        <w:t xml:space="preserve">. Dans les communautés de Slovaquie et de </w:t>
      </w:r>
      <w:r w:rsidR="00417BA1">
        <w:t>la République tchè</w:t>
      </w:r>
      <w:r w:rsidR="00440CA5">
        <w:t>qu</w:t>
      </w:r>
      <w:r>
        <w:t>e, le théâtre de marionnettes était une forme populaire de divertissement traditionnel, mais également une manière de traduire une vision du monde et de transmettre des valeurs morales. Faisant partie intégrante du théâtre local et de la tradition littéraire, l</w:t>
      </w:r>
      <w:r w:rsidR="00346F1B">
        <w:t>’</w:t>
      </w:r>
      <w:r>
        <w:t>élément</w:t>
      </w:r>
      <w:r w:rsidR="00665CB0">
        <w:t xml:space="preserve"> contribuait à la socialisation, la créativité et l</w:t>
      </w:r>
      <w:r w:rsidR="00346F1B">
        <w:t>’</w:t>
      </w:r>
      <w:r w:rsidR="00665CB0">
        <w:t>identité des participants. Cette pratique culturelle traditionnelle, utilisant des marionnettes principalement faites de bois et animées à l</w:t>
      </w:r>
      <w:r w:rsidR="00346F1B">
        <w:t>’</w:t>
      </w:r>
      <w:r w:rsidR="00665CB0">
        <w:t>aide de différentes méthodes, était transmise par les communa</w:t>
      </w:r>
      <w:r w:rsidR="00440CA5">
        <w:t>utés d</w:t>
      </w:r>
      <w:r w:rsidR="00346F1B">
        <w:t>’</w:t>
      </w:r>
      <w:r w:rsidR="00440CA5">
        <w:t>artistes interprètes, l</w:t>
      </w:r>
      <w:r w:rsidR="00665CB0">
        <w:t>es dynasties de marionnettistes, des organisations à but non lucratif et des écoles de musique et d</w:t>
      </w:r>
      <w:r w:rsidR="00346F1B">
        <w:t>’</w:t>
      </w:r>
      <w:r w:rsidR="00665CB0">
        <w:t>art. À la lecture des informations contenues dans le dossier, l</w:t>
      </w:r>
      <w:r w:rsidR="00346F1B">
        <w:t>’</w:t>
      </w:r>
      <w:r w:rsidR="00665CB0">
        <w:t>Organe d</w:t>
      </w:r>
      <w:r w:rsidR="00346F1B">
        <w:t>’</w:t>
      </w:r>
      <w:r w:rsidR="00665CB0">
        <w:t>évaluation avait estimé que</w:t>
      </w:r>
      <w:r w:rsidR="006A3869">
        <w:t xml:space="preserve"> la candidature satisfaisait les</w:t>
      </w:r>
      <w:r w:rsidR="00665CB0">
        <w:t xml:space="preserve"> critères R.1, R.2, R.3 et R.4. Le dossier indiquait que les détenteurs de l</w:t>
      </w:r>
      <w:r w:rsidR="00346F1B">
        <w:t>’</w:t>
      </w:r>
      <w:r w:rsidR="00665CB0">
        <w:t>élément étaient au cœur des efforts passés et présents déployés pour assurer sa viabilité, avec l</w:t>
      </w:r>
      <w:r w:rsidR="00346F1B">
        <w:t>’</w:t>
      </w:r>
      <w:r w:rsidR="00665CB0">
        <w:t>aide des États soumissionnaires. Les communautés, groupes et individus concernés, par l</w:t>
      </w:r>
      <w:r w:rsidR="00346F1B">
        <w:t>’</w:t>
      </w:r>
      <w:r w:rsidR="00665CB0">
        <w:t>interméd</w:t>
      </w:r>
      <w:r w:rsidR="00295F05">
        <w:t>i</w:t>
      </w:r>
      <w:r w:rsidR="00665CB0">
        <w:t>aire de leurs représentants, associations et institutions</w:t>
      </w:r>
      <w:r w:rsidR="00295F05">
        <w:t xml:space="preserve"> concernées des deux États soumissionnaires avaient activement participé au processus de candidature. L</w:t>
      </w:r>
      <w:r w:rsidR="00346F1B">
        <w:t>’</w:t>
      </w:r>
      <w:r w:rsidR="00295F05">
        <w:t>Organe d</w:t>
      </w:r>
      <w:r w:rsidR="00346F1B">
        <w:t>’</w:t>
      </w:r>
      <w:r w:rsidR="00295F05">
        <w:t>évaluation avait toutefois décidé que les informations contenues dans le dossier n</w:t>
      </w:r>
      <w:r w:rsidR="00346F1B">
        <w:t>’</w:t>
      </w:r>
      <w:r w:rsidR="00295F05">
        <w:t>étaient pas suffisantes pour déterminer si le critère R.5 était satisfait. L</w:t>
      </w:r>
      <w:r w:rsidR="00346F1B">
        <w:t>’</w:t>
      </w:r>
      <w:r w:rsidR="00295F05">
        <w:t xml:space="preserve">élément avait été inscrit sur la Liste représentative du PCI de Slovaquie en 2013, et sur la Liste des </w:t>
      </w:r>
      <w:r w:rsidR="00440CA5">
        <w:t>biens immatériels de la culture</w:t>
      </w:r>
      <w:r w:rsidR="00295F05">
        <w:t xml:space="preserve"> traditionnelle et populaire de la République tchèque en 2014. Bien que l</w:t>
      </w:r>
      <w:r w:rsidR="00346F1B">
        <w:t>’</w:t>
      </w:r>
      <w:r w:rsidR="00295F05">
        <w:t xml:space="preserve">élément ait été inclus dans ces inventaires avec la participation active des communautés, groupes et ONG concernées, le dossier ne </w:t>
      </w:r>
      <w:r w:rsidR="00440CA5">
        <w:t xml:space="preserve">donnait </w:t>
      </w:r>
      <w:r w:rsidR="00295F05">
        <w:t>pas d</w:t>
      </w:r>
      <w:r w:rsidR="00346F1B">
        <w:t>’</w:t>
      </w:r>
      <w:r w:rsidR="00295F05">
        <w:t>informations sur les mécanismes de mise à jour. L</w:t>
      </w:r>
      <w:r w:rsidR="00346F1B">
        <w:t>’</w:t>
      </w:r>
      <w:r w:rsidR="00295F05">
        <w:t>Organe d</w:t>
      </w:r>
      <w:r w:rsidR="00346F1B">
        <w:t>’</w:t>
      </w:r>
      <w:r w:rsidR="00295F05">
        <w:t>évaluation avait donc décidé de recommander un renvoi du théâtre de marionnettes en Slovaquie et en Tchéquie aux États soumissionnaires pour complément d</w:t>
      </w:r>
      <w:r w:rsidR="00346F1B">
        <w:t>’</w:t>
      </w:r>
      <w:r w:rsidR="00F24F73">
        <w:t>informations.</w:t>
      </w:r>
    </w:p>
    <w:p w14:paraId="63D157C5" w14:textId="04282773" w:rsidR="00440CA5" w:rsidRDefault="00440CA5" w:rsidP="00F24F73">
      <w:pPr>
        <w:pStyle w:val="Orateurengris"/>
        <w:spacing w:before="120"/>
        <w:ind w:left="709" w:hanging="709"/>
      </w:pPr>
      <w:r>
        <w:t xml:space="preserve">Le </w:t>
      </w:r>
      <w:r w:rsidR="006309C8" w:rsidRPr="006309C8">
        <w:rPr>
          <w:b/>
        </w:rPr>
        <w:t>Président</w:t>
      </w:r>
      <w:r w:rsidR="006309C8">
        <w:t xml:space="preserve"> a remercié le Vice-Président de l</w:t>
      </w:r>
      <w:r w:rsidR="00346F1B">
        <w:t>’</w:t>
      </w:r>
      <w:r w:rsidR="006309C8">
        <w:t>Organe d</w:t>
      </w:r>
      <w:r w:rsidR="00346F1B">
        <w:t>’</w:t>
      </w:r>
      <w:r w:rsidR="006309C8">
        <w:t>évaluation pour cette explication détaillée, et a signalé qu</w:t>
      </w:r>
      <w:r w:rsidR="00346F1B">
        <w:t>’</w:t>
      </w:r>
      <w:r w:rsidR="006309C8">
        <w:t>une demande de débat et un am</w:t>
      </w:r>
      <w:r w:rsidR="00F24F73">
        <w:t>endement avaient été présentés.</w:t>
      </w:r>
    </w:p>
    <w:p w14:paraId="2A524C26" w14:textId="6794035A" w:rsidR="00E94DF8" w:rsidRDefault="00E94DF8" w:rsidP="00F24F73">
      <w:pPr>
        <w:pStyle w:val="Orateurengris"/>
        <w:spacing w:before="120"/>
        <w:ind w:left="709" w:hanging="709"/>
      </w:pPr>
      <w:r>
        <w:t>La délégation de l</w:t>
      </w:r>
      <w:r w:rsidR="00346F1B">
        <w:t>’</w:t>
      </w:r>
      <w:r w:rsidRPr="00E94DF8">
        <w:rPr>
          <w:b/>
        </w:rPr>
        <w:t>Autriche</w:t>
      </w:r>
      <w:r>
        <w:t xml:space="preserve"> a félicité les deux États parties d</w:t>
      </w:r>
      <w:r w:rsidR="00346F1B">
        <w:t>’</w:t>
      </w:r>
      <w:r>
        <w:t>avoir soumis ce dossier de candidature multinationale. Elle appréciait le fait que le dossier ait été préparé en étroite coopération au niveau de l</w:t>
      </w:r>
      <w:r w:rsidR="00346F1B">
        <w:t>’</w:t>
      </w:r>
      <w:r>
        <w:t>État, des institutions concernées, et tout particulièrement, des communautés. L</w:t>
      </w:r>
      <w:r w:rsidR="00346F1B">
        <w:t>’</w:t>
      </w:r>
      <w:r>
        <w:t>Organe d</w:t>
      </w:r>
      <w:r w:rsidR="00346F1B">
        <w:t>’</w:t>
      </w:r>
      <w:r>
        <w:t>évaluation avait estimé que, selon les informations contenues dans le dossier,</w:t>
      </w:r>
      <w:r w:rsidR="006A3869">
        <w:t xml:space="preserve"> la candidature satisfaisait les</w:t>
      </w:r>
      <w:r>
        <w:t xml:space="preserve"> critères R.1 à R.4. Toutefois, s</w:t>
      </w:r>
      <w:r w:rsidR="00346F1B">
        <w:t>’</w:t>
      </w:r>
      <w:r>
        <w:t>agissant du critère R.5, l</w:t>
      </w:r>
      <w:r w:rsidR="00346F1B">
        <w:t>’</w:t>
      </w:r>
      <w:r>
        <w:t>Organe d</w:t>
      </w:r>
      <w:r w:rsidR="00346F1B">
        <w:t>’</w:t>
      </w:r>
      <w:r>
        <w:t>évaluation avait conclu que les informations présentes dans le dossier de candidature n</w:t>
      </w:r>
      <w:r w:rsidR="00346F1B">
        <w:t>’</w:t>
      </w:r>
      <w:r>
        <w:t>étaient pas suffisantes car il n</w:t>
      </w:r>
      <w:r w:rsidR="00346F1B">
        <w:t>’</w:t>
      </w:r>
      <w:r>
        <w:t xml:space="preserve">avait trouvé aucune mention </w:t>
      </w:r>
      <w:r w:rsidR="00974B75">
        <w:t xml:space="preserve">particulière </w:t>
      </w:r>
      <w:r>
        <w:t>de la mise à jour ré</w:t>
      </w:r>
      <w:r w:rsidR="00974B75">
        <w:t xml:space="preserve">gulière des listes nationales. </w:t>
      </w:r>
      <w:r>
        <w:t>La délégation avait apprécié l</w:t>
      </w:r>
      <w:r w:rsidR="00346F1B">
        <w:t>’</w:t>
      </w:r>
      <w:r>
        <w:t xml:space="preserve">analyse </w:t>
      </w:r>
      <w:r w:rsidR="00974B75">
        <w:t xml:space="preserve">en profondeur </w:t>
      </w:r>
      <w:r>
        <w:t>de l</w:t>
      </w:r>
      <w:r w:rsidR="00346F1B">
        <w:t>’</w:t>
      </w:r>
      <w:r>
        <w:t>Organe d</w:t>
      </w:r>
      <w:r w:rsidR="00346F1B">
        <w:t>’</w:t>
      </w:r>
      <w:r>
        <w:t>évaluation. Néanmoins</w:t>
      </w:r>
      <w:r w:rsidR="00974B75">
        <w:t>, e</w:t>
      </w:r>
      <w:r>
        <w:t>lle souhaitait attirer l</w:t>
      </w:r>
      <w:r w:rsidR="00346F1B">
        <w:t>’</w:t>
      </w:r>
      <w:r>
        <w:t>attention du Comité</w:t>
      </w:r>
      <w:r w:rsidR="00E03513">
        <w:t xml:space="preserve"> sur la présence dans le dossier d</w:t>
      </w:r>
      <w:r w:rsidR="00346F1B">
        <w:t>’</w:t>
      </w:r>
      <w:r w:rsidR="006F58D3">
        <w:t>une malencontreuse</w:t>
      </w:r>
      <w:r>
        <w:t xml:space="preserve"> </w:t>
      </w:r>
      <w:r w:rsidR="00E03513">
        <w:t>insuffisance d</w:t>
      </w:r>
      <w:r w:rsidR="00346F1B">
        <w:t>’</w:t>
      </w:r>
      <w:r w:rsidR="00E03513">
        <w:t>ordre technique qui avait</w:t>
      </w:r>
      <w:r w:rsidR="00D903F3">
        <w:t xml:space="preserve"> eu pour conséquence une impression négative. Selon les informations et liens fournis dans le dossier de candidature, l</w:t>
      </w:r>
      <w:r w:rsidR="00346F1B">
        <w:t>’</w:t>
      </w:r>
      <w:r w:rsidR="00D903F3">
        <w:t>inventaire de Slovaquie était en effet régulièrement mis à jour. Les informations étaient également consulta</w:t>
      </w:r>
      <w:r w:rsidR="00E03513">
        <w:t>bles sur la page web mentionnée</w:t>
      </w:r>
      <w:r w:rsidR="00D903F3">
        <w:t xml:space="preserve"> dans le dossier de candidature. En Tchéquie, la candidature précisait que la Liste des biens immatériels de la culture traditionnelle et populaire était mise à jour tous les ans. Les mesures de sauvegarde associées aux éléments inscrits étaient régulièrement évaluées, conformément aux orientations pour l</w:t>
      </w:r>
      <w:r w:rsidR="00346F1B">
        <w:t>’</w:t>
      </w:r>
      <w:r w:rsidR="00D903F3">
        <w:t>administration de la liste nationale, et étaie</w:t>
      </w:r>
      <w:r w:rsidR="00E03513">
        <w:t xml:space="preserve">nt disponibles en anglais sur la </w:t>
      </w:r>
      <w:r w:rsidR="00D903F3">
        <w:t>même page web. En outre, la délégation a rappelé le rapport périodique de la Tchéquie, qui avait été examiné au titre du point 9 de l</w:t>
      </w:r>
      <w:r w:rsidR="00346F1B">
        <w:t>’</w:t>
      </w:r>
      <w:r w:rsidR="00D903F3">
        <w:t>ordre du jour. Forte de toutes ces informations, la délégation estimait que les informations contenues dans le dossier de candidature étaient suffisantes. Elle a donc proposé un amendement au projet de décision en ce qui concerne le critère R.5. Elle souhaitait également demander aux États parties des éclaircissements sur la manière dont les listes nationales étai</w:t>
      </w:r>
      <w:r w:rsidR="00F24F73">
        <w:t>ent régulièrement mises à jour.</w:t>
      </w:r>
    </w:p>
    <w:p w14:paraId="4BAF6E53" w14:textId="36F483A0" w:rsidR="00E03513" w:rsidRDefault="00E03513" w:rsidP="00F24F73">
      <w:pPr>
        <w:pStyle w:val="Orateurengris"/>
        <w:spacing w:before="120"/>
        <w:ind w:left="709" w:hanging="709"/>
      </w:pPr>
      <w:r>
        <w:t xml:space="preserve">Le </w:t>
      </w:r>
      <w:r w:rsidRPr="00E03513">
        <w:rPr>
          <w:b/>
        </w:rPr>
        <w:t>Président</w:t>
      </w:r>
      <w:r>
        <w:t xml:space="preserve"> a donné la parole aux États soumissionnaires afin qu</w:t>
      </w:r>
      <w:r w:rsidR="00346F1B">
        <w:t>’</w:t>
      </w:r>
      <w:r w:rsidR="00F24F73">
        <w:t>ils répondent.</w:t>
      </w:r>
    </w:p>
    <w:p w14:paraId="5780E881" w14:textId="4BB86E8D" w:rsidR="00AA126D" w:rsidRDefault="00E03513" w:rsidP="00F24F73">
      <w:pPr>
        <w:pStyle w:val="Orateurengris"/>
        <w:spacing w:before="120"/>
        <w:ind w:left="709" w:hanging="709"/>
      </w:pPr>
      <w:r>
        <w:t xml:space="preserve">La délégation de la </w:t>
      </w:r>
      <w:r w:rsidRPr="00AA126D">
        <w:rPr>
          <w:b/>
        </w:rPr>
        <w:t>Tchéquie</w:t>
      </w:r>
      <w:r>
        <w:t xml:space="preserve"> a remercié le Comité de lui offrir l</w:t>
      </w:r>
      <w:r w:rsidR="00346F1B">
        <w:t>’</w:t>
      </w:r>
      <w:r>
        <w:t>opportunité de s</w:t>
      </w:r>
      <w:r w:rsidR="00346F1B">
        <w:t>’</w:t>
      </w:r>
      <w:r>
        <w:t>exprimer, ajoutant qu</w:t>
      </w:r>
      <w:r w:rsidR="00346F1B">
        <w:t>’</w:t>
      </w:r>
      <w:r>
        <w:t>elle le ferait au nom des deux États soumissionnaires</w:t>
      </w:r>
      <w:r w:rsidR="00FA5B46">
        <w:t>. Elle a d</w:t>
      </w:r>
      <w:r w:rsidR="00346F1B">
        <w:t>’</w:t>
      </w:r>
      <w:r w:rsidR="00FA5B46">
        <w:t>abord remercié L</w:t>
      </w:r>
      <w:r w:rsidR="00346F1B">
        <w:t>’</w:t>
      </w:r>
      <w:r w:rsidR="00FA5B46">
        <w:t>Organe d</w:t>
      </w:r>
      <w:r w:rsidR="00346F1B">
        <w:t>’</w:t>
      </w:r>
      <w:r w:rsidR="00FA5B46">
        <w:t>évaluation dont elle avait beaucoup apprécié l</w:t>
      </w:r>
      <w:r w:rsidR="00346F1B">
        <w:t>’</w:t>
      </w:r>
      <w:r w:rsidR="00FA5B46">
        <w:t>expertise, ainsi que le Comité pour son examen approfondi du dossier de candidature</w:t>
      </w:r>
      <w:r w:rsidR="004D3D88">
        <w:t>. La délégation a confirmé, sans hésitation aucune, que les inventaires nationaux en Slovaquie et en Tchéquie étaient régulièrement mis à jour. Elle croyait, en toute bonne foi, que les informations sur l</w:t>
      </w:r>
      <w:r w:rsidR="00346F1B">
        <w:t>’</w:t>
      </w:r>
      <w:r w:rsidR="00A31001">
        <w:t>actualisation de</w:t>
      </w:r>
      <w:r w:rsidR="004D3D88">
        <w:t xml:space="preserve"> ces inventaires fournies dans les sections concernées du formulaire de candidature, étaient suffisamment claires et évidentes, en particulier, celles présentées dans les pages web, en anglais, des inventaires nationaux. En outre, les mécanismes de mise à jour des deux inventaires nationaux étaient identiques à ceux décrits dans les dossiers de candidature des éléments précédemment inscrits sur la Liste représentative. Dans la section 5, la délégation avait essayé de répondre de la façon la plus exhaustive et de</w:t>
      </w:r>
      <w:r w:rsidR="000E18A8">
        <w:t xml:space="preserve"> décrire avec précision les modalités d</w:t>
      </w:r>
      <w:r w:rsidR="00346F1B">
        <w:t>’</w:t>
      </w:r>
      <w:r w:rsidR="000E18A8">
        <w:t>administration des inventaires</w:t>
      </w:r>
      <w:r w:rsidR="004D3D88">
        <w:t>, tout en mettant l</w:t>
      </w:r>
      <w:r w:rsidR="00346F1B">
        <w:t>’</w:t>
      </w:r>
      <w:r w:rsidR="004D3D88">
        <w:t>accent sur l</w:t>
      </w:r>
      <w:r w:rsidR="00346F1B">
        <w:t>’</w:t>
      </w:r>
      <w:r w:rsidR="004D3D88">
        <w:t>élément lui-même. Cette tâche n</w:t>
      </w:r>
      <w:r w:rsidR="00346F1B">
        <w:t>’</w:t>
      </w:r>
      <w:r w:rsidR="004D3D88">
        <w:t>avait pas été rendue facile par le strict nombre de mots autorisé dan</w:t>
      </w:r>
      <w:r w:rsidR="000E18A8">
        <w:t>s la section correspondante, les informations concerna</w:t>
      </w:r>
      <w:r w:rsidR="004D3D88">
        <w:t>nt deux États. La délégation a convenu qu</w:t>
      </w:r>
      <w:r w:rsidR="00346F1B">
        <w:t>’</w:t>
      </w:r>
      <w:r w:rsidR="004D3D88">
        <w:t xml:space="preserve">une certaine confusion avait pu naître en 2016 lorsque </w:t>
      </w:r>
      <w:r w:rsidR="00AA126D">
        <w:t>tout le site web du ministère de la Culture de Tchéquie avait été mis à jour. Le nouveau lien avait toutefois été remplacé dans les versions actualisées du dossier de candidature. La délégation a évoqué l</w:t>
      </w:r>
      <w:r w:rsidR="00346F1B">
        <w:t>’</w:t>
      </w:r>
      <w:r w:rsidR="00AA126D">
        <w:t>engagement des deux pays à sauvegarder le PCI et à se conformer aux dispositions de la Convention, à savoir l</w:t>
      </w:r>
      <w:r w:rsidR="00346F1B">
        <w:t>’</w:t>
      </w:r>
      <w:r w:rsidR="00AA126D">
        <w:t>article 12 sur la réalisation et la mise à jour régulière d</w:t>
      </w:r>
      <w:r w:rsidR="00346F1B">
        <w:t>’</w:t>
      </w:r>
      <w:r w:rsidR="00AA126D">
        <w:t>inventaires nationaux. Elle aurait apprécié de disposer d</w:t>
      </w:r>
      <w:r w:rsidR="00346F1B">
        <w:t>’</w:t>
      </w:r>
      <w:r w:rsidR="00AA126D">
        <w:t xml:space="preserve">instructions plus précises sur la meilleure façon de présenter ces informations dans le formulaire, et elle accueillait avec satisfaction les </w:t>
      </w:r>
      <w:r w:rsidR="000E18A8">
        <w:t xml:space="preserve">futurs changements </w:t>
      </w:r>
      <w:r w:rsidR="00AA126D">
        <w:t>à cet égard. La délégation avait ressenti la préparation d</w:t>
      </w:r>
      <w:r w:rsidR="00346F1B">
        <w:t>’</w:t>
      </w:r>
      <w:r w:rsidR="00AA126D">
        <w:t xml:space="preserve">un dossier multinational comme une grande expérience, en particulier, </w:t>
      </w:r>
      <w:r w:rsidR="000E18A8">
        <w:t xml:space="preserve">au regard </w:t>
      </w:r>
      <w:r w:rsidR="00AA126D">
        <w:t xml:space="preserve">du contexte historique des deux pays. Suite à la partition pacifique de la République fédérale tchécoslovaque en 1993 qui avait donné naissance à deux états indépendants, cette candidature conjointe </w:t>
      </w:r>
      <w:r w:rsidR="000E18A8">
        <w:t xml:space="preserve">marquait </w:t>
      </w:r>
      <w:r w:rsidR="00AA126D">
        <w:t xml:space="preserve">la première manifestation </w:t>
      </w:r>
      <w:r w:rsidR="000E18A8">
        <w:t>de la bonne relation et du respect mutuel pour la culture qui était partagé par les deux pays, ainsi que des liens familiaux et de la langue apparentée</w:t>
      </w:r>
      <w:r w:rsidR="00D956BD">
        <w:t xml:space="preserve"> dans le domaine du PCI</w:t>
      </w:r>
      <w:r w:rsidR="00F24F73">
        <w:t>.</w:t>
      </w:r>
    </w:p>
    <w:p w14:paraId="0A2C9326" w14:textId="35E794F8" w:rsidR="007541CD" w:rsidRDefault="000E18A8" w:rsidP="00F24F73">
      <w:pPr>
        <w:pStyle w:val="Orateurengris"/>
        <w:spacing w:before="120"/>
        <w:ind w:left="709" w:hanging="709"/>
      </w:pPr>
      <w:r>
        <w:t xml:space="preserve">Le </w:t>
      </w:r>
      <w:r w:rsidRPr="007541CD">
        <w:rPr>
          <w:b/>
        </w:rPr>
        <w:t>Président</w:t>
      </w:r>
      <w:r>
        <w:t xml:space="preserve"> est passé à l</w:t>
      </w:r>
      <w:r w:rsidR="00346F1B">
        <w:t>’</w:t>
      </w:r>
      <w:r>
        <w:t>adoption du projet de décision paragraphe par paragraphe. En l</w:t>
      </w:r>
      <w:r w:rsidR="00346F1B">
        <w:t>’</w:t>
      </w:r>
      <w:r>
        <w:t>absence d</w:t>
      </w:r>
      <w:r w:rsidR="00346F1B">
        <w:t>’</w:t>
      </w:r>
      <w:r>
        <w:t xml:space="preserve">objections, le paragraphe </w:t>
      </w:r>
      <w:r w:rsidR="007541CD">
        <w:t xml:space="preserve">1 </w:t>
      </w:r>
      <w:r>
        <w:t xml:space="preserve">a été </w:t>
      </w:r>
      <w:r w:rsidR="008052AC">
        <w:t>dûment</w:t>
      </w:r>
      <w:r>
        <w:t xml:space="preserve"> adopté. Les paragraphes consacrés aux critères R.1, R.2, R.3 et R.4 dans le paragraphe 2 ont été déclarés adoptés. </w:t>
      </w:r>
      <w:r w:rsidR="007541CD">
        <w:t>Le Président est passé au paragraphe sur le critère R.5 et à l</w:t>
      </w:r>
      <w:r w:rsidR="00346F1B">
        <w:t>’</w:t>
      </w:r>
      <w:r w:rsidR="007541CD">
        <w:t>amendement de l</w:t>
      </w:r>
      <w:r w:rsidR="00346F1B">
        <w:t>’</w:t>
      </w:r>
      <w:r w:rsidR="007541CD">
        <w:t>Autriche. En l</w:t>
      </w:r>
      <w:r w:rsidR="00346F1B">
        <w:t>’</w:t>
      </w:r>
      <w:r w:rsidR="007541CD">
        <w:t>absence d</w:t>
      </w:r>
      <w:r w:rsidR="00346F1B">
        <w:t>’</w:t>
      </w:r>
      <w:r w:rsidR="007541CD">
        <w:t>objections, le paragraphe sur le critère R.5 et, par conséquent, le paragraphe 2 ont été adoptés. Le paragraphe 3 « Inscrit », tel qu</w:t>
      </w:r>
      <w:r w:rsidR="00346F1B">
        <w:t>’</w:t>
      </w:r>
      <w:r w:rsidR="007541CD">
        <w:t>amendé par l</w:t>
      </w:r>
      <w:r w:rsidR="00346F1B">
        <w:t>’</w:t>
      </w:r>
      <w:r w:rsidR="007541CD">
        <w:t>Autriche, a été adopté. Le paragraphe standard a été adopté. Le Président est ensuite passé à l</w:t>
      </w:r>
      <w:r w:rsidR="00346F1B">
        <w:t>’</w:t>
      </w:r>
      <w:r w:rsidR="007541CD">
        <w:t>adoption de la décision dans son ensemble. En l</w:t>
      </w:r>
      <w:r w:rsidR="00346F1B">
        <w:t>’</w:t>
      </w:r>
      <w:r w:rsidR="007541CD">
        <w:t>absence d</w:t>
      </w:r>
      <w:r w:rsidR="00346F1B">
        <w:t>’</w:t>
      </w:r>
      <w:r w:rsidR="007541CD">
        <w:t xml:space="preserve">autres commentaires ou objections, le </w:t>
      </w:r>
      <w:r w:rsidR="007541CD" w:rsidRPr="007541CD">
        <w:rPr>
          <w:b/>
        </w:rPr>
        <w:t>Président a déclaré adoptée la décision 11.COM 10.B.28 d</w:t>
      </w:r>
      <w:r w:rsidR="00346F1B">
        <w:rPr>
          <w:b/>
        </w:rPr>
        <w:t>’</w:t>
      </w:r>
      <w:r w:rsidR="007541CD" w:rsidRPr="007541CD">
        <w:rPr>
          <w:b/>
        </w:rPr>
        <w:t>inscrire le théâtre de marionnettes en Slovaquie et en Tchéquie sur la Liste représentative du patrimoine culturel immatériel de l</w:t>
      </w:r>
      <w:r w:rsidR="00346F1B">
        <w:rPr>
          <w:b/>
        </w:rPr>
        <w:t>’</w:t>
      </w:r>
      <w:r w:rsidR="007541CD" w:rsidRPr="007541CD">
        <w:rPr>
          <w:b/>
        </w:rPr>
        <w:t>humanité</w:t>
      </w:r>
      <w:r w:rsidR="00F24F73">
        <w:t>.</w:t>
      </w:r>
    </w:p>
    <w:p w14:paraId="47FC11B3" w14:textId="63C50C4B" w:rsidR="007541CD" w:rsidRDefault="007541CD" w:rsidP="00F24F73">
      <w:pPr>
        <w:pStyle w:val="Orateurengris"/>
        <w:spacing w:before="120"/>
        <w:ind w:left="709" w:hanging="709"/>
      </w:pPr>
      <w:r>
        <w:t xml:space="preserve">La délégation de la </w:t>
      </w:r>
      <w:r w:rsidRPr="003F39EB">
        <w:rPr>
          <w:b/>
        </w:rPr>
        <w:t>Tchéquie</w:t>
      </w:r>
      <w:r>
        <w:t xml:space="preserve"> s</w:t>
      </w:r>
      <w:r w:rsidR="00346F1B">
        <w:t>’</w:t>
      </w:r>
      <w:r>
        <w:t>est dite émue par cette inscription et a exprimé sa profonde gratitude au Comité, à l</w:t>
      </w:r>
      <w:r w:rsidR="00346F1B">
        <w:t>’</w:t>
      </w:r>
      <w:r>
        <w:t>Organe d</w:t>
      </w:r>
      <w:r w:rsidR="00346F1B">
        <w:t>’</w:t>
      </w:r>
      <w:r>
        <w:t>évaluation et au Secrétariat, au nom des communautés de détenteurs de l</w:t>
      </w:r>
      <w:r w:rsidR="00346F1B">
        <w:t>’</w:t>
      </w:r>
      <w:r>
        <w:t>élém</w:t>
      </w:r>
      <w:r w:rsidR="003F39EB">
        <w:t xml:space="preserve">ent des deux </w:t>
      </w:r>
      <w:r w:rsidR="00A31001">
        <w:t>côtés</w:t>
      </w:r>
      <w:r w:rsidR="003F39EB">
        <w:t xml:space="preserve"> de la frontière entre la Tchéquie et la Slovaquie, ainsi que de tous ceux qui avaient participé à la préparation de cette candidature conjointe. La délégation a assuré le Comité de son engagement en faveur de la mise en œuvre des mesures de sauvegarde et de la promotion de la Convention et du PCI. Elle a réitéré ses remerciements pour le soutien reçu, avec une mention spéciale pour l</w:t>
      </w:r>
      <w:r w:rsidR="00346F1B">
        <w:t>’</w:t>
      </w:r>
      <w:r w:rsidR="003F39EB">
        <w:t>Autriche, et elle a profité de l</w:t>
      </w:r>
      <w:r w:rsidR="00346F1B">
        <w:t>’</w:t>
      </w:r>
      <w:r w:rsidR="003F39EB">
        <w:t>occasion pour saluer ses collègues et amis slovaques qui n</w:t>
      </w:r>
      <w:r w:rsidR="00346F1B">
        <w:t>’</w:t>
      </w:r>
      <w:r w:rsidR="003F39EB">
        <w:t>avaient malheureusement p</w:t>
      </w:r>
      <w:r w:rsidR="00F24F73">
        <w:t>as pu assister à cette session.</w:t>
      </w:r>
    </w:p>
    <w:p w14:paraId="033BC579" w14:textId="245C4CAC" w:rsidR="003F39EB" w:rsidRDefault="003F39EB" w:rsidP="00F24F73">
      <w:pPr>
        <w:pStyle w:val="Orateurengris"/>
        <w:spacing w:before="120"/>
        <w:ind w:left="709" w:hanging="709"/>
      </w:pPr>
      <w:r>
        <w:t xml:space="preserve">Le </w:t>
      </w:r>
      <w:r w:rsidRPr="003F39EB">
        <w:rPr>
          <w:b/>
        </w:rPr>
        <w:t>Président</w:t>
      </w:r>
      <w:r>
        <w:t xml:space="preserve"> a félicité la Slovaquie et la Tchéquie, et est passé au dossier de candidature suivant, soumis</w:t>
      </w:r>
      <w:r w:rsidR="00F24F73">
        <w:t xml:space="preserve"> par la Slovénie.</w:t>
      </w:r>
    </w:p>
    <w:p w14:paraId="5E1B2FE7" w14:textId="78C70223" w:rsidR="00EF459D" w:rsidRDefault="00CC2F03" w:rsidP="00F24F73">
      <w:pPr>
        <w:pStyle w:val="Orateurengris"/>
        <w:spacing w:before="120"/>
        <w:ind w:left="709" w:hanging="709"/>
      </w:pPr>
      <w:r w:rsidRPr="00EF459D">
        <w:t xml:space="preserve">Le </w:t>
      </w:r>
      <w:r w:rsidRPr="00EF459D">
        <w:rPr>
          <w:b/>
        </w:rPr>
        <w:t>Vice-Président de l</w:t>
      </w:r>
      <w:r w:rsidR="00346F1B">
        <w:rPr>
          <w:b/>
        </w:rPr>
        <w:t>’</w:t>
      </w:r>
      <w:r w:rsidRPr="00EF459D">
        <w:rPr>
          <w:b/>
        </w:rPr>
        <w:t>Organe d</w:t>
      </w:r>
      <w:r w:rsidR="00346F1B">
        <w:rPr>
          <w:b/>
        </w:rPr>
        <w:t>’</w:t>
      </w:r>
      <w:r w:rsidRPr="00EF459D">
        <w:rPr>
          <w:b/>
        </w:rPr>
        <w:t>évaluation</w:t>
      </w:r>
      <w:r w:rsidRPr="00EF459D">
        <w:t xml:space="preserve"> est passé à la candidature suivante, </w:t>
      </w:r>
      <w:bookmarkStart w:id="49" w:name="Decision10b29"/>
      <w:r w:rsidR="00FB4E62">
        <w:rPr>
          <w:b/>
        </w:rPr>
        <w:t>la représentation de la P</w:t>
      </w:r>
      <w:r w:rsidRPr="00EF459D">
        <w:rPr>
          <w:b/>
        </w:rPr>
        <w:t>assion à</w:t>
      </w:r>
      <w:r w:rsidRPr="00EF459D">
        <w:t xml:space="preserve"> </w:t>
      </w:r>
      <w:r w:rsidR="00FB4E62" w:rsidRPr="00FB4E62">
        <w:rPr>
          <w:b/>
        </w:rPr>
        <w:t>Škofja Loka</w:t>
      </w:r>
      <w:r w:rsidR="00FB4E62" w:rsidRPr="00EF459D">
        <w:rPr>
          <w:b/>
        </w:rPr>
        <w:t xml:space="preserve"> </w:t>
      </w:r>
      <w:bookmarkEnd w:id="49"/>
      <w:r w:rsidRPr="00EF459D">
        <w:t>[projet de décision 11.COM 10.B.29], soumise par la Slovénie. À Škofja Loka, en Slovénie, un spectacle traditionnel prena</w:t>
      </w:r>
      <w:r w:rsidR="00FB4E62">
        <w:t>nt la forme d</w:t>
      </w:r>
      <w:r w:rsidR="00346F1B">
        <w:t>’</w:t>
      </w:r>
      <w:r w:rsidR="00FB4E62">
        <w:t>une procession était</w:t>
      </w:r>
      <w:r w:rsidRPr="00EF459D">
        <w:t xml:space="preserve"> interprété dans le </w:t>
      </w:r>
      <w:r w:rsidR="00A31001" w:rsidRPr="00EF459D">
        <w:t>centre-ville</w:t>
      </w:r>
      <w:r w:rsidRPr="00EF459D">
        <w:t xml:space="preserve"> médiéval pendant le carême et à Pâques. La représentation de la</w:t>
      </w:r>
      <w:r w:rsidR="00FB4E62">
        <w:t xml:space="preserve"> Passion à Škofja Loka</w:t>
      </w:r>
      <w:r w:rsidRPr="00EF459D">
        <w:t>, inspirée de textes anciens d</w:t>
      </w:r>
      <w:r w:rsidR="00346F1B">
        <w:t>’</w:t>
      </w:r>
      <w:r w:rsidRPr="00EF459D">
        <w:t>un moine capucin, présentait vingt scènes du chemin de croix et d</w:t>
      </w:r>
      <w:r w:rsidR="00346F1B">
        <w:t>’</w:t>
      </w:r>
      <w:r w:rsidRPr="00EF459D">
        <w:t>autres tabl</w:t>
      </w:r>
      <w:r w:rsidR="00FB4E62">
        <w:t>eaux de l</w:t>
      </w:r>
      <w:r w:rsidR="00346F1B">
        <w:t>’</w:t>
      </w:r>
      <w:r w:rsidR="00FB4E62">
        <w:t>Ancien et du Nouveau T</w:t>
      </w:r>
      <w:r w:rsidRPr="00EF459D">
        <w:t>estament</w:t>
      </w:r>
      <w:r w:rsidR="00FB4E62">
        <w:t>s</w:t>
      </w:r>
      <w:r w:rsidRPr="00EF459D">
        <w:t xml:space="preserve">. 900 acteurs locaux et 400 bénévoles y participaient. Représentée tous les six ans, </w:t>
      </w:r>
      <w:r w:rsidR="00FB4E62">
        <w:t xml:space="preserve">elle </w:t>
      </w:r>
      <w:r w:rsidRPr="00EF459D">
        <w:t>éta</w:t>
      </w:r>
      <w:r w:rsidR="00EF459D" w:rsidRPr="00EF459D">
        <w:t xml:space="preserve">it considérée comme un facteur </w:t>
      </w:r>
      <w:r w:rsidR="00EF459D">
        <w:t>contribuant à l</w:t>
      </w:r>
      <w:r w:rsidR="00346F1B">
        <w:t>’</w:t>
      </w:r>
      <w:r w:rsidR="00EF459D">
        <w:t>identité</w:t>
      </w:r>
      <w:r w:rsidRPr="00EF459D">
        <w:t xml:space="preserve"> et la cohésion de la communauté. </w:t>
      </w:r>
      <w:r w:rsidR="00EF459D" w:rsidRPr="00EF459D">
        <w:t>Elle était transmise dans le cercle familial et par les écoles et les artisans locaux. À la lecture des informations contenues dans le dossier, l</w:t>
      </w:r>
      <w:r w:rsidR="00346F1B">
        <w:t>’</w:t>
      </w:r>
      <w:r w:rsidR="00EF459D" w:rsidRPr="00EF459D">
        <w:t>Organe d</w:t>
      </w:r>
      <w:r w:rsidR="00346F1B">
        <w:t>’</w:t>
      </w:r>
      <w:r w:rsidR="00EF459D" w:rsidRPr="00EF459D">
        <w:t>évaluation avait décidé que</w:t>
      </w:r>
      <w:r w:rsidR="006A3869">
        <w:t xml:space="preserve"> la candidature satisfaisait les</w:t>
      </w:r>
      <w:r w:rsidR="00EF459D" w:rsidRPr="00EF459D">
        <w:t xml:space="preserve"> critères R.1, R.2, R.3 et R.4. Le dossier exposait les fonctions sociales et culturelles de l</w:t>
      </w:r>
      <w:r w:rsidR="00346F1B">
        <w:t>’</w:t>
      </w:r>
      <w:r w:rsidR="00EF459D" w:rsidRPr="00EF459D">
        <w:t>élément qui se manifesta</w:t>
      </w:r>
      <w:r w:rsidR="00FB4E62">
        <w:t xml:space="preserve">ient à travers les activités pratiquées en </w:t>
      </w:r>
      <w:r w:rsidR="00EF459D" w:rsidRPr="00EF459D">
        <w:t>commun et le renforcement de l</w:t>
      </w:r>
      <w:r w:rsidR="00346F1B">
        <w:t>’</w:t>
      </w:r>
      <w:r w:rsidR="00EF459D" w:rsidRPr="00EF459D">
        <w:t>estime de soi, de la visibilité de la ville et des liens entre les communautés et les générations. Les mesures de sauvegarde proposées se concentraient sur le renforcement de la transmission, de la promotion et de l</w:t>
      </w:r>
      <w:r w:rsidR="00346F1B">
        <w:t>’</w:t>
      </w:r>
      <w:r w:rsidR="00EF459D" w:rsidRPr="00EF459D">
        <w:t>éducation, et une attention particulière était accordée à la transmission de l</w:t>
      </w:r>
      <w:r w:rsidR="00346F1B">
        <w:t>’</w:t>
      </w:r>
      <w:r w:rsidR="00EF459D" w:rsidRPr="00EF459D">
        <w:t xml:space="preserve">élément aux jeunes. </w:t>
      </w:r>
      <w:r w:rsidR="00EF459D">
        <w:t>En outre, les populations, communautés et groupes locaux avaient activement participé à la planification et la mise en œuvre de ces mesures. L</w:t>
      </w:r>
      <w:r w:rsidR="00346F1B">
        <w:t>’</w:t>
      </w:r>
      <w:r w:rsidR="00EF459D">
        <w:t>Organe d</w:t>
      </w:r>
      <w:r w:rsidR="00346F1B">
        <w:t>’</w:t>
      </w:r>
      <w:r w:rsidR="00EF459D">
        <w:t>évaluation avait toutefois décidé que les informations contenues dans le dossier n</w:t>
      </w:r>
      <w:r w:rsidR="00346F1B">
        <w:t>’</w:t>
      </w:r>
      <w:r w:rsidR="00EF459D">
        <w:t>étaient pas suffisantes pour déterminer si le critère R.5 était satisfait. En 2008</w:t>
      </w:r>
      <w:r w:rsidR="00FB4E62">
        <w:t>, l</w:t>
      </w:r>
      <w:r w:rsidR="00346F1B">
        <w:t>’</w:t>
      </w:r>
      <w:r w:rsidR="00FB4E62">
        <w:t>élément avait été inscrit au Registre national du patrimoine culturel vivant de Slovénie. Les détenteurs qui créaient, conservaient et transmettaient l</w:t>
      </w:r>
      <w:r w:rsidR="00346F1B">
        <w:t>’</w:t>
      </w:r>
      <w:r w:rsidR="00FB4E62">
        <w:t>élément avaient activement participé à ce processus d</w:t>
      </w:r>
      <w:r w:rsidR="00346F1B">
        <w:t>’</w:t>
      </w:r>
      <w:r w:rsidR="00FB4E62">
        <w:t>inscription. Cependant, les informations relatives à la mise à jour régulière de l</w:t>
      </w:r>
      <w:r w:rsidR="00346F1B">
        <w:t>’</w:t>
      </w:r>
      <w:r w:rsidR="00FB4E62">
        <w:t>inventaire faisaient défaut. L</w:t>
      </w:r>
      <w:r w:rsidR="00346F1B">
        <w:t>’</w:t>
      </w:r>
      <w:r w:rsidR="00FB4E62">
        <w:t>Organe d</w:t>
      </w:r>
      <w:r w:rsidR="00346F1B">
        <w:t>’</w:t>
      </w:r>
      <w:r w:rsidR="00FB4E62">
        <w:t xml:space="preserve">évaluation avait donc décidé de recommander un renvoi de la représentation de la Passion à </w:t>
      </w:r>
      <w:r w:rsidR="00FB4E62" w:rsidRPr="00EF459D">
        <w:t>Škofja Loka</w:t>
      </w:r>
      <w:r w:rsidR="00FB4E62">
        <w:t xml:space="preserve"> à l</w:t>
      </w:r>
      <w:r w:rsidR="00346F1B">
        <w:t>’</w:t>
      </w:r>
      <w:r w:rsidR="00FB4E62">
        <w:t>État soumissionnaire pour complément d</w:t>
      </w:r>
      <w:r w:rsidR="00346F1B">
        <w:t>’</w:t>
      </w:r>
      <w:r w:rsidR="00F24F73">
        <w:t>information.</w:t>
      </w:r>
    </w:p>
    <w:p w14:paraId="77A32638" w14:textId="65DCB28C" w:rsidR="00FB4E62" w:rsidRPr="00FB4E62" w:rsidRDefault="00FB4E62" w:rsidP="00F24F73">
      <w:pPr>
        <w:pStyle w:val="Orateurengris"/>
        <w:spacing w:before="120"/>
        <w:ind w:left="709" w:hanging="709"/>
      </w:pPr>
      <w:r>
        <w:t xml:space="preserve">Le </w:t>
      </w:r>
      <w:r w:rsidRPr="00FB4E62">
        <w:rPr>
          <w:b/>
        </w:rPr>
        <w:t>Président</w:t>
      </w:r>
      <w:r>
        <w:t xml:space="preserve"> a remercié le Vice-Président de l</w:t>
      </w:r>
      <w:r w:rsidR="00346F1B">
        <w:t>’</w:t>
      </w:r>
      <w:r>
        <w:t>Organe d</w:t>
      </w:r>
      <w:r w:rsidR="00346F1B">
        <w:t>’</w:t>
      </w:r>
      <w:r>
        <w:t>évaluation pour les explications détaillées, et a signalé qu</w:t>
      </w:r>
      <w:r w:rsidR="00346F1B">
        <w:t>’</w:t>
      </w:r>
      <w:r>
        <w:t>il avait reçu une demande de débat et qu</w:t>
      </w:r>
      <w:r w:rsidR="00346F1B">
        <w:t>’</w:t>
      </w:r>
      <w:r>
        <w:t>un</w:t>
      </w:r>
      <w:r w:rsidR="00F24F73">
        <w:t xml:space="preserve"> amendement avait été présenté.</w:t>
      </w:r>
    </w:p>
    <w:p w14:paraId="33C63BE0" w14:textId="350B5A25" w:rsidR="00FB4E62" w:rsidRDefault="006F31B5" w:rsidP="00F24F73">
      <w:pPr>
        <w:pStyle w:val="Orateurengris"/>
        <w:spacing w:before="120"/>
        <w:ind w:left="709" w:hanging="709"/>
      </w:pPr>
      <w:r>
        <w:t>La délégation de l</w:t>
      </w:r>
      <w:r w:rsidR="00346F1B">
        <w:t>’</w:t>
      </w:r>
      <w:r w:rsidRPr="00BD2A00">
        <w:rPr>
          <w:b/>
        </w:rPr>
        <w:t>Autriche</w:t>
      </w:r>
      <w:r>
        <w:t xml:space="preserve"> a de nouveau exprimé sa reconnaissance pour le travail de l</w:t>
      </w:r>
      <w:r w:rsidR="00346F1B">
        <w:t>’</w:t>
      </w:r>
      <w:r>
        <w:t>Organe d</w:t>
      </w:r>
      <w:r w:rsidR="00346F1B">
        <w:t>’</w:t>
      </w:r>
      <w:r>
        <w:t xml:space="preserve">évaluation. Elle avait </w:t>
      </w:r>
      <w:r w:rsidR="00BD2A00">
        <w:t>pris note du</w:t>
      </w:r>
      <w:r>
        <w:t xml:space="preserve"> rapport très positif de l</w:t>
      </w:r>
      <w:r w:rsidR="00346F1B">
        <w:t>’</w:t>
      </w:r>
      <w:r>
        <w:t>Organe d</w:t>
      </w:r>
      <w:r w:rsidR="00346F1B">
        <w:t>’</w:t>
      </w:r>
      <w:r>
        <w:t>évaluation qui relevait comment l</w:t>
      </w:r>
      <w:r w:rsidR="00346F1B">
        <w:t>’</w:t>
      </w:r>
      <w:r>
        <w:t>inscription de l</w:t>
      </w:r>
      <w:r w:rsidR="00346F1B">
        <w:t>’</w:t>
      </w:r>
      <w:r>
        <w:t>élément améliorerait la prise de conscience et la visibilité du patrimoine dans d</w:t>
      </w:r>
      <w:r w:rsidR="00346F1B">
        <w:t>’</w:t>
      </w:r>
      <w:r>
        <w:t>autres régions du pays et d</w:t>
      </w:r>
      <w:r w:rsidR="00346F1B">
        <w:t>’</w:t>
      </w:r>
      <w:r>
        <w:t>Europe, car l</w:t>
      </w:r>
      <w:r w:rsidR="00346F1B">
        <w:t>’</w:t>
      </w:r>
      <w:r>
        <w:t>élément avait déjà favorisé la représentation d</w:t>
      </w:r>
      <w:r w:rsidR="00346F1B">
        <w:t>’</w:t>
      </w:r>
      <w:r>
        <w:t>autres Passions en Slovénie et au delà des frontières du pays. L</w:t>
      </w:r>
      <w:r w:rsidR="00346F1B">
        <w:t>’</w:t>
      </w:r>
      <w:r>
        <w:t>Organe d</w:t>
      </w:r>
      <w:r w:rsidR="00346F1B">
        <w:t>’</w:t>
      </w:r>
      <w:r>
        <w:t>évaluation avait estimé que seul le critère R.5 n</w:t>
      </w:r>
      <w:r w:rsidR="00346F1B">
        <w:t>’</w:t>
      </w:r>
      <w:r>
        <w:t>était pas satisfait, et ce, en raison d</w:t>
      </w:r>
      <w:r w:rsidR="00346F1B">
        <w:t>’</w:t>
      </w:r>
      <w:r>
        <w:t>un manque d</w:t>
      </w:r>
      <w:r w:rsidR="00346F1B">
        <w:t>’</w:t>
      </w:r>
      <w:r>
        <w:t>informations sur la mise à jour régulière de l</w:t>
      </w:r>
      <w:r w:rsidR="00346F1B">
        <w:t>’</w:t>
      </w:r>
      <w:r>
        <w:t>inventaire. La délégation avait le sentiment qu</w:t>
      </w:r>
      <w:r w:rsidR="00346F1B">
        <w:t>’</w:t>
      </w:r>
      <w:r>
        <w:t>une erreur technique et qu</w:t>
      </w:r>
      <w:r w:rsidR="00346F1B">
        <w:t>’</w:t>
      </w:r>
      <w:r>
        <w:t xml:space="preserve">une mauvaise synchronisation étaient responsables de cette impression négative. Dans le formulaire de candidature, la délégation avait </w:t>
      </w:r>
      <w:r w:rsidR="00BD2A00">
        <w:t xml:space="preserve">relevé </w:t>
      </w:r>
      <w:r>
        <w:t>que l</w:t>
      </w:r>
      <w:r w:rsidR="00346F1B">
        <w:t>’</w:t>
      </w:r>
      <w:r>
        <w:t xml:space="preserve">élément avait été inclus au Registre national du patrimoine culturel vivant de Slovénie en 2008, que celui-ci était administré par le ministère de la Culture et que les détenteurs avaient activement </w:t>
      </w:r>
      <w:r w:rsidR="00BD2A00">
        <w:t xml:space="preserve">participé </w:t>
      </w:r>
      <w:r>
        <w:t>au processus d</w:t>
      </w:r>
      <w:r w:rsidR="00346F1B">
        <w:t>’</w:t>
      </w:r>
      <w:r>
        <w:t>inclusion de l</w:t>
      </w:r>
      <w:r w:rsidR="00346F1B">
        <w:t>’</w:t>
      </w:r>
      <w:r>
        <w:t>élément au registre. Après avoir très attentivement examiné le dossier, la délégation av</w:t>
      </w:r>
      <w:r w:rsidR="00606CD1">
        <w:t>ait constaté que le lien vers l</w:t>
      </w:r>
      <w:r w:rsidR="00346F1B">
        <w:t>’</w:t>
      </w:r>
      <w:r w:rsidR="00606CD1">
        <w:t xml:space="preserve">inventaire qui avait été fourni </w:t>
      </w:r>
      <w:r w:rsidR="00BD2A00">
        <w:t xml:space="preserve">dans le dossier </w:t>
      </w:r>
      <w:r w:rsidR="00606CD1">
        <w:t>était inactif. L</w:t>
      </w:r>
      <w:r w:rsidR="00346F1B">
        <w:t>’</w:t>
      </w:r>
      <w:r w:rsidR="00606CD1">
        <w:t>Organe d</w:t>
      </w:r>
      <w:r w:rsidR="00346F1B">
        <w:t>’</w:t>
      </w:r>
      <w:r w:rsidR="00606CD1">
        <w:t>évaluation n</w:t>
      </w:r>
      <w:r w:rsidR="00346F1B">
        <w:t>’</w:t>
      </w:r>
      <w:r w:rsidR="00606CD1">
        <w:t>avait donc pu avoir accès à l</w:t>
      </w:r>
      <w:r w:rsidR="00346F1B">
        <w:t>’</w:t>
      </w:r>
      <w:r w:rsidR="00606CD1">
        <w:t xml:space="preserve">inventaire. Toutefois, </w:t>
      </w:r>
      <w:r w:rsidR="00CC0ACF">
        <w:t>l</w:t>
      </w:r>
      <w:r w:rsidR="00346F1B">
        <w:t>’</w:t>
      </w:r>
      <w:r w:rsidR="00CC0ACF">
        <w:t>Organe avait depuis été informé</w:t>
      </w:r>
      <w:r w:rsidR="00606CD1">
        <w:t xml:space="preserve"> que l</w:t>
      </w:r>
      <w:r w:rsidR="00346F1B">
        <w:t>’</w:t>
      </w:r>
      <w:r w:rsidR="00606CD1">
        <w:t>accès à l</w:t>
      </w:r>
      <w:r w:rsidR="00346F1B">
        <w:t>’</w:t>
      </w:r>
      <w:r w:rsidR="00606CD1">
        <w:t xml:space="preserve">inventaire avait été modifié à la fin mai 2016, suite à des changements de terminologie de la Loi sur </w:t>
      </w:r>
      <w:r w:rsidR="006A3869">
        <w:t xml:space="preserve">la </w:t>
      </w:r>
      <w:r w:rsidR="00606CD1">
        <w:t>prote</w:t>
      </w:r>
      <w:r w:rsidR="00BD2A00">
        <w:t>ction du patrimoine culturel, mais</w:t>
      </w:r>
      <w:r w:rsidR="00606CD1">
        <w:t xml:space="preserve"> que le registre pouvait désormais être consulté publiquement. La délégation était consciente que l</w:t>
      </w:r>
      <w:r w:rsidR="00346F1B">
        <w:t>’</w:t>
      </w:r>
      <w:r w:rsidR="00606CD1">
        <w:t>Organe d</w:t>
      </w:r>
      <w:r w:rsidR="00346F1B">
        <w:t>’</w:t>
      </w:r>
      <w:r w:rsidR="00606CD1">
        <w:t>évaluation ne pouvait évaluer que les informations fournies dans le dossier. Il était toutefois évident, lorsqu</w:t>
      </w:r>
      <w:r w:rsidR="006A3869">
        <w:t>e l</w:t>
      </w:r>
      <w:r w:rsidR="00346F1B">
        <w:t>’</w:t>
      </w:r>
      <w:r w:rsidR="00606CD1">
        <w:t>on consultait le site web, que l</w:t>
      </w:r>
      <w:r w:rsidR="00346F1B">
        <w:t>’</w:t>
      </w:r>
      <w:r w:rsidR="00BD2A00">
        <w:t>inventaire national de la Slovénie était régulièrement mis à jour. Forte de ces informations, la délégation proposait un amendement au projet de décision à propos du critère R.5. Elle souhaitait également entendre l</w:t>
      </w:r>
      <w:r w:rsidR="00346F1B">
        <w:t>’</w:t>
      </w:r>
      <w:r w:rsidR="00BD2A00">
        <w:t>État partie sur les modalités de mise à jour régulière de la liste nationale et savoir si l</w:t>
      </w:r>
      <w:r w:rsidR="00346F1B">
        <w:t>’</w:t>
      </w:r>
      <w:r w:rsidR="00BD2A00">
        <w:t>Organe d</w:t>
      </w:r>
      <w:r w:rsidR="00346F1B">
        <w:t>’</w:t>
      </w:r>
      <w:r w:rsidR="00BD2A00">
        <w:t>évaluation considérait les éclaircissements de l</w:t>
      </w:r>
      <w:r w:rsidR="00346F1B">
        <w:t>’</w:t>
      </w:r>
      <w:r w:rsidR="00F24F73">
        <w:t>État partie satisfaisants.</w:t>
      </w:r>
    </w:p>
    <w:p w14:paraId="7005FA8A" w14:textId="6701C540" w:rsidR="00BD2A00" w:rsidRDefault="00BD2A00" w:rsidP="00F24F73">
      <w:pPr>
        <w:pStyle w:val="Orateurengris"/>
        <w:spacing w:before="120"/>
        <w:ind w:left="709" w:hanging="709"/>
      </w:pPr>
      <w:r>
        <w:t xml:space="preserve">Le </w:t>
      </w:r>
      <w:r w:rsidRPr="00BD2A00">
        <w:rPr>
          <w:b/>
        </w:rPr>
        <w:t>Président</w:t>
      </w:r>
      <w:r>
        <w:t xml:space="preserve"> est passé au projet de décision et a demandé à l</w:t>
      </w:r>
      <w:r w:rsidR="00346F1B">
        <w:t>’</w:t>
      </w:r>
      <w:r>
        <w:t>Autriche si elle avait une question précise à poser à l</w:t>
      </w:r>
      <w:r w:rsidR="00346F1B">
        <w:t>’</w:t>
      </w:r>
      <w:r>
        <w:t>État soumissionnaire ou à l</w:t>
      </w:r>
      <w:r w:rsidR="00346F1B">
        <w:t>’</w:t>
      </w:r>
      <w:r>
        <w:t>Organe d</w:t>
      </w:r>
      <w:r w:rsidR="00346F1B">
        <w:t>’</w:t>
      </w:r>
      <w:r>
        <w:t>évaluation.</w:t>
      </w:r>
    </w:p>
    <w:p w14:paraId="422881B9" w14:textId="5A7EA70D" w:rsidR="00BD2A00" w:rsidRDefault="00BD2A00" w:rsidP="00F24F73">
      <w:pPr>
        <w:pStyle w:val="Orateurengris"/>
        <w:spacing w:before="120"/>
        <w:ind w:left="709" w:hanging="709"/>
      </w:pPr>
      <w:r>
        <w:t>La délégation de l</w:t>
      </w:r>
      <w:r w:rsidR="00346F1B">
        <w:t>’</w:t>
      </w:r>
      <w:r w:rsidRPr="00BD2A00">
        <w:rPr>
          <w:b/>
        </w:rPr>
        <w:t>Autriche</w:t>
      </w:r>
      <w:r>
        <w:t xml:space="preserve"> a </w:t>
      </w:r>
      <w:r w:rsidR="0074356C">
        <w:t>rappelé qu</w:t>
      </w:r>
      <w:r w:rsidR="00346F1B">
        <w:t>’</w:t>
      </w:r>
      <w:r w:rsidR="0074356C">
        <w:t>elle souhaitait entendre l</w:t>
      </w:r>
      <w:r w:rsidR="00346F1B">
        <w:t>’</w:t>
      </w:r>
      <w:r w:rsidR="0074356C">
        <w:t>État soumissionnaire sur les modalités de mise à jour régulière de la liste nationale, et savoir si l</w:t>
      </w:r>
      <w:r w:rsidR="00346F1B">
        <w:t>’</w:t>
      </w:r>
      <w:r w:rsidR="0074356C">
        <w:t>Organe d</w:t>
      </w:r>
      <w:r w:rsidR="00346F1B">
        <w:t>’</w:t>
      </w:r>
      <w:r w:rsidR="0074356C">
        <w:t>évaluation se satisfaisait</w:t>
      </w:r>
      <w:r w:rsidR="00F24F73">
        <w:t xml:space="preserve"> des éclaircissements apportés.</w:t>
      </w:r>
    </w:p>
    <w:p w14:paraId="40D1DA51" w14:textId="48DA28BE" w:rsidR="0074356C" w:rsidRDefault="0074356C" w:rsidP="00F24F73">
      <w:pPr>
        <w:pStyle w:val="Orateurengris"/>
        <w:spacing w:before="120"/>
        <w:ind w:left="709" w:hanging="709"/>
      </w:pPr>
      <w:r>
        <w:t xml:space="preserve">Le </w:t>
      </w:r>
      <w:r w:rsidRPr="0074356C">
        <w:rPr>
          <w:b/>
        </w:rPr>
        <w:t>Président</w:t>
      </w:r>
      <w:r>
        <w:t xml:space="preserve"> a d</w:t>
      </w:r>
      <w:r w:rsidR="00346F1B">
        <w:t>’</w:t>
      </w:r>
      <w:r>
        <w:t>abord invité la Slovénie à répondre à la qu</w:t>
      </w:r>
      <w:r w:rsidR="00F24F73">
        <w:t>estion spécifique.</w:t>
      </w:r>
    </w:p>
    <w:p w14:paraId="4A8B02A2" w14:textId="46550115" w:rsidR="0074356C" w:rsidRPr="00F73635" w:rsidRDefault="0074356C" w:rsidP="00F24F73">
      <w:pPr>
        <w:pStyle w:val="Orateurengris"/>
        <w:spacing w:before="120"/>
        <w:ind w:left="709" w:hanging="709"/>
      </w:pPr>
      <w:r w:rsidRPr="00F73635">
        <w:t xml:space="preserve">La délégation de la </w:t>
      </w:r>
      <w:r w:rsidRPr="00F73635">
        <w:rPr>
          <w:b/>
        </w:rPr>
        <w:t>Slovénie</w:t>
      </w:r>
      <w:r w:rsidRPr="00F73635">
        <w:t xml:space="preserve"> a remercié le Président, le Comité et tout particulièrement l</w:t>
      </w:r>
      <w:r w:rsidR="00346F1B">
        <w:t>’</w:t>
      </w:r>
      <w:r w:rsidRPr="00F73635">
        <w:t>Autriche, pour l</w:t>
      </w:r>
      <w:r w:rsidR="00346F1B">
        <w:t>’</w:t>
      </w:r>
      <w:r w:rsidRPr="00F73635">
        <w:t xml:space="preserve">opportunité qui lui était </w:t>
      </w:r>
      <w:r w:rsidR="00952408">
        <w:t xml:space="preserve">donnée </w:t>
      </w:r>
      <w:r w:rsidRPr="00F73635">
        <w:t>de s</w:t>
      </w:r>
      <w:r w:rsidR="00346F1B">
        <w:t>’</w:t>
      </w:r>
      <w:r w:rsidRPr="00F73635">
        <w:t>expliquer sur le critère R.5. Après avoir remercié l</w:t>
      </w:r>
      <w:r w:rsidR="00346F1B">
        <w:t>’</w:t>
      </w:r>
      <w:r w:rsidRPr="00F73635">
        <w:t>Organe d</w:t>
      </w:r>
      <w:r w:rsidR="00346F1B">
        <w:t>’</w:t>
      </w:r>
      <w:r w:rsidRPr="00F73635">
        <w:t>évaluation, la délégation a rappelé que le rapport avait estimé que le critère R.5 n</w:t>
      </w:r>
      <w:r w:rsidR="00346F1B">
        <w:t>’</w:t>
      </w:r>
      <w:r w:rsidRPr="00F73635">
        <w:t>était pas rempli, ce qu</w:t>
      </w:r>
      <w:r w:rsidR="00346F1B">
        <w:t>’</w:t>
      </w:r>
      <w:r w:rsidRPr="00F73635">
        <w:t>elle attribuait à une modification technique</w:t>
      </w:r>
      <w:r w:rsidR="00CC0ACF" w:rsidRPr="00F73635">
        <w:t xml:space="preserve"> fort malencontreuse</w:t>
      </w:r>
      <w:r w:rsidR="00952408">
        <w:t xml:space="preserve"> survenue au moment de la </w:t>
      </w:r>
      <w:r w:rsidRPr="00F73635">
        <w:t>soumission</w:t>
      </w:r>
      <w:r w:rsidR="00952408">
        <w:t xml:space="preserve"> du dossier</w:t>
      </w:r>
      <w:r w:rsidRPr="00F73635">
        <w:t>.</w:t>
      </w:r>
      <w:r w:rsidR="00CC0ACF" w:rsidRPr="00F73635">
        <w:t xml:space="preserve"> Le Comité avait cependant été officiellement informé de cette modification. Elle a expliqué que la Convention avait été transposée dans la législation slovène, très précisément dans le cadre de la Loi de protection du patrimoine cult</w:t>
      </w:r>
      <w:r w:rsidR="00590A93" w:rsidRPr="00F73635">
        <w:t>urel de 2008. Depuis</w:t>
      </w:r>
      <w:r w:rsidR="00F73635" w:rsidRPr="00F73635">
        <w:t xml:space="preserve"> cette époque</w:t>
      </w:r>
      <w:r w:rsidR="00CC0ACF" w:rsidRPr="00F73635">
        <w:t xml:space="preserve">, conformément à cette loi, </w:t>
      </w:r>
      <w:r w:rsidR="00432C5D" w:rsidRPr="00F73635">
        <w:t xml:space="preserve">la Slovénie conservait un inventaire du PCI dans le Registre du PCI, qui était régulièrement mis à jour par le ministère de la Culture. À la fin du mois de mai 2016, </w:t>
      </w:r>
      <w:r w:rsidR="00F73635" w:rsidRPr="00F73635">
        <w:t>des modifications avaient été apportées à la terminologie dans la Loi de protection du patrimoine culturel, modifications qui avaient rendu impossible l</w:t>
      </w:r>
      <w:r w:rsidR="00346F1B">
        <w:t>’</w:t>
      </w:r>
      <w:r w:rsidR="00F73635" w:rsidRPr="00F73635">
        <w:t>accès au registre en ligne. Depuis lors, la bonne adresse du site web ava</w:t>
      </w:r>
      <w:r w:rsidR="00952408">
        <w:t>it été communiquée</w:t>
      </w:r>
      <w:r w:rsidR="00F73635" w:rsidRPr="00F73635">
        <w:t>. En 2008, la représentation de la Passion à Škofja Loka</w:t>
      </w:r>
      <w:r w:rsidR="00F73635">
        <w:t xml:space="preserve"> avait été le premier élément inclus dans le registre, qui comptait désormais 56 éléments. Des représentants du ministère présentaient régulièrement des rapports sur </w:t>
      </w:r>
      <w:r w:rsidR="002872B2">
        <w:t>l</w:t>
      </w:r>
      <w:r w:rsidR="00346F1B">
        <w:t>’</w:t>
      </w:r>
      <w:r w:rsidR="002872B2">
        <w:t xml:space="preserve">évolution du registre lors des réunions régionales </w:t>
      </w:r>
      <w:r w:rsidR="00952408">
        <w:t>annuelles de l</w:t>
      </w:r>
      <w:r w:rsidR="00346F1B">
        <w:t>’</w:t>
      </w:r>
      <w:r w:rsidR="00952408">
        <w:t xml:space="preserve">UNESCO </w:t>
      </w:r>
      <w:r w:rsidR="002872B2">
        <w:t>qui réunissaie</w:t>
      </w:r>
      <w:r w:rsidR="00952408">
        <w:t>nt des experts du PCI et d</w:t>
      </w:r>
      <w:r w:rsidR="00346F1B">
        <w:t>’</w:t>
      </w:r>
      <w:r w:rsidR="002872B2">
        <w:t xml:space="preserve">autres professionnels et </w:t>
      </w:r>
      <w:r w:rsidR="00952408">
        <w:t>au cours desquelles le registre slovène était souvent loué pour sa façon dynamique d</w:t>
      </w:r>
      <w:r w:rsidR="00346F1B">
        <w:t>’</w:t>
      </w:r>
      <w:r w:rsidR="00952408">
        <w:t>inventorier les détenteurs. Ainsi, la modification</w:t>
      </w:r>
      <w:r w:rsidR="002872B2">
        <w:t>,</w:t>
      </w:r>
      <w:r w:rsidR="00952408">
        <w:t xml:space="preserve"> la revitalisation et la mise à jour régulière du registre faisai</w:t>
      </w:r>
      <w:r w:rsidR="002872B2">
        <w:t>en</w:t>
      </w:r>
      <w:r w:rsidR="00952408">
        <w:t xml:space="preserve">t partie </w:t>
      </w:r>
      <w:r w:rsidR="002872B2">
        <w:t xml:space="preserve">intégrante </w:t>
      </w:r>
      <w:r w:rsidR="00952408">
        <w:t>du système lui-même. Cela avait également été mentionné dans le pre</w:t>
      </w:r>
      <w:r w:rsidR="002872B2">
        <w:t xml:space="preserve">mier rapport périodique du pays, </w:t>
      </w:r>
      <w:r w:rsidR="00952408">
        <w:t>qui avait été soumis à l</w:t>
      </w:r>
      <w:r w:rsidR="00346F1B">
        <w:t>’</w:t>
      </w:r>
      <w:r w:rsidR="00952408">
        <w:t>UNESCO en décembre 2014.</w:t>
      </w:r>
      <w:r w:rsidR="002872B2">
        <w:t xml:space="preserve"> </w:t>
      </w:r>
      <w:r w:rsidR="00952408">
        <w:t>Ces éclaircissements apportaient donc la preuve que le registre était régulièrement mis à jo</w:t>
      </w:r>
      <w:r w:rsidR="0040517F">
        <w:t>ur et satisfaisait pleinement le</w:t>
      </w:r>
      <w:r w:rsidR="00952408">
        <w:t xml:space="preserve"> critère R.5.</w:t>
      </w:r>
    </w:p>
    <w:p w14:paraId="55B80AAE" w14:textId="38AC453F" w:rsidR="002872B2" w:rsidRDefault="002872B2" w:rsidP="00F24F73">
      <w:pPr>
        <w:pStyle w:val="Orateurengris"/>
        <w:spacing w:before="120"/>
        <w:ind w:left="709" w:hanging="709"/>
      </w:pPr>
      <w:r>
        <w:t xml:space="preserve">Le </w:t>
      </w:r>
      <w:r w:rsidRPr="002872B2">
        <w:rPr>
          <w:b/>
        </w:rPr>
        <w:t>Vice-Président de l</w:t>
      </w:r>
      <w:r w:rsidR="00346F1B">
        <w:rPr>
          <w:b/>
        </w:rPr>
        <w:t>’</w:t>
      </w:r>
      <w:r w:rsidRPr="002872B2">
        <w:rPr>
          <w:b/>
        </w:rPr>
        <w:t>Organe d</w:t>
      </w:r>
      <w:r w:rsidR="00346F1B">
        <w:rPr>
          <w:b/>
        </w:rPr>
        <w:t>’</w:t>
      </w:r>
      <w:r w:rsidRPr="002872B2">
        <w:rPr>
          <w:b/>
        </w:rPr>
        <w:t>évaluation</w:t>
      </w:r>
      <w:r>
        <w:t xml:space="preserve"> a remercié l</w:t>
      </w:r>
      <w:r w:rsidR="00346F1B">
        <w:t>’</w:t>
      </w:r>
      <w:r>
        <w:t>Autriche de lui donner l</w:t>
      </w:r>
      <w:r w:rsidR="00346F1B">
        <w:t>’</w:t>
      </w:r>
      <w:r>
        <w:t>opportunité d</w:t>
      </w:r>
      <w:r w:rsidR="00346F1B">
        <w:t>’</w:t>
      </w:r>
      <w:r>
        <w:t>expliquer certains des problèmes rencontrés, ajoutant que, dans ce cas précis, l</w:t>
      </w:r>
      <w:r w:rsidR="00346F1B">
        <w:t>’</w:t>
      </w:r>
      <w:r>
        <w:t>Organe d</w:t>
      </w:r>
      <w:r w:rsidR="00346F1B">
        <w:t>’</w:t>
      </w:r>
      <w:r>
        <w:t>évaluation</w:t>
      </w:r>
      <w:r w:rsidR="00C30841">
        <w:t xml:space="preserve"> avait véritablement fait des</w:t>
      </w:r>
      <w:r>
        <w:t xml:space="preserve"> effort</w:t>
      </w:r>
      <w:r w:rsidR="00C30841">
        <w:t>s</w:t>
      </w:r>
      <w:r>
        <w:t>. L</w:t>
      </w:r>
      <w:r w:rsidR="00346F1B">
        <w:t>’</w:t>
      </w:r>
      <w:r>
        <w:t>Organe s</w:t>
      </w:r>
      <w:r w:rsidR="00346F1B">
        <w:t>’</w:t>
      </w:r>
      <w:r>
        <w:t xml:space="preserve">était donné beaucoup de mal pour trouver les informations </w:t>
      </w:r>
      <w:r w:rsidR="00C30841">
        <w:t>et n</w:t>
      </w:r>
      <w:r w:rsidR="00346F1B">
        <w:t>’</w:t>
      </w:r>
      <w:r w:rsidR="00C30841">
        <w:t>avait pas été en mesure d</w:t>
      </w:r>
      <w:r w:rsidR="00346F1B">
        <w:t>’</w:t>
      </w:r>
      <w:r w:rsidR="00C30841">
        <w:t>accéder aux</w:t>
      </w:r>
      <w:r>
        <w:t xml:space="preserve"> informations essentielles sur le site web. En outre, ces informations n</w:t>
      </w:r>
      <w:r w:rsidR="00346F1B">
        <w:t>’</w:t>
      </w:r>
      <w:r>
        <w:t xml:space="preserve">étaient pas dans </w:t>
      </w:r>
      <w:r w:rsidR="00C30841">
        <w:t>la zone de texte prévue à cet effet. Il a recommandé qu</w:t>
      </w:r>
      <w:r w:rsidR="00346F1B">
        <w:t>’</w:t>
      </w:r>
      <w:r w:rsidR="00C30841">
        <w:t>à l</w:t>
      </w:r>
      <w:r w:rsidR="00346F1B">
        <w:t>’</w:t>
      </w:r>
      <w:r w:rsidR="00C30841">
        <w:t>avenir, les États soumissionnaires placent les informations essentielles dans la zone de texte afin d</w:t>
      </w:r>
      <w:r w:rsidR="00346F1B">
        <w:t>’</w:t>
      </w:r>
      <w:r w:rsidR="00C30841">
        <w:t>éviter toute incompréhension et de gagner du temps. Le Vice-Président était conscient de l</w:t>
      </w:r>
      <w:r w:rsidR="00346F1B">
        <w:t>’</w:t>
      </w:r>
      <w:r w:rsidR="00C30841">
        <w:t>importance de la Liste représentative, et il a souligné que l</w:t>
      </w:r>
      <w:r w:rsidR="00346F1B">
        <w:t>’</w:t>
      </w:r>
      <w:r w:rsidR="00C30841">
        <w:t>Organe prenait son travail très au sérieux. Il était également conscient que l</w:t>
      </w:r>
      <w:r w:rsidR="00346F1B">
        <w:t>’</w:t>
      </w:r>
      <w:r w:rsidR="00C30841">
        <w:t>inscription exigeait la satisfaction des cinq critères, ce qui était la raison pour laquelle la cohérence était importante pour garantir l</w:t>
      </w:r>
      <w:r w:rsidR="00346F1B">
        <w:t>’</w:t>
      </w:r>
      <w:r w:rsidR="00C30841">
        <w:t>impartialité de l</w:t>
      </w:r>
      <w:r w:rsidR="00346F1B">
        <w:t>’</w:t>
      </w:r>
      <w:r w:rsidR="00C30841">
        <w:t>Organe. Néanmoins, fidèle à l</w:t>
      </w:r>
      <w:r w:rsidR="00346F1B">
        <w:t>’</w:t>
      </w:r>
      <w:r w:rsidR="00C30841">
        <w:t>esprit de cette réunion, il appréciait</w:t>
      </w:r>
      <w:r w:rsidR="00F24F73">
        <w:t xml:space="preserve"> les éclaircissements apportés.</w:t>
      </w:r>
    </w:p>
    <w:p w14:paraId="70983436" w14:textId="6B3FB6EE" w:rsidR="00233A4E" w:rsidRDefault="00D956BD" w:rsidP="00F24F73">
      <w:pPr>
        <w:pStyle w:val="Orateurengris"/>
        <w:spacing w:before="120"/>
        <w:ind w:left="709" w:hanging="709"/>
      </w:pPr>
      <w:r>
        <w:t xml:space="preserve">Le </w:t>
      </w:r>
      <w:r w:rsidRPr="00D956BD">
        <w:rPr>
          <w:b/>
        </w:rPr>
        <w:t>Président</w:t>
      </w:r>
      <w:r>
        <w:t xml:space="preserve"> a proposé de procéder à l</w:t>
      </w:r>
      <w:r w:rsidR="00346F1B">
        <w:t>’</w:t>
      </w:r>
      <w:r>
        <w:t>adoption du projet de décision paragraphe par paragraphe. En l</w:t>
      </w:r>
      <w:r w:rsidR="00346F1B">
        <w:t>’</w:t>
      </w:r>
      <w:r>
        <w:t>absence d</w:t>
      </w:r>
      <w:r w:rsidR="00346F1B">
        <w:t>’</w:t>
      </w:r>
      <w:r>
        <w:t>objections, le paragraphe 1 a été adopté. Les paragraphes consacrés aux critères R.1, R.2, R.3 et R.4 dans le paragraphe 2 ont également été déclarés adoptés. Le paragraphe sur le critère R.5, tel qu</w:t>
      </w:r>
      <w:r w:rsidR="00346F1B">
        <w:t>’</w:t>
      </w:r>
      <w:r>
        <w:t>amendé par l</w:t>
      </w:r>
      <w:r w:rsidR="00346F1B">
        <w:t>’</w:t>
      </w:r>
      <w:r>
        <w:t>Autriche, a également été adopté, et le paragraphe 2 a donc été adopté dans son ensemble. En l</w:t>
      </w:r>
      <w:r w:rsidR="00346F1B">
        <w:t>’</w:t>
      </w:r>
      <w:r>
        <w:t xml:space="preserve">absence </w:t>
      </w:r>
      <w:r w:rsidR="00F016F7">
        <w:t>d</w:t>
      </w:r>
      <w:r w:rsidR="00346F1B">
        <w:t>’</w:t>
      </w:r>
      <w:r>
        <w:t xml:space="preserve">objections au paragraphe 3 « Inscrit », </w:t>
      </w:r>
      <w:r w:rsidR="00F016F7">
        <w:t>tel qu</w:t>
      </w:r>
      <w:r w:rsidR="00346F1B">
        <w:t>’</w:t>
      </w:r>
      <w:r>
        <w:t>amendé par l</w:t>
      </w:r>
      <w:r w:rsidR="00346F1B">
        <w:t>’</w:t>
      </w:r>
      <w:r>
        <w:t xml:space="preserve">Autriche, il a été </w:t>
      </w:r>
      <w:r w:rsidR="008052AC">
        <w:t>dûment</w:t>
      </w:r>
      <w:r>
        <w:t xml:space="preserve"> adopté. </w:t>
      </w:r>
      <w:r w:rsidR="00F016F7">
        <w:t xml:space="preserve">Le paragraphe standard a été inséré en tant que nouveau paragraphe 4, et </w:t>
      </w:r>
      <w:r w:rsidR="008052AC">
        <w:t>dûment</w:t>
      </w:r>
      <w:r w:rsidR="00F016F7">
        <w:t xml:space="preserve"> adopté. Le Président est alors passé à l</w:t>
      </w:r>
      <w:r w:rsidR="00346F1B">
        <w:t>’</w:t>
      </w:r>
      <w:r w:rsidR="00F016F7">
        <w:t>adoption de la décision dans son ensemble. En l</w:t>
      </w:r>
      <w:r w:rsidR="00346F1B">
        <w:t>’</w:t>
      </w:r>
      <w:r w:rsidR="00F016F7">
        <w:t>absence d</w:t>
      </w:r>
      <w:r w:rsidR="00346F1B">
        <w:t>’</w:t>
      </w:r>
      <w:r w:rsidR="00F016F7">
        <w:t>autres commentaires ou objections, le Président a déclaré adoptée la décision 11.COM 10.b.29 d</w:t>
      </w:r>
      <w:r w:rsidR="00346F1B">
        <w:t>’</w:t>
      </w:r>
      <w:r w:rsidR="00F016F7">
        <w:t xml:space="preserve">inscrire la représentation de la Passion à </w:t>
      </w:r>
      <w:r w:rsidR="00F016F7" w:rsidRPr="00EF459D">
        <w:t>Škofja Loka</w:t>
      </w:r>
      <w:r w:rsidR="00F016F7">
        <w:t xml:space="preserve"> sur la Liste représentative du patrimoine culturel immatériel de l</w:t>
      </w:r>
      <w:r w:rsidR="00346F1B">
        <w:t>’</w:t>
      </w:r>
      <w:r w:rsidR="00F24F73">
        <w:t>humanité.</w:t>
      </w:r>
    </w:p>
    <w:p w14:paraId="100D2336" w14:textId="3929E4E8" w:rsidR="00F016F7" w:rsidRPr="007C5EFE" w:rsidRDefault="00F016F7" w:rsidP="00F24F73">
      <w:pPr>
        <w:pStyle w:val="Orateurengris"/>
        <w:spacing w:before="120"/>
        <w:ind w:left="709" w:hanging="709"/>
      </w:pPr>
      <w:r w:rsidRPr="007C5EFE">
        <w:t xml:space="preserve">La délégation de la </w:t>
      </w:r>
      <w:r w:rsidRPr="007C5EFE">
        <w:rPr>
          <w:b/>
        </w:rPr>
        <w:t>Slovénie</w:t>
      </w:r>
      <w:r w:rsidR="004F5F34">
        <w:t xml:space="preserve"> a évoqué son</w:t>
      </w:r>
      <w:r w:rsidRPr="007C5EFE">
        <w:t xml:space="preserve"> grand plaisir </w:t>
      </w:r>
      <w:r w:rsidR="004F5F34">
        <w:t>d</w:t>
      </w:r>
      <w:r w:rsidR="00346F1B">
        <w:t>’</w:t>
      </w:r>
      <w:r w:rsidR="0084338A">
        <w:t xml:space="preserve">exprimer sa reconnaissance </w:t>
      </w:r>
      <w:r w:rsidRPr="007C5EFE">
        <w:t>à l</w:t>
      </w:r>
      <w:r w:rsidR="00346F1B">
        <w:t>’</w:t>
      </w:r>
      <w:r w:rsidRPr="007C5EFE">
        <w:t>Organe d</w:t>
      </w:r>
      <w:r w:rsidR="00346F1B">
        <w:t>’</w:t>
      </w:r>
      <w:r w:rsidRPr="007C5EFE">
        <w:t>évaluation et au Comité, en particulier à la délégation autrichienne. Elle s</w:t>
      </w:r>
      <w:r w:rsidR="00346F1B">
        <w:t>’</w:t>
      </w:r>
      <w:r w:rsidRPr="007C5EFE">
        <w:t>est dite très fière de voir le premier élément slovène inscrit sur la Liste représentative. C</w:t>
      </w:r>
      <w:r w:rsidR="00346F1B">
        <w:t>’</w:t>
      </w:r>
      <w:r w:rsidR="0084338A">
        <w:t xml:space="preserve">était le résultat du </w:t>
      </w:r>
      <w:r w:rsidR="007C5EFE" w:rsidRPr="007C5EFE">
        <w:t xml:space="preserve">considérable </w:t>
      </w:r>
      <w:r w:rsidR="0084338A">
        <w:t xml:space="preserve">et excellent </w:t>
      </w:r>
      <w:r w:rsidR="007C5EFE" w:rsidRPr="007C5EFE">
        <w:t>travail accompli par les nombreuses personnes impliquées dans ce processus, surtout par l</w:t>
      </w:r>
      <w:r w:rsidR="00346F1B">
        <w:t>’</w:t>
      </w:r>
      <w:r w:rsidR="007C5EFE" w:rsidRPr="007C5EFE">
        <w:t xml:space="preserve">ensemble de </w:t>
      </w:r>
      <w:r w:rsidR="0084338A">
        <w:t>la communauté de Škofja Loka</w:t>
      </w:r>
      <w:r w:rsidR="007C5EFE" w:rsidRPr="007C5EFE">
        <w:t xml:space="preserve"> où cet événement se déroulait depuis plus de 300 ans. [Autre intervenant] </w:t>
      </w:r>
      <w:r w:rsidR="007C5EFE" w:rsidRPr="0084338A">
        <w:rPr>
          <w:b/>
        </w:rPr>
        <w:t>Un représentant de Škofja Loka</w:t>
      </w:r>
      <w:r w:rsidR="007C5EFE" w:rsidRPr="007C5EFE">
        <w:t xml:space="preserve"> s</w:t>
      </w:r>
      <w:r w:rsidR="00346F1B">
        <w:t>’</w:t>
      </w:r>
      <w:r w:rsidR="007C5EFE" w:rsidRPr="007C5EFE">
        <w:t>est exprimé au nom de la Municipalité de Škofja Loka, de son maire</w:t>
      </w:r>
      <w:r w:rsidR="0084338A">
        <w:t>,</w:t>
      </w:r>
      <w:r w:rsidR="007C5EFE" w:rsidRPr="007C5EFE">
        <w:t xml:space="preserve"> Miha Ješe, et des nombreuses générations </w:t>
      </w:r>
      <w:r w:rsidR="007C5EFE">
        <w:t>d</w:t>
      </w:r>
      <w:r w:rsidR="00346F1B">
        <w:t>’</w:t>
      </w:r>
      <w:r w:rsidR="007C5EFE">
        <w:t xml:space="preserve">habitants de </w:t>
      </w:r>
      <w:r w:rsidR="007C5EFE" w:rsidRPr="007C5EFE">
        <w:t>Škofja Loka</w:t>
      </w:r>
      <w:r w:rsidR="007C5EFE">
        <w:t xml:space="preserve"> et de bénévoles qui travaillaient ou avaient participé à la représentation de la Passion à </w:t>
      </w:r>
      <w:r w:rsidR="007C5EFE" w:rsidRPr="007C5EFE">
        <w:t>Škofja Loka</w:t>
      </w:r>
      <w:r w:rsidR="007C5EFE">
        <w:t xml:space="preserve">, </w:t>
      </w:r>
      <w:r w:rsidR="00123615">
        <w:t xml:space="preserve">afin de transmettre leurs remerciements et leur gratitude au Comité. Les valeurs de la représentation de la Passion à </w:t>
      </w:r>
      <w:r w:rsidR="00123615" w:rsidRPr="007C5EFE">
        <w:t>Škofja Loka</w:t>
      </w:r>
      <w:r w:rsidR="00123615">
        <w:t xml:space="preserve"> permettaient de renforcer les liens communautaires, de recréer la communauté et de </w:t>
      </w:r>
      <w:r w:rsidR="0084338A">
        <w:t xml:space="preserve">rendre hommage au passé. Il </w:t>
      </w:r>
      <w:r w:rsidR="00123615">
        <w:t xml:space="preserve">a expliqué que la représentation de la Passion à </w:t>
      </w:r>
      <w:r w:rsidR="00123615" w:rsidRPr="007C5EFE">
        <w:t>Škofja Loka</w:t>
      </w:r>
      <w:r w:rsidR="00123615">
        <w:t xml:space="preserve"> était</w:t>
      </w:r>
      <w:r w:rsidR="0084338A">
        <w:t xml:space="preserve"> interprétée par la population pour la population, </w:t>
      </w:r>
      <w:r w:rsidR="00123615">
        <w:t>avec plus de 900 acteurs participant à la procession, ajoutant que la représentation revisitait l</w:t>
      </w:r>
      <w:r w:rsidR="00346F1B">
        <w:t>’</w:t>
      </w:r>
      <w:r w:rsidR="00123615">
        <w:t>éternelle question de l</w:t>
      </w:r>
      <w:r w:rsidR="00346F1B">
        <w:t>’</w:t>
      </w:r>
      <w:r w:rsidR="00123615">
        <w:t>essence de l</w:t>
      </w:r>
      <w:r w:rsidR="00346F1B">
        <w:t>’</w:t>
      </w:r>
      <w:r w:rsidR="00123615">
        <w:t xml:space="preserve">existence humaine à une époque où, </w:t>
      </w:r>
      <w:r w:rsidR="0084338A">
        <w:t>dans une quête de richesse et de vitesse, nous oubliions trop souvent de nous occuper des autres et de nous reposer. L</w:t>
      </w:r>
      <w:r w:rsidR="00346F1B">
        <w:t>’</w:t>
      </w:r>
      <w:r w:rsidR="0084338A">
        <w:t xml:space="preserve">inscription reconnaissait donc les efforts déployés par la communauté locale et les interprètes de la représentation. Les délégations étaient invitées à </w:t>
      </w:r>
      <w:r w:rsidR="0084338A" w:rsidRPr="007C5EFE">
        <w:t>Škofja Loka</w:t>
      </w:r>
      <w:r w:rsidR="0084338A">
        <w:t xml:space="preserve">, en Slovénie, en 2021, pour la représentation qui marquerait les 300 ans de la première rédaction de la Passion de </w:t>
      </w:r>
      <w:r w:rsidR="0084338A" w:rsidRPr="007C5EFE">
        <w:t>Škofja Loka</w:t>
      </w:r>
      <w:r w:rsidR="00F24F73">
        <w:t>.</w:t>
      </w:r>
    </w:p>
    <w:p w14:paraId="6F6FE1DD" w14:textId="7937B35A" w:rsidR="0084338A" w:rsidRDefault="0084338A" w:rsidP="00F24F73">
      <w:pPr>
        <w:pStyle w:val="Orateurengris"/>
        <w:spacing w:before="120"/>
        <w:ind w:left="709" w:hanging="709"/>
      </w:pPr>
      <w:r>
        <w:t xml:space="preserve">Le </w:t>
      </w:r>
      <w:r w:rsidRPr="0084338A">
        <w:rPr>
          <w:b/>
        </w:rPr>
        <w:t>Président</w:t>
      </w:r>
      <w:r>
        <w:t xml:space="preserve"> a remercié la Slovénie, et est passé à la candidature suiv</w:t>
      </w:r>
      <w:r w:rsidR="00F24F73">
        <w:t>ante, soumise par le Sri Lanka.</w:t>
      </w:r>
    </w:p>
    <w:p w14:paraId="52BA160D" w14:textId="396C93A6" w:rsidR="00E672CF" w:rsidRPr="0084338A" w:rsidRDefault="007265F2" w:rsidP="00F24F73">
      <w:pPr>
        <w:pStyle w:val="Orateurengris"/>
        <w:spacing w:before="120"/>
        <w:ind w:left="709" w:hanging="709"/>
      </w:pPr>
      <w:r>
        <w:t xml:space="preserve">Le </w:t>
      </w:r>
      <w:r w:rsidRPr="007265F2">
        <w:rPr>
          <w:b/>
        </w:rPr>
        <w:t>Vice-Président de l</w:t>
      </w:r>
      <w:r w:rsidR="00346F1B">
        <w:rPr>
          <w:b/>
        </w:rPr>
        <w:t>’</w:t>
      </w:r>
      <w:r w:rsidRPr="007265F2">
        <w:rPr>
          <w:b/>
        </w:rPr>
        <w:t>Organe d</w:t>
      </w:r>
      <w:r w:rsidR="00346F1B">
        <w:rPr>
          <w:b/>
        </w:rPr>
        <w:t>’</w:t>
      </w:r>
      <w:r w:rsidRPr="007265F2">
        <w:rPr>
          <w:b/>
        </w:rPr>
        <w:t>évaluation</w:t>
      </w:r>
      <w:r>
        <w:t xml:space="preserve"> est passé à la candidature suivante, </w:t>
      </w:r>
      <w:bookmarkStart w:id="50" w:name="Decision10b31"/>
      <w:r w:rsidRPr="007265F2">
        <w:rPr>
          <w:b/>
        </w:rPr>
        <w:t>l</w:t>
      </w:r>
      <w:r w:rsidR="00346F1B">
        <w:rPr>
          <w:b/>
        </w:rPr>
        <w:t>’</w:t>
      </w:r>
      <w:r w:rsidRPr="007265F2">
        <w:rPr>
          <w:b/>
        </w:rPr>
        <w:t>art traditionnel des marionnettes à fils au Sri Lanka</w:t>
      </w:r>
      <w:bookmarkEnd w:id="50"/>
      <w:r w:rsidR="002C11AB">
        <w:rPr>
          <w:rStyle w:val="FootnoteReference"/>
          <w:b/>
        </w:rPr>
        <w:footnoteReference w:id="8"/>
      </w:r>
      <w:r>
        <w:t xml:space="preserve"> [projet de décision 11.COM 10.b.31], soumise par le Sri Lanka. Les marionnettes à fils étaient une pratique traditionnelle des communautés Gamwari du sud du Sri Lanka, destinées à divertir et éduquer le public avec des histoires évoquant le folklore, l</w:t>
      </w:r>
      <w:r w:rsidR="00346F1B">
        <w:t>’</w:t>
      </w:r>
      <w:r>
        <w:t>histoire, la religion et les questions liées à l</w:t>
      </w:r>
      <w:r w:rsidR="00346F1B">
        <w:t>’</w:t>
      </w:r>
      <w:r>
        <w:t>injustice sociale. L</w:t>
      </w:r>
      <w:r w:rsidR="00346F1B">
        <w:t>’</w:t>
      </w:r>
      <w:r>
        <w:t xml:space="preserve">humour, ainsi que le chant et la musique, faisait également partie des spectacles. Considérées comme un moyen de communication important, les marionnettes </w:t>
      </w:r>
      <w:r w:rsidR="00E672CF">
        <w:t xml:space="preserve">participaient </w:t>
      </w:r>
      <w:r>
        <w:t>également à la socialisation et l</w:t>
      </w:r>
      <w:r w:rsidR="00346F1B">
        <w:t>’</w:t>
      </w:r>
      <w:r>
        <w:t>éducation des jeunes dans les communautés rurales.</w:t>
      </w:r>
      <w:r w:rsidR="002C11AB">
        <w:t xml:space="preserve"> L</w:t>
      </w:r>
      <w:r w:rsidR="00346F1B">
        <w:t>’</w:t>
      </w:r>
      <w:r w:rsidR="002C11AB">
        <w:t xml:space="preserve">art était transmis de façon informelle, principalement au sein du cercle familial. Les représentations avaient lieu dans les salles publiques et les temples, </w:t>
      </w:r>
      <w:r w:rsidR="00E672CF">
        <w:t>notamment</w:t>
      </w:r>
      <w:r w:rsidR="002C11AB">
        <w:t xml:space="preserve"> à l</w:t>
      </w:r>
      <w:r w:rsidR="00346F1B">
        <w:t>’</w:t>
      </w:r>
      <w:r w:rsidR="002C11AB">
        <w:t>occasion de festivals. Bien que l</w:t>
      </w:r>
      <w:r w:rsidR="00346F1B">
        <w:t>’</w:t>
      </w:r>
      <w:r w:rsidR="002C11AB">
        <w:t>Organe d</w:t>
      </w:r>
      <w:r w:rsidR="00346F1B">
        <w:t>’</w:t>
      </w:r>
      <w:r w:rsidR="002C11AB">
        <w:t>évaluation ait décidé que l</w:t>
      </w:r>
      <w:r w:rsidR="00346F1B">
        <w:t>’</w:t>
      </w:r>
      <w:r w:rsidR="002C11AB">
        <w:t>élément était bien constitutif du PCI, tel que défini par l</w:t>
      </w:r>
      <w:r w:rsidR="00346F1B">
        <w:t>’</w:t>
      </w:r>
      <w:r w:rsidR="002C11AB">
        <w:t>article 2 de la Convention, des informations complémentaires étaient nécessaires pour déterminer si les critères R.2, R.3, R.4 et R.5 étaient satisfaits. S</w:t>
      </w:r>
      <w:r w:rsidR="00346F1B">
        <w:t>’</w:t>
      </w:r>
      <w:r w:rsidR="002C11AB">
        <w:t>agissant du critère R.2, le dossier n</w:t>
      </w:r>
      <w:r w:rsidR="00346F1B">
        <w:t>’</w:t>
      </w:r>
      <w:r w:rsidR="002C11AB">
        <w:t>expliquait pas bien de quelle façon l</w:t>
      </w:r>
      <w:r w:rsidR="00346F1B">
        <w:t>’</w:t>
      </w:r>
      <w:r w:rsidR="002C11AB">
        <w:t>inscription pourrait augmenter la visibilité du PCI en général. En outre, on avait estimé qu</w:t>
      </w:r>
      <w:r w:rsidR="00346F1B">
        <w:t>’</w:t>
      </w:r>
      <w:r w:rsidR="002C11AB">
        <w:t>une attention accrue devrait être accordée aux possibles impacts négatifs de la commercialisation et à la nécessité d</w:t>
      </w:r>
      <w:r w:rsidR="00346F1B">
        <w:t>’</w:t>
      </w:r>
      <w:r w:rsidR="002C11AB">
        <w:t>éviter tout danger de décontextualisation de l</w:t>
      </w:r>
      <w:r w:rsidR="00346F1B">
        <w:t>’</w:t>
      </w:r>
      <w:r w:rsidR="002C11AB">
        <w:t xml:space="preserve">élément lié à une augmentation du tourisme. </w:t>
      </w:r>
      <w:r w:rsidR="00E672CF">
        <w:t>Les éventuels effets négatifs résultant du tourisme et de la commercialisation devaient être pris en considération avec des mesures préventives ou d</w:t>
      </w:r>
      <w:r w:rsidR="00346F1B">
        <w:t>’</w:t>
      </w:r>
      <w:r w:rsidR="00E672CF">
        <w:t>atténuation. S</w:t>
      </w:r>
      <w:r w:rsidR="00346F1B">
        <w:t>’</w:t>
      </w:r>
      <w:r w:rsidR="00E672CF">
        <w:t>agissant de la participation des communautés, les preuves fournies pour attester le consentement provenaient essentiellement des organisations et institutions plutôt que des co</w:t>
      </w:r>
      <w:r w:rsidR="00504BCB">
        <w:t xml:space="preserve">mmunautés concernées. Pour </w:t>
      </w:r>
      <w:r w:rsidR="00E672CF">
        <w:t>le critère R.5, aucune information n</w:t>
      </w:r>
      <w:r w:rsidR="00346F1B">
        <w:t>’</w:t>
      </w:r>
      <w:r w:rsidR="00E672CF">
        <w:t>était communiquée quant à la participation des communautés, groupes et ONG concernées à la préparation de cette entrée à l</w:t>
      </w:r>
      <w:r w:rsidR="00346F1B">
        <w:t>’</w:t>
      </w:r>
      <w:r w:rsidR="00E672CF">
        <w:t xml:space="preserve">inventaire. Des informations étaient également nécessaires </w:t>
      </w:r>
      <w:r w:rsidR="00504BCB">
        <w:t xml:space="preserve">sur les </w:t>
      </w:r>
      <w:r w:rsidR="00E672CF">
        <w:t>futures mises à jour de l</w:t>
      </w:r>
      <w:r w:rsidR="00346F1B">
        <w:t>’</w:t>
      </w:r>
      <w:r w:rsidR="00E672CF">
        <w:t>inventaire. L</w:t>
      </w:r>
      <w:r w:rsidR="00346F1B">
        <w:t>’</w:t>
      </w:r>
      <w:r w:rsidR="00E672CF">
        <w:t>Organe d</w:t>
      </w:r>
      <w:r w:rsidR="00346F1B">
        <w:t>’</w:t>
      </w:r>
      <w:r w:rsidR="00E672CF">
        <w:t>évaluation avait décidé de recommander un renvoi de l</w:t>
      </w:r>
      <w:r w:rsidR="00346F1B">
        <w:t>’</w:t>
      </w:r>
      <w:r w:rsidR="00E672CF">
        <w:t>art traditionnel des marionnettes à fils au Sri Lanka à l</w:t>
      </w:r>
      <w:r w:rsidR="00346F1B">
        <w:t>’</w:t>
      </w:r>
      <w:r w:rsidR="00E672CF">
        <w:t>État soumissionnaire pour complément d</w:t>
      </w:r>
      <w:r w:rsidR="00346F1B">
        <w:t>’</w:t>
      </w:r>
      <w:r w:rsidR="00F24F73">
        <w:t>information.</w:t>
      </w:r>
    </w:p>
    <w:p w14:paraId="04E79EB4" w14:textId="7977A4A9" w:rsidR="00504BCB" w:rsidRDefault="00504BCB" w:rsidP="00F24F73">
      <w:pPr>
        <w:pStyle w:val="Orateurengris"/>
        <w:spacing w:before="120"/>
        <w:ind w:left="709" w:hanging="709"/>
      </w:pPr>
      <w:r>
        <w:t>Après avoir remercié le Vice-Président de l</w:t>
      </w:r>
      <w:r w:rsidR="00346F1B">
        <w:t>’</w:t>
      </w:r>
      <w:r>
        <w:t>Organe d</w:t>
      </w:r>
      <w:r w:rsidR="00346F1B">
        <w:t>’</w:t>
      </w:r>
      <w:r>
        <w:t xml:space="preserve">évaluation, le </w:t>
      </w:r>
      <w:r w:rsidRPr="00504BCB">
        <w:rPr>
          <w:b/>
        </w:rPr>
        <w:t>Président</w:t>
      </w:r>
      <w:r>
        <w:t xml:space="preserve"> a signalé qu</w:t>
      </w:r>
      <w:r w:rsidR="00346F1B">
        <w:t>’</w:t>
      </w:r>
      <w:r>
        <w:t>aucun amendement n</w:t>
      </w:r>
      <w:r w:rsidR="00346F1B">
        <w:t>’</w:t>
      </w:r>
      <w:r>
        <w:t>avait été déposé, et a donc proposé d</w:t>
      </w:r>
      <w:r w:rsidR="00346F1B">
        <w:t>’</w:t>
      </w:r>
      <w:r>
        <w:t>adopter la décision dans son ensemble. En l</w:t>
      </w:r>
      <w:r w:rsidR="00346F1B">
        <w:t>’</w:t>
      </w:r>
      <w:r>
        <w:t>absence de commentaires ou d</w:t>
      </w:r>
      <w:r w:rsidR="00346F1B">
        <w:t>’</w:t>
      </w:r>
      <w:r>
        <w:t xml:space="preserve">objections, le </w:t>
      </w:r>
      <w:r w:rsidRPr="00504BCB">
        <w:rPr>
          <w:b/>
        </w:rPr>
        <w:t>Président a déclaré adoptée la décision 11.COM 10.b.31 de renvoyer l</w:t>
      </w:r>
      <w:r w:rsidR="00346F1B">
        <w:rPr>
          <w:b/>
        </w:rPr>
        <w:t>’</w:t>
      </w:r>
      <w:r w:rsidRPr="00504BCB">
        <w:rPr>
          <w:b/>
        </w:rPr>
        <w:t>art traditionnel des marionnettes à fils au Sri Lanka à l</w:t>
      </w:r>
      <w:r w:rsidR="00346F1B">
        <w:rPr>
          <w:b/>
        </w:rPr>
        <w:t>’</w:t>
      </w:r>
      <w:r w:rsidRPr="00504BCB">
        <w:rPr>
          <w:b/>
        </w:rPr>
        <w:t>État soumissionnaire pour complément d</w:t>
      </w:r>
      <w:r w:rsidR="00346F1B">
        <w:rPr>
          <w:b/>
        </w:rPr>
        <w:t>’</w:t>
      </w:r>
      <w:r w:rsidRPr="00504BCB">
        <w:rPr>
          <w:b/>
        </w:rPr>
        <w:t>information</w:t>
      </w:r>
      <w:r w:rsidR="00F24F73">
        <w:t>.</w:t>
      </w:r>
    </w:p>
    <w:p w14:paraId="5424E3A2" w14:textId="338BB69D" w:rsidR="00794392" w:rsidRDefault="00504BCB" w:rsidP="00F24F73">
      <w:pPr>
        <w:pStyle w:val="Orateurengris"/>
        <w:spacing w:before="120"/>
        <w:ind w:left="709" w:hanging="709"/>
      </w:pPr>
      <w:r>
        <w:t xml:space="preserve">La délégation du </w:t>
      </w:r>
      <w:r w:rsidRPr="00504BCB">
        <w:rPr>
          <w:b/>
        </w:rPr>
        <w:t>Sri Lanka</w:t>
      </w:r>
      <w:r>
        <w:t xml:space="preserve"> a remercié le Gouvernement éthiopien et la Commission nationale éthiopienne pour l</w:t>
      </w:r>
      <w:r w:rsidR="00346F1B">
        <w:t>’</w:t>
      </w:r>
      <w:r>
        <w:t>UNESCO</w:t>
      </w:r>
      <w:r w:rsidR="00A60E42">
        <w:t xml:space="preserve"> de</w:t>
      </w:r>
      <w:r>
        <w:t xml:space="preserve"> leur hospitalité, ainsi que l</w:t>
      </w:r>
      <w:r w:rsidR="00346F1B">
        <w:t>’</w:t>
      </w:r>
      <w:r>
        <w:t xml:space="preserve">UNESCO </w:t>
      </w:r>
      <w:r w:rsidR="00A60E42">
        <w:t xml:space="preserve">de </w:t>
      </w:r>
      <w:r w:rsidR="002567C8">
        <w:t>son invitation en tant qu</w:t>
      </w:r>
      <w:r w:rsidR="00346F1B">
        <w:t>’</w:t>
      </w:r>
      <w:r w:rsidR="002567C8">
        <w:t>o</w:t>
      </w:r>
      <w:r w:rsidR="009C65EC">
        <w:t>bservateur. Lorsqu</w:t>
      </w:r>
      <w:r w:rsidR="00346F1B">
        <w:t>’</w:t>
      </w:r>
      <w:r w:rsidR="009C65EC">
        <w:t>elle avait assisté pour la première fois aux sessions</w:t>
      </w:r>
      <w:r w:rsidR="00CD6432">
        <w:t>, elle avait souhaité faire une demande afin qu</w:t>
      </w:r>
      <w:r w:rsidR="00346F1B">
        <w:t>’</w:t>
      </w:r>
      <w:r w:rsidR="00CD6432">
        <w:t xml:space="preserve">un débat soit ouvert sur le dossier. Toutefois, après </w:t>
      </w:r>
      <w:r w:rsidR="00794392">
        <w:t xml:space="preserve">avoir constaté le caractère extrêmement rigoureux des délibérations visant à corriger les déficiences des candidatures, elle avait fini par réaliser à quel point il serait difficile de réévaluer les quatre critères non satisfaits </w:t>
      </w:r>
      <w:r w:rsidR="00A60E42">
        <w:t>par sa candidature. G</w:t>
      </w:r>
      <w:r w:rsidR="00794392">
        <w:t>râce à la procédure transparente, démocratique et extrêmement dynamique de l</w:t>
      </w:r>
      <w:r w:rsidR="00346F1B">
        <w:t>’</w:t>
      </w:r>
      <w:r w:rsidR="00794392">
        <w:t>UNESCO en ce qui concern</w:t>
      </w:r>
      <w:r w:rsidR="00A60E42">
        <w:t>e l</w:t>
      </w:r>
      <w:r w:rsidR="00346F1B">
        <w:t>’</w:t>
      </w:r>
      <w:r w:rsidR="00A60E42">
        <w:t>évaluation et l</w:t>
      </w:r>
      <w:r w:rsidR="00346F1B">
        <w:t>’</w:t>
      </w:r>
      <w:r w:rsidR="00A60E42">
        <w:t xml:space="preserve">adoption, </w:t>
      </w:r>
      <w:r w:rsidR="00794392">
        <w:t xml:space="preserve">la délégation avait beaucoup appris </w:t>
      </w:r>
      <w:r w:rsidR="00A60E42">
        <w:t>et acquis de l</w:t>
      </w:r>
      <w:r w:rsidR="00346F1B">
        <w:t>’</w:t>
      </w:r>
      <w:r w:rsidR="00A60E42">
        <w:t>expérience pour préparer des candidatures, expérience qu</w:t>
      </w:r>
      <w:r w:rsidR="00346F1B">
        <w:t>’</w:t>
      </w:r>
      <w:r w:rsidR="00A60E42">
        <w:t>elle mettrait à profit pour soumettre à nouveau sa candidature et satisfaire les cinq critères. Elle acceptait et respectait donc humblement et sincèrement la recommandation de l</w:t>
      </w:r>
      <w:r w:rsidR="00346F1B">
        <w:t>’</w:t>
      </w:r>
      <w:r w:rsidR="00A60E42">
        <w:t>Organe d</w:t>
      </w:r>
      <w:r w:rsidR="00346F1B">
        <w:t>’</w:t>
      </w:r>
      <w:r w:rsidR="00A60E42">
        <w:t>évaluation, et était impatiente de soumettre à nouveau la proposition d</w:t>
      </w:r>
      <w:r w:rsidR="00346F1B">
        <w:t>’</w:t>
      </w:r>
      <w:r w:rsidR="00A60E42">
        <w:t>inscription révisée, ainsi que bien d</w:t>
      </w:r>
      <w:r w:rsidR="00346F1B">
        <w:t>’</w:t>
      </w:r>
      <w:r w:rsidR="00A60E42">
        <w:t>autres propositions à l</w:t>
      </w:r>
      <w:r w:rsidR="00346F1B">
        <w:t>’</w:t>
      </w:r>
      <w:r w:rsidR="00A60E42">
        <w:t>avenir. La délégation a remercié l</w:t>
      </w:r>
      <w:r w:rsidR="00346F1B">
        <w:t>’</w:t>
      </w:r>
      <w:r w:rsidR="00A60E42">
        <w:t>Organe d</w:t>
      </w:r>
      <w:r w:rsidR="00346F1B">
        <w:t>’</w:t>
      </w:r>
      <w:r w:rsidR="00A60E42">
        <w:t>évaluation pour son excellent retour d</w:t>
      </w:r>
      <w:r w:rsidR="00346F1B">
        <w:t>’</w:t>
      </w:r>
      <w:r w:rsidR="00A60E42">
        <w:t>expérience s</w:t>
      </w:r>
      <w:r w:rsidR="00F24F73">
        <w:t>ur son dossier de candidature.</w:t>
      </w:r>
    </w:p>
    <w:p w14:paraId="4EFF4CE5" w14:textId="44C3B3E9" w:rsidR="00A60E42" w:rsidRPr="000635AD" w:rsidRDefault="00A60E42" w:rsidP="00F24F73">
      <w:pPr>
        <w:pStyle w:val="Orateurengris"/>
        <w:spacing w:before="120"/>
        <w:ind w:left="709" w:hanging="709"/>
      </w:pPr>
      <w:r>
        <w:t xml:space="preserve">Le </w:t>
      </w:r>
      <w:r w:rsidRPr="00A60E42">
        <w:rPr>
          <w:b/>
        </w:rPr>
        <w:t>Président</w:t>
      </w:r>
      <w:r>
        <w:t xml:space="preserve"> a remercié le Sri Lanka, et est passé à la candidature suiva</w:t>
      </w:r>
      <w:r w:rsidR="00F24F73">
        <w:t>nte soumise par le Tadjikistan.</w:t>
      </w:r>
    </w:p>
    <w:p w14:paraId="52337EDC" w14:textId="187164F2" w:rsidR="00CE63CF" w:rsidRPr="00987AC0" w:rsidRDefault="00987AC0" w:rsidP="00F24F73">
      <w:pPr>
        <w:pStyle w:val="Orateurengris"/>
        <w:spacing w:before="120"/>
        <w:ind w:left="709" w:hanging="709"/>
      </w:pPr>
      <w:r>
        <w:t xml:space="preserve">Le </w:t>
      </w:r>
      <w:r w:rsidRPr="00987AC0">
        <w:rPr>
          <w:b/>
        </w:rPr>
        <w:t>Vice-Président de l</w:t>
      </w:r>
      <w:r w:rsidR="00346F1B">
        <w:rPr>
          <w:b/>
        </w:rPr>
        <w:t>’</w:t>
      </w:r>
      <w:r w:rsidRPr="00987AC0">
        <w:rPr>
          <w:b/>
        </w:rPr>
        <w:t>Organe d</w:t>
      </w:r>
      <w:r w:rsidR="00346F1B">
        <w:rPr>
          <w:b/>
        </w:rPr>
        <w:t>’</w:t>
      </w:r>
      <w:r w:rsidRPr="00987AC0">
        <w:rPr>
          <w:b/>
        </w:rPr>
        <w:t>évaluation</w:t>
      </w:r>
      <w:r>
        <w:t xml:space="preserve"> est passé à la candidature su</w:t>
      </w:r>
      <w:r w:rsidR="00730970">
        <w:t xml:space="preserve">ivante, </w:t>
      </w:r>
      <w:bookmarkStart w:id="51" w:name="Decision10b33"/>
      <w:r w:rsidR="00730970" w:rsidRPr="00730970">
        <w:rPr>
          <w:b/>
        </w:rPr>
        <w:t>l</w:t>
      </w:r>
      <w:r w:rsidR="00346F1B">
        <w:rPr>
          <w:b/>
        </w:rPr>
        <w:t>’</w:t>
      </w:r>
      <w:r w:rsidR="00730970" w:rsidRPr="00730970">
        <w:rPr>
          <w:b/>
        </w:rPr>
        <w:t>Oshi Palav, plat traditionnel et ses contextes sociaux et</w:t>
      </w:r>
      <w:r w:rsidR="00730970">
        <w:rPr>
          <w:b/>
        </w:rPr>
        <w:t xml:space="preserve"> culturels a</w:t>
      </w:r>
      <w:r w:rsidR="00730970" w:rsidRPr="00730970">
        <w:rPr>
          <w:b/>
        </w:rPr>
        <w:t>u Tadjikistan</w:t>
      </w:r>
      <w:r w:rsidR="00730970">
        <w:t xml:space="preserve"> </w:t>
      </w:r>
      <w:bookmarkEnd w:id="51"/>
      <w:r w:rsidR="00730970">
        <w:t>[projet de décision 11.COM 10.b.33], soumise par la Tadji</w:t>
      </w:r>
      <w:r w:rsidR="008A7AAD">
        <w:t>kistan. L</w:t>
      </w:r>
      <w:r w:rsidR="00346F1B">
        <w:t>’</w:t>
      </w:r>
      <w:r w:rsidR="008A7AAD">
        <w:t>Oshi palav (pilaf) était</w:t>
      </w:r>
      <w:r w:rsidR="00730970">
        <w:t xml:space="preserve"> un plat traditionnel des communautés du Tadjikistan</w:t>
      </w:r>
      <w:r w:rsidR="008A7AAD">
        <w:t xml:space="preserve"> reconnu comme faisant partie de </w:t>
      </w:r>
      <w:r w:rsidR="00CE63CF">
        <w:t>leur patrimoine culturel. Le « r</w:t>
      </w:r>
      <w:r w:rsidR="008A7AAD">
        <w:t xml:space="preserve">oi des </w:t>
      </w:r>
      <w:r w:rsidR="00CE63CF">
        <w:t xml:space="preserve">plats </w:t>
      </w:r>
      <w:r w:rsidR="008A7AAD">
        <w:t>», une préparation à base de légumes, de riz, de viande et d</w:t>
      </w:r>
      <w:r w:rsidR="00346F1B">
        <w:t>’</w:t>
      </w:r>
      <w:r w:rsidR="008A7AAD">
        <w:t>épices, était riche de plus de 200 variantes. Considéré comme une pratique inclusive qui rassemblait les gens de différents milieux, il était préparé pour être dégusté lors des repas de tous les jours, ains</w:t>
      </w:r>
      <w:r w:rsidR="00763F59">
        <w:t>i qu</w:t>
      </w:r>
      <w:r w:rsidR="00346F1B">
        <w:t>’</w:t>
      </w:r>
      <w:r w:rsidR="00763F59">
        <w:t>à l</w:t>
      </w:r>
      <w:r w:rsidR="00346F1B">
        <w:t>’</w:t>
      </w:r>
      <w:r w:rsidR="00763F59">
        <w:t>occasion d</w:t>
      </w:r>
      <w:r w:rsidR="00346F1B">
        <w:t>’</w:t>
      </w:r>
      <w:r w:rsidR="00763F59">
        <w:t>événements de la vie sociale, de célébrations et de rituels. Les connaissances et savoir-faire associés à la pratique étaient transmis au sein du cercle familial et dans des écoles de cuisine. À la lecture des informations contenues dans le dossier, l</w:t>
      </w:r>
      <w:r w:rsidR="00346F1B">
        <w:t>’</w:t>
      </w:r>
      <w:r w:rsidR="00763F59">
        <w:t>Organe d</w:t>
      </w:r>
      <w:r w:rsidR="00346F1B">
        <w:t>’</w:t>
      </w:r>
      <w:r w:rsidR="00763F59">
        <w:t xml:space="preserve">évaluation avait décidé que la candidature satisfaisait </w:t>
      </w:r>
      <w:r w:rsidR="00E827CA">
        <w:t xml:space="preserve">les </w:t>
      </w:r>
      <w:r w:rsidR="00763F59">
        <w:t>cinq critères. Afin de sauvegarder l</w:t>
      </w:r>
      <w:r w:rsidR="00346F1B">
        <w:t>’</w:t>
      </w:r>
      <w:r w:rsidR="00763F59">
        <w:t>Oshi Palav, l</w:t>
      </w:r>
      <w:r w:rsidR="00346F1B">
        <w:t>’</w:t>
      </w:r>
      <w:r w:rsidR="00763F59">
        <w:t>État soumissionnaire avait proposé de collaborer étroitement avec les ONG, communautés et individus concernés afin de mettre en œuvre les autres mesures de sauvegarde. La participation des communautés, groupes et individus à la planification et la mise en œuvre des mesures proposées semblait</w:t>
      </w:r>
      <w:r w:rsidR="00CE63CF">
        <w:t xml:space="preserve"> assurée</w:t>
      </w:r>
      <w:r w:rsidR="00763F59">
        <w:t>. L</w:t>
      </w:r>
      <w:r w:rsidR="00346F1B">
        <w:t>’</w:t>
      </w:r>
      <w:r w:rsidR="00763F59">
        <w:t>Organe d</w:t>
      </w:r>
      <w:r w:rsidR="00346F1B">
        <w:t>’</w:t>
      </w:r>
      <w:r w:rsidR="00763F59">
        <w:t>évaluation avait décidé de recommander l</w:t>
      </w:r>
      <w:r w:rsidR="00346F1B">
        <w:t>’</w:t>
      </w:r>
      <w:r w:rsidR="00763F59">
        <w:t>inscription de l</w:t>
      </w:r>
      <w:r w:rsidR="00346F1B">
        <w:t>’</w:t>
      </w:r>
      <w:r w:rsidR="00CE63CF">
        <w:t>Oshi Palav, plat traditionnel et ses contextes sociaux et culturels au Tadjikist</w:t>
      </w:r>
      <w:r w:rsidR="00F24F73">
        <w:t>an sur la Liste représentative.</w:t>
      </w:r>
    </w:p>
    <w:p w14:paraId="2027A989" w14:textId="4664F63D" w:rsidR="00CE63CF" w:rsidRDefault="00CE63CF" w:rsidP="00F24F73">
      <w:pPr>
        <w:pStyle w:val="Orateurengris"/>
        <w:spacing w:before="120"/>
        <w:ind w:left="709" w:hanging="709"/>
      </w:pPr>
      <w:r>
        <w:t>Après avoir remercié le Vice-Président de l</w:t>
      </w:r>
      <w:r w:rsidR="00346F1B">
        <w:t>’</w:t>
      </w:r>
      <w:r>
        <w:t>Organe d</w:t>
      </w:r>
      <w:r w:rsidR="00346F1B">
        <w:t>’</w:t>
      </w:r>
      <w:r>
        <w:t xml:space="preserve">évaluation, le </w:t>
      </w:r>
      <w:r w:rsidRPr="00CE63CF">
        <w:rPr>
          <w:b/>
        </w:rPr>
        <w:t>Président</w:t>
      </w:r>
      <w:r>
        <w:t xml:space="preserve"> a signalé qu</w:t>
      </w:r>
      <w:r w:rsidR="00346F1B">
        <w:t>’</w:t>
      </w:r>
      <w:r>
        <w:t>aucun amendement n</w:t>
      </w:r>
      <w:r w:rsidR="00346F1B">
        <w:t>’</w:t>
      </w:r>
      <w:r>
        <w:t>avait été déposé, et a donc proposé d</w:t>
      </w:r>
      <w:r w:rsidR="00346F1B">
        <w:t>’</w:t>
      </w:r>
      <w:r>
        <w:t>adopter la décision dans son ensemble. En l</w:t>
      </w:r>
      <w:r w:rsidR="00346F1B">
        <w:t>’</w:t>
      </w:r>
      <w:r>
        <w:t>absence de commentaires ou d</w:t>
      </w:r>
      <w:r w:rsidR="00346F1B">
        <w:t>’</w:t>
      </w:r>
      <w:r>
        <w:t xml:space="preserve">objections, le </w:t>
      </w:r>
      <w:r w:rsidRPr="00CE63CF">
        <w:rPr>
          <w:b/>
        </w:rPr>
        <w:t>Président a déclaré adoptée la décision 11.C</w:t>
      </w:r>
      <w:r>
        <w:rPr>
          <w:b/>
        </w:rPr>
        <w:t>O</w:t>
      </w:r>
      <w:r w:rsidRPr="00CE63CF">
        <w:rPr>
          <w:b/>
        </w:rPr>
        <w:t>M 10.b.33 d</w:t>
      </w:r>
      <w:r w:rsidR="00346F1B">
        <w:rPr>
          <w:b/>
        </w:rPr>
        <w:t>’</w:t>
      </w:r>
      <w:r w:rsidRPr="00CE63CF">
        <w:rPr>
          <w:b/>
        </w:rPr>
        <w:t>inscrire l</w:t>
      </w:r>
      <w:r w:rsidR="00346F1B">
        <w:rPr>
          <w:b/>
        </w:rPr>
        <w:t>’</w:t>
      </w:r>
      <w:r w:rsidRPr="00CE63CF">
        <w:rPr>
          <w:b/>
        </w:rPr>
        <w:t xml:space="preserve">Oshi Palav, plat traditionnel et ses contextes sociaux et culturels </w:t>
      </w:r>
      <w:r>
        <w:rPr>
          <w:b/>
        </w:rPr>
        <w:t xml:space="preserve">au Tadjikistan </w:t>
      </w:r>
      <w:r w:rsidRPr="00CE63CF">
        <w:rPr>
          <w:b/>
        </w:rPr>
        <w:t>sur la Liste représentative du patrimoine culturel immatériel de l</w:t>
      </w:r>
      <w:r w:rsidR="00346F1B">
        <w:rPr>
          <w:b/>
        </w:rPr>
        <w:t>’</w:t>
      </w:r>
      <w:r w:rsidRPr="00CE63CF">
        <w:rPr>
          <w:b/>
        </w:rPr>
        <w:t>humanité</w:t>
      </w:r>
      <w:r w:rsidR="00F24F73">
        <w:t>.</w:t>
      </w:r>
    </w:p>
    <w:p w14:paraId="6A570931" w14:textId="0F19F83E" w:rsidR="00CE63CF" w:rsidRDefault="00CE63CF" w:rsidP="00F24F73">
      <w:pPr>
        <w:pStyle w:val="Orateurengris"/>
        <w:spacing w:before="120"/>
        <w:ind w:left="709" w:hanging="709"/>
      </w:pPr>
      <w:r>
        <w:t>S</w:t>
      </w:r>
      <w:r w:rsidR="00346F1B">
        <w:t>’</w:t>
      </w:r>
      <w:r>
        <w:t xml:space="preserve">exprimant au nom du peuple tadjik, la délégation du </w:t>
      </w:r>
      <w:r w:rsidRPr="00CE63CF">
        <w:rPr>
          <w:b/>
        </w:rPr>
        <w:t>Tadjikistan</w:t>
      </w:r>
      <w:r>
        <w:t xml:space="preserve"> a adressé ses remerciements à l</w:t>
      </w:r>
      <w:r w:rsidR="00346F1B">
        <w:t>’</w:t>
      </w:r>
      <w:r>
        <w:t>Éthiopie pour sa chaleureuse hospitalité et l</w:t>
      </w:r>
      <w:r w:rsidR="00346F1B">
        <w:t>’</w:t>
      </w:r>
      <w:r>
        <w:t>organisation de cette très importante réunion. Elle a également exprimé sa plus grande reconnaissance au Comité et à l</w:t>
      </w:r>
      <w:r w:rsidR="00346F1B">
        <w:t>’</w:t>
      </w:r>
      <w:r>
        <w:t>Organe d</w:t>
      </w:r>
      <w:r w:rsidR="00346F1B">
        <w:t>’</w:t>
      </w:r>
      <w:r>
        <w:t>évaluation pour la décision d</w:t>
      </w:r>
      <w:r w:rsidR="00346F1B">
        <w:t>’</w:t>
      </w:r>
      <w:r>
        <w:t>inscrire l</w:t>
      </w:r>
      <w:r w:rsidR="00346F1B">
        <w:t>’</w:t>
      </w:r>
      <w:r>
        <w:t>élément sur la Liste représentative. L</w:t>
      </w:r>
      <w:r w:rsidR="00346F1B">
        <w:t>’</w:t>
      </w:r>
      <w:r>
        <w:t>élément n</w:t>
      </w:r>
      <w:r w:rsidR="00346F1B">
        <w:t>’</w:t>
      </w:r>
      <w:r>
        <w:t>était pas la propriété du peuple tadjik, il faisait partie de la diversité culturelle de l</w:t>
      </w:r>
      <w:r w:rsidR="00346F1B">
        <w:t>’</w:t>
      </w:r>
      <w:r>
        <w:t xml:space="preserve">humanité. </w:t>
      </w:r>
      <w:r w:rsidR="00F86858">
        <w:t>Désormais, la tâche la plus importante à accomplir était de mettre en pratique ces éléments pour les nouvelles générations. Enfin, la délégation a adressé des remerciements particuliers à la République islamique d</w:t>
      </w:r>
      <w:r w:rsidR="00346F1B">
        <w:t>’</w:t>
      </w:r>
      <w:r w:rsidR="00F86858">
        <w:t>Iran pour la coordination du dossier multinational sur « Now</w:t>
      </w:r>
      <w:r w:rsidR="00F24F73">
        <w:t>ruz ».</w:t>
      </w:r>
    </w:p>
    <w:p w14:paraId="3F3775FB" w14:textId="47F7301E" w:rsidR="00F86858" w:rsidRDefault="00F86858" w:rsidP="00F24F73">
      <w:pPr>
        <w:pStyle w:val="Orateurengris"/>
        <w:tabs>
          <w:tab w:val="left" w:pos="2410"/>
        </w:tabs>
        <w:spacing w:before="120"/>
        <w:ind w:left="709" w:hanging="709"/>
      </w:pPr>
      <w:r>
        <w:t xml:space="preserve">Le </w:t>
      </w:r>
      <w:r w:rsidRPr="00F86858">
        <w:rPr>
          <w:b/>
        </w:rPr>
        <w:t>Président</w:t>
      </w:r>
      <w:r>
        <w:t xml:space="preserve"> a remercié le Tadjikistan, et est passé à la candidature suivante, soumise par la </w:t>
      </w:r>
      <w:r w:rsidR="00F24F73">
        <w:t>Turquie.</w:t>
      </w:r>
    </w:p>
    <w:p w14:paraId="623142F7" w14:textId="51C8DAD1" w:rsidR="007B5E4C" w:rsidRDefault="00DC389E" w:rsidP="00F24F73">
      <w:pPr>
        <w:pStyle w:val="Orateurengris"/>
        <w:spacing w:before="120"/>
        <w:ind w:left="709" w:hanging="709"/>
      </w:pPr>
      <w:r>
        <w:t xml:space="preserve">Le </w:t>
      </w:r>
      <w:r w:rsidRPr="00DC389E">
        <w:rPr>
          <w:b/>
        </w:rPr>
        <w:t>Vice-Président de l</w:t>
      </w:r>
      <w:r w:rsidR="00346F1B">
        <w:rPr>
          <w:b/>
        </w:rPr>
        <w:t>’</w:t>
      </w:r>
      <w:r w:rsidRPr="00DC389E">
        <w:rPr>
          <w:b/>
        </w:rPr>
        <w:t>Organe d</w:t>
      </w:r>
      <w:r w:rsidR="00346F1B">
        <w:rPr>
          <w:b/>
        </w:rPr>
        <w:t>’</w:t>
      </w:r>
      <w:r w:rsidRPr="00DC389E">
        <w:rPr>
          <w:b/>
        </w:rPr>
        <w:t>évaluation</w:t>
      </w:r>
      <w:r>
        <w:t xml:space="preserve"> a présenté la candidature </w:t>
      </w:r>
      <w:bookmarkStart w:id="52" w:name="Decision10b34"/>
      <w:r>
        <w:t xml:space="preserve">de </w:t>
      </w:r>
      <w:r w:rsidRPr="00DC389E">
        <w:rPr>
          <w:b/>
        </w:rPr>
        <w:t>l</w:t>
      </w:r>
      <w:r w:rsidR="00346F1B">
        <w:rPr>
          <w:b/>
        </w:rPr>
        <w:t>’</w:t>
      </w:r>
      <w:r w:rsidRPr="00DC389E">
        <w:rPr>
          <w:b/>
        </w:rPr>
        <w:t>artisanat traditionnel du çini</w:t>
      </w:r>
      <w:r>
        <w:t xml:space="preserve"> </w:t>
      </w:r>
      <w:bookmarkEnd w:id="52"/>
      <w:r>
        <w:t xml:space="preserve">[projet de décision 11.COM 10.b.34], soumise par la Turquie. Les çinis étaient des carreaux de faïence et de céramique faits à la main en Turquie, décorés de motifs colorés, et appliqués sur les façades des bâtiments et dans les maisons. Les dessins, représentant des coutumes et des croyances </w:t>
      </w:r>
      <w:r w:rsidR="00AE20BE">
        <w:t xml:space="preserve">locales, étaient </w:t>
      </w:r>
      <w:r w:rsidR="00A17544">
        <w:t xml:space="preserve">percés sur du papier, transférés sur la surface avec des contours tracés à la main, puis les pièces étaient teintes, émaillées et cuites. Pratiqué de façon formelle et informelle dans des ateliers traditionnels, des </w:t>
      </w:r>
      <w:r w:rsidR="00C27E63">
        <w:t>établissements publics d</w:t>
      </w:r>
      <w:r w:rsidR="00346F1B">
        <w:t>’</w:t>
      </w:r>
      <w:r w:rsidR="00C27E63">
        <w:t>enseignement</w:t>
      </w:r>
      <w:r w:rsidR="00A17544">
        <w:t>, des universités et à la maison, le çini était considéré comme un moyen d</w:t>
      </w:r>
      <w:r w:rsidR="00346F1B">
        <w:t>’</w:t>
      </w:r>
      <w:r w:rsidR="00A17544">
        <w:t>ex</w:t>
      </w:r>
      <w:r w:rsidR="00657438">
        <w:t>p</w:t>
      </w:r>
      <w:r w:rsidR="007B5E4C">
        <w:t xml:space="preserve">ression et </w:t>
      </w:r>
      <w:r w:rsidR="00657438">
        <w:t xml:space="preserve">de développement </w:t>
      </w:r>
      <w:r w:rsidR="00E827CA">
        <w:t>personnel permettan</w:t>
      </w:r>
      <w:r w:rsidR="00657438">
        <w:t xml:space="preserve">t </w:t>
      </w:r>
      <w:r w:rsidR="00667A63">
        <w:t xml:space="preserve">à ses pratiquants </w:t>
      </w:r>
      <w:r w:rsidR="00657438">
        <w:t xml:space="preserve">de </w:t>
      </w:r>
      <w:r w:rsidR="007B5E4C">
        <w:t xml:space="preserve">se </w:t>
      </w:r>
      <w:r w:rsidR="00657438">
        <w:t xml:space="preserve">sentir mieux. </w:t>
      </w:r>
      <w:r w:rsidR="007B5E4C">
        <w:t>E</w:t>
      </w:r>
      <w:r w:rsidR="00657438">
        <w:t>n outre</w:t>
      </w:r>
      <w:r w:rsidR="007B5E4C">
        <w:t>, c</w:t>
      </w:r>
      <w:r w:rsidR="00346F1B">
        <w:t>’</w:t>
      </w:r>
      <w:r w:rsidR="007B5E4C">
        <w:t>était</w:t>
      </w:r>
      <w:r w:rsidR="00657438">
        <w:t xml:space="preserve"> un aspect symbolique de l</w:t>
      </w:r>
      <w:r w:rsidR="00346F1B">
        <w:t>’</w:t>
      </w:r>
      <w:r w:rsidR="00657438">
        <w:t xml:space="preserve">identité </w:t>
      </w:r>
      <w:r w:rsidR="007B5E4C">
        <w:t>culturelle</w:t>
      </w:r>
      <w:r w:rsidR="00657438">
        <w:t xml:space="preserve"> turque. </w:t>
      </w:r>
      <w:r w:rsidR="007B5E4C">
        <w:t>À la lecture des informations contenues dans le dossier, la candidature satisfaisait l</w:t>
      </w:r>
      <w:r w:rsidR="00346F1B">
        <w:t>’</w:t>
      </w:r>
      <w:r w:rsidR="007B5E4C">
        <w:t>ensemble des cinq critères. Le dossier décrivait la fonction culturelle de l</w:t>
      </w:r>
      <w:r w:rsidR="00346F1B">
        <w:t>’</w:t>
      </w:r>
      <w:r w:rsidR="007B5E4C">
        <w:t>élément ainsi que ses fonctions sociales, et affirmait qu</w:t>
      </w:r>
      <w:r w:rsidR="00346F1B">
        <w:t>’</w:t>
      </w:r>
      <w:r w:rsidR="007B5E4C">
        <w:t>il était le fondement d</w:t>
      </w:r>
      <w:r w:rsidR="00346F1B">
        <w:t>’</w:t>
      </w:r>
      <w:r w:rsidR="007B5E4C">
        <w:t>une continuité culturelle et d</w:t>
      </w:r>
      <w:r w:rsidR="00346F1B">
        <w:t>’</w:t>
      </w:r>
      <w:r w:rsidR="007B5E4C">
        <w:t>un sentiment d</w:t>
      </w:r>
      <w:r w:rsidR="00346F1B">
        <w:t>’</w:t>
      </w:r>
      <w:r w:rsidR="007B5E4C">
        <w:t xml:space="preserve">identité. Il </w:t>
      </w:r>
      <w:r w:rsidR="00667A63">
        <w:t>mettait l</w:t>
      </w:r>
      <w:r w:rsidR="00346F1B">
        <w:t>’</w:t>
      </w:r>
      <w:r w:rsidR="00667A63">
        <w:t xml:space="preserve">accent </w:t>
      </w:r>
      <w:r w:rsidR="007B5E4C">
        <w:t xml:space="preserve">sur le çini </w:t>
      </w:r>
      <w:r w:rsidR="00667A63">
        <w:t>en tant qu</w:t>
      </w:r>
      <w:r w:rsidR="00346F1B">
        <w:t>’</w:t>
      </w:r>
      <w:r w:rsidR="007B5E4C">
        <w:t xml:space="preserve">exemple de dynamisme esthétique et de créativité humaine. Son inscription </w:t>
      </w:r>
      <w:r w:rsidR="0094359A">
        <w:t xml:space="preserve">favoriserait </w:t>
      </w:r>
      <w:r w:rsidR="007B5E4C">
        <w:t xml:space="preserve">le respect de la créativité </w:t>
      </w:r>
      <w:r w:rsidR="0094359A">
        <w:t>humaine et encouragerait les artisans du çini à sauvegarder et améliorer leurs connaissances et savoir-faire traditionnels face à la production industrielle et aux produits importés. L</w:t>
      </w:r>
      <w:r w:rsidR="00346F1B">
        <w:t>’</w:t>
      </w:r>
      <w:r w:rsidR="0094359A">
        <w:t>Organe d</w:t>
      </w:r>
      <w:r w:rsidR="00346F1B">
        <w:t>’</w:t>
      </w:r>
      <w:r w:rsidR="0094359A">
        <w:t>évaluation avait décidé de recommander l</w:t>
      </w:r>
      <w:r w:rsidR="00346F1B">
        <w:t>’</w:t>
      </w:r>
      <w:r w:rsidR="0094359A">
        <w:t>inscription de l</w:t>
      </w:r>
      <w:r w:rsidR="00346F1B">
        <w:t>’</w:t>
      </w:r>
      <w:r w:rsidR="0094359A">
        <w:t>artisanat traditionnel du çini sur la List</w:t>
      </w:r>
      <w:r w:rsidR="00F24F73">
        <w:t>e représentative.</w:t>
      </w:r>
    </w:p>
    <w:p w14:paraId="5518E9B3" w14:textId="2E5F7853" w:rsidR="00667A63" w:rsidRDefault="00667A63" w:rsidP="00F24F73">
      <w:pPr>
        <w:pStyle w:val="Orateurengris"/>
        <w:spacing w:before="120"/>
        <w:ind w:left="709" w:hanging="709"/>
      </w:pPr>
      <w:r>
        <w:t xml:space="preserve">Le </w:t>
      </w:r>
      <w:r w:rsidRPr="00667A63">
        <w:rPr>
          <w:b/>
        </w:rPr>
        <w:t>Président</w:t>
      </w:r>
      <w:r>
        <w:t xml:space="preserve"> a remercié le Vice-Président de l</w:t>
      </w:r>
      <w:r w:rsidR="00346F1B">
        <w:t>’</w:t>
      </w:r>
      <w:r>
        <w:t>Organe d</w:t>
      </w:r>
      <w:r w:rsidR="00346F1B">
        <w:t>’</w:t>
      </w:r>
      <w:r>
        <w:t>évaluation pour son explication détaillée, et a signalé qu</w:t>
      </w:r>
      <w:r w:rsidR="00346F1B">
        <w:t>’</w:t>
      </w:r>
      <w:r>
        <w:t>aucune demande d</w:t>
      </w:r>
      <w:r w:rsidR="00346F1B">
        <w:t>’</w:t>
      </w:r>
      <w:r>
        <w:t>amendement n</w:t>
      </w:r>
      <w:r w:rsidR="00346F1B">
        <w:t>’</w:t>
      </w:r>
      <w:r w:rsidR="00F24F73">
        <w:t>avait été reçue.</w:t>
      </w:r>
    </w:p>
    <w:p w14:paraId="2669CB6F" w14:textId="6DF34E61" w:rsidR="00667A63" w:rsidRDefault="00667A63" w:rsidP="00F24F73">
      <w:pPr>
        <w:pStyle w:val="Orateurengris"/>
        <w:spacing w:before="120"/>
        <w:ind w:left="709" w:hanging="709"/>
      </w:pPr>
      <w:r>
        <w:t>La délégation de l</w:t>
      </w:r>
      <w:r w:rsidR="00346F1B">
        <w:t>’</w:t>
      </w:r>
      <w:r w:rsidRPr="00C27E63">
        <w:rPr>
          <w:b/>
        </w:rPr>
        <w:t>Arménie</w:t>
      </w:r>
      <w:r>
        <w:t xml:space="preserve"> trouvait cette candida</w:t>
      </w:r>
      <w:r w:rsidR="00C27E63">
        <w:t xml:space="preserve">ture des plus intéressantes, entre autres, </w:t>
      </w:r>
      <w:r>
        <w:t>parce que l</w:t>
      </w:r>
      <w:r w:rsidR="00346F1B">
        <w:t>’</w:t>
      </w:r>
      <w:r>
        <w:t>un des quatre grands-parents du délég</w:t>
      </w:r>
      <w:r w:rsidR="000706B0">
        <w:t>ué était un Arménien de Küt</w:t>
      </w:r>
      <w:r w:rsidR="00C27E63">
        <w:t>a</w:t>
      </w:r>
      <w:r w:rsidR="000706B0">
        <w:t>h</w:t>
      </w:r>
      <w:r w:rsidR="00C27E63">
        <w:t xml:space="preserve">ya, </w:t>
      </w:r>
      <w:r>
        <w:t>et que sa famille avait produi</w:t>
      </w:r>
      <w:r w:rsidR="00C27E63">
        <w:t xml:space="preserve">t </w:t>
      </w:r>
      <w:r w:rsidR="000706B0">
        <w:t>des poteries arméniennes de Küt</w:t>
      </w:r>
      <w:r w:rsidR="00C27E63">
        <w:t>a</w:t>
      </w:r>
      <w:r w:rsidR="000706B0">
        <w:t>h</w:t>
      </w:r>
      <w:r w:rsidR="00C27E63">
        <w:t>ya dans cette ville jusqu</w:t>
      </w:r>
      <w:r w:rsidR="00346F1B">
        <w:t>’</w:t>
      </w:r>
      <w:r w:rsidR="00C27E63">
        <w:t xml:space="preserve">en 1921. </w:t>
      </w:r>
      <w:r w:rsidR="001F60A9">
        <w:t>Néanmoins, s</w:t>
      </w:r>
      <w:r w:rsidR="00346F1B">
        <w:t>’</w:t>
      </w:r>
      <w:r w:rsidR="001F60A9">
        <w:t>agissant des adjectifs historiques et des références à l</w:t>
      </w:r>
      <w:r w:rsidR="00346F1B">
        <w:t>’</w:t>
      </w:r>
      <w:r w:rsidR="001F60A9">
        <w:t>adjectif « turc », l</w:t>
      </w:r>
      <w:r w:rsidR="00C27E63">
        <w:t>a délégation avait trouvé quelques incohérences et inex</w:t>
      </w:r>
      <w:r w:rsidR="001F60A9">
        <w:t>actitudes. Par exemple, d</w:t>
      </w:r>
      <w:r w:rsidR="00C27E63">
        <w:t>an</w:t>
      </w:r>
      <w:r w:rsidR="001F60A9">
        <w:t>s la section 1, on faisait référence à</w:t>
      </w:r>
      <w:r w:rsidR="00C27E63">
        <w:t> : « </w:t>
      </w:r>
      <w:r w:rsidR="001F60A9">
        <w:t>l</w:t>
      </w:r>
      <w:r w:rsidR="00346F1B">
        <w:t>’</w:t>
      </w:r>
      <w:r w:rsidR="001F60A9">
        <w:t>art turc du çini depuis le XII</w:t>
      </w:r>
      <w:r w:rsidR="001F60A9" w:rsidRPr="001F60A9">
        <w:rPr>
          <w:vertAlign w:val="superscript"/>
        </w:rPr>
        <w:t>e</w:t>
      </w:r>
      <w:r w:rsidR="001F60A9">
        <w:t xml:space="preserve"> siècle ». L</w:t>
      </w:r>
      <w:r w:rsidR="00346F1B">
        <w:t>’</w:t>
      </w:r>
      <w:r w:rsidR="001F60A9">
        <w:t>absenc</w:t>
      </w:r>
      <w:r w:rsidR="00E318D6">
        <w:t>e de mention dans le dossier d</w:t>
      </w:r>
      <w:r w:rsidR="00346F1B">
        <w:t>’</w:t>
      </w:r>
      <w:r w:rsidR="001F60A9">
        <w:t>autres détenteurs de l</w:t>
      </w:r>
      <w:r w:rsidR="00346F1B">
        <w:t>’</w:t>
      </w:r>
      <w:r w:rsidR="001F60A9">
        <w:t>artisanat du çini</w:t>
      </w:r>
      <w:r w:rsidR="00E318D6">
        <w:t>,</w:t>
      </w:r>
      <w:r w:rsidR="001F60A9">
        <w:t xml:space="preserve"> qui perpétuaient leur art et leur activité ailleurs qu</w:t>
      </w:r>
      <w:r w:rsidR="00346F1B">
        <w:t>’</w:t>
      </w:r>
      <w:r w:rsidR="001F60A9">
        <w:t>à Kütahya ou Iznik</w:t>
      </w:r>
      <w:r w:rsidR="00E318D6">
        <w:t>, était également une inexactitude</w:t>
      </w:r>
      <w:r w:rsidR="001F60A9">
        <w:t>. Il a été précisé que des références dev</w:t>
      </w:r>
      <w:r w:rsidR="00E318D6">
        <w:t>r</w:t>
      </w:r>
      <w:r w:rsidR="001F60A9">
        <w:t xml:space="preserve">aient être faites </w:t>
      </w:r>
      <w:r w:rsidR="00E318D6">
        <w:t>au développement, après 1920, 1921 et 1922, de l</w:t>
      </w:r>
      <w:r w:rsidR="00346F1B">
        <w:t>’</w:t>
      </w:r>
      <w:r w:rsidR="00E318D6">
        <w:t>art de la poterie de Kütahya dans trois autres centres. Pendant l</w:t>
      </w:r>
      <w:r w:rsidR="00346F1B">
        <w:t>’</w:t>
      </w:r>
      <w:r w:rsidR="00E318D6">
        <w:t xml:space="preserve">occupation britannique de Jérusalem, juste avant la première guerre mondiale, les Britanniques avaient employé des potiers arméniens de Kütahya, qui </w:t>
      </w:r>
      <w:r w:rsidR="000706B0">
        <w:t>travaillaient</w:t>
      </w:r>
      <w:r w:rsidR="00E318D6">
        <w:t xml:space="preserve"> à la restauration des panneaux de céramique du Dôme du rocher, et la production </w:t>
      </w:r>
      <w:r w:rsidR="000706B0">
        <w:t>de céramiques de Kütahya s</w:t>
      </w:r>
      <w:r w:rsidR="00346F1B">
        <w:t>’</w:t>
      </w:r>
      <w:r w:rsidR="000706B0">
        <w:t>y poursuivait</w:t>
      </w:r>
      <w:r w:rsidR="00E827CA">
        <w:t xml:space="preserve"> jusqu</w:t>
      </w:r>
      <w:r w:rsidR="00346F1B">
        <w:t>’</w:t>
      </w:r>
      <w:r w:rsidR="00E827CA">
        <w:t>à l</w:t>
      </w:r>
      <w:r w:rsidR="00346F1B">
        <w:t>’</w:t>
      </w:r>
      <w:r w:rsidR="00E827CA">
        <w:t xml:space="preserve">époque actuelle. </w:t>
      </w:r>
      <w:r w:rsidR="00E318D6">
        <w:t>À ce sujet, la délégation a rappelé que la Palestine avait organisé une exposition au Siège de l</w:t>
      </w:r>
      <w:r w:rsidR="00346F1B">
        <w:t>’</w:t>
      </w:r>
      <w:r w:rsidR="00E318D6">
        <w:t>UNESCO sur la production de céramiques de Kütahya, qui était désormais basée à Jérusalem. Une autre partie de la production s</w:t>
      </w:r>
      <w:r w:rsidR="00346F1B">
        <w:t>’</w:t>
      </w:r>
      <w:r w:rsidR="00E318D6">
        <w:t xml:space="preserve">était déplacée à Athènes en 1921. Ces artisans arméniens et grecs perpétuaient leur art en Grèce. La troisième vague de ces </w:t>
      </w:r>
      <w:r w:rsidR="004B4B01">
        <w:t xml:space="preserve">potiers était partie en Arménie, où leur activité perdurait. Ainsi, </w:t>
      </w:r>
      <w:r w:rsidR="00E827CA">
        <w:t>contrairement à ce qu</w:t>
      </w:r>
      <w:r w:rsidR="00346F1B">
        <w:t>’</w:t>
      </w:r>
      <w:r w:rsidR="00E827CA">
        <w:t xml:space="preserve">indiquait </w:t>
      </w:r>
      <w:r w:rsidR="004B4B01">
        <w:t>la candidature, les détenteurs et praticiens de cet élément ne vivaient pas uniquement sur le territoire turc. Par ailleurs, dans la section 2, il était indiqué que la fabrication de çini était considérée comme « pratiquée uniquement dans ces régions », une déclaration que la délégation estimait inco</w:t>
      </w:r>
      <w:r w:rsidR="00655102">
        <w:t>rrecte. Elle a fait référence à la</w:t>
      </w:r>
      <w:r w:rsidR="004B4B01">
        <w:t xml:space="preserve"> plus ancien</w:t>
      </w:r>
      <w:r w:rsidR="00655102">
        <w:t>ne</w:t>
      </w:r>
      <w:r w:rsidR="004B4B01">
        <w:t xml:space="preserve"> et plus célèbre </w:t>
      </w:r>
      <w:r w:rsidR="00655102">
        <w:t xml:space="preserve">pièce de </w:t>
      </w:r>
      <w:r w:rsidR="004B4B01">
        <w:t xml:space="preserve">céramique de Kütahya, une petite aiguière </w:t>
      </w:r>
      <w:r w:rsidR="00655102">
        <w:t>portant des inscriptions en arménien, réalisée en 1510 par le maître Abraham de Kütahya, et qui était désormais exposée au British Museum, cataloguée parmi les céramiques arméniennes de Kütahya. Nonobstant ces remarques, la délégation ad</w:t>
      </w:r>
      <w:r w:rsidR="00F24F73">
        <w:t>hérerait au consensus existant.</w:t>
      </w:r>
    </w:p>
    <w:p w14:paraId="6B8848EB" w14:textId="012C79F3" w:rsidR="00AF6A66" w:rsidRDefault="00AF6A66" w:rsidP="00F24F73">
      <w:pPr>
        <w:pStyle w:val="Orateurengris"/>
        <w:spacing w:before="120"/>
        <w:ind w:left="709" w:hanging="709"/>
      </w:pPr>
      <w:r>
        <w:t xml:space="preserve">Après avoir pris note de cette déclaration, le </w:t>
      </w:r>
      <w:r w:rsidRPr="00AF6A66">
        <w:rPr>
          <w:b/>
        </w:rPr>
        <w:t>Président</w:t>
      </w:r>
      <w:r>
        <w:t xml:space="preserve"> a proposé, en l</w:t>
      </w:r>
      <w:r w:rsidR="00346F1B">
        <w:t>’</w:t>
      </w:r>
      <w:r>
        <w:t>absence d</w:t>
      </w:r>
      <w:r w:rsidR="00346F1B">
        <w:t>’</w:t>
      </w:r>
      <w:r>
        <w:t>autres commentaires, d</w:t>
      </w:r>
      <w:r w:rsidR="00346F1B">
        <w:t>’</w:t>
      </w:r>
      <w:r>
        <w:t>adopter la décision dans son ensemble. En l</w:t>
      </w:r>
      <w:r w:rsidR="00346F1B">
        <w:t>’</w:t>
      </w:r>
      <w:r>
        <w:t>absence d</w:t>
      </w:r>
      <w:r w:rsidR="00346F1B">
        <w:t>’</w:t>
      </w:r>
      <w:r>
        <w:t xml:space="preserve">objections, le </w:t>
      </w:r>
      <w:r w:rsidRPr="00AF6A66">
        <w:rPr>
          <w:b/>
        </w:rPr>
        <w:t>Président a déclaré adoptée la décision 11.COM 10.b.34 d</w:t>
      </w:r>
      <w:r w:rsidR="00346F1B">
        <w:rPr>
          <w:b/>
        </w:rPr>
        <w:t>’</w:t>
      </w:r>
      <w:r w:rsidRPr="00AF6A66">
        <w:rPr>
          <w:b/>
        </w:rPr>
        <w:t>inscrire l</w:t>
      </w:r>
      <w:r w:rsidR="00346F1B">
        <w:rPr>
          <w:b/>
        </w:rPr>
        <w:t>’</w:t>
      </w:r>
      <w:r w:rsidRPr="00AF6A66">
        <w:rPr>
          <w:b/>
        </w:rPr>
        <w:t>artisanat traditionnel du çini sur la Liste représentative du patrimoine culturel immatériel de l</w:t>
      </w:r>
      <w:r w:rsidR="00346F1B">
        <w:rPr>
          <w:b/>
        </w:rPr>
        <w:t>’</w:t>
      </w:r>
      <w:r w:rsidRPr="00AF6A66">
        <w:rPr>
          <w:b/>
        </w:rPr>
        <w:t>humanité</w:t>
      </w:r>
      <w:r>
        <w:t>.</w:t>
      </w:r>
    </w:p>
    <w:p w14:paraId="65D2DB77" w14:textId="4D24D656" w:rsidR="00867C91" w:rsidRPr="00AD246C" w:rsidRDefault="00AF6A66" w:rsidP="00F24F73">
      <w:pPr>
        <w:pStyle w:val="Orateurengris"/>
        <w:spacing w:before="120"/>
        <w:ind w:left="709" w:hanging="709"/>
      </w:pPr>
      <w:r w:rsidRPr="00AD246C">
        <w:t xml:space="preserve">En réponse aux questions soulevées pendant le débat, la délégation de la </w:t>
      </w:r>
      <w:r w:rsidRPr="00AD246C">
        <w:rPr>
          <w:b/>
        </w:rPr>
        <w:t>Turquie</w:t>
      </w:r>
      <w:r w:rsidRPr="00AD246C">
        <w:t xml:space="preserve"> a rappelé </w:t>
      </w:r>
      <w:r w:rsidR="002B1891" w:rsidRPr="00AD246C">
        <w:t xml:space="preserve">que </w:t>
      </w:r>
      <w:r w:rsidRPr="00AD246C">
        <w:t>les États parties à la Convention soumettaient des dossiers sur la base de critères pertinents, qui étaient inscrits dans le</w:t>
      </w:r>
      <w:r w:rsidR="00C961BB">
        <w:t>s Directives opérationnelles. L</w:t>
      </w:r>
      <w:r w:rsidR="00346F1B">
        <w:t>’</w:t>
      </w:r>
      <w:r w:rsidRPr="00AD246C">
        <w:t>Organe d</w:t>
      </w:r>
      <w:r w:rsidR="00346F1B">
        <w:t>’</w:t>
      </w:r>
      <w:r w:rsidRPr="00AD246C">
        <w:t xml:space="preserve">évaluation </w:t>
      </w:r>
      <w:r w:rsidR="00C961BB">
        <w:t xml:space="preserve">fondait </w:t>
      </w:r>
      <w:r w:rsidRPr="00AD246C">
        <w:t>son évaluation</w:t>
      </w:r>
      <w:r w:rsidR="00C961BB">
        <w:t xml:space="preserve"> sur ces mêmes critères</w:t>
      </w:r>
      <w:r w:rsidRPr="00AD246C">
        <w:t xml:space="preserve">. </w:t>
      </w:r>
      <w:r w:rsidR="002B1891" w:rsidRPr="00AD246C">
        <w:t>La délégation a cité le paragraphe 51 de l</w:t>
      </w:r>
      <w:r w:rsidR="00346F1B">
        <w:t>’</w:t>
      </w:r>
      <w:r w:rsidR="002B1891" w:rsidRPr="00AD246C">
        <w:t>aide-mémoire et le formulaire ICH-02 pour les candidatures à la Liste représentative</w:t>
      </w:r>
      <w:r w:rsidR="00FE7B5B" w:rsidRPr="00AD246C">
        <w:t xml:space="preserve"> qui précis</w:t>
      </w:r>
      <w:r w:rsidR="00E45E67">
        <w:t>ai</w:t>
      </w:r>
      <w:r w:rsidR="00FE7B5B" w:rsidRPr="00AD246C">
        <w:t>ent que « l</w:t>
      </w:r>
      <w:r w:rsidR="00346F1B">
        <w:t>’</w:t>
      </w:r>
      <w:r w:rsidR="00FE7B5B" w:rsidRPr="00AD246C">
        <w:t>histoire de l</w:t>
      </w:r>
      <w:r w:rsidR="00346F1B">
        <w:t>’</w:t>
      </w:r>
      <w:r w:rsidR="00FE7B5B" w:rsidRPr="00AD246C">
        <w:t>élément, son origine ou son ancienneté n</w:t>
      </w:r>
      <w:r w:rsidR="00346F1B">
        <w:t>’</w:t>
      </w:r>
      <w:r w:rsidR="00FE7B5B" w:rsidRPr="00AD246C">
        <w:t>ont pas besoin d</w:t>
      </w:r>
      <w:r w:rsidR="00346F1B">
        <w:t>’</w:t>
      </w:r>
      <w:r w:rsidR="00FE7B5B" w:rsidRPr="00AD246C">
        <w:t>être abordées en détail dans le dossier de candidature ». Ainsi, l</w:t>
      </w:r>
      <w:r w:rsidR="00346F1B">
        <w:t>’</w:t>
      </w:r>
      <w:r w:rsidR="00FE7B5B" w:rsidRPr="00AD246C">
        <w:t>évolution historique de l</w:t>
      </w:r>
      <w:r w:rsidR="00346F1B">
        <w:t>’</w:t>
      </w:r>
      <w:r w:rsidR="00FE7B5B" w:rsidRPr="00AD246C">
        <w:t>élément du PCI concerné n</w:t>
      </w:r>
      <w:r w:rsidR="00346F1B">
        <w:t>’</w:t>
      </w:r>
      <w:r w:rsidR="00FE7B5B" w:rsidRPr="00AD246C">
        <w:t xml:space="preserve">était pas un </w:t>
      </w:r>
      <w:r w:rsidR="00E45E67">
        <w:t xml:space="preserve">critère </w:t>
      </w:r>
      <w:r w:rsidR="00FE7B5B" w:rsidRPr="00AD246C">
        <w:t>pour l</w:t>
      </w:r>
      <w:r w:rsidR="00346F1B">
        <w:t>’</w:t>
      </w:r>
      <w:r w:rsidR="00FE7B5B" w:rsidRPr="00AD246C">
        <w:t>évaluation des dossiers de candidature par l</w:t>
      </w:r>
      <w:r w:rsidR="00346F1B">
        <w:t>’</w:t>
      </w:r>
      <w:r w:rsidR="00FE7B5B" w:rsidRPr="00AD246C">
        <w:t>Organe d</w:t>
      </w:r>
      <w:r w:rsidR="00346F1B">
        <w:t>’</w:t>
      </w:r>
      <w:r w:rsidR="00FE7B5B" w:rsidRPr="00AD246C">
        <w:t>évaluation. La délégation a également cité le paragraphe 34 du rapport de l</w:t>
      </w:r>
      <w:r w:rsidR="00346F1B">
        <w:t>’</w:t>
      </w:r>
      <w:r w:rsidR="00FE7B5B" w:rsidRPr="00AD246C">
        <w:t>Organe d</w:t>
      </w:r>
      <w:r w:rsidR="00346F1B">
        <w:t>’</w:t>
      </w:r>
      <w:r w:rsidR="00FE7B5B" w:rsidRPr="00AD246C">
        <w:t>évaluation : « S</w:t>
      </w:r>
      <w:r w:rsidR="00346F1B">
        <w:t>’</w:t>
      </w:r>
      <w:r w:rsidR="00FE7B5B" w:rsidRPr="00AD246C">
        <w:t>il est irréaliste et inutile de faire abstraction du contexte historique dans lequel se situe un élément et considérant qu</w:t>
      </w:r>
      <w:r w:rsidR="00346F1B">
        <w:t>’</w:t>
      </w:r>
      <w:r w:rsidR="00FE7B5B" w:rsidRPr="00AD246C">
        <w:t>il est recommandé de ne pas figer un élément dans le temps, l</w:t>
      </w:r>
      <w:r w:rsidR="00346F1B">
        <w:t>’</w:t>
      </w:r>
      <w:r w:rsidR="00FE7B5B" w:rsidRPr="00AD246C">
        <w:t xml:space="preserve">Organe évalue </w:t>
      </w:r>
      <w:r w:rsidR="00E45E67">
        <w:t>la pratique et la signification</w:t>
      </w:r>
      <w:r w:rsidR="00FE7B5B" w:rsidRPr="00AD246C">
        <w:t xml:space="preserve"> actuelles de l</w:t>
      </w:r>
      <w:r w:rsidR="00346F1B">
        <w:t>’</w:t>
      </w:r>
      <w:r w:rsidR="00FE7B5B" w:rsidRPr="00AD246C">
        <w:t>élément et non son i</w:t>
      </w:r>
      <w:r w:rsidR="00C961BB">
        <w:t>mportance dans le passé». Il était</w:t>
      </w:r>
      <w:r w:rsidR="00FE7B5B" w:rsidRPr="00AD246C">
        <w:t xml:space="preserve"> donc demandé au Comité de débattre de l</w:t>
      </w:r>
      <w:r w:rsidR="00346F1B">
        <w:t>’</w:t>
      </w:r>
      <w:r w:rsidR="00FE7B5B" w:rsidRPr="00AD246C">
        <w:t>état actuel des éléments du PCI et n</w:t>
      </w:r>
      <w:r w:rsidR="00AD246C" w:rsidRPr="00AD246C">
        <w:t xml:space="preserve">on de son contexte historique. En outre, pour certains </w:t>
      </w:r>
      <w:r w:rsidR="00C961BB">
        <w:t>éléments, les praticiens pouvaient</w:t>
      </w:r>
      <w:r w:rsidR="00AD246C" w:rsidRPr="00AD246C">
        <w:t xml:space="preserve"> être des grou</w:t>
      </w:r>
      <w:r w:rsidR="00E45E67">
        <w:t>pes ou des individus, et non</w:t>
      </w:r>
      <w:r w:rsidR="00AD246C" w:rsidRPr="00AD246C">
        <w:t xml:space="preserve"> des communautés, comme précisé par les articles 1 et 2 de la Convention et largement reflété </w:t>
      </w:r>
      <w:r w:rsidR="00E45E67">
        <w:t xml:space="preserve">par </w:t>
      </w:r>
      <w:r w:rsidR="00AD246C" w:rsidRPr="00AD246C">
        <w:t>les textes fondamentaux de la Convention. S</w:t>
      </w:r>
      <w:r w:rsidR="00346F1B">
        <w:t>’</w:t>
      </w:r>
      <w:r w:rsidR="00AD246C" w:rsidRPr="00AD246C">
        <w:t>agissant de cette candidature, les praticiens étaient des professionnels qui avaient acquis leurs compétence</w:t>
      </w:r>
      <w:r w:rsidR="00E45E67">
        <w:t>s</w:t>
      </w:r>
      <w:r w:rsidR="00AD246C" w:rsidRPr="00AD246C">
        <w:t xml:space="preserve"> par la transmission du </w:t>
      </w:r>
      <w:r w:rsidR="00C961BB">
        <w:t xml:space="preserve">PCI, </w:t>
      </w:r>
      <w:r w:rsidR="00AD246C" w:rsidRPr="00AD246C">
        <w:t>et le contexte ethnique ou religieux n</w:t>
      </w:r>
      <w:r w:rsidR="00346F1B">
        <w:t>’</w:t>
      </w:r>
      <w:r w:rsidR="00AD246C" w:rsidRPr="00AD246C">
        <w:t>était donc pas pertinent. Comme le précisait le dossier de candidature</w:t>
      </w:r>
      <w:r w:rsidR="00E45E67">
        <w:t>, le çini était pratiqué</w:t>
      </w:r>
      <w:r w:rsidR="00AD246C" w:rsidRPr="00AD246C">
        <w:t xml:space="preserve"> par des artisans appelés Kâşiger, Kâşigerân, Çinici ou Sırçacı, don</w:t>
      </w:r>
      <w:r w:rsidR="00AD246C">
        <w:t xml:space="preserve">t les noms </w:t>
      </w:r>
      <w:r w:rsidR="00E45E67">
        <w:t>avaient pour origine</w:t>
      </w:r>
      <w:r w:rsidR="00AD246C">
        <w:t xml:space="preserve"> l</w:t>
      </w:r>
      <w:r w:rsidR="00346F1B">
        <w:t>’</w:t>
      </w:r>
      <w:r w:rsidR="00AD246C">
        <w:t>art lui-même et n</w:t>
      </w:r>
      <w:r w:rsidR="00346F1B">
        <w:t>’</w:t>
      </w:r>
      <w:r w:rsidR="00AD246C">
        <w:t xml:space="preserve">avaient aucune connotation ethnique. </w:t>
      </w:r>
      <w:r w:rsidR="00E45E67">
        <w:t xml:space="preserve">Afin de dresser un tableau précis de </w:t>
      </w:r>
      <w:r w:rsidR="005F4577">
        <w:t>l</w:t>
      </w:r>
      <w:r w:rsidR="00346F1B">
        <w:t>’</w:t>
      </w:r>
      <w:r w:rsidR="00E45E67">
        <w:t>é</w:t>
      </w:r>
      <w:r w:rsidR="005F4577">
        <w:t xml:space="preserve">tat </w:t>
      </w:r>
      <w:r w:rsidR="00E45E67">
        <w:t xml:space="preserve">actuel </w:t>
      </w:r>
      <w:r w:rsidR="005F4577">
        <w:t>de la pratique de l</w:t>
      </w:r>
      <w:r w:rsidR="00346F1B">
        <w:t>’</w:t>
      </w:r>
      <w:r w:rsidR="005F4577">
        <w:t xml:space="preserve">élément, la délégation a cité </w:t>
      </w:r>
      <w:r w:rsidR="00BC3597">
        <w:t>son dossier de candidature : « L</w:t>
      </w:r>
      <w:r w:rsidR="00346F1B">
        <w:t>’</w:t>
      </w:r>
      <w:r w:rsidR="005F4577">
        <w:t>art du çini est ouvert à tous, indépendamment de l</w:t>
      </w:r>
      <w:r w:rsidR="00346F1B">
        <w:t>’</w:t>
      </w:r>
      <w:r w:rsidR="005F4577">
        <w:t>âge, du genre, des croyances religieuses ou de l</w:t>
      </w:r>
      <w:r w:rsidR="00346F1B">
        <w:t>’</w:t>
      </w:r>
      <w:r w:rsidR="005F4577">
        <w:t>origine ethnique. Quiconque souhaite apprendre l</w:t>
      </w:r>
      <w:r w:rsidR="00346F1B">
        <w:t>’</w:t>
      </w:r>
      <w:r w:rsidR="005F4577">
        <w:t>artisanat du çini ou s</w:t>
      </w:r>
      <w:r w:rsidR="00346F1B">
        <w:t>’</w:t>
      </w:r>
      <w:r w:rsidR="005F4577">
        <w:t>exprimer à travers l</w:t>
      </w:r>
      <w:r w:rsidR="00346F1B">
        <w:t>’</w:t>
      </w:r>
      <w:r w:rsidR="005F4577">
        <w:t>art du çini est libre de le faire. »</w:t>
      </w:r>
      <w:r w:rsidR="00E45E67">
        <w:t xml:space="preserve"> La Convention n</w:t>
      </w:r>
      <w:r w:rsidR="00346F1B">
        <w:t>’</w:t>
      </w:r>
      <w:r w:rsidR="00E45E67">
        <w:t>empêchait d</w:t>
      </w:r>
      <w:r w:rsidR="00346F1B">
        <w:t>’</w:t>
      </w:r>
      <w:r w:rsidR="00E45E67">
        <w:t>ailleurs pas la pratique d</w:t>
      </w:r>
      <w:r w:rsidR="00346F1B">
        <w:t>’</w:t>
      </w:r>
      <w:r w:rsidR="00E45E67">
        <w:t>un élément similaire dans un autre pays</w:t>
      </w:r>
      <w:r w:rsidR="00BC3597">
        <w:t>. La délégation, s</w:t>
      </w:r>
      <w:r w:rsidR="00346F1B">
        <w:t>’</w:t>
      </w:r>
      <w:r w:rsidR="00BC3597">
        <w:t>exprimant au nom de la Délégation permanente turque auprès de l</w:t>
      </w:r>
      <w:r w:rsidR="00346F1B">
        <w:t>’</w:t>
      </w:r>
      <w:r w:rsidR="00BC3597">
        <w:t xml:space="preserve">UNESCO, du ministère turc de la Culture et </w:t>
      </w:r>
      <w:r w:rsidR="004F3299">
        <w:t>du Tourisme et de la Commission nationale turque pour l</w:t>
      </w:r>
      <w:r w:rsidR="00346F1B">
        <w:t>’</w:t>
      </w:r>
      <w:r w:rsidR="004F3299">
        <w:t>UNESCO, a remercié le Comité d</w:t>
      </w:r>
      <w:r w:rsidR="00346F1B">
        <w:t>’</w:t>
      </w:r>
      <w:r w:rsidR="004F3299">
        <w:t>avoir inscrit l</w:t>
      </w:r>
      <w:r w:rsidR="00346F1B">
        <w:t>’</w:t>
      </w:r>
      <w:r w:rsidR="004F3299">
        <w:t xml:space="preserve">élément sur la Liste représentative, ajoutant que cette inscription serait accueillie avec joie par le grand public en Turquie, car la fabrication de çini était un artisanat reconnu dans </w:t>
      </w:r>
      <w:r w:rsidR="00E45E67">
        <w:t xml:space="preserve">tout </w:t>
      </w:r>
      <w:r w:rsidR="004F3299">
        <w:t>le pays. Elle encouragerait les praticiens, les artisans, les formateurs et les amoureux du çini en Turquie, en rendant l</w:t>
      </w:r>
      <w:r w:rsidR="00346F1B">
        <w:t>’</w:t>
      </w:r>
      <w:r w:rsidR="004F3299">
        <w:t>élément plus v</w:t>
      </w:r>
      <w:r w:rsidR="00E45E67">
        <w:t>isible et plus important</w:t>
      </w:r>
      <w:r w:rsidR="004F3299">
        <w:t xml:space="preserve">. La délégation </w:t>
      </w:r>
      <w:r w:rsidR="00AF513B">
        <w:t>a affirmé sa volonté d</w:t>
      </w:r>
      <w:r w:rsidR="00346F1B">
        <w:t>’</w:t>
      </w:r>
      <w:r w:rsidR="00AF513B">
        <w:t>accorder une place importante aux</w:t>
      </w:r>
      <w:r w:rsidR="004F3299">
        <w:t xml:space="preserve"> mesures de sauvegarde </w:t>
      </w:r>
      <w:r w:rsidR="00AF513B">
        <w:t xml:space="preserve">destinées à </w:t>
      </w:r>
      <w:r w:rsidR="004F3299">
        <w:t xml:space="preserve">soutenir et renforcer </w:t>
      </w:r>
      <w:r w:rsidR="00AF513B">
        <w:t xml:space="preserve">davantage </w:t>
      </w:r>
      <w:r w:rsidR="004F3299">
        <w:t>l</w:t>
      </w:r>
      <w:r w:rsidR="00346F1B">
        <w:t>’</w:t>
      </w:r>
      <w:r w:rsidR="004F3299">
        <w:t>artisanat traditionnel du çini en tant qu</w:t>
      </w:r>
      <w:r w:rsidR="00346F1B">
        <w:t>’</w:t>
      </w:r>
      <w:r w:rsidR="004F3299">
        <w:t xml:space="preserve">élément vivant du PCI. Le nombre croissant de dossiers turcs présents sur la Liste représentative </w:t>
      </w:r>
      <w:r w:rsidR="00C961BB">
        <w:t xml:space="preserve">attestait </w:t>
      </w:r>
      <w:r w:rsidR="00867C91">
        <w:t>la richesse de sa culture et l</w:t>
      </w:r>
      <w:r w:rsidR="00346F1B">
        <w:t>’</w:t>
      </w:r>
      <w:r w:rsidR="00867C91">
        <w:t>en</w:t>
      </w:r>
      <w:r w:rsidR="00F24F73">
        <w:t>gagement de ses autorités.</w:t>
      </w:r>
    </w:p>
    <w:p w14:paraId="65DB97FA" w14:textId="2A12DD7E" w:rsidR="004223B8" w:rsidRPr="00AF6A66" w:rsidRDefault="00867C91" w:rsidP="00F24F73">
      <w:pPr>
        <w:pStyle w:val="Orateurengris"/>
        <w:numPr>
          <w:ilvl w:val="0"/>
          <w:numId w:val="0"/>
        </w:numPr>
        <w:spacing w:before="120"/>
        <w:ind w:left="709" w:hanging="709"/>
        <w:jc w:val="center"/>
        <w:rPr>
          <w:i/>
        </w:rPr>
      </w:pPr>
      <w:r>
        <w:rPr>
          <w:i/>
        </w:rPr>
        <w:t>[Un film sur le çini a été projeté</w:t>
      </w:r>
      <w:r w:rsidR="004223B8" w:rsidRPr="00AF6A66">
        <w:rPr>
          <w:i/>
        </w:rPr>
        <w:t>]</w:t>
      </w:r>
    </w:p>
    <w:p w14:paraId="226DDFAE" w14:textId="73335A8F" w:rsidR="00AF513B" w:rsidRDefault="00AF513B" w:rsidP="00F24F73">
      <w:pPr>
        <w:pStyle w:val="Orateurengris"/>
        <w:spacing w:before="120"/>
        <w:ind w:left="709" w:hanging="709"/>
      </w:pPr>
      <w:r>
        <w:t xml:space="preserve">Le </w:t>
      </w:r>
      <w:r w:rsidRPr="00AF513B">
        <w:rPr>
          <w:b/>
        </w:rPr>
        <w:t>Président</w:t>
      </w:r>
      <w:r>
        <w:t xml:space="preserve"> a félicité la Turquie, et est passé à la candidature finale, soumise par l</w:t>
      </w:r>
      <w:r w:rsidR="00346F1B">
        <w:t>’</w:t>
      </w:r>
      <w:r w:rsidR="00F24F73">
        <w:t>Ouzbékistan.</w:t>
      </w:r>
    </w:p>
    <w:p w14:paraId="16532629" w14:textId="132E26A1" w:rsidR="00AF513B" w:rsidRDefault="00AF513B" w:rsidP="00F24F73">
      <w:pPr>
        <w:pStyle w:val="Orateurengris"/>
        <w:spacing w:before="120"/>
        <w:ind w:left="709" w:hanging="709"/>
      </w:pPr>
      <w:r>
        <w:t xml:space="preserve">Le </w:t>
      </w:r>
      <w:r w:rsidRPr="00AF513B">
        <w:rPr>
          <w:b/>
        </w:rPr>
        <w:t>Vice-Président de l</w:t>
      </w:r>
      <w:r w:rsidR="00346F1B">
        <w:rPr>
          <w:b/>
        </w:rPr>
        <w:t>’</w:t>
      </w:r>
      <w:r w:rsidRPr="00AF513B">
        <w:rPr>
          <w:b/>
        </w:rPr>
        <w:t>Organe d</w:t>
      </w:r>
      <w:r w:rsidR="00346F1B">
        <w:rPr>
          <w:b/>
        </w:rPr>
        <w:t>’</w:t>
      </w:r>
      <w:r w:rsidRPr="00AF513B">
        <w:rPr>
          <w:b/>
        </w:rPr>
        <w:t>évaluation</w:t>
      </w:r>
      <w:r>
        <w:t xml:space="preserve"> est passé à la candidature suivante, </w:t>
      </w:r>
      <w:bookmarkStart w:id="53" w:name="Decision10b35"/>
      <w:r w:rsidRPr="00AF513B">
        <w:rPr>
          <w:b/>
        </w:rPr>
        <w:t>la tradition et la culture du palov</w:t>
      </w:r>
      <w:bookmarkEnd w:id="53"/>
      <w:r>
        <w:t xml:space="preserve"> [projet de décision 11.COM 10.b.35], soumise par l</w:t>
      </w:r>
      <w:r w:rsidR="00346F1B">
        <w:t>’</w:t>
      </w:r>
      <w:r>
        <w:t xml:space="preserve">Ouzbékistan. </w:t>
      </w:r>
      <w:r w:rsidR="00397AB0">
        <w:t>Selon un</w:t>
      </w:r>
      <w:r w:rsidR="002914DC">
        <w:t xml:space="preserve"> dicton ouzbek : « L</w:t>
      </w:r>
      <w:r>
        <w:t>es invités ne peuvent prendre congé de leurs hôtes que lorsque ces deniers leur ont offert le palov ». Préparé à base de riz, de viande, d</w:t>
      </w:r>
      <w:r w:rsidR="00346F1B">
        <w:t>’</w:t>
      </w:r>
      <w:r>
        <w:t xml:space="preserve">épices et de légumes, le plat traditionnel était consommé </w:t>
      </w:r>
      <w:r w:rsidR="00C02F1C">
        <w:t>régulièrement mais également pour célébrer des occasions particulières, aider les personnes dans le besoin ou honorer les défunts. Transmis de maître à apprenti, au sein du cercle familial, entre groupes de pairs et dans des institutions communautaires, la pratique était un facteur de renforcement des liens sociaux, encourageait la solidarité et faisait partie intégrante de l</w:t>
      </w:r>
      <w:r w:rsidR="00346F1B">
        <w:t>’</w:t>
      </w:r>
      <w:r w:rsidR="00C02F1C">
        <w:t>identité cultur</w:t>
      </w:r>
      <w:r w:rsidR="002914DC">
        <w:t>elle de la communauté. Après un</w:t>
      </w:r>
      <w:r w:rsidR="00C02F1C">
        <w:t xml:space="preserve"> examen très attentif</w:t>
      </w:r>
      <w:r w:rsidR="002914DC">
        <w:t xml:space="preserve"> du dossier</w:t>
      </w:r>
      <w:r w:rsidR="00C02F1C">
        <w:t>, l</w:t>
      </w:r>
      <w:r w:rsidR="00346F1B">
        <w:t>’</w:t>
      </w:r>
      <w:r w:rsidR="00C02F1C">
        <w:t>Organe d</w:t>
      </w:r>
      <w:r w:rsidR="00346F1B">
        <w:t>’</w:t>
      </w:r>
      <w:r w:rsidR="00C02F1C">
        <w:t>évaluation avait décidé que la candidature satisfaisait l</w:t>
      </w:r>
      <w:r w:rsidR="00346F1B">
        <w:t>’</w:t>
      </w:r>
      <w:r w:rsidR="00C02F1C">
        <w:t>ensemble des cinq critères. La culture et la tradition du palov faisaient partie de nombreux rituels et portaient des valeurs de solidarité, de tolérance, d</w:t>
      </w:r>
      <w:r w:rsidR="00346F1B">
        <w:t>’</w:t>
      </w:r>
      <w:r w:rsidR="00C02F1C">
        <w:t>hospitalité, de charité et de res</w:t>
      </w:r>
      <w:r w:rsidR="00857A94">
        <w:t>pect pour les voisins. Comme c</w:t>
      </w:r>
      <w:r w:rsidR="00346F1B">
        <w:t>’</w:t>
      </w:r>
      <w:r w:rsidR="00C02F1C">
        <w:t>était le cas pour les groupes pratiquant l</w:t>
      </w:r>
      <w:r w:rsidR="00346F1B">
        <w:t>’</w:t>
      </w:r>
      <w:r w:rsidR="00C02F1C">
        <w:t>élément dans toutes les régions de l</w:t>
      </w:r>
      <w:r w:rsidR="00346F1B">
        <w:t>’</w:t>
      </w:r>
      <w:r w:rsidR="00C02F1C">
        <w:t>Ouzbékistan, les mécanismes formels et informels utilisés pour transmette les connaissances et sa</w:t>
      </w:r>
      <w:r w:rsidR="00857A94">
        <w:t>voir-faire associés à l</w:t>
      </w:r>
      <w:r w:rsidR="00346F1B">
        <w:t>’</w:t>
      </w:r>
      <w:r w:rsidR="00857A94">
        <w:t>élément</w:t>
      </w:r>
      <w:r w:rsidR="00C02F1C">
        <w:t xml:space="preserve"> </w:t>
      </w:r>
      <w:r w:rsidR="00857A94">
        <w:t xml:space="preserve">étaient clairement identifiés. Le dossier </w:t>
      </w:r>
      <w:r w:rsidR="002914DC">
        <w:t xml:space="preserve">apportait la preuve </w:t>
      </w:r>
      <w:r w:rsidR="00857A94">
        <w:t>que les communautés, municipalités, assoc</w:t>
      </w:r>
      <w:r w:rsidR="002914DC">
        <w:t xml:space="preserve">iations professionnelles et </w:t>
      </w:r>
      <w:r w:rsidR="00857A94">
        <w:t xml:space="preserve">institutions gouvernementales avaient participé à la planification des mesures de sauvegarde et que leur participation se poursuivrait dans le cadre de </w:t>
      </w:r>
      <w:r w:rsidR="002914DC">
        <w:t xml:space="preserve">leur </w:t>
      </w:r>
      <w:r w:rsidR="00857A94">
        <w:t>mise en œuvre</w:t>
      </w:r>
      <w:r w:rsidR="002914DC">
        <w:t>. L</w:t>
      </w:r>
      <w:r w:rsidR="00346F1B">
        <w:t>’</w:t>
      </w:r>
      <w:r w:rsidR="00857A94">
        <w:t>Organe d</w:t>
      </w:r>
      <w:r w:rsidR="00346F1B">
        <w:t>’</w:t>
      </w:r>
      <w:r w:rsidR="00857A94">
        <w:t>évaluation avait décidé de recommander l</w:t>
      </w:r>
      <w:r w:rsidR="00346F1B">
        <w:t>’</w:t>
      </w:r>
      <w:r w:rsidR="00857A94">
        <w:t>inscription de la tradition et la culture du palov sur la List</w:t>
      </w:r>
      <w:r w:rsidR="00F24F73">
        <w:t>e représentative.</w:t>
      </w:r>
    </w:p>
    <w:p w14:paraId="53176FF1" w14:textId="6A48313C" w:rsidR="002914DC" w:rsidRPr="002914DC" w:rsidRDefault="002914DC" w:rsidP="00F24F73">
      <w:pPr>
        <w:pStyle w:val="Orateurengris"/>
        <w:spacing w:before="120"/>
        <w:ind w:left="709" w:hanging="709"/>
        <w:rPr>
          <w:bCs/>
        </w:rPr>
      </w:pPr>
      <w:r>
        <w:rPr>
          <w:bCs/>
        </w:rPr>
        <w:t>Après avoir remercié le Vice-Président de l</w:t>
      </w:r>
      <w:r w:rsidR="00346F1B">
        <w:rPr>
          <w:bCs/>
        </w:rPr>
        <w:t>’</w:t>
      </w:r>
      <w:r>
        <w:rPr>
          <w:bCs/>
        </w:rPr>
        <w:t>Organe d</w:t>
      </w:r>
      <w:r w:rsidR="00346F1B">
        <w:rPr>
          <w:bCs/>
        </w:rPr>
        <w:t>’</w:t>
      </w:r>
      <w:r>
        <w:rPr>
          <w:bCs/>
        </w:rPr>
        <w:t xml:space="preserve">évaluation, le </w:t>
      </w:r>
      <w:r w:rsidRPr="002914DC">
        <w:rPr>
          <w:b/>
          <w:bCs/>
        </w:rPr>
        <w:t>Président</w:t>
      </w:r>
      <w:r>
        <w:rPr>
          <w:bCs/>
        </w:rPr>
        <w:t xml:space="preserve"> a signalé qu</w:t>
      </w:r>
      <w:r w:rsidR="00346F1B">
        <w:rPr>
          <w:bCs/>
        </w:rPr>
        <w:t>’</w:t>
      </w:r>
      <w:r>
        <w:rPr>
          <w:bCs/>
        </w:rPr>
        <w:t xml:space="preserve">aucun </w:t>
      </w:r>
      <w:r w:rsidRPr="002914DC">
        <w:rPr>
          <w:bCs/>
        </w:rPr>
        <w:t>amendement</w:t>
      </w:r>
      <w:r>
        <w:rPr>
          <w:bCs/>
        </w:rPr>
        <w:t xml:space="preserve"> n</w:t>
      </w:r>
      <w:r w:rsidR="00346F1B">
        <w:rPr>
          <w:bCs/>
        </w:rPr>
        <w:t>’</w:t>
      </w:r>
      <w:r>
        <w:rPr>
          <w:bCs/>
        </w:rPr>
        <w:t>avait été déposé et a donc proposé d</w:t>
      </w:r>
      <w:r w:rsidR="00346F1B">
        <w:rPr>
          <w:bCs/>
        </w:rPr>
        <w:t>’</w:t>
      </w:r>
      <w:r>
        <w:rPr>
          <w:bCs/>
        </w:rPr>
        <w:t xml:space="preserve">adopter la </w:t>
      </w:r>
      <w:r w:rsidRPr="002914DC">
        <w:rPr>
          <w:bCs/>
        </w:rPr>
        <w:t>décision</w:t>
      </w:r>
      <w:r>
        <w:rPr>
          <w:bCs/>
        </w:rPr>
        <w:t xml:space="preserve"> dans son ensemble. En l</w:t>
      </w:r>
      <w:r w:rsidR="00346F1B">
        <w:rPr>
          <w:bCs/>
        </w:rPr>
        <w:t>’</w:t>
      </w:r>
      <w:r>
        <w:rPr>
          <w:bCs/>
        </w:rPr>
        <w:t>absence de commentaires ou d</w:t>
      </w:r>
      <w:r w:rsidR="00346F1B">
        <w:rPr>
          <w:bCs/>
        </w:rPr>
        <w:t>’</w:t>
      </w:r>
      <w:r>
        <w:rPr>
          <w:bCs/>
        </w:rPr>
        <w:t xml:space="preserve">objections, le </w:t>
      </w:r>
      <w:r w:rsidRPr="002914DC">
        <w:rPr>
          <w:b/>
          <w:bCs/>
        </w:rPr>
        <w:t>Président a déclaré adoptée la décision 11.COM 10.b.35 d</w:t>
      </w:r>
      <w:r w:rsidR="00346F1B">
        <w:rPr>
          <w:b/>
          <w:bCs/>
        </w:rPr>
        <w:t>’</w:t>
      </w:r>
      <w:r w:rsidRPr="002914DC">
        <w:rPr>
          <w:b/>
          <w:bCs/>
        </w:rPr>
        <w:t>inscrire la tradition et la culture du palov sur la Liste représentative du patrimoine culturel immatériel de l</w:t>
      </w:r>
      <w:r w:rsidR="00346F1B">
        <w:rPr>
          <w:b/>
          <w:bCs/>
        </w:rPr>
        <w:t>’</w:t>
      </w:r>
      <w:r w:rsidRPr="002914DC">
        <w:rPr>
          <w:b/>
          <w:bCs/>
        </w:rPr>
        <w:t>humanité</w:t>
      </w:r>
      <w:r w:rsidR="00F24F73">
        <w:rPr>
          <w:bCs/>
        </w:rPr>
        <w:t>.</w:t>
      </w:r>
    </w:p>
    <w:p w14:paraId="5DFED34D" w14:textId="03BC0F20" w:rsidR="002914DC" w:rsidRPr="002914DC" w:rsidRDefault="002914DC" w:rsidP="00F24F73">
      <w:pPr>
        <w:pStyle w:val="Orateurengris"/>
        <w:spacing w:before="120"/>
        <w:ind w:left="709" w:hanging="709"/>
        <w:rPr>
          <w:bCs/>
        </w:rPr>
      </w:pPr>
      <w:r>
        <w:rPr>
          <w:bCs/>
        </w:rPr>
        <w:t xml:space="preserve">Le </w:t>
      </w:r>
      <w:r w:rsidRPr="002914DC">
        <w:rPr>
          <w:b/>
          <w:bCs/>
        </w:rPr>
        <w:t>Président</w:t>
      </w:r>
      <w:r>
        <w:rPr>
          <w:bCs/>
        </w:rPr>
        <w:t xml:space="preserve"> a félicité la </w:t>
      </w:r>
      <w:r w:rsidRPr="002914DC">
        <w:rPr>
          <w:bCs/>
        </w:rPr>
        <w:t>délégation</w:t>
      </w:r>
      <w:r>
        <w:rPr>
          <w:bCs/>
        </w:rPr>
        <w:t xml:space="preserve"> de l</w:t>
      </w:r>
      <w:r w:rsidR="00346F1B">
        <w:rPr>
          <w:bCs/>
        </w:rPr>
        <w:t>’</w:t>
      </w:r>
      <w:r>
        <w:rPr>
          <w:bCs/>
        </w:rPr>
        <w:t>Ouzbékistan qui n</w:t>
      </w:r>
      <w:r w:rsidR="00346F1B">
        <w:rPr>
          <w:bCs/>
        </w:rPr>
        <w:t>’</w:t>
      </w:r>
      <w:r>
        <w:rPr>
          <w:bCs/>
        </w:rPr>
        <w:t>était pas présente dans la salle. Il a informé le Comité qu</w:t>
      </w:r>
      <w:r w:rsidR="00346F1B">
        <w:rPr>
          <w:bCs/>
        </w:rPr>
        <w:t>’</w:t>
      </w:r>
      <w:r>
        <w:rPr>
          <w:bCs/>
        </w:rPr>
        <w:t>il avait achevé l</w:t>
      </w:r>
      <w:r w:rsidR="00346F1B">
        <w:rPr>
          <w:bCs/>
        </w:rPr>
        <w:t>’</w:t>
      </w:r>
      <w:r>
        <w:rPr>
          <w:bCs/>
        </w:rPr>
        <w:t xml:space="preserve">examen de toutes les </w:t>
      </w:r>
      <w:r w:rsidRPr="002914DC">
        <w:rPr>
          <w:bCs/>
        </w:rPr>
        <w:t>candidature</w:t>
      </w:r>
      <w:r>
        <w:rPr>
          <w:bCs/>
        </w:rPr>
        <w:t>s à la Liste représentative, et a remercié les membres pour leur soutien. Il est passé à l</w:t>
      </w:r>
      <w:r w:rsidR="00346F1B">
        <w:rPr>
          <w:bCs/>
        </w:rPr>
        <w:t>’</w:t>
      </w:r>
      <w:r>
        <w:rPr>
          <w:bCs/>
        </w:rPr>
        <w:t>examen du point 10.c de l</w:t>
      </w:r>
      <w:r w:rsidR="00346F1B">
        <w:rPr>
          <w:bCs/>
        </w:rPr>
        <w:t>’</w:t>
      </w:r>
      <w:r w:rsidRPr="002914DC">
        <w:rPr>
          <w:bCs/>
        </w:rPr>
        <w:t>ordre du jour</w:t>
      </w:r>
      <w:r>
        <w:rPr>
          <w:bCs/>
        </w:rPr>
        <w:t xml:space="preserve"> et aux propositions </w:t>
      </w:r>
      <w:r w:rsidR="00A91CB5">
        <w:rPr>
          <w:bCs/>
        </w:rPr>
        <w:t>pour le</w:t>
      </w:r>
      <w:r>
        <w:rPr>
          <w:bCs/>
        </w:rPr>
        <w:t xml:space="preserve"> Registre des meilleures pratiques, avant de revenir à projet de décision générale 11.COM </w:t>
      </w:r>
      <w:r w:rsidR="00C961BB">
        <w:rPr>
          <w:bCs/>
        </w:rPr>
        <w:t xml:space="preserve">10 </w:t>
      </w:r>
      <w:r>
        <w:rPr>
          <w:bCs/>
        </w:rPr>
        <w:t xml:space="preserve">qui abordait un certain nombre de questions transversales communes aux différents mécanismes. Le Comité </w:t>
      </w:r>
      <w:r w:rsidR="00A91CB5">
        <w:rPr>
          <w:bCs/>
        </w:rPr>
        <w:t xml:space="preserve">devait examiner sept propositions et évaluer dans quelle mesure elles reflétaient les principes et objectifs de la </w:t>
      </w:r>
      <w:r w:rsidR="00A91CB5" w:rsidRPr="00A91CB5">
        <w:rPr>
          <w:bCs/>
        </w:rPr>
        <w:t>Convention</w:t>
      </w:r>
      <w:r w:rsidR="00A91CB5">
        <w:rPr>
          <w:bCs/>
        </w:rPr>
        <w:t xml:space="preserve">, en prenant en </w:t>
      </w:r>
      <w:r w:rsidR="00A91CB5" w:rsidRPr="00A91CB5">
        <w:rPr>
          <w:bCs/>
        </w:rPr>
        <w:t>considération</w:t>
      </w:r>
      <w:r w:rsidR="00A91CB5">
        <w:rPr>
          <w:bCs/>
        </w:rPr>
        <w:t xml:space="preserve"> les besoins particuliers des pays en </w:t>
      </w:r>
      <w:r w:rsidR="00A91CB5" w:rsidRPr="00A91CB5">
        <w:rPr>
          <w:bCs/>
        </w:rPr>
        <w:t>développement</w:t>
      </w:r>
      <w:r w:rsidR="00A91CB5">
        <w:rPr>
          <w:bCs/>
        </w:rPr>
        <w:t xml:space="preserve">. Avant de commencer </w:t>
      </w:r>
      <w:r w:rsidR="00D301C4">
        <w:rPr>
          <w:bCs/>
        </w:rPr>
        <w:t>l</w:t>
      </w:r>
      <w:r w:rsidR="00346F1B">
        <w:rPr>
          <w:bCs/>
        </w:rPr>
        <w:t>’</w:t>
      </w:r>
      <w:r w:rsidR="00D301C4">
        <w:rPr>
          <w:bCs/>
        </w:rPr>
        <w:t xml:space="preserve">examen des propositions, il souhaitait </w:t>
      </w:r>
      <w:r w:rsidR="00A91CB5">
        <w:rPr>
          <w:bCs/>
        </w:rPr>
        <w:t xml:space="preserve">rappeler au Comité les critères qui orienteraient les décisions, et qui ont été </w:t>
      </w:r>
      <w:r w:rsidR="008052AC">
        <w:rPr>
          <w:bCs/>
        </w:rPr>
        <w:t>dûment</w:t>
      </w:r>
      <w:r w:rsidR="00A91CB5">
        <w:rPr>
          <w:bCs/>
        </w:rPr>
        <w:t xml:space="preserve"> projetés à l</w:t>
      </w:r>
      <w:r w:rsidR="00346F1B">
        <w:rPr>
          <w:bCs/>
        </w:rPr>
        <w:t>’</w:t>
      </w:r>
      <w:r w:rsidR="00F24F73">
        <w:rPr>
          <w:bCs/>
        </w:rPr>
        <w:t>écran.</w:t>
      </w:r>
    </w:p>
    <w:p w14:paraId="6779EE21" w14:textId="30C80729" w:rsidR="006C3058" w:rsidRPr="00A91CB5" w:rsidRDefault="00A91CB5" w:rsidP="00F24F73">
      <w:pPr>
        <w:pStyle w:val="Orateurengris"/>
        <w:numPr>
          <w:ilvl w:val="0"/>
          <w:numId w:val="0"/>
        </w:numPr>
        <w:spacing w:before="360" w:after="60"/>
        <w:outlineLvl w:val="0"/>
        <w:rPr>
          <w:b/>
          <w:u w:val="single"/>
        </w:rPr>
      </w:pPr>
      <w:bookmarkStart w:id="54" w:name="Item10c"/>
      <w:r>
        <w:rPr>
          <w:b/>
          <w:u w:val="single"/>
        </w:rPr>
        <w:t>POINT 10.</w:t>
      </w:r>
      <w:r w:rsidR="00C62793">
        <w:rPr>
          <w:b/>
          <w:u w:val="single"/>
        </w:rPr>
        <w:t>c</w:t>
      </w:r>
      <w:r>
        <w:rPr>
          <w:b/>
          <w:u w:val="single"/>
        </w:rPr>
        <w:t xml:space="preserve"> D</w:t>
      </w:r>
      <w:r w:rsidRPr="00A91CB5">
        <w:rPr>
          <w:b/>
          <w:u w:val="single"/>
        </w:rPr>
        <w:t>E L</w:t>
      </w:r>
      <w:r w:rsidR="00346F1B">
        <w:rPr>
          <w:b/>
          <w:u w:val="single"/>
        </w:rPr>
        <w:t>’</w:t>
      </w:r>
      <w:r w:rsidRPr="00A91CB5">
        <w:rPr>
          <w:b/>
          <w:u w:val="single"/>
        </w:rPr>
        <w:t>ORDRE DU JOUR</w:t>
      </w:r>
    </w:p>
    <w:bookmarkEnd w:id="54"/>
    <w:p w14:paraId="66181406" w14:textId="76A16BB4" w:rsidR="006C3058" w:rsidRPr="00A91CB5" w:rsidRDefault="00A91CB5" w:rsidP="00F24F73">
      <w:pPr>
        <w:pStyle w:val="Orateurengris"/>
        <w:numPr>
          <w:ilvl w:val="0"/>
          <w:numId w:val="0"/>
        </w:numPr>
        <w:outlineLvl w:val="0"/>
        <w:rPr>
          <w:b/>
        </w:rPr>
      </w:pPr>
      <w:r>
        <w:rPr>
          <w:b/>
        </w:rPr>
        <w:t>EXAMEN DES PROPOSITIONS AU REGISTRE DES MEI</w:t>
      </w:r>
      <w:r w:rsidR="00F24F73">
        <w:rPr>
          <w:b/>
        </w:rPr>
        <w:t>LLEURES PRATIQUES DE SAUVEGARDE</w:t>
      </w:r>
    </w:p>
    <w:p w14:paraId="44C52822" w14:textId="480DB08C" w:rsidR="006C3058" w:rsidRPr="00A91CB5" w:rsidRDefault="006C3058" w:rsidP="00C62793">
      <w:pPr>
        <w:pStyle w:val="Orateurengris"/>
        <w:numPr>
          <w:ilvl w:val="0"/>
          <w:numId w:val="0"/>
        </w:numPr>
        <w:spacing w:before="120" w:after="60"/>
        <w:ind w:left="709"/>
        <w:rPr>
          <w:i/>
          <w:lang w:eastAsia="fr-FR"/>
        </w:rPr>
      </w:pPr>
      <w:r w:rsidRPr="00A91CB5">
        <w:rPr>
          <w:b/>
        </w:rPr>
        <w:t>Document</w:t>
      </w:r>
      <w:r w:rsidRPr="00A91CB5">
        <w:rPr>
          <w:b/>
        </w:rPr>
        <w:tab/>
      </w:r>
      <w:hyperlink r:id="rId44" w:history="1">
        <w:r w:rsidRPr="00A91CB5">
          <w:rPr>
            <w:rStyle w:val="Hyperlink"/>
            <w:i/>
            <w:lang w:eastAsia="fr-FR"/>
          </w:rPr>
          <w:t>ITH/16/11.COM/10.c</w:t>
        </w:r>
      </w:hyperlink>
    </w:p>
    <w:p w14:paraId="5AA18727" w14:textId="1B33119A" w:rsidR="006C3058" w:rsidRPr="00A91CB5" w:rsidRDefault="00A91CB5" w:rsidP="00C62793">
      <w:pPr>
        <w:pStyle w:val="Orateurengris"/>
        <w:numPr>
          <w:ilvl w:val="0"/>
          <w:numId w:val="0"/>
        </w:numPr>
        <w:spacing w:before="60" w:after="0"/>
        <w:ind w:left="709"/>
        <w:rPr>
          <w:b/>
          <w:lang w:eastAsia="fr-FR"/>
        </w:rPr>
      </w:pPr>
      <w:r>
        <w:rPr>
          <w:b/>
          <w:lang w:eastAsia="fr-FR"/>
        </w:rPr>
        <w:t>Propositions</w:t>
      </w:r>
      <w:r w:rsidR="006C3058" w:rsidRPr="00A91CB5">
        <w:rPr>
          <w:i/>
          <w:lang w:eastAsia="fr-FR"/>
        </w:rPr>
        <w:tab/>
      </w:r>
      <w:hyperlink r:id="rId45" w:history="1">
        <w:r>
          <w:rPr>
            <w:rStyle w:val="Hyperlink"/>
            <w:i/>
            <w:lang w:eastAsia="fr-FR"/>
          </w:rPr>
          <w:t>7 propositions</w:t>
        </w:r>
      </w:hyperlink>
    </w:p>
    <w:p w14:paraId="6EDE76A1" w14:textId="7473D139" w:rsidR="006C3058" w:rsidRPr="00A91CB5" w:rsidRDefault="00A91CB5" w:rsidP="00C62793">
      <w:pPr>
        <w:pStyle w:val="Orateurengris"/>
        <w:numPr>
          <w:ilvl w:val="0"/>
          <w:numId w:val="0"/>
        </w:numPr>
        <w:spacing w:before="60" w:after="240"/>
        <w:ind w:left="709"/>
      </w:pPr>
      <w:r>
        <w:rPr>
          <w:b/>
        </w:rPr>
        <w:t>Dé</w:t>
      </w:r>
      <w:r w:rsidR="006C3058" w:rsidRPr="00A91CB5">
        <w:rPr>
          <w:b/>
        </w:rPr>
        <w:t>cision</w:t>
      </w:r>
      <w:r w:rsidR="006C3058" w:rsidRPr="00A91CB5">
        <w:rPr>
          <w:b/>
        </w:rPr>
        <w:tab/>
      </w:r>
      <w:r w:rsidR="006C3058" w:rsidRPr="00A91CB5">
        <w:rPr>
          <w:i/>
        </w:rPr>
        <w:t>11.COM 10.c</w:t>
      </w:r>
    </w:p>
    <w:p w14:paraId="42B39076" w14:textId="11370EF3" w:rsidR="00E71734" w:rsidRPr="00A91CB5" w:rsidRDefault="009A22EF" w:rsidP="001837D1">
      <w:pPr>
        <w:tabs>
          <w:tab w:val="left" w:pos="567"/>
        </w:tabs>
        <w:snapToGrid w:val="0"/>
        <w:spacing w:before="120" w:after="240"/>
        <w:jc w:val="center"/>
        <w:rPr>
          <w:rFonts w:ascii="Arial" w:hAnsi="Arial" w:cs="Arial"/>
          <w:i/>
          <w:snapToGrid w:val="0"/>
          <w:sz w:val="22"/>
          <w:szCs w:val="22"/>
        </w:rPr>
      </w:pPr>
      <w:r>
        <w:rPr>
          <w:rFonts w:ascii="Arial" w:hAnsi="Arial" w:cs="Arial"/>
          <w:i/>
          <w:snapToGrid w:val="0"/>
          <w:sz w:val="22"/>
          <w:szCs w:val="22"/>
        </w:rPr>
        <w:t>[La Vice-Présidente</w:t>
      </w:r>
      <w:r w:rsidR="001212D3">
        <w:rPr>
          <w:rFonts w:ascii="Arial" w:hAnsi="Arial" w:cs="Arial"/>
          <w:i/>
          <w:snapToGrid w:val="0"/>
          <w:sz w:val="22"/>
          <w:szCs w:val="22"/>
        </w:rPr>
        <w:t>,</w:t>
      </w:r>
      <w:r>
        <w:rPr>
          <w:rFonts w:ascii="Arial" w:hAnsi="Arial" w:cs="Arial"/>
          <w:i/>
          <w:snapToGrid w:val="0"/>
          <w:sz w:val="22"/>
          <w:szCs w:val="22"/>
        </w:rPr>
        <w:t xml:space="preserve"> </w:t>
      </w:r>
      <w:r w:rsidR="001212D3">
        <w:rPr>
          <w:rFonts w:ascii="Arial" w:hAnsi="Arial" w:cs="Arial"/>
          <w:i/>
          <w:snapToGrid w:val="0"/>
          <w:sz w:val="22"/>
          <w:szCs w:val="22"/>
        </w:rPr>
        <w:t xml:space="preserve">membre de la </w:t>
      </w:r>
      <w:r w:rsidR="001212D3" w:rsidRPr="001212D3">
        <w:rPr>
          <w:rFonts w:ascii="Arial" w:hAnsi="Arial" w:cs="Arial"/>
          <w:i/>
          <w:snapToGrid w:val="0"/>
          <w:sz w:val="22"/>
          <w:szCs w:val="22"/>
        </w:rPr>
        <w:t>délégation</w:t>
      </w:r>
      <w:r w:rsidR="001212D3">
        <w:rPr>
          <w:rFonts w:ascii="Arial" w:hAnsi="Arial" w:cs="Arial"/>
          <w:i/>
          <w:snapToGrid w:val="0"/>
          <w:sz w:val="22"/>
          <w:szCs w:val="22"/>
        </w:rPr>
        <w:t xml:space="preserve"> de la</w:t>
      </w:r>
      <w:r>
        <w:rPr>
          <w:rFonts w:ascii="Arial" w:hAnsi="Arial" w:cs="Arial"/>
          <w:i/>
          <w:snapToGrid w:val="0"/>
          <w:sz w:val="22"/>
          <w:szCs w:val="22"/>
        </w:rPr>
        <w:t xml:space="preserve"> Turquie</w:t>
      </w:r>
      <w:r w:rsidR="001212D3">
        <w:rPr>
          <w:rFonts w:ascii="Arial" w:hAnsi="Arial" w:cs="Arial"/>
          <w:i/>
          <w:snapToGrid w:val="0"/>
          <w:sz w:val="22"/>
          <w:szCs w:val="22"/>
        </w:rPr>
        <w:t>,</w:t>
      </w:r>
      <w:r>
        <w:rPr>
          <w:rFonts w:ascii="Arial" w:hAnsi="Arial" w:cs="Arial"/>
          <w:i/>
          <w:snapToGrid w:val="0"/>
          <w:sz w:val="22"/>
          <w:szCs w:val="22"/>
        </w:rPr>
        <w:t xml:space="preserve"> a présidé cette séance</w:t>
      </w:r>
      <w:r w:rsidR="006C3058" w:rsidRPr="00A91CB5">
        <w:rPr>
          <w:rFonts w:ascii="Arial" w:hAnsi="Arial" w:cs="Arial"/>
          <w:i/>
          <w:snapToGrid w:val="0"/>
          <w:sz w:val="22"/>
          <w:szCs w:val="22"/>
        </w:rPr>
        <w:t>]</w:t>
      </w:r>
    </w:p>
    <w:p w14:paraId="052D8412" w14:textId="3962F5E8" w:rsidR="009A22EF" w:rsidRPr="009A22EF" w:rsidRDefault="009A22EF" w:rsidP="001837D1">
      <w:pPr>
        <w:pStyle w:val="Orateurengris"/>
        <w:spacing w:before="120"/>
        <w:ind w:left="709" w:hanging="709"/>
        <w:rPr>
          <w:bCs/>
        </w:rPr>
      </w:pPr>
      <w:r>
        <w:rPr>
          <w:bCs/>
        </w:rPr>
        <w:t xml:space="preserve">La </w:t>
      </w:r>
      <w:r w:rsidRPr="009A22EF">
        <w:rPr>
          <w:b/>
          <w:bCs/>
        </w:rPr>
        <w:t>Vice-Présidente</w:t>
      </w:r>
      <w:r>
        <w:rPr>
          <w:bCs/>
        </w:rPr>
        <w:t xml:space="preserve"> a rappelé qu</w:t>
      </w:r>
      <w:r w:rsidR="00346F1B">
        <w:rPr>
          <w:bCs/>
        </w:rPr>
        <w:t>’</w:t>
      </w:r>
      <w:r>
        <w:rPr>
          <w:bCs/>
        </w:rPr>
        <w:t>il était demandé à l</w:t>
      </w:r>
      <w:r w:rsidR="00346F1B">
        <w:rPr>
          <w:bCs/>
        </w:rPr>
        <w:t>’</w:t>
      </w:r>
      <w:r>
        <w:rPr>
          <w:bCs/>
        </w:rPr>
        <w:t>État soumissionnaire de démont</w:t>
      </w:r>
      <w:r w:rsidR="00124F65">
        <w:rPr>
          <w:bCs/>
        </w:rPr>
        <w:t>rer qu</w:t>
      </w:r>
      <w:r w:rsidR="00346F1B">
        <w:rPr>
          <w:bCs/>
        </w:rPr>
        <w:t>’</w:t>
      </w:r>
      <w:r w:rsidR="00124F65">
        <w:rPr>
          <w:bCs/>
        </w:rPr>
        <w:t xml:space="preserve">un élément satisfaisait </w:t>
      </w:r>
      <w:r>
        <w:rPr>
          <w:bCs/>
        </w:rPr>
        <w:t>tous les critères : P.1, P.2, P.3, P.4, P.5, P.6, P.7, P.8 et P.9. elle est passée à la première proposition, soumise par l</w:t>
      </w:r>
      <w:r w:rsidR="00346F1B">
        <w:rPr>
          <w:bCs/>
        </w:rPr>
        <w:t>’</w:t>
      </w:r>
      <w:r w:rsidR="00F24F73">
        <w:rPr>
          <w:bCs/>
        </w:rPr>
        <w:t>Argentine.</w:t>
      </w:r>
    </w:p>
    <w:p w14:paraId="13FBAE40" w14:textId="4F6364E7" w:rsidR="009A22EF" w:rsidRPr="003E4DE9" w:rsidRDefault="009A22EF" w:rsidP="00F24F73">
      <w:pPr>
        <w:pStyle w:val="Orateurengris"/>
        <w:ind w:left="709" w:hanging="709"/>
        <w:rPr>
          <w:bCs/>
        </w:rPr>
      </w:pPr>
      <w:r>
        <w:rPr>
          <w:bCs/>
        </w:rPr>
        <w:t xml:space="preserve">Le </w:t>
      </w:r>
      <w:r w:rsidRPr="009A22EF">
        <w:rPr>
          <w:b/>
          <w:bCs/>
        </w:rPr>
        <w:t>Vice-Président de l</w:t>
      </w:r>
      <w:r w:rsidR="00346F1B">
        <w:rPr>
          <w:b/>
          <w:bCs/>
        </w:rPr>
        <w:t>’</w:t>
      </w:r>
      <w:r w:rsidRPr="009A22EF">
        <w:rPr>
          <w:b/>
          <w:bCs/>
        </w:rPr>
        <w:t>Organe d</w:t>
      </w:r>
      <w:r w:rsidR="00346F1B">
        <w:rPr>
          <w:b/>
          <w:bCs/>
        </w:rPr>
        <w:t>’</w:t>
      </w:r>
      <w:r w:rsidRPr="009A22EF">
        <w:rPr>
          <w:b/>
          <w:bCs/>
        </w:rPr>
        <w:t>évaluation</w:t>
      </w:r>
      <w:r>
        <w:rPr>
          <w:bCs/>
        </w:rPr>
        <w:t xml:space="preserve"> est passé à la première proposition, </w:t>
      </w:r>
      <w:bookmarkStart w:id="55" w:name="Decision10c1"/>
      <w:r w:rsidRPr="009A22EF">
        <w:rPr>
          <w:b/>
          <w:bCs/>
        </w:rPr>
        <w:t>les randas, modèle de sauv</w:t>
      </w:r>
      <w:r w:rsidR="00397AB0">
        <w:rPr>
          <w:b/>
          <w:bCs/>
        </w:rPr>
        <w:t>egarde d</w:t>
      </w:r>
      <w:r w:rsidR="00346F1B">
        <w:rPr>
          <w:b/>
          <w:bCs/>
        </w:rPr>
        <w:t>’</w:t>
      </w:r>
      <w:r w:rsidR="00397AB0">
        <w:rPr>
          <w:b/>
          <w:bCs/>
        </w:rPr>
        <w:t>un art textile à El C</w:t>
      </w:r>
      <w:r w:rsidRPr="009A22EF">
        <w:rPr>
          <w:b/>
          <w:bCs/>
        </w:rPr>
        <w:t>ercado</w:t>
      </w:r>
      <w:bookmarkEnd w:id="55"/>
      <w:r>
        <w:rPr>
          <w:bCs/>
        </w:rPr>
        <w:t>, so</w:t>
      </w:r>
      <w:r w:rsidR="0049607B">
        <w:rPr>
          <w:bCs/>
        </w:rPr>
        <w:t>umise par l</w:t>
      </w:r>
      <w:r w:rsidR="00346F1B">
        <w:rPr>
          <w:bCs/>
        </w:rPr>
        <w:t>’</w:t>
      </w:r>
      <w:r w:rsidR="0049607B">
        <w:rPr>
          <w:bCs/>
        </w:rPr>
        <w:t xml:space="preserve">Argentine. La </w:t>
      </w:r>
      <w:r w:rsidR="0049607B" w:rsidRPr="003E4DE9">
        <w:rPr>
          <w:bCs/>
        </w:rPr>
        <w:t>randa</w:t>
      </w:r>
      <w:r w:rsidR="0049607B">
        <w:rPr>
          <w:bCs/>
        </w:rPr>
        <w:t xml:space="preserve">, </w:t>
      </w:r>
      <w:r>
        <w:rPr>
          <w:bCs/>
        </w:rPr>
        <w:t>un type d</w:t>
      </w:r>
      <w:r w:rsidR="00346F1B">
        <w:rPr>
          <w:bCs/>
        </w:rPr>
        <w:t>’</w:t>
      </w:r>
      <w:r>
        <w:rPr>
          <w:bCs/>
        </w:rPr>
        <w:t>art décoratif complexe</w:t>
      </w:r>
      <w:r w:rsidR="0049607B">
        <w:rPr>
          <w:bCs/>
        </w:rPr>
        <w:t xml:space="preserve">, essentiellement pratiqué à El Cercado, en Argentine, faisait partie du </w:t>
      </w:r>
      <w:r w:rsidR="0049607B" w:rsidRPr="0049607B">
        <w:rPr>
          <w:bCs/>
        </w:rPr>
        <w:t>patrimoine</w:t>
      </w:r>
      <w:r w:rsidR="0049607B">
        <w:rPr>
          <w:bCs/>
        </w:rPr>
        <w:t xml:space="preserve"> </w:t>
      </w:r>
      <w:r w:rsidR="0049607B" w:rsidRPr="0049607B">
        <w:rPr>
          <w:bCs/>
        </w:rPr>
        <w:t>culturel</w:t>
      </w:r>
      <w:r w:rsidR="0049607B">
        <w:rPr>
          <w:bCs/>
        </w:rPr>
        <w:t xml:space="preserve"> de la </w:t>
      </w:r>
      <w:r w:rsidR="0049607B" w:rsidRPr="0049607B">
        <w:rPr>
          <w:bCs/>
        </w:rPr>
        <w:t>communauté</w:t>
      </w:r>
      <w:r w:rsidR="0049607B">
        <w:rPr>
          <w:bCs/>
        </w:rPr>
        <w:t xml:space="preserve"> </w:t>
      </w:r>
      <w:r w:rsidR="003E4DE9">
        <w:rPr>
          <w:bCs/>
        </w:rPr>
        <w:t xml:space="preserve">en question </w:t>
      </w:r>
      <w:r w:rsidR="0049607B">
        <w:rPr>
          <w:bCs/>
        </w:rPr>
        <w:t xml:space="preserve">et était présent dans les églises, dans les maisons ainsi que sur les vêtements. </w:t>
      </w:r>
      <w:r w:rsidR="003E4DE9">
        <w:rPr>
          <w:bCs/>
        </w:rPr>
        <w:t>En raison de prix de vente inadéquats et d</w:t>
      </w:r>
      <w:r w:rsidR="00346F1B">
        <w:rPr>
          <w:bCs/>
        </w:rPr>
        <w:t>’</w:t>
      </w:r>
      <w:r w:rsidR="003E4DE9">
        <w:rPr>
          <w:bCs/>
        </w:rPr>
        <w:t>un difficile accès aux fournitures, i</w:t>
      </w:r>
      <w:r w:rsidR="0049607B">
        <w:rPr>
          <w:bCs/>
        </w:rPr>
        <w:t xml:space="preserve">l ne restait plus </w:t>
      </w:r>
      <w:r w:rsidR="0049607B" w:rsidRPr="0049607B">
        <w:rPr>
          <w:bCs/>
        </w:rPr>
        <w:t>désormais</w:t>
      </w:r>
      <w:r w:rsidR="0049607B">
        <w:rPr>
          <w:bCs/>
        </w:rPr>
        <w:t xml:space="preserve"> que 50 praticiennes (</w:t>
      </w:r>
      <w:r w:rsidR="0049607B" w:rsidRPr="003E4DE9">
        <w:rPr>
          <w:bCs/>
        </w:rPr>
        <w:t>randeras</w:t>
      </w:r>
      <w:r w:rsidR="003E4DE9">
        <w:rPr>
          <w:bCs/>
        </w:rPr>
        <w:t>)</w:t>
      </w:r>
      <w:r w:rsidR="0049607B">
        <w:rPr>
          <w:bCs/>
        </w:rPr>
        <w:t xml:space="preserve">. Depuis 2012, en </w:t>
      </w:r>
      <w:r w:rsidR="0049607B" w:rsidRPr="0049607B">
        <w:rPr>
          <w:bCs/>
        </w:rPr>
        <w:t>collaboration</w:t>
      </w:r>
      <w:r w:rsidR="0049607B">
        <w:rPr>
          <w:bCs/>
        </w:rPr>
        <w:t xml:space="preserve"> avec le </w:t>
      </w:r>
      <w:r w:rsidR="0049607B" w:rsidRPr="0049607B">
        <w:rPr>
          <w:bCs/>
        </w:rPr>
        <w:t>ministère</w:t>
      </w:r>
      <w:r w:rsidR="0049607B">
        <w:rPr>
          <w:bCs/>
        </w:rPr>
        <w:t xml:space="preserve"> argentin de la Culture, les municipalités et d</w:t>
      </w:r>
      <w:r w:rsidR="00346F1B">
        <w:rPr>
          <w:bCs/>
        </w:rPr>
        <w:t>’</w:t>
      </w:r>
      <w:r w:rsidR="0049607B">
        <w:rPr>
          <w:bCs/>
        </w:rPr>
        <w:t xml:space="preserve">autres organismes, les communautés avaient mis en place des mesures de sauvegarde : des travaux de </w:t>
      </w:r>
      <w:r w:rsidR="0049607B" w:rsidRPr="0049607B">
        <w:rPr>
          <w:bCs/>
        </w:rPr>
        <w:t>recherche</w:t>
      </w:r>
      <w:r w:rsidR="0049607B">
        <w:rPr>
          <w:bCs/>
        </w:rPr>
        <w:t xml:space="preserve"> et de </w:t>
      </w:r>
      <w:r w:rsidR="0049607B" w:rsidRPr="0049607B">
        <w:rPr>
          <w:bCs/>
        </w:rPr>
        <w:t>documentation</w:t>
      </w:r>
      <w:r w:rsidR="0049607B">
        <w:rPr>
          <w:bCs/>
        </w:rPr>
        <w:t xml:space="preserve"> sur la pratique ; des ateliers publics (y compris à destination des touristes) ; un Festival des randas ; et un marché artisanal. Bien que le dossier parvienne à démontrer que les communautés de </w:t>
      </w:r>
      <w:r w:rsidR="0049607B" w:rsidRPr="003E4DE9">
        <w:rPr>
          <w:bCs/>
        </w:rPr>
        <w:t>randeras</w:t>
      </w:r>
      <w:r w:rsidR="0049607B">
        <w:rPr>
          <w:bCs/>
        </w:rPr>
        <w:t xml:space="preserve"> </w:t>
      </w:r>
      <w:r w:rsidR="00A86DD9">
        <w:rPr>
          <w:bCs/>
        </w:rPr>
        <w:t xml:space="preserve">avaient </w:t>
      </w:r>
      <w:r w:rsidR="0049607B">
        <w:rPr>
          <w:bCs/>
        </w:rPr>
        <w:t xml:space="preserve">bien participé à la conception du programme depuis le début, </w:t>
      </w:r>
      <w:r w:rsidR="0049607B" w:rsidRPr="00A86DD9">
        <w:rPr>
          <w:bCs/>
        </w:rPr>
        <w:t>l</w:t>
      </w:r>
      <w:r w:rsidR="00346F1B">
        <w:rPr>
          <w:bCs/>
        </w:rPr>
        <w:t>’</w:t>
      </w:r>
      <w:r w:rsidR="0049607B" w:rsidRPr="00A86DD9">
        <w:rPr>
          <w:bCs/>
        </w:rPr>
        <w:t>Organe d</w:t>
      </w:r>
      <w:r w:rsidR="00346F1B">
        <w:rPr>
          <w:bCs/>
        </w:rPr>
        <w:t>’</w:t>
      </w:r>
      <w:r w:rsidR="0049607B" w:rsidRPr="00A86DD9">
        <w:rPr>
          <w:bCs/>
        </w:rPr>
        <w:t xml:space="preserve">évaluation avait </w:t>
      </w:r>
      <w:r w:rsidR="005E3904">
        <w:rPr>
          <w:bCs/>
        </w:rPr>
        <w:t xml:space="preserve">relevé </w:t>
      </w:r>
      <w:r w:rsidR="00A86DD9">
        <w:rPr>
          <w:bCs/>
        </w:rPr>
        <w:t>quelques problèmes e</w:t>
      </w:r>
      <w:r w:rsidR="00A86DD9" w:rsidRPr="00A86DD9">
        <w:rPr>
          <w:bCs/>
        </w:rPr>
        <w:t>n ce qui concerne</w:t>
      </w:r>
      <w:r w:rsidR="00A86DD9">
        <w:rPr>
          <w:bCs/>
        </w:rPr>
        <w:t xml:space="preserve"> de nombreux </w:t>
      </w:r>
      <w:r w:rsidR="00A86DD9" w:rsidRPr="00A86DD9">
        <w:rPr>
          <w:bCs/>
        </w:rPr>
        <w:t>critère</w:t>
      </w:r>
      <w:r w:rsidR="00A86DD9">
        <w:rPr>
          <w:bCs/>
        </w:rPr>
        <w:t>s. C</w:t>
      </w:r>
      <w:r w:rsidR="00346F1B">
        <w:rPr>
          <w:bCs/>
        </w:rPr>
        <w:t>’</w:t>
      </w:r>
      <w:r w:rsidR="00A86DD9">
        <w:rPr>
          <w:bCs/>
        </w:rPr>
        <w:t xml:space="preserve">était essentiellement dû au fait que le dossier présentait une grande partie des </w:t>
      </w:r>
      <w:r w:rsidR="005E3904">
        <w:rPr>
          <w:bCs/>
        </w:rPr>
        <w:t xml:space="preserve">mesures de </w:t>
      </w:r>
      <w:r w:rsidR="005E3904" w:rsidRPr="005E3904">
        <w:rPr>
          <w:bCs/>
        </w:rPr>
        <w:t>sauvegarde</w:t>
      </w:r>
      <w:r w:rsidR="005E3904">
        <w:rPr>
          <w:bCs/>
        </w:rPr>
        <w:t xml:space="preserve"> sous la forme d</w:t>
      </w:r>
      <w:r w:rsidR="00346F1B">
        <w:rPr>
          <w:bCs/>
        </w:rPr>
        <w:t>’</w:t>
      </w:r>
      <w:r w:rsidR="005E3904" w:rsidRPr="005E3904">
        <w:rPr>
          <w:bCs/>
        </w:rPr>
        <w:t>activités</w:t>
      </w:r>
      <w:r w:rsidR="005E3904">
        <w:rPr>
          <w:bCs/>
        </w:rPr>
        <w:t xml:space="preserve"> en cours et « à venir ». C</w:t>
      </w:r>
      <w:r w:rsidR="00346F1B">
        <w:rPr>
          <w:bCs/>
        </w:rPr>
        <w:t>’</w:t>
      </w:r>
      <w:r w:rsidR="005E3904">
        <w:rPr>
          <w:bCs/>
        </w:rPr>
        <w:t xml:space="preserve">était évident dans les </w:t>
      </w:r>
      <w:r w:rsidR="005E3904" w:rsidRPr="005E3904">
        <w:rPr>
          <w:bCs/>
        </w:rPr>
        <w:t>informations</w:t>
      </w:r>
      <w:r w:rsidR="005E3904">
        <w:rPr>
          <w:bCs/>
        </w:rPr>
        <w:t xml:space="preserve"> fournies au titre des critères P.1, P.2, p.4 et P.6. Il était donc difficile d</w:t>
      </w:r>
      <w:r w:rsidR="00346F1B">
        <w:rPr>
          <w:bCs/>
        </w:rPr>
        <w:t>’</w:t>
      </w:r>
      <w:r w:rsidR="005E3904">
        <w:rPr>
          <w:bCs/>
        </w:rPr>
        <w:t>évaluer l</w:t>
      </w:r>
      <w:r w:rsidR="00346F1B">
        <w:rPr>
          <w:bCs/>
        </w:rPr>
        <w:t>’</w:t>
      </w:r>
      <w:r w:rsidR="005E3904" w:rsidRPr="005E3904">
        <w:rPr>
          <w:bCs/>
        </w:rPr>
        <w:t>efficacité</w:t>
      </w:r>
      <w:r w:rsidR="005E3904">
        <w:rPr>
          <w:bCs/>
        </w:rPr>
        <w:t xml:space="preserve"> et la reproductibilité du </w:t>
      </w:r>
      <w:r w:rsidR="005E3904" w:rsidRPr="005E3904">
        <w:rPr>
          <w:bCs/>
        </w:rPr>
        <w:t>programme</w:t>
      </w:r>
      <w:r w:rsidR="005E3904">
        <w:rPr>
          <w:bCs/>
        </w:rPr>
        <w:t xml:space="preserve">. Dans la </w:t>
      </w:r>
      <w:r w:rsidR="005E3904" w:rsidRPr="005E3904">
        <w:rPr>
          <w:bCs/>
        </w:rPr>
        <w:t>description</w:t>
      </w:r>
      <w:r w:rsidR="005E3904">
        <w:rPr>
          <w:bCs/>
        </w:rPr>
        <w:t xml:space="preserve"> des mesures de sauvegarde, des </w:t>
      </w:r>
      <w:r w:rsidR="005E3904" w:rsidRPr="005E3904">
        <w:rPr>
          <w:bCs/>
        </w:rPr>
        <w:t>informations</w:t>
      </w:r>
      <w:r w:rsidR="005E3904">
        <w:rPr>
          <w:bCs/>
        </w:rPr>
        <w:t xml:space="preserve"> </w:t>
      </w:r>
      <w:r w:rsidR="005E3904" w:rsidRPr="005E3904">
        <w:rPr>
          <w:bCs/>
        </w:rPr>
        <w:t>complémentaire</w:t>
      </w:r>
      <w:r w:rsidR="005E3904">
        <w:rPr>
          <w:bCs/>
        </w:rPr>
        <w:t>s auraient été bienvenues afin de justifier toutes les mesures, et plus précisément, d</w:t>
      </w:r>
      <w:r w:rsidR="00346F1B">
        <w:rPr>
          <w:bCs/>
        </w:rPr>
        <w:t>’</w:t>
      </w:r>
      <w:r w:rsidR="005E3904">
        <w:rPr>
          <w:bCs/>
        </w:rPr>
        <w:t xml:space="preserve">expliquer la façon dont leur nécessité avait été identifiée. </w:t>
      </w:r>
      <w:r w:rsidR="001879DB">
        <w:rPr>
          <w:bCs/>
        </w:rPr>
        <w:t xml:space="preserve">Il avait </w:t>
      </w:r>
      <w:r w:rsidR="001879DB" w:rsidRPr="001879DB">
        <w:rPr>
          <w:bCs/>
        </w:rPr>
        <w:t>également</w:t>
      </w:r>
      <w:r w:rsidR="001879DB">
        <w:rPr>
          <w:bCs/>
        </w:rPr>
        <w:t xml:space="preserve"> été difficile pour l</w:t>
      </w:r>
      <w:r w:rsidR="00346F1B">
        <w:rPr>
          <w:bCs/>
        </w:rPr>
        <w:t>’</w:t>
      </w:r>
      <w:r w:rsidR="001879DB">
        <w:rPr>
          <w:bCs/>
        </w:rPr>
        <w:t>Organe d</w:t>
      </w:r>
      <w:r w:rsidR="00346F1B">
        <w:rPr>
          <w:bCs/>
        </w:rPr>
        <w:t>’</w:t>
      </w:r>
      <w:r w:rsidR="001879DB">
        <w:rPr>
          <w:bCs/>
        </w:rPr>
        <w:t xml:space="preserve">évaluer si le </w:t>
      </w:r>
      <w:r w:rsidR="001879DB" w:rsidRPr="001879DB">
        <w:rPr>
          <w:bCs/>
        </w:rPr>
        <w:t>programme</w:t>
      </w:r>
      <w:r w:rsidR="003E4DE9">
        <w:rPr>
          <w:bCs/>
        </w:rPr>
        <w:t xml:space="preserve"> reflétait les principes et ob</w:t>
      </w:r>
      <w:r w:rsidR="001879DB">
        <w:rPr>
          <w:bCs/>
        </w:rPr>
        <w:t xml:space="preserve">jectifs de la </w:t>
      </w:r>
      <w:r w:rsidR="001879DB" w:rsidRPr="001879DB">
        <w:rPr>
          <w:bCs/>
        </w:rPr>
        <w:t>Convention</w:t>
      </w:r>
      <w:r w:rsidR="001879DB">
        <w:rPr>
          <w:bCs/>
        </w:rPr>
        <w:t xml:space="preserve">. </w:t>
      </w:r>
      <w:r w:rsidR="003E4DE9">
        <w:rPr>
          <w:bCs/>
        </w:rPr>
        <w:t>S</w:t>
      </w:r>
      <w:r w:rsidR="00346F1B">
        <w:rPr>
          <w:bCs/>
        </w:rPr>
        <w:t>’</w:t>
      </w:r>
      <w:r w:rsidR="003E4DE9">
        <w:rPr>
          <w:bCs/>
        </w:rPr>
        <w:t xml:space="preserve">agissant du </w:t>
      </w:r>
      <w:r w:rsidR="003E4DE9" w:rsidRPr="003E4DE9">
        <w:rPr>
          <w:bCs/>
        </w:rPr>
        <w:t>critère</w:t>
      </w:r>
      <w:r w:rsidR="003E4DE9">
        <w:rPr>
          <w:bCs/>
        </w:rPr>
        <w:t xml:space="preserve"> P.6, le dossier ne parvenait pas à démontrer l</w:t>
      </w:r>
      <w:r w:rsidR="00346F1B">
        <w:rPr>
          <w:bCs/>
        </w:rPr>
        <w:t>’</w:t>
      </w:r>
      <w:r w:rsidR="003E4DE9" w:rsidRPr="003E4DE9">
        <w:rPr>
          <w:bCs/>
        </w:rPr>
        <w:t>efficacité</w:t>
      </w:r>
      <w:r w:rsidR="003E4DE9">
        <w:rPr>
          <w:bCs/>
        </w:rPr>
        <w:t xml:space="preserve"> du </w:t>
      </w:r>
      <w:r w:rsidR="003E4DE9" w:rsidRPr="003E4DE9">
        <w:rPr>
          <w:bCs/>
        </w:rPr>
        <w:t>programme</w:t>
      </w:r>
      <w:r w:rsidR="003E4DE9">
        <w:rPr>
          <w:bCs/>
        </w:rPr>
        <w:t xml:space="preserve"> en ce qui concerne le </w:t>
      </w:r>
      <w:r w:rsidR="003E4DE9" w:rsidRPr="003E4DE9">
        <w:rPr>
          <w:bCs/>
        </w:rPr>
        <w:t>renforcement de la viabilité</w:t>
      </w:r>
      <w:r w:rsidR="003E4DE9">
        <w:rPr>
          <w:bCs/>
        </w:rPr>
        <w:t xml:space="preserve"> de l</w:t>
      </w:r>
      <w:r w:rsidR="00346F1B">
        <w:rPr>
          <w:bCs/>
        </w:rPr>
        <w:t>’</w:t>
      </w:r>
      <w:r w:rsidR="003E4DE9">
        <w:rPr>
          <w:bCs/>
        </w:rPr>
        <w:t xml:space="preserve">élément </w:t>
      </w:r>
      <w:r w:rsidR="00F24F73">
        <w:rPr>
          <w:bCs/>
        </w:rPr>
        <w:t>au-delà</w:t>
      </w:r>
      <w:r w:rsidR="003E4DE9">
        <w:rPr>
          <w:bCs/>
        </w:rPr>
        <w:t xml:space="preserve"> d</w:t>
      </w:r>
      <w:r w:rsidR="00346F1B">
        <w:rPr>
          <w:bCs/>
        </w:rPr>
        <w:t>’</w:t>
      </w:r>
      <w:r w:rsidR="003E4DE9">
        <w:rPr>
          <w:bCs/>
        </w:rPr>
        <w:t>une production commerciale. Compte tenu de ces raisons, l</w:t>
      </w:r>
      <w:r w:rsidR="00346F1B">
        <w:rPr>
          <w:bCs/>
        </w:rPr>
        <w:t>’</w:t>
      </w:r>
      <w:r w:rsidR="003E4DE9">
        <w:rPr>
          <w:bCs/>
        </w:rPr>
        <w:t>Organe d</w:t>
      </w:r>
      <w:r w:rsidR="00346F1B">
        <w:rPr>
          <w:bCs/>
        </w:rPr>
        <w:t>’</w:t>
      </w:r>
      <w:r w:rsidR="003E4DE9">
        <w:rPr>
          <w:bCs/>
        </w:rPr>
        <w:t xml:space="preserve">évaluation avait décidé de recommander de ne pas sélectionner les randas, modèle de </w:t>
      </w:r>
      <w:r w:rsidR="003E4DE9" w:rsidRPr="003E4DE9">
        <w:rPr>
          <w:bCs/>
        </w:rPr>
        <w:t>sauvegarde</w:t>
      </w:r>
      <w:r w:rsidR="00CE50E1">
        <w:rPr>
          <w:bCs/>
        </w:rPr>
        <w:t xml:space="preserve"> d</w:t>
      </w:r>
      <w:r w:rsidR="00346F1B">
        <w:rPr>
          <w:bCs/>
        </w:rPr>
        <w:t>’</w:t>
      </w:r>
      <w:r w:rsidR="00CE50E1">
        <w:rPr>
          <w:bCs/>
        </w:rPr>
        <w:t>un art textile à El C</w:t>
      </w:r>
      <w:r w:rsidR="001837D1">
        <w:rPr>
          <w:bCs/>
        </w:rPr>
        <w:t>ercado pour le Registre.</w:t>
      </w:r>
    </w:p>
    <w:p w14:paraId="53B6F705" w14:textId="5BCCA22B" w:rsidR="003E4DE9" w:rsidRPr="003E4DE9" w:rsidRDefault="003E4DE9" w:rsidP="00F24F73">
      <w:pPr>
        <w:pStyle w:val="Orateurengris"/>
        <w:ind w:left="709" w:hanging="709"/>
        <w:rPr>
          <w:bCs/>
        </w:rPr>
      </w:pPr>
      <w:r>
        <w:rPr>
          <w:bCs/>
        </w:rPr>
        <w:t xml:space="preserve">La </w:t>
      </w:r>
      <w:r w:rsidRPr="003E4DE9">
        <w:rPr>
          <w:b/>
          <w:bCs/>
        </w:rPr>
        <w:t>Vice-Présidente</w:t>
      </w:r>
      <w:r>
        <w:rPr>
          <w:bCs/>
        </w:rPr>
        <w:t xml:space="preserve"> a remercié le Vice-Président de l</w:t>
      </w:r>
      <w:r w:rsidR="00346F1B">
        <w:rPr>
          <w:bCs/>
        </w:rPr>
        <w:t>’</w:t>
      </w:r>
      <w:r>
        <w:rPr>
          <w:bCs/>
        </w:rPr>
        <w:t>Organe d</w:t>
      </w:r>
      <w:r w:rsidR="00346F1B">
        <w:rPr>
          <w:bCs/>
        </w:rPr>
        <w:t>’</w:t>
      </w:r>
      <w:r>
        <w:rPr>
          <w:bCs/>
        </w:rPr>
        <w:t>évaluation pour son explication détaillée, et a précisé qu</w:t>
      </w:r>
      <w:r w:rsidR="00346F1B">
        <w:rPr>
          <w:bCs/>
        </w:rPr>
        <w:t>’</w:t>
      </w:r>
      <w:r>
        <w:rPr>
          <w:bCs/>
        </w:rPr>
        <w:t>aucune demande de débat ou d</w:t>
      </w:r>
      <w:r w:rsidR="00346F1B">
        <w:rPr>
          <w:bCs/>
        </w:rPr>
        <w:t>’</w:t>
      </w:r>
      <w:r w:rsidRPr="003E4DE9">
        <w:rPr>
          <w:bCs/>
        </w:rPr>
        <w:t>amendement</w:t>
      </w:r>
      <w:r>
        <w:rPr>
          <w:bCs/>
        </w:rPr>
        <w:t xml:space="preserve"> n</w:t>
      </w:r>
      <w:r w:rsidR="00346F1B">
        <w:rPr>
          <w:bCs/>
        </w:rPr>
        <w:t>’</w:t>
      </w:r>
      <w:r w:rsidR="001837D1">
        <w:rPr>
          <w:bCs/>
        </w:rPr>
        <w:t>avait été présentée.</w:t>
      </w:r>
    </w:p>
    <w:p w14:paraId="44CD36B6" w14:textId="56F4AA18" w:rsidR="003912A2" w:rsidRPr="003912A2" w:rsidRDefault="003E4DE9" w:rsidP="00F24F73">
      <w:pPr>
        <w:pStyle w:val="Orateurengris"/>
        <w:ind w:left="709" w:hanging="709"/>
        <w:rPr>
          <w:bCs/>
        </w:rPr>
      </w:pPr>
      <w:r>
        <w:rPr>
          <w:bCs/>
        </w:rPr>
        <w:t xml:space="preserve">La </w:t>
      </w:r>
      <w:r w:rsidRPr="003E4DE9">
        <w:rPr>
          <w:bCs/>
        </w:rPr>
        <w:t>délégation</w:t>
      </w:r>
      <w:r>
        <w:rPr>
          <w:bCs/>
        </w:rPr>
        <w:t xml:space="preserve"> de la </w:t>
      </w:r>
      <w:r w:rsidRPr="003912A2">
        <w:rPr>
          <w:b/>
          <w:bCs/>
        </w:rPr>
        <w:t>Colombie</w:t>
      </w:r>
      <w:r>
        <w:rPr>
          <w:bCs/>
        </w:rPr>
        <w:t xml:space="preserve"> a remercié l</w:t>
      </w:r>
      <w:r w:rsidR="00346F1B">
        <w:rPr>
          <w:bCs/>
        </w:rPr>
        <w:t>’</w:t>
      </w:r>
      <w:r>
        <w:rPr>
          <w:bCs/>
        </w:rPr>
        <w:t>Organe d</w:t>
      </w:r>
      <w:r w:rsidR="00346F1B">
        <w:rPr>
          <w:bCs/>
        </w:rPr>
        <w:t>’</w:t>
      </w:r>
      <w:r>
        <w:rPr>
          <w:bCs/>
        </w:rPr>
        <w:t xml:space="preserve">évaluation </w:t>
      </w:r>
      <w:r w:rsidR="003912A2">
        <w:rPr>
          <w:bCs/>
        </w:rPr>
        <w:t xml:space="preserve">pour son </w:t>
      </w:r>
      <w:r w:rsidR="003912A2" w:rsidRPr="003912A2">
        <w:rPr>
          <w:bCs/>
        </w:rPr>
        <w:t>évaluation</w:t>
      </w:r>
      <w:r w:rsidR="003912A2">
        <w:rPr>
          <w:bCs/>
        </w:rPr>
        <w:t>, et l</w:t>
      </w:r>
      <w:r w:rsidR="00346F1B">
        <w:rPr>
          <w:bCs/>
        </w:rPr>
        <w:t>’</w:t>
      </w:r>
      <w:r w:rsidR="003912A2">
        <w:rPr>
          <w:bCs/>
        </w:rPr>
        <w:t xml:space="preserve">Argentine pour sa proposition, dont la Colombie reconnaissait la capacité à devenir une meilleure pratique reconnue. Dans cette </w:t>
      </w:r>
      <w:r w:rsidR="003912A2" w:rsidRPr="003912A2">
        <w:rPr>
          <w:bCs/>
        </w:rPr>
        <w:t>perspective</w:t>
      </w:r>
      <w:r w:rsidR="003912A2">
        <w:rPr>
          <w:bCs/>
        </w:rPr>
        <w:t>, elle a encouragé l</w:t>
      </w:r>
      <w:r w:rsidR="00346F1B">
        <w:rPr>
          <w:bCs/>
        </w:rPr>
        <w:t>’</w:t>
      </w:r>
      <w:r w:rsidR="003912A2">
        <w:rPr>
          <w:bCs/>
        </w:rPr>
        <w:t>Argentine à poursuivre son travail d</w:t>
      </w:r>
      <w:r w:rsidR="00346F1B">
        <w:rPr>
          <w:bCs/>
        </w:rPr>
        <w:t>’</w:t>
      </w:r>
      <w:r w:rsidR="003912A2" w:rsidRPr="003912A2">
        <w:rPr>
          <w:bCs/>
        </w:rPr>
        <w:t>amélioration</w:t>
      </w:r>
      <w:r w:rsidR="003912A2">
        <w:rPr>
          <w:bCs/>
        </w:rPr>
        <w:t xml:space="preserve"> de sa proposition. Elle a demandé au Comité de permettre à l</w:t>
      </w:r>
      <w:r w:rsidR="00346F1B">
        <w:rPr>
          <w:bCs/>
        </w:rPr>
        <w:t>’</w:t>
      </w:r>
      <w:r w:rsidR="003912A2">
        <w:rPr>
          <w:bCs/>
        </w:rPr>
        <w:t xml:space="preserve">Argentine de prendre la parole afin de communiquer des </w:t>
      </w:r>
      <w:r w:rsidR="003912A2" w:rsidRPr="003912A2">
        <w:rPr>
          <w:bCs/>
        </w:rPr>
        <w:t>informations</w:t>
      </w:r>
      <w:r w:rsidR="003912A2">
        <w:rPr>
          <w:bCs/>
        </w:rPr>
        <w:t xml:space="preserve"> sur les prochaines mesures qu</w:t>
      </w:r>
      <w:r w:rsidR="00346F1B">
        <w:rPr>
          <w:bCs/>
        </w:rPr>
        <w:t>’</w:t>
      </w:r>
      <w:r w:rsidR="003912A2">
        <w:rPr>
          <w:bCs/>
        </w:rPr>
        <w:t xml:space="preserve">elle mettrait en œuvre </w:t>
      </w:r>
      <w:r w:rsidR="001837D1">
        <w:rPr>
          <w:bCs/>
        </w:rPr>
        <w:t>en faveur de cette proposition.</w:t>
      </w:r>
    </w:p>
    <w:p w14:paraId="435F9187" w14:textId="1FEDB4C0" w:rsidR="001F043A" w:rsidRPr="001F043A" w:rsidRDefault="001F043A" w:rsidP="00F24F73">
      <w:pPr>
        <w:pStyle w:val="Orateurengris"/>
        <w:ind w:left="709" w:hanging="709"/>
        <w:rPr>
          <w:bCs/>
        </w:rPr>
      </w:pPr>
      <w:r>
        <w:rPr>
          <w:bCs/>
        </w:rPr>
        <w:t>Après avoir pris note qu</w:t>
      </w:r>
      <w:r w:rsidR="00346F1B">
        <w:rPr>
          <w:bCs/>
        </w:rPr>
        <w:t>’</w:t>
      </w:r>
      <w:r>
        <w:rPr>
          <w:bCs/>
        </w:rPr>
        <w:t>il n</w:t>
      </w:r>
      <w:r w:rsidR="00346F1B">
        <w:rPr>
          <w:bCs/>
        </w:rPr>
        <w:t>’</w:t>
      </w:r>
      <w:r>
        <w:rPr>
          <w:bCs/>
        </w:rPr>
        <w:t>y avait pas d</w:t>
      </w:r>
      <w:r w:rsidR="00346F1B">
        <w:rPr>
          <w:bCs/>
        </w:rPr>
        <w:t>’</w:t>
      </w:r>
      <w:r>
        <w:rPr>
          <w:bCs/>
        </w:rPr>
        <w:t xml:space="preserve">autres intervenants, la </w:t>
      </w:r>
      <w:r w:rsidRPr="001F043A">
        <w:rPr>
          <w:b/>
          <w:bCs/>
        </w:rPr>
        <w:t>Vice-Présidente</w:t>
      </w:r>
      <w:r>
        <w:rPr>
          <w:bCs/>
        </w:rPr>
        <w:t xml:space="preserve"> a donné la parole à l</w:t>
      </w:r>
      <w:r w:rsidR="00346F1B">
        <w:rPr>
          <w:bCs/>
        </w:rPr>
        <w:t>’</w:t>
      </w:r>
      <w:r w:rsidR="001837D1">
        <w:rPr>
          <w:bCs/>
        </w:rPr>
        <w:t>Argentine.</w:t>
      </w:r>
    </w:p>
    <w:p w14:paraId="015BA8A4" w14:textId="004918B8" w:rsidR="001F043A" w:rsidRPr="001F043A" w:rsidRDefault="001F043A" w:rsidP="00F24F73">
      <w:pPr>
        <w:pStyle w:val="Orateurengris"/>
        <w:ind w:left="709" w:hanging="709"/>
        <w:rPr>
          <w:bCs/>
        </w:rPr>
      </w:pPr>
      <w:r w:rsidRPr="001F043A">
        <w:rPr>
          <w:bCs/>
        </w:rPr>
        <w:t>La délégation de l</w:t>
      </w:r>
      <w:r w:rsidR="00346F1B">
        <w:rPr>
          <w:bCs/>
        </w:rPr>
        <w:t>’</w:t>
      </w:r>
      <w:r w:rsidRPr="001F043A">
        <w:rPr>
          <w:b/>
          <w:bCs/>
        </w:rPr>
        <w:t>Argentine</w:t>
      </w:r>
      <w:r>
        <w:rPr>
          <w:bCs/>
        </w:rPr>
        <w:t xml:space="preserve"> a réitéré son </w:t>
      </w:r>
      <w:r w:rsidRPr="001F043A">
        <w:rPr>
          <w:bCs/>
        </w:rPr>
        <w:t>engagement</w:t>
      </w:r>
      <w:r>
        <w:rPr>
          <w:bCs/>
        </w:rPr>
        <w:t xml:space="preserve"> </w:t>
      </w:r>
      <w:r w:rsidR="00CA68A7">
        <w:rPr>
          <w:bCs/>
        </w:rPr>
        <w:t>envers le</w:t>
      </w:r>
      <w:r>
        <w:rPr>
          <w:bCs/>
        </w:rPr>
        <w:t xml:space="preserve"> </w:t>
      </w:r>
      <w:r w:rsidRPr="001F043A">
        <w:rPr>
          <w:bCs/>
        </w:rPr>
        <w:t>patrimoine</w:t>
      </w:r>
      <w:r>
        <w:rPr>
          <w:bCs/>
        </w:rPr>
        <w:t xml:space="preserve"> </w:t>
      </w:r>
      <w:r w:rsidRPr="001F043A">
        <w:rPr>
          <w:bCs/>
        </w:rPr>
        <w:t>culturel</w:t>
      </w:r>
      <w:r>
        <w:rPr>
          <w:bCs/>
        </w:rPr>
        <w:t>, et a remercié la Colombie et le Comité de lui donner l</w:t>
      </w:r>
      <w:r w:rsidR="00346F1B">
        <w:rPr>
          <w:bCs/>
        </w:rPr>
        <w:t>’</w:t>
      </w:r>
      <w:r w:rsidRPr="001F043A">
        <w:rPr>
          <w:bCs/>
        </w:rPr>
        <w:t>opportunité</w:t>
      </w:r>
      <w:r>
        <w:rPr>
          <w:bCs/>
        </w:rPr>
        <w:t xml:space="preserve"> d</w:t>
      </w:r>
      <w:r w:rsidR="00346F1B">
        <w:rPr>
          <w:bCs/>
        </w:rPr>
        <w:t>’</w:t>
      </w:r>
      <w:r>
        <w:rPr>
          <w:bCs/>
        </w:rPr>
        <w:t>exprimer à quel point cette pratique culturelle était importante pou</w:t>
      </w:r>
      <w:r w:rsidR="000955D3">
        <w:rPr>
          <w:bCs/>
        </w:rPr>
        <w:t xml:space="preserve">r le pays. Les randas étaient </w:t>
      </w:r>
      <w:r>
        <w:rPr>
          <w:bCs/>
        </w:rPr>
        <w:t>une des pratiques culturelles reconnues en Argentine, qui pouvait s</w:t>
      </w:r>
      <w:r w:rsidR="00346F1B">
        <w:rPr>
          <w:bCs/>
        </w:rPr>
        <w:t>’</w:t>
      </w:r>
      <w:r>
        <w:rPr>
          <w:bCs/>
        </w:rPr>
        <w:t>enorgueillir d</w:t>
      </w:r>
      <w:r w:rsidR="00346F1B">
        <w:rPr>
          <w:bCs/>
        </w:rPr>
        <w:t>’</w:t>
      </w:r>
      <w:r>
        <w:rPr>
          <w:bCs/>
        </w:rPr>
        <w:t xml:space="preserve">une tradition vieille de plus de deux cents ans. La </w:t>
      </w:r>
      <w:r w:rsidR="000955D3">
        <w:rPr>
          <w:bCs/>
        </w:rPr>
        <w:t xml:space="preserve">pratique </w:t>
      </w:r>
      <w:r>
        <w:rPr>
          <w:bCs/>
        </w:rPr>
        <w:t xml:space="preserve">était enracinée dans les familles où les femmes et les jeunes filles </w:t>
      </w:r>
      <w:r w:rsidR="000955D3">
        <w:rPr>
          <w:bCs/>
        </w:rPr>
        <w:t xml:space="preserve">prenaient </w:t>
      </w:r>
      <w:r>
        <w:rPr>
          <w:bCs/>
        </w:rPr>
        <w:t xml:space="preserve">pleinement </w:t>
      </w:r>
      <w:r w:rsidR="000955D3">
        <w:rPr>
          <w:bCs/>
        </w:rPr>
        <w:t xml:space="preserve">part </w:t>
      </w:r>
      <w:r>
        <w:rPr>
          <w:bCs/>
        </w:rPr>
        <w:t xml:space="preserve">à cet art textile. La </w:t>
      </w:r>
      <w:r w:rsidRPr="001F043A">
        <w:rPr>
          <w:bCs/>
        </w:rPr>
        <w:t>délégation</w:t>
      </w:r>
      <w:r w:rsidR="00CA68A7">
        <w:rPr>
          <w:bCs/>
        </w:rPr>
        <w:t xml:space="preserve"> a évoqué la détermination </w:t>
      </w:r>
      <w:r>
        <w:rPr>
          <w:bCs/>
        </w:rPr>
        <w:t xml:space="preserve">du pays </w:t>
      </w:r>
      <w:r w:rsidR="00CA68A7">
        <w:rPr>
          <w:bCs/>
        </w:rPr>
        <w:t xml:space="preserve">et des communautés concernées à </w:t>
      </w:r>
      <w:r>
        <w:rPr>
          <w:bCs/>
        </w:rPr>
        <w:t>ins</w:t>
      </w:r>
      <w:r w:rsidR="00976B5B">
        <w:rPr>
          <w:bCs/>
        </w:rPr>
        <w:t>crire cette pratique au titre des</w:t>
      </w:r>
      <w:r>
        <w:rPr>
          <w:bCs/>
        </w:rPr>
        <w:t xml:space="preserve"> meilleure</w:t>
      </w:r>
      <w:r w:rsidR="00976B5B">
        <w:rPr>
          <w:bCs/>
        </w:rPr>
        <w:t>s</w:t>
      </w:r>
      <w:r>
        <w:rPr>
          <w:bCs/>
        </w:rPr>
        <w:t xml:space="preserve"> pratique</w:t>
      </w:r>
      <w:r w:rsidR="00976B5B">
        <w:rPr>
          <w:bCs/>
        </w:rPr>
        <w:t>s</w:t>
      </w:r>
      <w:r>
        <w:rPr>
          <w:bCs/>
        </w:rPr>
        <w:t xml:space="preserve"> immatérielle</w:t>
      </w:r>
      <w:r w:rsidR="00976B5B">
        <w:rPr>
          <w:bCs/>
        </w:rPr>
        <w:t>s</w:t>
      </w:r>
      <w:r>
        <w:rPr>
          <w:bCs/>
        </w:rPr>
        <w:t xml:space="preserve"> pour l</w:t>
      </w:r>
      <w:r w:rsidR="00346F1B">
        <w:rPr>
          <w:bCs/>
        </w:rPr>
        <w:t>’</w:t>
      </w:r>
      <w:r>
        <w:rPr>
          <w:bCs/>
        </w:rPr>
        <w:t xml:space="preserve">humanité. Le </w:t>
      </w:r>
      <w:r w:rsidRPr="001F043A">
        <w:rPr>
          <w:bCs/>
        </w:rPr>
        <w:t>ministère</w:t>
      </w:r>
      <w:r>
        <w:rPr>
          <w:bCs/>
        </w:rPr>
        <w:t xml:space="preserve"> de la Culture avait travaillé d</w:t>
      </w:r>
      <w:r w:rsidR="00346F1B">
        <w:rPr>
          <w:bCs/>
        </w:rPr>
        <w:t>’</w:t>
      </w:r>
      <w:r>
        <w:rPr>
          <w:bCs/>
        </w:rPr>
        <w:t xml:space="preserve">arrache-pied avec la </w:t>
      </w:r>
      <w:r w:rsidRPr="001F043A">
        <w:rPr>
          <w:bCs/>
        </w:rPr>
        <w:t>communauté</w:t>
      </w:r>
      <w:r>
        <w:rPr>
          <w:bCs/>
        </w:rPr>
        <w:t xml:space="preserve"> pour </w:t>
      </w:r>
      <w:r w:rsidR="00CA68A7">
        <w:rPr>
          <w:bCs/>
        </w:rPr>
        <w:t xml:space="preserve">parvenir à </w:t>
      </w:r>
      <w:r>
        <w:rPr>
          <w:bCs/>
        </w:rPr>
        <w:t xml:space="preserve">cet objectif. Toutefois, la </w:t>
      </w:r>
      <w:r w:rsidRPr="001F043A">
        <w:rPr>
          <w:bCs/>
        </w:rPr>
        <w:t>délégation</w:t>
      </w:r>
      <w:r>
        <w:rPr>
          <w:bCs/>
        </w:rPr>
        <w:t xml:space="preserve"> reconnaiss</w:t>
      </w:r>
      <w:r w:rsidR="000955D3">
        <w:rPr>
          <w:bCs/>
        </w:rPr>
        <w:t>ait qu</w:t>
      </w:r>
      <w:r w:rsidR="00346F1B">
        <w:rPr>
          <w:bCs/>
        </w:rPr>
        <w:t>’</w:t>
      </w:r>
      <w:r w:rsidR="000955D3">
        <w:rPr>
          <w:bCs/>
        </w:rPr>
        <w:t xml:space="preserve">elle devait améliorer la </w:t>
      </w:r>
      <w:r w:rsidRPr="001F043A">
        <w:rPr>
          <w:bCs/>
        </w:rPr>
        <w:t>documentation</w:t>
      </w:r>
      <w:r w:rsidR="000955D3">
        <w:rPr>
          <w:bCs/>
        </w:rPr>
        <w:t xml:space="preserve"> des processus de </w:t>
      </w:r>
      <w:r w:rsidRPr="001F043A">
        <w:rPr>
          <w:bCs/>
        </w:rPr>
        <w:t>participation</w:t>
      </w:r>
      <w:r w:rsidR="000955D3">
        <w:rPr>
          <w:bCs/>
        </w:rPr>
        <w:t xml:space="preserve"> en cours. Enfin, elle accueillait avec </w:t>
      </w:r>
      <w:r w:rsidR="000955D3" w:rsidRPr="000955D3">
        <w:rPr>
          <w:bCs/>
        </w:rPr>
        <w:t>satisfaction</w:t>
      </w:r>
      <w:r w:rsidR="000955D3">
        <w:rPr>
          <w:bCs/>
        </w:rPr>
        <w:t xml:space="preserve"> les observations de l</w:t>
      </w:r>
      <w:r w:rsidR="00346F1B">
        <w:rPr>
          <w:bCs/>
        </w:rPr>
        <w:t>’</w:t>
      </w:r>
      <w:r w:rsidR="000955D3">
        <w:rPr>
          <w:bCs/>
        </w:rPr>
        <w:t>Organe d</w:t>
      </w:r>
      <w:r w:rsidR="00346F1B">
        <w:rPr>
          <w:bCs/>
        </w:rPr>
        <w:t>’</w:t>
      </w:r>
      <w:r w:rsidR="000955D3">
        <w:rPr>
          <w:bCs/>
        </w:rPr>
        <w:t>évaluation et s</w:t>
      </w:r>
      <w:r w:rsidR="00346F1B">
        <w:rPr>
          <w:bCs/>
        </w:rPr>
        <w:t>’</w:t>
      </w:r>
      <w:r w:rsidR="000955D3">
        <w:rPr>
          <w:bCs/>
        </w:rPr>
        <w:t xml:space="preserve">engageait à poursuivre son travail auprès des communautés locales en vue de renforcer les stratégies de </w:t>
      </w:r>
      <w:r w:rsidR="000955D3" w:rsidRPr="000955D3">
        <w:rPr>
          <w:bCs/>
        </w:rPr>
        <w:t>sauvegarde</w:t>
      </w:r>
      <w:r w:rsidR="000955D3">
        <w:rPr>
          <w:bCs/>
        </w:rPr>
        <w:t xml:space="preserve"> de cette importante pratique. Un certain temps sera</w:t>
      </w:r>
      <w:r w:rsidR="00CA68A7">
        <w:rPr>
          <w:bCs/>
        </w:rPr>
        <w:t>it nécessaire pour atteindre ce but</w:t>
      </w:r>
      <w:r w:rsidR="000955D3">
        <w:rPr>
          <w:bCs/>
        </w:rPr>
        <w:t xml:space="preserve">, mais la </w:t>
      </w:r>
      <w:r w:rsidR="000955D3" w:rsidRPr="000955D3">
        <w:rPr>
          <w:bCs/>
        </w:rPr>
        <w:t>délégation</w:t>
      </w:r>
      <w:r w:rsidR="000955D3">
        <w:rPr>
          <w:bCs/>
        </w:rPr>
        <w:t xml:space="preserve"> formait l</w:t>
      </w:r>
      <w:r w:rsidR="00346F1B">
        <w:rPr>
          <w:bCs/>
        </w:rPr>
        <w:t>’</w:t>
      </w:r>
      <w:r w:rsidR="000955D3">
        <w:rPr>
          <w:bCs/>
        </w:rPr>
        <w:t xml:space="preserve">espoir de présenter à nouveau cette </w:t>
      </w:r>
      <w:r w:rsidR="000955D3" w:rsidRPr="000955D3">
        <w:rPr>
          <w:bCs/>
        </w:rPr>
        <w:t xml:space="preserve">proposition </w:t>
      </w:r>
      <w:r w:rsidR="001837D1">
        <w:rPr>
          <w:bCs/>
        </w:rPr>
        <w:t>dans un avenir proche.</w:t>
      </w:r>
    </w:p>
    <w:p w14:paraId="556DBC0A" w14:textId="0A546BD0" w:rsidR="000955D3" w:rsidRPr="00DC5A29" w:rsidRDefault="000955D3" w:rsidP="00F24F73">
      <w:pPr>
        <w:pStyle w:val="Orateurengris"/>
        <w:ind w:left="709" w:hanging="709"/>
        <w:rPr>
          <w:bCs/>
        </w:rPr>
      </w:pPr>
      <w:r w:rsidRPr="00DC5A29">
        <w:rPr>
          <w:bCs/>
        </w:rPr>
        <w:t xml:space="preserve">La </w:t>
      </w:r>
      <w:r w:rsidRPr="00DC5A29">
        <w:rPr>
          <w:b/>
          <w:bCs/>
        </w:rPr>
        <w:t>Vice-Présidente</w:t>
      </w:r>
      <w:r w:rsidRPr="00DC5A29">
        <w:rPr>
          <w:bCs/>
        </w:rPr>
        <w:t xml:space="preserve"> est passée au projet de décision et, prenant note de l</w:t>
      </w:r>
      <w:r w:rsidR="00346F1B">
        <w:rPr>
          <w:bCs/>
        </w:rPr>
        <w:t>’</w:t>
      </w:r>
      <w:r w:rsidRPr="00DC5A29">
        <w:rPr>
          <w:bCs/>
        </w:rPr>
        <w:t>absence d</w:t>
      </w:r>
      <w:r w:rsidR="00346F1B">
        <w:rPr>
          <w:bCs/>
        </w:rPr>
        <w:t>’</w:t>
      </w:r>
      <w:r w:rsidRPr="00DC5A29">
        <w:rPr>
          <w:bCs/>
        </w:rPr>
        <w:t>amendements, elle a proposé d</w:t>
      </w:r>
      <w:r w:rsidR="00346F1B">
        <w:rPr>
          <w:bCs/>
        </w:rPr>
        <w:t>’</w:t>
      </w:r>
      <w:r w:rsidRPr="00DC5A29">
        <w:rPr>
          <w:bCs/>
        </w:rPr>
        <w:t>adopter la décision dans son ensemble. En l</w:t>
      </w:r>
      <w:r w:rsidR="00346F1B">
        <w:rPr>
          <w:bCs/>
        </w:rPr>
        <w:t>’</w:t>
      </w:r>
      <w:r w:rsidRPr="00DC5A29">
        <w:rPr>
          <w:bCs/>
        </w:rPr>
        <w:t>absence de commentaires ou d</w:t>
      </w:r>
      <w:r w:rsidR="00346F1B">
        <w:rPr>
          <w:bCs/>
        </w:rPr>
        <w:t>’</w:t>
      </w:r>
      <w:r w:rsidRPr="00DC5A29">
        <w:rPr>
          <w:bCs/>
        </w:rPr>
        <w:t xml:space="preserve">objections, la </w:t>
      </w:r>
      <w:r w:rsidRPr="00DC5A29">
        <w:rPr>
          <w:b/>
          <w:bCs/>
        </w:rPr>
        <w:t>Vice-Présidente a déclaré adoptée la décision 11.COM 10.c.1 de ne pas sélectionner les randas, modèle de sauvegarde d</w:t>
      </w:r>
      <w:r w:rsidR="00346F1B">
        <w:rPr>
          <w:b/>
          <w:bCs/>
        </w:rPr>
        <w:t>’</w:t>
      </w:r>
      <w:r w:rsidRPr="00DC5A29">
        <w:rPr>
          <w:b/>
          <w:bCs/>
        </w:rPr>
        <w:t xml:space="preserve">un art textile à El Cercado </w:t>
      </w:r>
      <w:r w:rsidR="00397AB0" w:rsidRPr="00DC5A29">
        <w:rPr>
          <w:b/>
          <w:bCs/>
        </w:rPr>
        <w:t xml:space="preserve">pour </w:t>
      </w:r>
      <w:r w:rsidR="00AB65A1" w:rsidRPr="00DC5A29">
        <w:rPr>
          <w:b/>
          <w:bCs/>
        </w:rPr>
        <w:t>le Registre des meilleures pratiques de sauvegarde</w:t>
      </w:r>
      <w:r w:rsidR="001837D1">
        <w:rPr>
          <w:bCs/>
        </w:rPr>
        <w:t>.</w:t>
      </w:r>
    </w:p>
    <w:p w14:paraId="197B8C08" w14:textId="411F622F" w:rsidR="00AB65A1" w:rsidRPr="00AB65A1" w:rsidRDefault="00AB65A1" w:rsidP="00F24F73">
      <w:pPr>
        <w:pStyle w:val="Orateurengris"/>
        <w:ind w:left="709" w:hanging="709"/>
        <w:rPr>
          <w:bCs/>
        </w:rPr>
      </w:pPr>
      <w:r>
        <w:rPr>
          <w:bCs/>
        </w:rPr>
        <w:t xml:space="preserve">La </w:t>
      </w:r>
      <w:r w:rsidRPr="00AB65A1">
        <w:rPr>
          <w:bCs/>
        </w:rPr>
        <w:t>délégation</w:t>
      </w:r>
      <w:r>
        <w:rPr>
          <w:bCs/>
        </w:rPr>
        <w:t xml:space="preserve"> de l</w:t>
      </w:r>
      <w:r w:rsidR="00346F1B">
        <w:rPr>
          <w:bCs/>
        </w:rPr>
        <w:t>’</w:t>
      </w:r>
      <w:r w:rsidRPr="00AB65A1">
        <w:rPr>
          <w:b/>
          <w:bCs/>
        </w:rPr>
        <w:t>Argentine</w:t>
      </w:r>
      <w:r>
        <w:rPr>
          <w:bCs/>
        </w:rPr>
        <w:t xml:space="preserve"> a adressé ses remerciements et exprimé sa </w:t>
      </w:r>
      <w:r w:rsidRPr="00AB65A1">
        <w:rPr>
          <w:bCs/>
        </w:rPr>
        <w:t>reconnaissance</w:t>
      </w:r>
      <w:r>
        <w:rPr>
          <w:bCs/>
        </w:rPr>
        <w:t xml:space="preserve"> pour la </w:t>
      </w:r>
      <w:r w:rsidRPr="00AB65A1">
        <w:rPr>
          <w:bCs/>
        </w:rPr>
        <w:t>décision</w:t>
      </w:r>
      <w:r w:rsidR="001837D1">
        <w:rPr>
          <w:bCs/>
        </w:rPr>
        <w:t>.</w:t>
      </w:r>
    </w:p>
    <w:p w14:paraId="1E020F66" w14:textId="4E1D8140" w:rsidR="00AB65A1" w:rsidRPr="00AB65A1" w:rsidRDefault="00AB65A1" w:rsidP="00F24F73">
      <w:pPr>
        <w:pStyle w:val="Orateurengris"/>
        <w:ind w:left="709" w:hanging="709"/>
        <w:rPr>
          <w:bCs/>
        </w:rPr>
      </w:pPr>
      <w:r>
        <w:rPr>
          <w:bCs/>
        </w:rPr>
        <w:t xml:space="preserve">La </w:t>
      </w:r>
      <w:r w:rsidRPr="00AB65A1">
        <w:rPr>
          <w:b/>
          <w:bCs/>
        </w:rPr>
        <w:t>Vice-Présidente</w:t>
      </w:r>
      <w:r>
        <w:rPr>
          <w:bCs/>
        </w:rPr>
        <w:t xml:space="preserve"> a remercié l</w:t>
      </w:r>
      <w:r w:rsidR="00346F1B">
        <w:rPr>
          <w:bCs/>
        </w:rPr>
        <w:t>’</w:t>
      </w:r>
      <w:r>
        <w:rPr>
          <w:bCs/>
        </w:rPr>
        <w:t>Argentine et est passée à la proposition suivante, soumise par l</w:t>
      </w:r>
      <w:r w:rsidR="00346F1B">
        <w:rPr>
          <w:bCs/>
        </w:rPr>
        <w:t>’</w:t>
      </w:r>
      <w:r w:rsidR="001837D1">
        <w:rPr>
          <w:bCs/>
        </w:rPr>
        <w:t>Autriche.</w:t>
      </w:r>
    </w:p>
    <w:p w14:paraId="04F7BB5A" w14:textId="25AEFFA6" w:rsidR="00CE50E1" w:rsidRPr="00CE50E1" w:rsidRDefault="00AB65A1" w:rsidP="00F24F73">
      <w:pPr>
        <w:pStyle w:val="Orateurengris"/>
        <w:ind w:left="709" w:hanging="709"/>
        <w:rPr>
          <w:bCs/>
        </w:rPr>
      </w:pPr>
      <w:r w:rsidRPr="00AB65A1">
        <w:rPr>
          <w:bCs/>
        </w:rPr>
        <w:t xml:space="preserve">Le </w:t>
      </w:r>
      <w:r w:rsidRPr="00AB65A1">
        <w:rPr>
          <w:b/>
          <w:bCs/>
        </w:rPr>
        <w:t>Vice-Président de l</w:t>
      </w:r>
      <w:r w:rsidR="00346F1B">
        <w:rPr>
          <w:b/>
          <w:bCs/>
        </w:rPr>
        <w:t>’</w:t>
      </w:r>
      <w:r w:rsidRPr="00AB65A1">
        <w:rPr>
          <w:b/>
          <w:bCs/>
        </w:rPr>
        <w:t>Organe d</w:t>
      </w:r>
      <w:r w:rsidR="00346F1B">
        <w:rPr>
          <w:b/>
          <w:bCs/>
        </w:rPr>
        <w:t>’</w:t>
      </w:r>
      <w:r w:rsidRPr="00AB65A1">
        <w:rPr>
          <w:b/>
          <w:bCs/>
        </w:rPr>
        <w:t>évaluation</w:t>
      </w:r>
      <w:r w:rsidRPr="00AB65A1">
        <w:rPr>
          <w:bCs/>
        </w:rPr>
        <w:t xml:space="preserve"> a présenté la proposition suivante, </w:t>
      </w:r>
      <w:bookmarkStart w:id="56" w:name="Decision10c2"/>
      <w:r w:rsidRPr="00AB65A1">
        <w:rPr>
          <w:b/>
          <w:bCs/>
        </w:rPr>
        <w:t>les centres régionaux de l</w:t>
      </w:r>
      <w:r w:rsidR="00346F1B">
        <w:rPr>
          <w:b/>
          <w:bCs/>
        </w:rPr>
        <w:t>’</w:t>
      </w:r>
      <w:r w:rsidRPr="00AB65A1">
        <w:rPr>
          <w:b/>
          <w:bCs/>
        </w:rPr>
        <w:t>artisanat, stratégie pour sauver le patrimoine culturel de l</w:t>
      </w:r>
      <w:r w:rsidR="00346F1B">
        <w:rPr>
          <w:b/>
          <w:bCs/>
        </w:rPr>
        <w:t>’</w:t>
      </w:r>
      <w:r w:rsidRPr="00AB65A1">
        <w:rPr>
          <w:b/>
          <w:bCs/>
        </w:rPr>
        <w:t>artisanat traditionnel</w:t>
      </w:r>
      <w:r w:rsidRPr="00AB65A1">
        <w:rPr>
          <w:bCs/>
        </w:rPr>
        <w:t xml:space="preserve"> </w:t>
      </w:r>
      <w:bookmarkEnd w:id="56"/>
      <w:r w:rsidRPr="00AB65A1">
        <w:rPr>
          <w:bCs/>
        </w:rPr>
        <w:t>[projet de décision 11.COM 10.c.2], soumise par l</w:t>
      </w:r>
      <w:r w:rsidR="00346F1B">
        <w:rPr>
          <w:bCs/>
        </w:rPr>
        <w:t>’</w:t>
      </w:r>
      <w:r w:rsidRPr="00AB65A1">
        <w:rPr>
          <w:bCs/>
        </w:rPr>
        <w:t xml:space="preserve">Autriche. </w:t>
      </w:r>
      <w:r w:rsidR="00E135B8">
        <w:rPr>
          <w:bCs/>
        </w:rPr>
        <w:t xml:space="preserve">En Autriche, </w:t>
      </w:r>
      <w:r w:rsidRPr="00AB65A1">
        <w:rPr>
          <w:rFonts w:eastAsiaTheme="minorEastAsia"/>
        </w:rPr>
        <w:t>Werkraum Bregenzerwald, Hand.Werk.Haus Salzkammergut, et Textiles Zentrum Haslach étaient</w:t>
      </w:r>
      <w:r w:rsidR="002D6784">
        <w:rPr>
          <w:rFonts w:eastAsiaTheme="minorEastAsia"/>
        </w:rPr>
        <w:t>, depuis quinze ans,</w:t>
      </w:r>
      <w:r w:rsidRPr="00AB65A1">
        <w:rPr>
          <w:rFonts w:eastAsiaTheme="minorEastAsia"/>
        </w:rPr>
        <w:t xml:space="preserve"> des </w:t>
      </w:r>
      <w:r>
        <w:rPr>
          <w:rFonts w:eastAsiaTheme="minorEastAsia"/>
        </w:rPr>
        <w:t xml:space="preserve">centres de </w:t>
      </w:r>
      <w:r w:rsidR="00E135B8">
        <w:rPr>
          <w:rFonts w:eastAsiaTheme="minorEastAsia"/>
        </w:rPr>
        <w:t>formation au s</w:t>
      </w:r>
      <w:r w:rsidRPr="00AB65A1">
        <w:rPr>
          <w:rFonts w:eastAsiaTheme="minorEastAsia"/>
        </w:rPr>
        <w:t>avoir-faire</w:t>
      </w:r>
      <w:r>
        <w:rPr>
          <w:rFonts w:eastAsiaTheme="minorEastAsia"/>
        </w:rPr>
        <w:t xml:space="preserve"> artisanal, dirigés par </w:t>
      </w:r>
      <w:r w:rsidR="00E135B8">
        <w:rPr>
          <w:rFonts w:eastAsiaTheme="minorEastAsia"/>
        </w:rPr>
        <w:t>des artisans traditionnels. Les centres travaillaient avec des artistes internationaux, de</w:t>
      </w:r>
      <w:r w:rsidR="002D6784">
        <w:rPr>
          <w:rFonts w:eastAsiaTheme="minorEastAsia"/>
        </w:rPr>
        <w:t xml:space="preserve">s organismes scientifiques, des </w:t>
      </w:r>
      <w:r w:rsidR="002D6784" w:rsidRPr="002D6784">
        <w:rPr>
          <w:rFonts w:eastAsiaTheme="minorEastAsia"/>
        </w:rPr>
        <w:t>institutions</w:t>
      </w:r>
      <w:r w:rsidR="002D6784">
        <w:rPr>
          <w:rFonts w:eastAsiaTheme="minorEastAsia"/>
        </w:rPr>
        <w:t xml:space="preserve"> éducatives</w:t>
      </w:r>
      <w:r w:rsidR="00E135B8">
        <w:rPr>
          <w:rFonts w:eastAsiaTheme="minorEastAsia"/>
        </w:rPr>
        <w:t xml:space="preserve"> et des entreprises artisanales afin de sauvegarder leurs pratiques pour les générations futures. </w:t>
      </w:r>
      <w:r w:rsidR="002D6784">
        <w:rPr>
          <w:rFonts w:eastAsiaTheme="minorEastAsia"/>
        </w:rPr>
        <w:t>Dir</w:t>
      </w:r>
      <w:r w:rsidR="00E135B8">
        <w:rPr>
          <w:rFonts w:eastAsiaTheme="minorEastAsia"/>
        </w:rPr>
        <w:t>igés par des associations, les centres proposaient des programmes de formation pour le public et des expositions d</w:t>
      </w:r>
      <w:r w:rsidR="00346F1B">
        <w:rPr>
          <w:rFonts w:eastAsiaTheme="minorEastAsia"/>
        </w:rPr>
        <w:t>’</w:t>
      </w:r>
      <w:r w:rsidR="00E135B8">
        <w:rPr>
          <w:rFonts w:eastAsiaTheme="minorEastAsia"/>
        </w:rPr>
        <w:t>œuvres d</w:t>
      </w:r>
      <w:r w:rsidR="00346F1B">
        <w:rPr>
          <w:rFonts w:eastAsiaTheme="minorEastAsia"/>
        </w:rPr>
        <w:t>’</w:t>
      </w:r>
      <w:r w:rsidR="00E135B8">
        <w:rPr>
          <w:rFonts w:eastAsiaTheme="minorEastAsia"/>
        </w:rPr>
        <w:t>artistes locaux et internationaux, ainsi que des forums pour l</w:t>
      </w:r>
      <w:r w:rsidR="00346F1B">
        <w:rPr>
          <w:rFonts w:eastAsiaTheme="minorEastAsia"/>
        </w:rPr>
        <w:t>’</w:t>
      </w:r>
      <w:r w:rsidR="00E135B8">
        <w:rPr>
          <w:rFonts w:eastAsiaTheme="minorEastAsia"/>
        </w:rPr>
        <w:t xml:space="preserve">échange et le </w:t>
      </w:r>
      <w:r w:rsidR="00E135B8" w:rsidRPr="00E135B8">
        <w:rPr>
          <w:rFonts w:eastAsiaTheme="minorEastAsia"/>
        </w:rPr>
        <w:t>partenariat</w:t>
      </w:r>
      <w:r w:rsidR="00E135B8">
        <w:rPr>
          <w:rFonts w:eastAsiaTheme="minorEastAsia"/>
        </w:rPr>
        <w:t xml:space="preserve"> entre les praticiens et l</w:t>
      </w:r>
      <w:r w:rsidR="00346F1B">
        <w:rPr>
          <w:rFonts w:eastAsiaTheme="minorEastAsia"/>
        </w:rPr>
        <w:t>’</w:t>
      </w:r>
      <w:r w:rsidR="00E135B8">
        <w:rPr>
          <w:rFonts w:eastAsiaTheme="minorEastAsia"/>
        </w:rPr>
        <w:t>industrie afin de sauvegarder les pratiques qui étaient importantes pour l</w:t>
      </w:r>
      <w:r w:rsidR="00346F1B">
        <w:rPr>
          <w:rFonts w:eastAsiaTheme="minorEastAsia"/>
        </w:rPr>
        <w:t>’</w:t>
      </w:r>
      <w:r w:rsidR="00E135B8">
        <w:rPr>
          <w:rFonts w:eastAsiaTheme="minorEastAsia"/>
        </w:rPr>
        <w:t xml:space="preserve">identité de la </w:t>
      </w:r>
      <w:r w:rsidR="00E135B8" w:rsidRPr="00E135B8">
        <w:rPr>
          <w:rFonts w:eastAsiaTheme="minorEastAsia"/>
        </w:rPr>
        <w:t>communauté</w:t>
      </w:r>
      <w:r w:rsidR="00E135B8">
        <w:rPr>
          <w:rFonts w:eastAsiaTheme="minorEastAsia"/>
        </w:rPr>
        <w:t>. À l</w:t>
      </w:r>
      <w:r w:rsidR="00346F1B">
        <w:rPr>
          <w:rFonts w:eastAsiaTheme="minorEastAsia"/>
        </w:rPr>
        <w:t>’</w:t>
      </w:r>
      <w:r w:rsidR="00E135B8">
        <w:rPr>
          <w:rFonts w:eastAsiaTheme="minorEastAsia"/>
        </w:rPr>
        <w:t xml:space="preserve">examen des </w:t>
      </w:r>
      <w:r w:rsidR="00E135B8" w:rsidRPr="00E135B8">
        <w:rPr>
          <w:rFonts w:eastAsiaTheme="minorEastAsia"/>
        </w:rPr>
        <w:t>informations</w:t>
      </w:r>
      <w:r w:rsidR="00E135B8">
        <w:rPr>
          <w:rFonts w:eastAsiaTheme="minorEastAsia"/>
        </w:rPr>
        <w:t xml:space="preserve"> contenues dans le dossier, l</w:t>
      </w:r>
      <w:r w:rsidR="00346F1B">
        <w:rPr>
          <w:rFonts w:eastAsiaTheme="minorEastAsia"/>
        </w:rPr>
        <w:t>’</w:t>
      </w:r>
      <w:r w:rsidR="00E135B8">
        <w:rPr>
          <w:rFonts w:eastAsiaTheme="minorEastAsia"/>
        </w:rPr>
        <w:t>Organe d</w:t>
      </w:r>
      <w:r w:rsidR="00346F1B">
        <w:rPr>
          <w:rFonts w:eastAsiaTheme="minorEastAsia"/>
        </w:rPr>
        <w:t>’</w:t>
      </w:r>
      <w:r w:rsidR="00E135B8">
        <w:rPr>
          <w:rFonts w:eastAsiaTheme="minorEastAsia"/>
        </w:rPr>
        <w:t>évaluation avait déc</w:t>
      </w:r>
      <w:r w:rsidR="0079736F">
        <w:rPr>
          <w:rFonts w:eastAsiaTheme="minorEastAsia"/>
        </w:rPr>
        <w:t xml:space="preserve">idé que le programme satisfaisait </w:t>
      </w:r>
      <w:r w:rsidR="00E135B8">
        <w:rPr>
          <w:rFonts w:eastAsiaTheme="minorEastAsia"/>
        </w:rPr>
        <w:t>l</w:t>
      </w:r>
      <w:r w:rsidR="00346F1B">
        <w:rPr>
          <w:rFonts w:eastAsiaTheme="minorEastAsia"/>
        </w:rPr>
        <w:t>’</w:t>
      </w:r>
      <w:r w:rsidR="00E135B8">
        <w:rPr>
          <w:rFonts w:eastAsiaTheme="minorEastAsia"/>
        </w:rPr>
        <w:t xml:space="preserve">ensemble des critères de sélection en tant que meilleure pratique de </w:t>
      </w:r>
      <w:r w:rsidR="00E135B8" w:rsidRPr="00E135B8">
        <w:rPr>
          <w:rFonts w:eastAsiaTheme="minorEastAsia"/>
        </w:rPr>
        <w:t>sauvegarde</w:t>
      </w:r>
      <w:r w:rsidR="00E135B8">
        <w:rPr>
          <w:rFonts w:eastAsiaTheme="minorEastAsia"/>
        </w:rPr>
        <w:t xml:space="preserve">, tels que décrits dans le </w:t>
      </w:r>
      <w:r w:rsidR="00E135B8" w:rsidRPr="00E135B8">
        <w:rPr>
          <w:rFonts w:eastAsiaTheme="minorEastAsia"/>
        </w:rPr>
        <w:t>paragraphe</w:t>
      </w:r>
      <w:r w:rsidR="00E135B8">
        <w:rPr>
          <w:rFonts w:eastAsiaTheme="minorEastAsia"/>
        </w:rPr>
        <w:t xml:space="preserve"> 7 des Directives opérationnelles. Le </w:t>
      </w:r>
      <w:r w:rsidR="00E135B8" w:rsidRPr="00E135B8">
        <w:rPr>
          <w:rFonts w:eastAsiaTheme="minorEastAsia"/>
        </w:rPr>
        <w:t>programme</w:t>
      </w:r>
      <w:r w:rsidR="00E135B8">
        <w:rPr>
          <w:rFonts w:eastAsiaTheme="minorEastAsia"/>
        </w:rPr>
        <w:t xml:space="preserve">, </w:t>
      </w:r>
      <w:r w:rsidR="002D6784">
        <w:rPr>
          <w:rFonts w:eastAsiaTheme="minorEastAsia"/>
        </w:rPr>
        <w:t xml:space="preserve">qui était </w:t>
      </w:r>
      <w:r w:rsidR="00E135B8">
        <w:rPr>
          <w:rFonts w:eastAsiaTheme="minorEastAsia"/>
        </w:rPr>
        <w:t>à l</w:t>
      </w:r>
      <w:r w:rsidR="00346F1B">
        <w:rPr>
          <w:rFonts w:eastAsiaTheme="minorEastAsia"/>
        </w:rPr>
        <w:t>’</w:t>
      </w:r>
      <w:r w:rsidR="00E135B8" w:rsidRPr="00E135B8">
        <w:rPr>
          <w:rFonts w:eastAsiaTheme="minorEastAsia"/>
        </w:rPr>
        <w:t>initiative</w:t>
      </w:r>
      <w:r w:rsidR="00E135B8">
        <w:rPr>
          <w:rFonts w:eastAsiaTheme="minorEastAsia"/>
        </w:rPr>
        <w:t xml:space="preserve"> des artisans, concernait trois centres dirigés par ces mêmes artisans. En </w:t>
      </w:r>
      <w:r w:rsidR="00CE50E1" w:rsidRPr="00CE50E1">
        <w:rPr>
          <w:rFonts w:eastAsiaTheme="minorEastAsia"/>
        </w:rPr>
        <w:t>collaboration</w:t>
      </w:r>
      <w:r w:rsidR="00CE50E1">
        <w:rPr>
          <w:rFonts w:eastAsiaTheme="minorEastAsia"/>
        </w:rPr>
        <w:t xml:space="preserve"> </w:t>
      </w:r>
      <w:r w:rsidR="00E135B8">
        <w:rPr>
          <w:rFonts w:eastAsiaTheme="minorEastAsia"/>
        </w:rPr>
        <w:t>avec des entreprises artisanales et d</w:t>
      </w:r>
      <w:r w:rsidR="00346F1B">
        <w:rPr>
          <w:rFonts w:eastAsiaTheme="minorEastAsia"/>
        </w:rPr>
        <w:t>’</w:t>
      </w:r>
      <w:r w:rsidR="00E135B8">
        <w:rPr>
          <w:rFonts w:eastAsiaTheme="minorEastAsia"/>
        </w:rPr>
        <w:t xml:space="preserve">autres </w:t>
      </w:r>
      <w:r w:rsidR="00E135B8" w:rsidRPr="00E135B8">
        <w:rPr>
          <w:rFonts w:eastAsiaTheme="minorEastAsia"/>
        </w:rPr>
        <w:t>institutions</w:t>
      </w:r>
      <w:r w:rsidR="00E135B8">
        <w:rPr>
          <w:rFonts w:eastAsiaTheme="minorEastAsia"/>
        </w:rPr>
        <w:t xml:space="preserve">, les centres contribuaient </w:t>
      </w:r>
      <w:r w:rsidR="00CE50E1">
        <w:rPr>
          <w:rFonts w:eastAsiaTheme="minorEastAsia"/>
        </w:rPr>
        <w:t xml:space="preserve">à la pratique continue des connaissances et </w:t>
      </w:r>
      <w:r w:rsidR="00CE50E1" w:rsidRPr="00CE50E1">
        <w:rPr>
          <w:rFonts w:eastAsiaTheme="minorEastAsia"/>
        </w:rPr>
        <w:t>savoir-faire</w:t>
      </w:r>
      <w:r w:rsidR="00CE50E1">
        <w:rPr>
          <w:rFonts w:eastAsiaTheme="minorEastAsia"/>
        </w:rPr>
        <w:t xml:space="preserve"> </w:t>
      </w:r>
      <w:r w:rsidR="00CE50E1" w:rsidRPr="00CE50E1">
        <w:rPr>
          <w:rFonts w:eastAsiaTheme="minorEastAsia"/>
        </w:rPr>
        <w:t>traditionnels</w:t>
      </w:r>
      <w:r w:rsidR="00CE50E1">
        <w:rPr>
          <w:rFonts w:eastAsiaTheme="minorEastAsia"/>
        </w:rPr>
        <w:t xml:space="preserve">, tout en assurant leur durabilité </w:t>
      </w:r>
      <w:r w:rsidR="00CE50E1" w:rsidRPr="00CE50E1">
        <w:rPr>
          <w:rFonts w:eastAsiaTheme="minorEastAsia"/>
        </w:rPr>
        <w:t>écologique</w:t>
      </w:r>
      <w:r w:rsidR="00CE50E1">
        <w:rPr>
          <w:rFonts w:eastAsiaTheme="minorEastAsia"/>
        </w:rPr>
        <w:t xml:space="preserve"> et leur pérennité </w:t>
      </w:r>
      <w:r w:rsidR="00CE50E1" w:rsidRPr="00CE50E1">
        <w:rPr>
          <w:rFonts w:eastAsiaTheme="minorEastAsia"/>
        </w:rPr>
        <w:t>économique</w:t>
      </w:r>
      <w:r w:rsidR="00CE50E1">
        <w:rPr>
          <w:rFonts w:eastAsiaTheme="minorEastAsia"/>
        </w:rPr>
        <w:t xml:space="preserve"> grâce à un grand réseau de </w:t>
      </w:r>
      <w:r w:rsidR="00CE50E1" w:rsidRPr="00CE50E1">
        <w:rPr>
          <w:rFonts w:eastAsiaTheme="minorEastAsia"/>
        </w:rPr>
        <w:t>coopération. L</w:t>
      </w:r>
      <w:r w:rsidR="00346F1B">
        <w:rPr>
          <w:rFonts w:eastAsiaTheme="minorEastAsia"/>
        </w:rPr>
        <w:t>’</w:t>
      </w:r>
      <w:r w:rsidR="00CE50E1" w:rsidRPr="00CE50E1">
        <w:rPr>
          <w:rFonts w:eastAsiaTheme="minorEastAsia"/>
        </w:rPr>
        <w:t>Organe d</w:t>
      </w:r>
      <w:r w:rsidR="00346F1B">
        <w:rPr>
          <w:rFonts w:eastAsiaTheme="minorEastAsia"/>
        </w:rPr>
        <w:t>’</w:t>
      </w:r>
      <w:r w:rsidR="00CE50E1" w:rsidRPr="00CE50E1">
        <w:rPr>
          <w:rFonts w:eastAsiaTheme="minorEastAsia"/>
        </w:rPr>
        <w:t xml:space="preserve">évaluation </w:t>
      </w:r>
      <w:r w:rsidR="00CE50E1">
        <w:rPr>
          <w:rFonts w:eastAsiaTheme="minorEastAsia"/>
        </w:rPr>
        <w:t>avait décidé de recommander la</w:t>
      </w:r>
      <w:r w:rsidR="00CE50E1" w:rsidRPr="00CE50E1">
        <w:rPr>
          <w:rFonts w:eastAsiaTheme="minorEastAsia"/>
        </w:rPr>
        <w:t xml:space="preserve"> sélection des </w:t>
      </w:r>
      <w:r w:rsidR="00CE50E1" w:rsidRPr="00CE50E1">
        <w:rPr>
          <w:bCs/>
        </w:rPr>
        <w:t>centres régionaux de l</w:t>
      </w:r>
      <w:r w:rsidR="00346F1B">
        <w:rPr>
          <w:bCs/>
        </w:rPr>
        <w:t>’</w:t>
      </w:r>
      <w:r w:rsidR="00CE50E1" w:rsidRPr="00CE50E1">
        <w:rPr>
          <w:bCs/>
        </w:rPr>
        <w:t>artisanat, stratégie pour sauver le patrimoine culturel de l</w:t>
      </w:r>
      <w:r w:rsidR="00346F1B">
        <w:rPr>
          <w:bCs/>
        </w:rPr>
        <w:t>’</w:t>
      </w:r>
      <w:r w:rsidR="00CE50E1" w:rsidRPr="00CE50E1">
        <w:rPr>
          <w:bCs/>
        </w:rPr>
        <w:t>artisanat traditionnel</w:t>
      </w:r>
      <w:r w:rsidR="001837D1">
        <w:rPr>
          <w:bCs/>
        </w:rPr>
        <w:t xml:space="preserve"> pour le Registre.</w:t>
      </w:r>
    </w:p>
    <w:p w14:paraId="5A102D90" w14:textId="15B9A36B" w:rsidR="002D6784" w:rsidRPr="002D6784" w:rsidRDefault="002D6784" w:rsidP="00F24F73">
      <w:pPr>
        <w:pStyle w:val="Orateurengris"/>
        <w:ind w:left="709" w:hanging="709"/>
        <w:rPr>
          <w:bCs/>
        </w:rPr>
      </w:pPr>
      <w:r>
        <w:rPr>
          <w:bCs/>
        </w:rPr>
        <w:t>Après avoir remercié le Vice-Président de l</w:t>
      </w:r>
      <w:r w:rsidR="00346F1B">
        <w:rPr>
          <w:bCs/>
        </w:rPr>
        <w:t>’</w:t>
      </w:r>
      <w:r>
        <w:rPr>
          <w:bCs/>
        </w:rPr>
        <w:t>Organe d</w:t>
      </w:r>
      <w:r w:rsidR="00346F1B">
        <w:rPr>
          <w:bCs/>
        </w:rPr>
        <w:t>’</w:t>
      </w:r>
      <w:r>
        <w:rPr>
          <w:bCs/>
        </w:rPr>
        <w:t xml:space="preserve">évaluation, la </w:t>
      </w:r>
      <w:r w:rsidRPr="002D6784">
        <w:rPr>
          <w:b/>
          <w:bCs/>
        </w:rPr>
        <w:t>Vice-Présidente</w:t>
      </w:r>
      <w:r>
        <w:rPr>
          <w:bCs/>
        </w:rPr>
        <w:t xml:space="preserve"> a noté qu</w:t>
      </w:r>
      <w:r w:rsidR="00346F1B">
        <w:rPr>
          <w:bCs/>
        </w:rPr>
        <w:t>’</w:t>
      </w:r>
      <w:r>
        <w:rPr>
          <w:bCs/>
        </w:rPr>
        <w:t xml:space="preserve">aucun </w:t>
      </w:r>
      <w:r w:rsidRPr="002D6784">
        <w:rPr>
          <w:bCs/>
        </w:rPr>
        <w:t>amendement</w:t>
      </w:r>
      <w:r>
        <w:rPr>
          <w:bCs/>
        </w:rPr>
        <w:t xml:space="preserve"> n</w:t>
      </w:r>
      <w:r w:rsidR="00346F1B">
        <w:rPr>
          <w:bCs/>
        </w:rPr>
        <w:t>’</w:t>
      </w:r>
      <w:r>
        <w:rPr>
          <w:bCs/>
        </w:rPr>
        <w:t>avait été déposé et a donc proposé d</w:t>
      </w:r>
      <w:r w:rsidR="00346F1B">
        <w:rPr>
          <w:bCs/>
        </w:rPr>
        <w:t>’</w:t>
      </w:r>
      <w:r>
        <w:rPr>
          <w:bCs/>
        </w:rPr>
        <w:t xml:space="preserve">adopter la </w:t>
      </w:r>
      <w:r w:rsidRPr="002D6784">
        <w:rPr>
          <w:bCs/>
        </w:rPr>
        <w:t>décision</w:t>
      </w:r>
      <w:r>
        <w:rPr>
          <w:bCs/>
        </w:rPr>
        <w:t xml:space="preserve"> dans son ensemble. En l</w:t>
      </w:r>
      <w:r w:rsidR="00346F1B">
        <w:rPr>
          <w:bCs/>
        </w:rPr>
        <w:t>’</w:t>
      </w:r>
      <w:r>
        <w:rPr>
          <w:bCs/>
        </w:rPr>
        <w:t>absence de commentaires ou d</w:t>
      </w:r>
      <w:r w:rsidR="00346F1B">
        <w:rPr>
          <w:bCs/>
        </w:rPr>
        <w:t>’</w:t>
      </w:r>
      <w:r w:rsidRPr="002D6784">
        <w:rPr>
          <w:bCs/>
        </w:rPr>
        <w:t>objections</w:t>
      </w:r>
      <w:r>
        <w:rPr>
          <w:bCs/>
        </w:rPr>
        <w:t xml:space="preserve">, la </w:t>
      </w:r>
      <w:r w:rsidRPr="002D6784">
        <w:rPr>
          <w:b/>
          <w:bCs/>
        </w:rPr>
        <w:t>Vice-Présidente a déclaré adoptée la décision 11.COM 10.c.2 de sélectionner les ce</w:t>
      </w:r>
      <w:r w:rsidRPr="00AB65A1">
        <w:rPr>
          <w:b/>
          <w:bCs/>
        </w:rPr>
        <w:t>ntres régionaux de l</w:t>
      </w:r>
      <w:r w:rsidR="00346F1B">
        <w:rPr>
          <w:b/>
          <w:bCs/>
        </w:rPr>
        <w:t>’</w:t>
      </w:r>
      <w:r w:rsidRPr="00AB65A1">
        <w:rPr>
          <w:b/>
          <w:bCs/>
        </w:rPr>
        <w:t>artisanat, stratégie pour sauver le patrimoine culturel de l</w:t>
      </w:r>
      <w:r w:rsidR="00346F1B">
        <w:rPr>
          <w:b/>
          <w:bCs/>
        </w:rPr>
        <w:t>’</w:t>
      </w:r>
      <w:r w:rsidRPr="00AB65A1">
        <w:rPr>
          <w:b/>
          <w:bCs/>
        </w:rPr>
        <w:t>artisanat traditionnel</w:t>
      </w:r>
      <w:r>
        <w:rPr>
          <w:b/>
          <w:bCs/>
        </w:rPr>
        <w:t xml:space="preserve"> pour le Registre des meilleures pratiques d</w:t>
      </w:r>
      <w:r w:rsidR="001837D1">
        <w:rPr>
          <w:b/>
          <w:bCs/>
        </w:rPr>
        <w:t>e sauvegarde.</w:t>
      </w:r>
    </w:p>
    <w:p w14:paraId="2EBCFDDA" w14:textId="71007535" w:rsidR="009200F7" w:rsidRPr="009200F7" w:rsidRDefault="009200F7" w:rsidP="00F24F73">
      <w:pPr>
        <w:pStyle w:val="Orateurengris"/>
        <w:ind w:left="709" w:hanging="709"/>
        <w:rPr>
          <w:bCs/>
        </w:rPr>
      </w:pPr>
      <w:r>
        <w:rPr>
          <w:bCs/>
        </w:rPr>
        <w:t xml:space="preserve">La </w:t>
      </w:r>
      <w:r w:rsidRPr="009200F7">
        <w:rPr>
          <w:bCs/>
        </w:rPr>
        <w:t>délégation</w:t>
      </w:r>
      <w:r>
        <w:rPr>
          <w:bCs/>
        </w:rPr>
        <w:t xml:space="preserve"> de l</w:t>
      </w:r>
      <w:r w:rsidR="00346F1B">
        <w:rPr>
          <w:bCs/>
        </w:rPr>
        <w:t>’</w:t>
      </w:r>
      <w:r w:rsidRPr="009200F7">
        <w:rPr>
          <w:b/>
          <w:bCs/>
        </w:rPr>
        <w:t>Autriche</w:t>
      </w:r>
      <w:r>
        <w:rPr>
          <w:bCs/>
        </w:rPr>
        <w:t xml:space="preserve"> a remercié le Président et le Comité, en soulignant que les centres régionaux de l</w:t>
      </w:r>
      <w:r w:rsidR="00346F1B">
        <w:rPr>
          <w:bCs/>
        </w:rPr>
        <w:t>’</w:t>
      </w:r>
      <w:r>
        <w:rPr>
          <w:bCs/>
        </w:rPr>
        <w:t xml:space="preserve">artisanat étaient le premier élément autrichien inscrit sur le Registre des bonnes pratiques de sauvegarde. </w:t>
      </w:r>
      <w:r w:rsidR="007E1414">
        <w:rPr>
          <w:bCs/>
        </w:rPr>
        <w:t>Cela procur</w:t>
      </w:r>
      <w:r w:rsidR="00D274C2">
        <w:rPr>
          <w:bCs/>
        </w:rPr>
        <w:t>ait un sentiment de fierté et la</w:t>
      </w:r>
      <w:r w:rsidR="007E1414">
        <w:rPr>
          <w:bCs/>
        </w:rPr>
        <w:t xml:space="preserve"> </w:t>
      </w:r>
      <w:r w:rsidR="007E1414" w:rsidRPr="007E1414">
        <w:rPr>
          <w:bCs/>
        </w:rPr>
        <w:t>satisfaction</w:t>
      </w:r>
      <w:r w:rsidR="007E1414">
        <w:rPr>
          <w:bCs/>
        </w:rPr>
        <w:t xml:space="preserve"> d</w:t>
      </w:r>
      <w:r w:rsidR="00346F1B">
        <w:rPr>
          <w:bCs/>
        </w:rPr>
        <w:t>’</w:t>
      </w:r>
      <w:r w:rsidR="007E1414">
        <w:rPr>
          <w:bCs/>
        </w:rPr>
        <w:t xml:space="preserve">être sur la bonne voie de la mise en œuvre nationale de la </w:t>
      </w:r>
      <w:r w:rsidR="007E1414" w:rsidRPr="007E1414">
        <w:rPr>
          <w:bCs/>
        </w:rPr>
        <w:t>Convention</w:t>
      </w:r>
      <w:r w:rsidR="007E1414">
        <w:rPr>
          <w:bCs/>
        </w:rPr>
        <w:t xml:space="preserve">. On était là au cœur même de la </w:t>
      </w:r>
      <w:r w:rsidR="007E1414" w:rsidRPr="007E1414">
        <w:rPr>
          <w:bCs/>
        </w:rPr>
        <w:t>Convention</w:t>
      </w:r>
      <w:r w:rsidR="007E1414">
        <w:rPr>
          <w:bCs/>
        </w:rPr>
        <w:t xml:space="preserve">, car le partage des bonnes pratiques de </w:t>
      </w:r>
      <w:r w:rsidR="007E1414" w:rsidRPr="007E1414">
        <w:rPr>
          <w:bCs/>
        </w:rPr>
        <w:t>sauvegarde</w:t>
      </w:r>
      <w:r w:rsidR="007E1414">
        <w:rPr>
          <w:bCs/>
        </w:rPr>
        <w:t xml:space="preserve"> et la </w:t>
      </w:r>
      <w:r w:rsidR="007E1414" w:rsidRPr="007E1414">
        <w:rPr>
          <w:bCs/>
        </w:rPr>
        <w:t>coopération</w:t>
      </w:r>
      <w:r w:rsidR="007E1414">
        <w:rPr>
          <w:bCs/>
        </w:rPr>
        <w:t xml:space="preserve"> </w:t>
      </w:r>
      <w:r w:rsidR="007E1414" w:rsidRPr="007E1414">
        <w:rPr>
          <w:bCs/>
        </w:rPr>
        <w:t xml:space="preserve">internationale </w:t>
      </w:r>
      <w:r w:rsidR="007E1414">
        <w:rPr>
          <w:bCs/>
        </w:rPr>
        <w:t xml:space="preserve">contribuaient grandement à atteindre ses objectifs. </w:t>
      </w:r>
      <w:r w:rsidR="004D7951">
        <w:rPr>
          <w:bCs/>
        </w:rPr>
        <w:t xml:space="preserve">Le </w:t>
      </w:r>
      <w:r w:rsidR="004D7951" w:rsidRPr="004D7951">
        <w:rPr>
          <w:bCs/>
        </w:rPr>
        <w:t>savoir-faire</w:t>
      </w:r>
      <w:r w:rsidR="004D7951">
        <w:rPr>
          <w:bCs/>
        </w:rPr>
        <w:t xml:space="preserve"> artisanal était caractérisé par la vie et le dynamisme. Toutefois, au cours des dernières années, l</w:t>
      </w:r>
      <w:r w:rsidR="00346F1B">
        <w:rPr>
          <w:bCs/>
        </w:rPr>
        <w:t>’</w:t>
      </w:r>
      <w:r w:rsidR="004D7951">
        <w:rPr>
          <w:bCs/>
        </w:rPr>
        <w:t>artisanat autrichien avec été marqué par des changements constants et une attractivité décroissante. Les trois centres régionaux d</w:t>
      </w:r>
      <w:r w:rsidR="00346F1B">
        <w:rPr>
          <w:bCs/>
        </w:rPr>
        <w:t>’</w:t>
      </w:r>
      <w:r w:rsidR="004D7951">
        <w:rPr>
          <w:bCs/>
        </w:rPr>
        <w:t xml:space="preserve">artisanat avaient été créés afin de promouvoir la </w:t>
      </w:r>
      <w:r w:rsidR="004D7951" w:rsidRPr="004D7951">
        <w:rPr>
          <w:bCs/>
        </w:rPr>
        <w:t>coopération</w:t>
      </w:r>
      <w:r w:rsidR="004D7951">
        <w:rPr>
          <w:bCs/>
        </w:rPr>
        <w:t xml:space="preserve"> et l</w:t>
      </w:r>
      <w:r w:rsidR="00346F1B">
        <w:rPr>
          <w:bCs/>
        </w:rPr>
        <w:t>’</w:t>
      </w:r>
      <w:r w:rsidR="004D7951">
        <w:rPr>
          <w:bCs/>
        </w:rPr>
        <w:t>échange d</w:t>
      </w:r>
      <w:r w:rsidR="00346F1B">
        <w:rPr>
          <w:bCs/>
        </w:rPr>
        <w:t>’</w:t>
      </w:r>
      <w:r w:rsidR="004D7951">
        <w:rPr>
          <w:bCs/>
        </w:rPr>
        <w:t>idées, de présenter l</w:t>
      </w:r>
      <w:r w:rsidR="00346F1B">
        <w:rPr>
          <w:bCs/>
        </w:rPr>
        <w:t>’</w:t>
      </w:r>
      <w:r w:rsidR="004D7951">
        <w:rPr>
          <w:bCs/>
        </w:rPr>
        <w:t>artisanat traditionnel et d</w:t>
      </w:r>
      <w:r w:rsidR="00346F1B">
        <w:rPr>
          <w:bCs/>
        </w:rPr>
        <w:t>’</w:t>
      </w:r>
      <w:r w:rsidR="004D7951">
        <w:rPr>
          <w:bCs/>
        </w:rPr>
        <w:t>éduquer et de former la prochaine génération d</w:t>
      </w:r>
      <w:r w:rsidR="00346F1B">
        <w:rPr>
          <w:bCs/>
        </w:rPr>
        <w:t>’</w:t>
      </w:r>
      <w:r w:rsidR="004D7951">
        <w:rPr>
          <w:bCs/>
        </w:rPr>
        <w:t xml:space="preserve">artisans. La </w:t>
      </w:r>
      <w:r w:rsidR="004D7951" w:rsidRPr="004D7951">
        <w:rPr>
          <w:bCs/>
        </w:rPr>
        <w:t>délégation</w:t>
      </w:r>
      <w:r w:rsidR="004D7951">
        <w:rPr>
          <w:bCs/>
        </w:rPr>
        <w:t xml:space="preserve"> était enchantée que les stratégies couronnées de succès de ces initiatives régionales puissent </w:t>
      </w:r>
      <w:r w:rsidR="004D7951" w:rsidRPr="004D7951">
        <w:rPr>
          <w:bCs/>
        </w:rPr>
        <w:t>désormais</w:t>
      </w:r>
      <w:r w:rsidR="004D7951">
        <w:rPr>
          <w:bCs/>
        </w:rPr>
        <w:t xml:space="preserve"> être diffusées et promues parmi les États parties, afin que ceux-ci bénéficient d</w:t>
      </w:r>
      <w:r w:rsidR="00346F1B">
        <w:rPr>
          <w:bCs/>
        </w:rPr>
        <w:t>’</w:t>
      </w:r>
      <w:r w:rsidR="004D7951">
        <w:rPr>
          <w:bCs/>
        </w:rPr>
        <w:t xml:space="preserve">un soutien dans la mise en œuvre de leurs propres mesures de </w:t>
      </w:r>
      <w:r w:rsidR="004D7951" w:rsidRPr="004D7951">
        <w:rPr>
          <w:bCs/>
        </w:rPr>
        <w:t>sauvegarde</w:t>
      </w:r>
      <w:r w:rsidR="004D7951">
        <w:rPr>
          <w:bCs/>
        </w:rPr>
        <w:t xml:space="preserve"> de l</w:t>
      </w:r>
      <w:r w:rsidR="00346F1B">
        <w:rPr>
          <w:bCs/>
        </w:rPr>
        <w:t>’</w:t>
      </w:r>
      <w:r w:rsidR="004D7951">
        <w:rPr>
          <w:bCs/>
        </w:rPr>
        <w:t>artisanat traditionnel, une partie importante du PCI de l</w:t>
      </w:r>
      <w:r w:rsidR="00346F1B">
        <w:rPr>
          <w:bCs/>
        </w:rPr>
        <w:t>’</w:t>
      </w:r>
      <w:r w:rsidR="004D7951">
        <w:rPr>
          <w:bCs/>
        </w:rPr>
        <w:t>humanité. Elle a remercié le Secrétariat, l</w:t>
      </w:r>
      <w:r w:rsidR="00346F1B">
        <w:rPr>
          <w:bCs/>
        </w:rPr>
        <w:t>’</w:t>
      </w:r>
      <w:r w:rsidR="004D7951">
        <w:rPr>
          <w:bCs/>
        </w:rPr>
        <w:t>Organe d</w:t>
      </w:r>
      <w:r w:rsidR="00346F1B">
        <w:rPr>
          <w:bCs/>
        </w:rPr>
        <w:t>’</w:t>
      </w:r>
      <w:r w:rsidR="004D7951">
        <w:rPr>
          <w:bCs/>
        </w:rPr>
        <w:t xml:space="preserve">évaluation et le Comité pour leur travail gigantesque et leur engagement </w:t>
      </w:r>
      <w:r w:rsidR="00D274C2">
        <w:rPr>
          <w:bCs/>
        </w:rPr>
        <w:t xml:space="preserve">sans faille </w:t>
      </w:r>
      <w:r w:rsidR="004D7951">
        <w:rPr>
          <w:bCs/>
        </w:rPr>
        <w:t>à sauvegarder tant de traditions vivantes et à renforcer les identités de tant de communa</w:t>
      </w:r>
      <w:r w:rsidR="001837D1">
        <w:rPr>
          <w:bCs/>
        </w:rPr>
        <w:t>utés.</w:t>
      </w:r>
    </w:p>
    <w:p w14:paraId="48B7671C" w14:textId="69117AAE" w:rsidR="00D274C2" w:rsidRPr="00D274C2" w:rsidRDefault="00D274C2" w:rsidP="00F24F73">
      <w:pPr>
        <w:pStyle w:val="Orateurengris"/>
        <w:ind w:left="709" w:hanging="709"/>
        <w:rPr>
          <w:bCs/>
        </w:rPr>
      </w:pPr>
      <w:r w:rsidRPr="00D274C2">
        <w:rPr>
          <w:bCs/>
        </w:rPr>
        <w:t xml:space="preserve">La </w:t>
      </w:r>
      <w:r w:rsidRPr="00D274C2">
        <w:rPr>
          <w:b/>
          <w:bCs/>
        </w:rPr>
        <w:t>Vice-Présidente</w:t>
      </w:r>
      <w:r>
        <w:rPr>
          <w:bCs/>
        </w:rPr>
        <w:t xml:space="preserve"> a félicité l</w:t>
      </w:r>
      <w:r w:rsidR="00346F1B">
        <w:rPr>
          <w:bCs/>
        </w:rPr>
        <w:t>’</w:t>
      </w:r>
      <w:r>
        <w:rPr>
          <w:bCs/>
        </w:rPr>
        <w:t>Autriche, et est passée à la proposition sui</w:t>
      </w:r>
      <w:r w:rsidR="001837D1">
        <w:rPr>
          <w:bCs/>
        </w:rPr>
        <w:t>vante, soumise par la Bulgarie.</w:t>
      </w:r>
    </w:p>
    <w:p w14:paraId="58BA787D" w14:textId="5E9C4784" w:rsidR="004B3408" w:rsidRPr="004B3408" w:rsidRDefault="00D274C2" w:rsidP="00F24F73">
      <w:pPr>
        <w:pStyle w:val="Orateurengris"/>
        <w:ind w:left="709" w:hanging="709"/>
        <w:rPr>
          <w:bCs/>
        </w:rPr>
      </w:pPr>
      <w:r>
        <w:rPr>
          <w:bCs/>
        </w:rPr>
        <w:t xml:space="preserve">Le </w:t>
      </w:r>
      <w:r w:rsidRPr="00D274C2">
        <w:rPr>
          <w:b/>
          <w:bCs/>
        </w:rPr>
        <w:t>Vice-Président de l</w:t>
      </w:r>
      <w:r w:rsidR="00346F1B">
        <w:rPr>
          <w:b/>
          <w:bCs/>
        </w:rPr>
        <w:t>’</w:t>
      </w:r>
      <w:r w:rsidRPr="00D274C2">
        <w:rPr>
          <w:b/>
          <w:bCs/>
        </w:rPr>
        <w:t>Organe d</w:t>
      </w:r>
      <w:r w:rsidR="00346F1B">
        <w:rPr>
          <w:b/>
          <w:bCs/>
        </w:rPr>
        <w:t>’</w:t>
      </w:r>
      <w:r w:rsidRPr="00D274C2">
        <w:rPr>
          <w:b/>
          <w:bCs/>
        </w:rPr>
        <w:t>évaluation</w:t>
      </w:r>
      <w:r>
        <w:rPr>
          <w:bCs/>
        </w:rPr>
        <w:t xml:space="preserve"> est passé à la proposition suivante, </w:t>
      </w:r>
      <w:bookmarkStart w:id="57" w:name="Decision10c3"/>
      <w:r w:rsidRPr="00D274C2">
        <w:rPr>
          <w:b/>
          <w:bCs/>
        </w:rPr>
        <w:t xml:space="preserve">le festival de folklore à </w:t>
      </w:r>
      <w:r w:rsidRPr="00D274C2">
        <w:rPr>
          <w:rFonts w:eastAsia="MS Mincho"/>
          <w:b/>
        </w:rPr>
        <w:t>Koprivshtitsa : un ensemble de pratiques pour présenter et transmettre le patrimoine</w:t>
      </w:r>
      <w:bookmarkEnd w:id="57"/>
      <w:r>
        <w:rPr>
          <w:rFonts w:eastAsia="MS Mincho"/>
          <w:b/>
        </w:rPr>
        <w:t xml:space="preserve"> </w:t>
      </w:r>
      <w:r>
        <w:rPr>
          <w:rFonts w:eastAsia="MS Mincho"/>
        </w:rPr>
        <w:t>[projet de décision 11.COM 10.c.3], sou</w:t>
      </w:r>
      <w:r w:rsidR="004B3408">
        <w:rPr>
          <w:rFonts w:eastAsia="MS Mincho"/>
        </w:rPr>
        <w:t>mise par la Bulgarie. L</w:t>
      </w:r>
      <w:r w:rsidR="00346F1B">
        <w:rPr>
          <w:rFonts w:eastAsia="MS Mincho"/>
        </w:rPr>
        <w:t>’</w:t>
      </w:r>
      <w:r w:rsidR="004B3408" w:rsidRPr="004B3408">
        <w:rPr>
          <w:rFonts w:eastAsia="MS Mincho"/>
        </w:rPr>
        <w:t>initiative</w:t>
      </w:r>
      <w:r>
        <w:rPr>
          <w:rFonts w:eastAsia="MS Mincho"/>
        </w:rPr>
        <w:t xml:space="preserve"> du festival de folklore à </w:t>
      </w:r>
      <w:r w:rsidRPr="00D274C2">
        <w:rPr>
          <w:rFonts w:eastAsia="MS Mincho"/>
        </w:rPr>
        <w:t>Koprivshtitsa</w:t>
      </w:r>
      <w:r>
        <w:rPr>
          <w:rFonts w:eastAsia="MS Mincho"/>
        </w:rPr>
        <w:t xml:space="preserve">, où des milliers de Bulgares et de membres de la diaspora se rencontraient pour présenter et partager les pratiques de leur </w:t>
      </w:r>
      <w:r w:rsidRPr="00D274C2">
        <w:rPr>
          <w:rFonts w:eastAsia="MS Mincho"/>
        </w:rPr>
        <w:t>patrimoine</w:t>
      </w:r>
      <w:r>
        <w:rPr>
          <w:rFonts w:eastAsia="MS Mincho"/>
        </w:rPr>
        <w:t xml:space="preserve"> vivant</w:t>
      </w:r>
      <w:r w:rsidR="004B3408">
        <w:rPr>
          <w:rFonts w:eastAsia="MS Mincho"/>
        </w:rPr>
        <w:t xml:space="preserve">, revenait à des musiciens locaux qui </w:t>
      </w:r>
      <w:r w:rsidR="00D372DE">
        <w:rPr>
          <w:rFonts w:eastAsia="MS Mincho"/>
        </w:rPr>
        <w:t>avaient constaté</w:t>
      </w:r>
      <w:r w:rsidR="004B3408">
        <w:rPr>
          <w:rFonts w:eastAsia="MS Mincho"/>
        </w:rPr>
        <w:t xml:space="preserve"> que leurs traditions étaient menacées par des facteurs tels que l</w:t>
      </w:r>
      <w:r w:rsidR="00346F1B">
        <w:rPr>
          <w:rFonts w:eastAsia="MS Mincho"/>
        </w:rPr>
        <w:t>’</w:t>
      </w:r>
      <w:r w:rsidR="004B3408">
        <w:rPr>
          <w:rFonts w:eastAsia="MS Mincho"/>
        </w:rPr>
        <w:t xml:space="preserve">urbanisation et la marchandisation. Avec la </w:t>
      </w:r>
      <w:r w:rsidR="004B3408" w:rsidRPr="004B3408">
        <w:rPr>
          <w:rFonts w:eastAsia="MS Mincho"/>
        </w:rPr>
        <w:t>participation</w:t>
      </w:r>
      <w:r w:rsidR="004B3408">
        <w:rPr>
          <w:rFonts w:eastAsia="MS Mincho"/>
        </w:rPr>
        <w:t xml:space="preserve"> de la m</w:t>
      </w:r>
      <w:r w:rsidR="004B3408" w:rsidRPr="004B3408">
        <w:rPr>
          <w:rFonts w:eastAsia="MS Mincho"/>
        </w:rPr>
        <w:t>unicipalité</w:t>
      </w:r>
      <w:r w:rsidR="004B3408">
        <w:rPr>
          <w:rFonts w:eastAsia="MS Mincho"/>
        </w:rPr>
        <w:t xml:space="preserve">, du </w:t>
      </w:r>
      <w:r w:rsidR="004B3408" w:rsidRPr="004B3408">
        <w:rPr>
          <w:rFonts w:eastAsia="MS Mincho"/>
        </w:rPr>
        <w:t>ministère</w:t>
      </w:r>
      <w:r w:rsidR="004B3408">
        <w:rPr>
          <w:rFonts w:eastAsia="MS Mincho"/>
        </w:rPr>
        <w:t xml:space="preserve"> de la Culture, de l</w:t>
      </w:r>
      <w:r w:rsidR="00346F1B">
        <w:rPr>
          <w:rFonts w:eastAsia="MS Mincho"/>
        </w:rPr>
        <w:t>’</w:t>
      </w:r>
      <w:r w:rsidR="004B3408">
        <w:rPr>
          <w:rFonts w:eastAsia="MS Mincho"/>
        </w:rPr>
        <w:t>Institut d</w:t>
      </w:r>
      <w:r w:rsidR="00346F1B">
        <w:rPr>
          <w:rFonts w:eastAsia="MS Mincho"/>
        </w:rPr>
        <w:t>’</w:t>
      </w:r>
      <w:r w:rsidR="004B3408">
        <w:rPr>
          <w:rFonts w:eastAsia="MS Mincho"/>
        </w:rPr>
        <w:t>ethnologie et d</w:t>
      </w:r>
      <w:r w:rsidR="00346F1B">
        <w:rPr>
          <w:rFonts w:eastAsia="MS Mincho"/>
        </w:rPr>
        <w:t>’</w:t>
      </w:r>
      <w:r w:rsidR="004B3408">
        <w:rPr>
          <w:rFonts w:eastAsia="MS Mincho"/>
        </w:rPr>
        <w:t xml:space="preserve">études folkloriques avec le Musée </w:t>
      </w:r>
      <w:r w:rsidR="004B3408" w:rsidRPr="004B3408">
        <w:rPr>
          <w:rFonts w:eastAsia="MS Mincho"/>
        </w:rPr>
        <w:t>ethnographique</w:t>
      </w:r>
      <w:r w:rsidR="004B3408">
        <w:rPr>
          <w:rFonts w:eastAsia="MS Mincho"/>
        </w:rPr>
        <w:t>, de l</w:t>
      </w:r>
      <w:r w:rsidR="00346F1B">
        <w:rPr>
          <w:rFonts w:eastAsia="MS Mincho"/>
        </w:rPr>
        <w:t>’</w:t>
      </w:r>
      <w:r w:rsidR="004B3408">
        <w:rPr>
          <w:rFonts w:eastAsia="MS Mincho"/>
        </w:rPr>
        <w:t>Institut d</w:t>
      </w:r>
      <w:r w:rsidR="00346F1B">
        <w:rPr>
          <w:rFonts w:eastAsia="MS Mincho"/>
        </w:rPr>
        <w:t>’</w:t>
      </w:r>
      <w:r w:rsidR="004B3408">
        <w:rPr>
          <w:rFonts w:eastAsia="MS Mincho"/>
        </w:rPr>
        <w:t xml:space="preserve">études des arts et de la radiotélévision bulgare, le festival encourageait la représentation, la </w:t>
      </w:r>
      <w:r w:rsidR="004B3408" w:rsidRPr="004B3408">
        <w:rPr>
          <w:rFonts w:eastAsia="MS Mincho"/>
        </w:rPr>
        <w:t xml:space="preserve">transmission </w:t>
      </w:r>
      <w:r w:rsidR="004B3408">
        <w:rPr>
          <w:rFonts w:eastAsia="MS Mincho"/>
        </w:rPr>
        <w:t xml:space="preserve">et la </w:t>
      </w:r>
      <w:r w:rsidR="004B3408" w:rsidRPr="004B3408">
        <w:rPr>
          <w:rFonts w:eastAsia="MS Mincho"/>
        </w:rPr>
        <w:t>documentation</w:t>
      </w:r>
      <w:r w:rsidR="004B3408">
        <w:rPr>
          <w:rFonts w:eastAsia="MS Mincho"/>
        </w:rPr>
        <w:t xml:space="preserve"> des traditions communautaires en attirant un public national et international. À l</w:t>
      </w:r>
      <w:r w:rsidR="00346F1B">
        <w:rPr>
          <w:rFonts w:eastAsia="MS Mincho"/>
        </w:rPr>
        <w:t>’</w:t>
      </w:r>
      <w:r w:rsidR="004B3408">
        <w:rPr>
          <w:rFonts w:eastAsia="MS Mincho"/>
        </w:rPr>
        <w:t>examen du dossier, l</w:t>
      </w:r>
      <w:r w:rsidR="00346F1B">
        <w:rPr>
          <w:rFonts w:eastAsia="MS Mincho"/>
        </w:rPr>
        <w:t>’</w:t>
      </w:r>
      <w:r w:rsidR="004B3408">
        <w:rPr>
          <w:rFonts w:eastAsia="MS Mincho"/>
        </w:rPr>
        <w:t>Organe d</w:t>
      </w:r>
      <w:r w:rsidR="00346F1B">
        <w:rPr>
          <w:rFonts w:eastAsia="MS Mincho"/>
        </w:rPr>
        <w:t>’</w:t>
      </w:r>
      <w:r w:rsidR="004B3408">
        <w:rPr>
          <w:rFonts w:eastAsia="MS Mincho"/>
        </w:rPr>
        <w:t>évaluation avait relevé quelques problèmes. Bien que le dossier décrive l</w:t>
      </w:r>
      <w:r w:rsidR="00346F1B">
        <w:rPr>
          <w:rFonts w:eastAsia="MS Mincho"/>
        </w:rPr>
        <w:t>’</w:t>
      </w:r>
      <w:r w:rsidR="004B3408">
        <w:rPr>
          <w:rFonts w:eastAsia="MS Mincho"/>
        </w:rPr>
        <w:t>origine du festival et ses acti</w:t>
      </w:r>
      <w:r w:rsidR="007D363A">
        <w:rPr>
          <w:rFonts w:eastAsia="MS Mincho"/>
        </w:rPr>
        <w:t>vités actuelles, il n</w:t>
      </w:r>
      <w:r w:rsidR="00346F1B">
        <w:rPr>
          <w:rFonts w:eastAsia="MS Mincho"/>
        </w:rPr>
        <w:t>’</w:t>
      </w:r>
      <w:r w:rsidR="007D363A">
        <w:rPr>
          <w:rFonts w:eastAsia="MS Mincho"/>
        </w:rPr>
        <w:t>exposait</w:t>
      </w:r>
      <w:r w:rsidR="004B3408">
        <w:rPr>
          <w:rFonts w:eastAsia="MS Mincho"/>
        </w:rPr>
        <w:t xml:space="preserve"> pas totalement la situation qui avait conduit à sa création, ni les besoins spécifiques de </w:t>
      </w:r>
      <w:r w:rsidR="004B3408" w:rsidRPr="004B3408">
        <w:rPr>
          <w:rFonts w:eastAsia="MS Mincho"/>
        </w:rPr>
        <w:t>sauvegarde</w:t>
      </w:r>
      <w:r w:rsidR="004B3408">
        <w:rPr>
          <w:rFonts w:eastAsia="MS Mincho"/>
        </w:rPr>
        <w:t xml:space="preserve"> qui avaient été identifiés. </w:t>
      </w:r>
      <w:r w:rsidR="00D372DE">
        <w:rPr>
          <w:rFonts w:eastAsia="MS Mincho"/>
        </w:rPr>
        <w:t xml:space="preserve">Une </w:t>
      </w:r>
      <w:r w:rsidR="00D372DE" w:rsidRPr="00D372DE">
        <w:rPr>
          <w:rFonts w:eastAsia="MS Mincho"/>
        </w:rPr>
        <w:t>description</w:t>
      </w:r>
      <w:r w:rsidR="00D372DE">
        <w:rPr>
          <w:rFonts w:eastAsia="MS Mincho"/>
        </w:rPr>
        <w:t xml:space="preserve"> plus claire des activités se déroulant pendant le festival serait utile. Le dossier indiquait que le festival était une plateforme pour le</w:t>
      </w:r>
      <w:r w:rsidR="007D363A">
        <w:rPr>
          <w:rFonts w:eastAsia="MS Mincho"/>
        </w:rPr>
        <w:t>s pratiques culturelles, mais il</w:t>
      </w:r>
      <w:r w:rsidR="00D372DE">
        <w:rPr>
          <w:rFonts w:eastAsia="MS Mincho"/>
        </w:rPr>
        <w:t xml:space="preserve"> devrait </w:t>
      </w:r>
      <w:r w:rsidR="00D372DE" w:rsidRPr="00D372DE">
        <w:rPr>
          <w:rFonts w:eastAsia="MS Mincho"/>
        </w:rPr>
        <w:t>également</w:t>
      </w:r>
      <w:r w:rsidR="00D372DE">
        <w:rPr>
          <w:rFonts w:eastAsia="MS Mincho"/>
        </w:rPr>
        <w:t xml:space="preserve"> aborder les risques de </w:t>
      </w:r>
      <w:r w:rsidR="00D372DE" w:rsidRPr="00D372DE">
        <w:rPr>
          <w:rFonts w:eastAsia="MS Mincho"/>
        </w:rPr>
        <w:t>décontextualisation</w:t>
      </w:r>
      <w:r w:rsidR="00D372DE">
        <w:rPr>
          <w:rFonts w:eastAsia="MS Mincho"/>
        </w:rPr>
        <w:t xml:space="preserve"> du </w:t>
      </w:r>
      <w:r w:rsidR="00D372DE" w:rsidRPr="00D372DE">
        <w:rPr>
          <w:rFonts w:eastAsia="MS Mincho"/>
        </w:rPr>
        <w:t>folklore</w:t>
      </w:r>
      <w:r w:rsidR="00D372DE">
        <w:rPr>
          <w:rFonts w:eastAsia="MS Mincho"/>
        </w:rPr>
        <w:t xml:space="preserve"> traditionnel. En outre, le dossier devrait expliquer de quelle manière le festival sauvegardait les aspects sociaux des pratiques traditionnelles. S</w:t>
      </w:r>
      <w:r w:rsidR="00346F1B">
        <w:rPr>
          <w:rFonts w:eastAsia="MS Mincho"/>
        </w:rPr>
        <w:t>’</w:t>
      </w:r>
      <w:r w:rsidR="00D372DE">
        <w:rPr>
          <w:rFonts w:eastAsia="MS Mincho"/>
        </w:rPr>
        <w:t xml:space="preserve">agissant de la </w:t>
      </w:r>
      <w:r w:rsidR="00D372DE" w:rsidRPr="00D372DE">
        <w:rPr>
          <w:rFonts w:eastAsia="MS Mincho"/>
        </w:rPr>
        <w:t>démonstration</w:t>
      </w:r>
      <w:r w:rsidR="00D372DE">
        <w:rPr>
          <w:rFonts w:eastAsia="MS Mincho"/>
        </w:rPr>
        <w:t xml:space="preserve"> du succès du festival, le dossier faisait état du nombre croissant de participants, de visiteurs et de membres du public. Toutefois, les preuves apportées n</w:t>
      </w:r>
      <w:r w:rsidR="00346F1B">
        <w:rPr>
          <w:rFonts w:eastAsia="MS Mincho"/>
        </w:rPr>
        <w:t>’</w:t>
      </w:r>
      <w:r w:rsidR="00D372DE">
        <w:rPr>
          <w:rFonts w:eastAsia="MS Mincho"/>
        </w:rPr>
        <w:t xml:space="preserve">étaient pas suffisantes pour attester une </w:t>
      </w:r>
      <w:r w:rsidR="00D372DE" w:rsidRPr="00D372DE">
        <w:rPr>
          <w:rFonts w:eastAsia="MS Mincho"/>
        </w:rPr>
        <w:t xml:space="preserve">transmission </w:t>
      </w:r>
      <w:r w:rsidR="00D372DE">
        <w:rPr>
          <w:rFonts w:eastAsia="MS Mincho"/>
        </w:rPr>
        <w:t>délibérée des éléments du patrimoine culturel immatériel mis en évidence lors du festival. En outre, il était important de souligner que la représentation d</w:t>
      </w:r>
      <w:r w:rsidR="00346F1B">
        <w:rPr>
          <w:rFonts w:eastAsia="MS Mincho"/>
        </w:rPr>
        <w:t>’</w:t>
      </w:r>
      <w:r w:rsidR="00D372DE">
        <w:rPr>
          <w:rFonts w:eastAsia="MS Mincho"/>
        </w:rPr>
        <w:t>éléments du PCI lors d</w:t>
      </w:r>
      <w:r w:rsidR="00346F1B">
        <w:rPr>
          <w:rFonts w:eastAsia="MS Mincho"/>
        </w:rPr>
        <w:t>’</w:t>
      </w:r>
      <w:r w:rsidR="00D372DE">
        <w:rPr>
          <w:rFonts w:eastAsia="MS Mincho"/>
        </w:rPr>
        <w:t>un festival n</w:t>
      </w:r>
      <w:r w:rsidR="00346F1B">
        <w:rPr>
          <w:rFonts w:eastAsia="MS Mincho"/>
        </w:rPr>
        <w:t>’</w:t>
      </w:r>
      <w:r w:rsidR="00D372DE">
        <w:rPr>
          <w:rFonts w:eastAsia="MS Mincho"/>
        </w:rPr>
        <w:t xml:space="preserve">était </w:t>
      </w:r>
      <w:r w:rsidR="00D372DE" w:rsidRPr="00D372DE">
        <w:rPr>
          <w:rFonts w:eastAsia="MS Mincho"/>
        </w:rPr>
        <w:t>peut-être</w:t>
      </w:r>
      <w:r w:rsidR="00D372DE">
        <w:rPr>
          <w:rFonts w:eastAsia="MS Mincho"/>
        </w:rPr>
        <w:t xml:space="preserve"> pas suffisante pour assurer leur </w:t>
      </w:r>
      <w:r w:rsidR="00D372DE" w:rsidRPr="00D372DE">
        <w:rPr>
          <w:rFonts w:eastAsia="MS Mincho"/>
        </w:rPr>
        <w:t>sauvegarde</w:t>
      </w:r>
      <w:r w:rsidR="00D372DE">
        <w:rPr>
          <w:rFonts w:eastAsia="MS Mincho"/>
        </w:rPr>
        <w:t xml:space="preserve"> effective. </w:t>
      </w:r>
      <w:r w:rsidR="00D372DE" w:rsidRPr="00D372DE">
        <w:rPr>
          <w:rFonts w:eastAsia="MS Mincho"/>
        </w:rPr>
        <w:t>Compte tenu des informations du dossier de candidature, l</w:t>
      </w:r>
      <w:r w:rsidR="00346F1B">
        <w:rPr>
          <w:rFonts w:eastAsia="MS Mincho"/>
        </w:rPr>
        <w:t>’</w:t>
      </w:r>
      <w:r w:rsidR="00D372DE" w:rsidRPr="00D372DE">
        <w:rPr>
          <w:rFonts w:eastAsia="MS Mincho"/>
        </w:rPr>
        <w:t>Organe d</w:t>
      </w:r>
      <w:r w:rsidR="00346F1B">
        <w:rPr>
          <w:rFonts w:eastAsia="MS Mincho"/>
        </w:rPr>
        <w:t>’</w:t>
      </w:r>
      <w:r w:rsidR="00D372DE" w:rsidRPr="00D372DE">
        <w:rPr>
          <w:rFonts w:eastAsia="MS Mincho"/>
        </w:rPr>
        <w:t xml:space="preserve">évaluation avait décidé de recommander que </w:t>
      </w:r>
      <w:r w:rsidR="00D372DE" w:rsidRPr="00D372DE">
        <w:rPr>
          <w:bCs/>
        </w:rPr>
        <w:t xml:space="preserve">le festival de folklore à </w:t>
      </w:r>
      <w:r w:rsidR="00D372DE" w:rsidRPr="00D372DE">
        <w:rPr>
          <w:rFonts w:eastAsia="MS Mincho"/>
        </w:rPr>
        <w:t>Koprivshtitsa : un ensemble de pratiques pour présenter et transmettre le patrimoine ne soit pas sélectionné pour le Registre.</w:t>
      </w:r>
    </w:p>
    <w:p w14:paraId="06BA3627" w14:textId="71D664B9" w:rsidR="007D363A" w:rsidRPr="007D363A" w:rsidRDefault="007D363A" w:rsidP="00F24F73">
      <w:pPr>
        <w:pStyle w:val="Orateurengris"/>
        <w:ind w:left="709" w:hanging="709"/>
        <w:rPr>
          <w:bCs/>
        </w:rPr>
      </w:pPr>
      <w:r>
        <w:rPr>
          <w:bCs/>
        </w:rPr>
        <w:t xml:space="preserve">Constatant la fatigue du Comité, la </w:t>
      </w:r>
      <w:r w:rsidRPr="007D363A">
        <w:rPr>
          <w:b/>
          <w:bCs/>
        </w:rPr>
        <w:t>Vice-Présidente</w:t>
      </w:r>
      <w:r>
        <w:rPr>
          <w:bCs/>
        </w:rPr>
        <w:t xml:space="preserve"> a proposé de faire une pause dans les </w:t>
      </w:r>
      <w:r w:rsidRPr="007D363A">
        <w:rPr>
          <w:bCs/>
        </w:rPr>
        <w:t>délibérations</w:t>
      </w:r>
      <w:r>
        <w:rPr>
          <w:bCs/>
        </w:rPr>
        <w:t xml:space="preserve">, et de poursuivre les </w:t>
      </w:r>
      <w:r w:rsidRPr="007D363A">
        <w:rPr>
          <w:bCs/>
        </w:rPr>
        <w:t>inscription</w:t>
      </w:r>
      <w:r w:rsidR="001837D1">
        <w:rPr>
          <w:bCs/>
        </w:rPr>
        <w:t>s un peu plus tard.</w:t>
      </w:r>
    </w:p>
    <w:p w14:paraId="7A418E5E" w14:textId="48611415" w:rsidR="007D363A" w:rsidRPr="007D363A" w:rsidRDefault="007D363A" w:rsidP="00F24F73">
      <w:pPr>
        <w:pStyle w:val="Orateurengris"/>
        <w:ind w:left="709" w:hanging="709"/>
      </w:pPr>
      <w:r w:rsidRPr="007D363A">
        <w:t>La délégation de l</w:t>
      </w:r>
      <w:r w:rsidR="00346F1B">
        <w:t>’</w:t>
      </w:r>
      <w:r w:rsidRPr="007D363A">
        <w:rPr>
          <w:b/>
        </w:rPr>
        <w:t>Éthiopie</w:t>
      </w:r>
      <w:r w:rsidRPr="007D363A">
        <w:t xml:space="preserve"> </w:t>
      </w:r>
      <w:r w:rsidR="00D301C4">
        <w:t xml:space="preserve">souhaitait </w:t>
      </w:r>
      <w:r w:rsidR="001837D1">
        <w:t>poursuivre la séance.</w:t>
      </w:r>
    </w:p>
    <w:p w14:paraId="4A44ADA1" w14:textId="3C7FFBDC" w:rsidR="007D363A" w:rsidRDefault="007D363A" w:rsidP="00F24F73">
      <w:pPr>
        <w:pStyle w:val="Orateurengris"/>
        <w:ind w:left="709" w:hanging="709"/>
      </w:pPr>
      <w:r>
        <w:t xml:space="preserve">La </w:t>
      </w:r>
      <w:r w:rsidRPr="007D363A">
        <w:rPr>
          <w:b/>
        </w:rPr>
        <w:t>Vice-Présidente</w:t>
      </w:r>
      <w:r>
        <w:t xml:space="preserve"> a signalé qu</w:t>
      </w:r>
      <w:r w:rsidR="00346F1B">
        <w:t>’</w:t>
      </w:r>
      <w:r>
        <w:t>un amendement av</w:t>
      </w:r>
      <w:r w:rsidR="001837D1">
        <w:t>ait été déposé par la Mongolie.</w:t>
      </w:r>
    </w:p>
    <w:p w14:paraId="0B815857" w14:textId="09A8AA21" w:rsidR="009018C1" w:rsidRDefault="00C24B32" w:rsidP="00F24F73">
      <w:pPr>
        <w:pStyle w:val="Orateurengris"/>
        <w:ind w:left="709" w:hanging="709"/>
      </w:pPr>
      <w:r>
        <w:t xml:space="preserve">Après avoir attentivement examiné le dossier, la délégation de la </w:t>
      </w:r>
      <w:r w:rsidRPr="00C24B32">
        <w:rPr>
          <w:b/>
        </w:rPr>
        <w:t>Mongolie</w:t>
      </w:r>
      <w:r>
        <w:t xml:space="preserve"> a dit avoir grandement apprécié sa qualité car il parvenait à présenter, dans sa complexité, un ensemble très réussi et durable de présentation, de sauvegarde et de diffusion à grande échelle du PCI en Bulgarie. </w:t>
      </w:r>
      <w:r w:rsidR="009018C1">
        <w:t xml:space="preserve">Cet ensemble de pratiques se déroulait depuis plus de cinquante ans, avec la participation de centaines de milliers de détenteurs, représentant </w:t>
      </w:r>
      <w:r w:rsidR="00763B34">
        <w:t>différentes communautés locales et</w:t>
      </w:r>
      <w:r w:rsidR="009018C1">
        <w:t xml:space="preserve"> diverses formes de pratiques et d</w:t>
      </w:r>
      <w:r w:rsidR="00346F1B">
        <w:t>’</w:t>
      </w:r>
      <w:r w:rsidR="009018C1">
        <w:t>expressions culturelles. Plusieurs générations étaient impliquées dans la présentation et la transmission du patrimoine. Le festival avait bénéficié du soutien de plus de 20</w:t>
      </w:r>
      <w:r w:rsidR="00346F1B">
        <w:t> 000</w:t>
      </w:r>
      <w:r w:rsidR="009018C1">
        <w:t xml:space="preserve"> membres des communautés, détenteurs et participants venus de toute la Bulgarie et de l</w:t>
      </w:r>
      <w:r w:rsidR="00346F1B">
        <w:t>’</w:t>
      </w:r>
      <w:r w:rsidR="009018C1">
        <w:t xml:space="preserve">étranger, </w:t>
      </w:r>
      <w:r w:rsidR="00763B34">
        <w:t xml:space="preserve">attestant </w:t>
      </w:r>
      <w:r w:rsidR="009018C1">
        <w:t>tous l</w:t>
      </w:r>
      <w:r w:rsidR="00346F1B">
        <w:t>’</w:t>
      </w:r>
      <w:r w:rsidR="009018C1">
        <w:t>efficacité de l</w:t>
      </w:r>
      <w:r w:rsidR="00346F1B">
        <w:t>’</w:t>
      </w:r>
      <w:r w:rsidR="009018C1">
        <w:t xml:space="preserve">ensemble pour sauvegarder le patrimoine culturel traditionnel dans les </w:t>
      </w:r>
      <w:r w:rsidR="00763B34">
        <w:t>circonstances actuelles. Bien que la délégation respecte</w:t>
      </w:r>
      <w:r w:rsidR="009018C1">
        <w:t xml:space="preserve"> l</w:t>
      </w:r>
      <w:r w:rsidR="00346F1B">
        <w:t>’</w:t>
      </w:r>
      <w:r w:rsidR="009018C1">
        <w:t>opinion des experts de l</w:t>
      </w:r>
      <w:r w:rsidR="00346F1B">
        <w:t>’</w:t>
      </w:r>
      <w:r w:rsidR="009018C1">
        <w:t>Organe d</w:t>
      </w:r>
      <w:r w:rsidR="00346F1B">
        <w:t>’</w:t>
      </w:r>
      <w:r w:rsidR="009018C1">
        <w:t>évaluation</w:t>
      </w:r>
      <w:r w:rsidR="00763B34">
        <w:t xml:space="preserve">, elle estimait toutefois </w:t>
      </w:r>
      <w:r w:rsidR="009018C1">
        <w:t>que l</w:t>
      </w:r>
      <w:r w:rsidR="00346F1B">
        <w:t>’</w:t>
      </w:r>
      <w:r w:rsidR="009018C1">
        <w:t>importance de ce sy</w:t>
      </w:r>
      <w:r w:rsidR="00763B34">
        <w:t>stème n</w:t>
      </w:r>
      <w:r w:rsidR="00346F1B">
        <w:t>’</w:t>
      </w:r>
      <w:r w:rsidR="00763B34">
        <w:t xml:space="preserve">était pas suffisamment </w:t>
      </w:r>
      <w:r w:rsidR="009018C1">
        <w:t>reflété</w:t>
      </w:r>
      <w:r w:rsidR="0079736F">
        <w:t>e</w:t>
      </w:r>
      <w:r w:rsidR="009018C1">
        <w:t xml:space="preserve"> dans le projet de décision. C</w:t>
      </w:r>
      <w:r w:rsidR="00346F1B">
        <w:t>’</w:t>
      </w:r>
      <w:r w:rsidR="009018C1">
        <w:t>était la raison pour laquelle elle souhaitait ouvrir un débat sur ce dossier de candidature, en proposant des amendements aux paragraphes consacrés au critère P.1, P.2, P.3, P.6 et P.9. S</w:t>
      </w:r>
      <w:r w:rsidR="00346F1B">
        <w:t>’</w:t>
      </w:r>
      <w:r w:rsidR="009018C1">
        <w:t>agissant du paragraphe consacré au critère P.1</w:t>
      </w:r>
      <w:r w:rsidR="00763B34">
        <w:t xml:space="preserve"> dans le projet de décision</w:t>
      </w:r>
      <w:r w:rsidR="009018C1">
        <w:t>, la délégation a expliqué qu</w:t>
      </w:r>
      <w:r w:rsidR="00346F1B">
        <w:t>’</w:t>
      </w:r>
      <w:r w:rsidR="009018C1">
        <w:t xml:space="preserve">il y avait deux paragraphes dans le dossier de candidature qui décrivaient la situation ayant conduit à la création du festival, et les besoins spécifiques de sauvegarde </w:t>
      </w:r>
      <w:r w:rsidR="00763B34">
        <w:t xml:space="preserve">alors </w:t>
      </w:r>
      <w:r w:rsidR="001837D1">
        <w:t>identifiés.</w:t>
      </w:r>
    </w:p>
    <w:p w14:paraId="26D40AAC" w14:textId="7E098803" w:rsidR="00763B34" w:rsidRDefault="00763B34" w:rsidP="00F24F73">
      <w:pPr>
        <w:pStyle w:val="Orateurengris"/>
        <w:ind w:left="709" w:hanging="709"/>
      </w:pPr>
      <w:r>
        <w:t>En l</w:t>
      </w:r>
      <w:r w:rsidR="00346F1B">
        <w:t>’</w:t>
      </w:r>
      <w:r>
        <w:t>absence d</w:t>
      </w:r>
      <w:r w:rsidR="00346F1B">
        <w:t>’</w:t>
      </w:r>
      <w:r>
        <w:t xml:space="preserve">autres intervenants, la </w:t>
      </w:r>
      <w:r w:rsidRPr="00763B34">
        <w:rPr>
          <w:b/>
        </w:rPr>
        <w:t>Vice-Présidente</w:t>
      </w:r>
      <w:r>
        <w:t xml:space="preserve"> a suggéré de procéder à l</w:t>
      </w:r>
      <w:r w:rsidR="00346F1B">
        <w:t>’</w:t>
      </w:r>
      <w:r>
        <w:t>adoption du projet de décision, pendant laquelle la Mongolie pourrai</w:t>
      </w:r>
      <w:r w:rsidR="001837D1">
        <w:t>t présenter ses amendements.</w:t>
      </w:r>
    </w:p>
    <w:p w14:paraId="4B9913FF" w14:textId="66FEA666" w:rsidR="00763B34" w:rsidRDefault="00763B34" w:rsidP="00F24F73">
      <w:pPr>
        <w:pStyle w:val="Orateurengris"/>
        <w:ind w:left="709" w:hanging="709"/>
      </w:pPr>
      <w:r>
        <w:t xml:space="preserve">La délégation de la </w:t>
      </w:r>
      <w:r w:rsidRPr="00763B34">
        <w:rPr>
          <w:b/>
        </w:rPr>
        <w:t>Mongolie</w:t>
      </w:r>
      <w:r w:rsidR="001837D1">
        <w:t xml:space="preserve"> a donné son accord.</w:t>
      </w:r>
    </w:p>
    <w:p w14:paraId="1F58A87D" w14:textId="5DEE44F3" w:rsidR="00763B34" w:rsidRPr="007A3AC2" w:rsidRDefault="00763B34" w:rsidP="00F24F73">
      <w:pPr>
        <w:pStyle w:val="Orateurengris"/>
        <w:ind w:left="709" w:hanging="709"/>
      </w:pPr>
      <w:r>
        <w:t>La délégation de l</w:t>
      </w:r>
      <w:r w:rsidR="00346F1B">
        <w:t>’</w:t>
      </w:r>
      <w:r w:rsidRPr="00763B34">
        <w:rPr>
          <w:b/>
        </w:rPr>
        <w:t>Éthiopie</w:t>
      </w:r>
      <w:r>
        <w:t xml:space="preserve"> était très impressionnée par la portée très étendue de l</w:t>
      </w:r>
      <w:r w:rsidR="00346F1B">
        <w:t>’</w:t>
      </w:r>
      <w:r>
        <w:t xml:space="preserve">ensemble de pratiques, qui couvrait des communautés rurales et urbaines dans toutes les régions du pays et </w:t>
      </w:r>
      <w:r w:rsidR="007A3AC2">
        <w:t xml:space="preserve">qui facilitait la transmission </w:t>
      </w:r>
      <w:r>
        <w:t>et la promotion de différentes formes de PCI : le chant, la danse, l</w:t>
      </w:r>
      <w:r w:rsidR="00346F1B">
        <w:t>’</w:t>
      </w:r>
      <w:r>
        <w:t>interprétation d</w:t>
      </w:r>
      <w:r w:rsidR="00346F1B">
        <w:t>’</w:t>
      </w:r>
      <w:r>
        <w:t xml:space="preserve">instruments de musique traditionnels, </w:t>
      </w:r>
      <w:r w:rsidR="007A3AC2">
        <w:t>le folklore oral, l</w:t>
      </w:r>
      <w:r w:rsidR="00346F1B">
        <w:t>’</w:t>
      </w:r>
      <w:r w:rsidR="007A3AC2">
        <w:t>artisanat traditionnel, etc. En outre, des détenteurs et des participants au festival de différentes générations étaient impliqués dans les processus de sauvegarde et de transmission de traditions héritées. Ayant beaucoup apprécié l</w:t>
      </w:r>
      <w:r w:rsidR="00346F1B">
        <w:t>’</w:t>
      </w:r>
      <w:r w:rsidR="007A3AC2">
        <w:t xml:space="preserve">efficacité </w:t>
      </w:r>
      <w:r w:rsidR="007A3AC2" w:rsidRPr="007A3AC2">
        <w:t>du</w:t>
      </w:r>
      <w:r w:rsidR="007A3AC2">
        <w:rPr>
          <w:bCs/>
        </w:rPr>
        <w:t xml:space="preserve"> festival de</w:t>
      </w:r>
      <w:r w:rsidR="007A3AC2" w:rsidRPr="007A3AC2">
        <w:rPr>
          <w:bCs/>
        </w:rPr>
        <w:t xml:space="preserve"> </w:t>
      </w:r>
      <w:r w:rsidR="007A3AC2">
        <w:rPr>
          <w:rFonts w:eastAsia="MS Mincho"/>
        </w:rPr>
        <w:t xml:space="preserve">Koprivshtitsa, la </w:t>
      </w:r>
      <w:r w:rsidR="007A3AC2" w:rsidRPr="007A3AC2">
        <w:rPr>
          <w:rFonts w:eastAsia="MS Mincho"/>
        </w:rPr>
        <w:t>délégation</w:t>
      </w:r>
      <w:r w:rsidR="007A3AC2">
        <w:rPr>
          <w:rFonts w:eastAsia="MS Mincho"/>
        </w:rPr>
        <w:t xml:space="preserve"> a demandé à l</w:t>
      </w:r>
      <w:r w:rsidR="00346F1B">
        <w:rPr>
          <w:rFonts w:eastAsia="MS Mincho"/>
        </w:rPr>
        <w:t>’</w:t>
      </w:r>
      <w:r w:rsidR="007A3AC2">
        <w:rPr>
          <w:rFonts w:eastAsia="MS Mincho"/>
        </w:rPr>
        <w:t>État soumissionnaire d</w:t>
      </w:r>
      <w:r w:rsidR="00346F1B">
        <w:rPr>
          <w:rFonts w:eastAsia="MS Mincho"/>
        </w:rPr>
        <w:t>’</w:t>
      </w:r>
      <w:r w:rsidR="007A3AC2">
        <w:rPr>
          <w:rFonts w:eastAsia="MS Mincho"/>
        </w:rPr>
        <w:t>expliquer plus longuement les raisons qui avaient motivé l</w:t>
      </w:r>
      <w:r w:rsidR="00346F1B">
        <w:rPr>
          <w:rFonts w:eastAsia="MS Mincho"/>
        </w:rPr>
        <w:t>’</w:t>
      </w:r>
      <w:r w:rsidR="007A3AC2" w:rsidRPr="007A3AC2">
        <w:rPr>
          <w:rFonts w:eastAsia="MS Mincho"/>
        </w:rPr>
        <w:t>organisation</w:t>
      </w:r>
      <w:r w:rsidR="007A3AC2">
        <w:rPr>
          <w:rFonts w:eastAsia="MS Mincho"/>
        </w:rPr>
        <w:t xml:space="preserve"> d</w:t>
      </w:r>
      <w:r w:rsidR="00346F1B">
        <w:rPr>
          <w:rFonts w:eastAsia="MS Mincho"/>
        </w:rPr>
        <w:t>’</w:t>
      </w:r>
      <w:r w:rsidR="007A3AC2">
        <w:rPr>
          <w:rFonts w:eastAsia="MS Mincho"/>
        </w:rPr>
        <w:t xml:space="preserve">un tel festival et les conditions qui avaient conduit à sa création et à la réussite de la </w:t>
      </w:r>
      <w:r w:rsidR="007A3AC2" w:rsidRPr="007A3AC2">
        <w:rPr>
          <w:rFonts w:eastAsia="MS Mincho"/>
        </w:rPr>
        <w:t>sauvegarde</w:t>
      </w:r>
      <w:r w:rsidR="001837D1">
        <w:rPr>
          <w:rFonts w:eastAsia="MS Mincho"/>
        </w:rPr>
        <w:t xml:space="preserve"> au cours des années.</w:t>
      </w:r>
    </w:p>
    <w:p w14:paraId="219BE3AB" w14:textId="353E900E" w:rsidR="007A3AC2" w:rsidRDefault="007A3AC2" w:rsidP="00F24F73">
      <w:pPr>
        <w:pStyle w:val="Orateurengris"/>
        <w:ind w:left="709" w:hanging="709"/>
      </w:pPr>
      <w:r>
        <w:t xml:space="preserve">La délégation de la </w:t>
      </w:r>
      <w:r w:rsidRPr="007A3AC2">
        <w:rPr>
          <w:b/>
        </w:rPr>
        <w:t>Palestine</w:t>
      </w:r>
      <w:r>
        <w:t xml:space="preserve"> a précisé que l</w:t>
      </w:r>
      <w:r w:rsidR="00346F1B">
        <w:t>’</w:t>
      </w:r>
      <w:r>
        <w:t>Éthiopie avait soulevé la même question que celle qu</w:t>
      </w:r>
      <w:r w:rsidR="00346F1B">
        <w:t>’</w:t>
      </w:r>
      <w:r w:rsidR="001837D1">
        <w:t>elle souhaitait poser.</w:t>
      </w:r>
    </w:p>
    <w:p w14:paraId="76AF596F" w14:textId="163B6CCC" w:rsidR="007A3AC2" w:rsidRDefault="007A3AC2" w:rsidP="00F24F73">
      <w:pPr>
        <w:pStyle w:val="Orateurengris"/>
        <w:ind w:left="709" w:hanging="709"/>
      </w:pPr>
      <w:r>
        <w:t xml:space="preserve">La délégation de </w:t>
      </w:r>
      <w:r w:rsidRPr="00FA4063">
        <w:rPr>
          <w:b/>
        </w:rPr>
        <w:t>Chypre</w:t>
      </w:r>
      <w:r>
        <w:t xml:space="preserve"> souhaitait également entendre l</w:t>
      </w:r>
      <w:r w:rsidR="00346F1B">
        <w:t>’</w:t>
      </w:r>
      <w:r>
        <w:t xml:space="preserve">État partie sur le critère </w:t>
      </w:r>
      <w:r w:rsidR="00FA4063">
        <w:t>P.2 et la coordination des efforts de tous les participants à la sauvegarde du PCI aux niveaux régional,</w:t>
      </w:r>
      <w:r w:rsidR="001837D1">
        <w:t xml:space="preserve"> subrégional et national.</w:t>
      </w:r>
    </w:p>
    <w:p w14:paraId="2DF99A52" w14:textId="08453721" w:rsidR="001F59A5" w:rsidRPr="00FA4063" w:rsidRDefault="00FA4063" w:rsidP="00F24F73">
      <w:pPr>
        <w:pStyle w:val="Orateurengris"/>
        <w:ind w:left="709" w:hanging="709"/>
      </w:pPr>
      <w:r>
        <w:t>La délégation de l</w:t>
      </w:r>
      <w:r w:rsidR="00346F1B">
        <w:t>’</w:t>
      </w:r>
      <w:r w:rsidRPr="00FA4063">
        <w:rPr>
          <w:b/>
        </w:rPr>
        <w:t>Inde</w:t>
      </w:r>
      <w:r>
        <w:t xml:space="preserve"> a félicité la Bulgarie d</w:t>
      </w:r>
      <w:r w:rsidR="00346F1B">
        <w:t>’</w:t>
      </w:r>
      <w:r>
        <w:t xml:space="preserve">avoir proposé le festival </w:t>
      </w:r>
      <w:r w:rsidRPr="00FA4063">
        <w:rPr>
          <w:bCs/>
        </w:rPr>
        <w:t xml:space="preserve">de </w:t>
      </w:r>
      <w:r w:rsidRPr="00FA4063">
        <w:rPr>
          <w:rFonts w:eastAsia="MS Mincho"/>
        </w:rPr>
        <w:t>Koprivshtitsa</w:t>
      </w:r>
      <w:r>
        <w:rPr>
          <w:rFonts w:eastAsia="MS Mincho"/>
        </w:rPr>
        <w:t xml:space="preserve"> et de faciliter l</w:t>
      </w:r>
      <w:r w:rsidR="00346F1B">
        <w:rPr>
          <w:rFonts w:eastAsia="MS Mincho"/>
        </w:rPr>
        <w:t>’</w:t>
      </w:r>
      <w:r w:rsidRPr="00FA4063">
        <w:rPr>
          <w:rFonts w:eastAsia="MS Mincho"/>
        </w:rPr>
        <w:t>organisation</w:t>
      </w:r>
      <w:r>
        <w:rPr>
          <w:rFonts w:eastAsia="MS Mincho"/>
        </w:rPr>
        <w:t xml:space="preserve"> de cet efficace </w:t>
      </w:r>
      <w:r w:rsidRPr="00FA4063">
        <w:rPr>
          <w:rFonts w:eastAsia="MS Mincho"/>
        </w:rPr>
        <w:t>ensemble</w:t>
      </w:r>
      <w:r>
        <w:rPr>
          <w:rFonts w:eastAsia="MS Mincho"/>
        </w:rPr>
        <w:t xml:space="preserve"> de pratiques dans le cadre de sa politique nationale de </w:t>
      </w:r>
      <w:r w:rsidRPr="00FA4063">
        <w:rPr>
          <w:rFonts w:eastAsia="MS Mincho"/>
        </w:rPr>
        <w:t>sauvegarde</w:t>
      </w:r>
      <w:r>
        <w:rPr>
          <w:rFonts w:eastAsia="MS Mincho"/>
        </w:rPr>
        <w:t xml:space="preserve"> du PCI en Bulgarie.</w:t>
      </w:r>
      <w:r w:rsidRPr="00FA4063">
        <w:rPr>
          <w:rFonts w:eastAsia="MS Mincho"/>
        </w:rPr>
        <w:t xml:space="preserve"> </w:t>
      </w:r>
      <w:r>
        <w:rPr>
          <w:rFonts w:eastAsia="MS Mincho"/>
        </w:rPr>
        <w:t>Elle s</w:t>
      </w:r>
      <w:r w:rsidR="00346F1B">
        <w:rPr>
          <w:rFonts w:eastAsia="MS Mincho"/>
        </w:rPr>
        <w:t>’</w:t>
      </w:r>
      <w:r>
        <w:rPr>
          <w:rFonts w:eastAsia="MS Mincho"/>
        </w:rPr>
        <w:t xml:space="preserve">est dite impressionnée par la </w:t>
      </w:r>
      <w:r w:rsidRPr="00FA4063">
        <w:rPr>
          <w:rFonts w:eastAsia="MS Mincho"/>
        </w:rPr>
        <w:t>participation</w:t>
      </w:r>
      <w:r>
        <w:rPr>
          <w:rFonts w:eastAsia="MS Mincho"/>
        </w:rPr>
        <w:t xml:space="preserve"> d</w:t>
      </w:r>
      <w:r w:rsidR="00346F1B">
        <w:rPr>
          <w:rFonts w:eastAsia="MS Mincho"/>
        </w:rPr>
        <w:t>’</w:t>
      </w:r>
      <w:r>
        <w:rPr>
          <w:rFonts w:eastAsia="MS Mincho"/>
        </w:rPr>
        <w:t xml:space="preserve">un si grand nombre de </w:t>
      </w:r>
      <w:r w:rsidRPr="00FA4063">
        <w:rPr>
          <w:rFonts w:eastAsia="MS Mincho"/>
        </w:rPr>
        <w:t>détenteurs</w:t>
      </w:r>
      <w:r>
        <w:rPr>
          <w:rFonts w:eastAsia="MS Mincho"/>
        </w:rPr>
        <w:t xml:space="preserve"> et de communauté</w:t>
      </w:r>
      <w:r>
        <w:t xml:space="preserve">s locales au festival et par la pérennité du processus de sauvegarde entre chaque édition du festival. </w:t>
      </w:r>
      <w:r w:rsidR="001F59A5">
        <w:t>La délégation avait noté la considérable expression de soutien à la candidature de la part des membres des communautés locales, avec plus de 20</w:t>
      </w:r>
      <w:r w:rsidR="00346F1B">
        <w:t> 000</w:t>
      </w:r>
      <w:r w:rsidR="001F59A5">
        <w:t xml:space="preserve"> lettres de détenteurs et de praticiens, originaires de plus de 600 villes et villages du pays. Compte tenu de ce soutien très important de la part de différentes générations et de différents lieux, la délégation souhaitait que la Bulgarie explique de quelle manière les détenteurs et les communautés participaient à cet ensemble de pratiques, et comment le festival contribuait à améliorer le sentiment d</w:t>
      </w:r>
      <w:r w:rsidR="00346F1B">
        <w:t>’</w:t>
      </w:r>
      <w:r w:rsidR="001F59A5">
        <w:t>expression, d</w:t>
      </w:r>
      <w:r w:rsidR="00346F1B">
        <w:t>’</w:t>
      </w:r>
      <w:r w:rsidR="001F59A5">
        <w:t>appartenance et de con</w:t>
      </w:r>
      <w:r w:rsidR="001837D1">
        <w:t>tinuité propre aux communautés.</w:t>
      </w:r>
    </w:p>
    <w:p w14:paraId="1C176185" w14:textId="07FB04BB" w:rsidR="001F59A5" w:rsidRDefault="001F59A5" w:rsidP="00F24F73">
      <w:pPr>
        <w:pStyle w:val="Orateurengris"/>
        <w:ind w:left="709" w:hanging="709"/>
      </w:pPr>
      <w:r>
        <w:t xml:space="preserve">La </w:t>
      </w:r>
      <w:r w:rsidRPr="001F59A5">
        <w:rPr>
          <w:b/>
        </w:rPr>
        <w:t>Vice-Présidente</w:t>
      </w:r>
      <w:r>
        <w:t xml:space="preserve"> a signalé que la séance allait bientôt être suspendue car l</w:t>
      </w:r>
      <w:r w:rsidR="00346F1B">
        <w:t>’</w:t>
      </w:r>
      <w:r>
        <w:t>interpréta</w:t>
      </w:r>
      <w:r w:rsidR="001837D1">
        <w:t>tion ne serait plus disponible.</w:t>
      </w:r>
    </w:p>
    <w:p w14:paraId="4EA1E6FE" w14:textId="16FD6018" w:rsidR="001F59A5" w:rsidRDefault="001F59A5" w:rsidP="00F24F73">
      <w:pPr>
        <w:pStyle w:val="Orateurengris"/>
        <w:ind w:left="709" w:hanging="709"/>
      </w:pPr>
      <w:r>
        <w:t xml:space="preserve">La délégation de </w:t>
      </w:r>
      <w:r w:rsidRPr="001C49D3">
        <w:rPr>
          <w:b/>
        </w:rPr>
        <w:t>Sainte-Lucie</w:t>
      </w:r>
      <w:r>
        <w:t xml:space="preserve"> </w:t>
      </w:r>
      <w:r w:rsidR="001C49D3">
        <w:t>s</w:t>
      </w:r>
      <w:r w:rsidR="00346F1B">
        <w:t>’</w:t>
      </w:r>
      <w:r w:rsidR="001C49D3">
        <w:t xml:space="preserve">est dite </w:t>
      </w:r>
      <w:r>
        <w:t xml:space="preserve">très </w:t>
      </w:r>
      <w:r w:rsidR="001C49D3">
        <w:t xml:space="preserve">impressionnée </w:t>
      </w:r>
      <w:r>
        <w:t xml:space="preserve">par </w:t>
      </w:r>
      <w:r w:rsidR="001C49D3">
        <w:t>la proposition de la Bulgarie. Toutefois, elle a exprimé le malaise qu</w:t>
      </w:r>
      <w:r w:rsidR="00346F1B">
        <w:t>’</w:t>
      </w:r>
      <w:r w:rsidR="001C49D3">
        <w:t>elle ressentait suite au rapport de l</w:t>
      </w:r>
      <w:r w:rsidR="00346F1B">
        <w:t>’</w:t>
      </w:r>
      <w:r w:rsidR="001C49D3">
        <w:t>Organe d</w:t>
      </w:r>
      <w:r w:rsidR="00346F1B">
        <w:t>’</w:t>
      </w:r>
      <w:r w:rsidR="001C49D3">
        <w:t>évaluation qui avait mis en évidence de sérieuses préoccupations à propos de presque tous les critères. Elle a ajouté qu</w:t>
      </w:r>
      <w:r w:rsidR="00346F1B">
        <w:t>’</w:t>
      </w:r>
      <w:r w:rsidR="001C49D3">
        <w:t>elle avait confiance en l</w:t>
      </w:r>
      <w:r w:rsidR="00346F1B">
        <w:t>’</w:t>
      </w:r>
      <w:r w:rsidR="001C49D3">
        <w:t>Organe d</w:t>
      </w:r>
      <w:r w:rsidR="00346F1B">
        <w:t>’</w:t>
      </w:r>
      <w:r w:rsidR="001C49D3">
        <w:t>évaluation et avait été très impressionnée par son travail, de sorte que ces préoccupations ne sauraient être ignorées. Malgré son admiration pour l</w:t>
      </w:r>
      <w:r w:rsidR="00346F1B">
        <w:t>’</w:t>
      </w:r>
      <w:r w:rsidR="001C49D3">
        <w:t>élément, les nombreux éclaircissements qui seraient nécessaires pour changer la décision repousseraient les limi</w:t>
      </w:r>
      <w:r w:rsidR="001837D1">
        <w:t>tes de ce qui était acceptable.</w:t>
      </w:r>
    </w:p>
    <w:p w14:paraId="1C688765" w14:textId="1A687133" w:rsidR="001C49D3" w:rsidRDefault="001C49D3" w:rsidP="00F24F73">
      <w:pPr>
        <w:pStyle w:val="Orateurengris"/>
        <w:spacing w:after="0"/>
        <w:ind w:left="709" w:hanging="709"/>
      </w:pPr>
      <w:r>
        <w:t xml:space="preserve">La </w:t>
      </w:r>
      <w:r w:rsidRPr="001C49D3">
        <w:rPr>
          <w:b/>
        </w:rPr>
        <w:t>Vice-Présidente</w:t>
      </w:r>
      <w:r w:rsidR="009B4CC3">
        <w:t xml:space="preserve"> a ajourné la séance</w:t>
      </w:r>
      <w:r>
        <w:t>, qui reprendrait en d</w:t>
      </w:r>
      <w:r w:rsidR="001837D1">
        <w:t>onnant la parole à la Bulgarie.</w:t>
      </w:r>
    </w:p>
    <w:p w14:paraId="18000E36" w14:textId="62609EF7" w:rsidR="00031A49" w:rsidRPr="00D274C2" w:rsidRDefault="001C49D3" w:rsidP="002B4948">
      <w:pPr>
        <w:pStyle w:val="Orateurengris"/>
        <w:numPr>
          <w:ilvl w:val="0"/>
          <w:numId w:val="0"/>
        </w:numPr>
        <w:spacing w:before="240"/>
        <w:ind w:left="709" w:hanging="709"/>
        <w:jc w:val="center"/>
        <w:rPr>
          <w:i/>
        </w:rPr>
      </w:pPr>
      <w:r>
        <w:rPr>
          <w:i/>
        </w:rPr>
        <w:t>[Pause d</w:t>
      </w:r>
      <w:r w:rsidR="00346F1B">
        <w:rPr>
          <w:i/>
        </w:rPr>
        <w:t>’</w:t>
      </w:r>
      <w:r>
        <w:rPr>
          <w:i/>
        </w:rPr>
        <w:t>une heure</w:t>
      </w:r>
      <w:r w:rsidR="00031A49" w:rsidRPr="00D274C2">
        <w:rPr>
          <w:i/>
        </w:rPr>
        <w:t>]</w:t>
      </w:r>
    </w:p>
    <w:p w14:paraId="2E7C0277" w14:textId="2FBF497D" w:rsidR="008532B0" w:rsidRPr="00D274C2" w:rsidRDefault="001C49D3" w:rsidP="002B4948">
      <w:pPr>
        <w:pStyle w:val="Orateurengris"/>
        <w:numPr>
          <w:ilvl w:val="0"/>
          <w:numId w:val="0"/>
        </w:numPr>
        <w:spacing w:before="120"/>
        <w:ind w:left="709" w:hanging="709"/>
        <w:jc w:val="center"/>
        <w:outlineLvl w:val="0"/>
        <w:rPr>
          <w:i/>
        </w:rPr>
      </w:pPr>
      <w:r>
        <w:rPr>
          <w:rFonts w:eastAsia="Cambria"/>
          <w:i/>
        </w:rPr>
        <w:t>[Jeudi 1</w:t>
      </w:r>
      <w:r w:rsidRPr="001C49D3">
        <w:rPr>
          <w:rFonts w:eastAsia="Cambria"/>
          <w:i/>
          <w:vertAlign w:val="superscript"/>
        </w:rPr>
        <w:t>er</w:t>
      </w:r>
      <w:r>
        <w:rPr>
          <w:rFonts w:eastAsia="Cambria"/>
          <w:i/>
        </w:rPr>
        <w:t xml:space="preserve"> décembre, séance du soir, 2</w:t>
      </w:r>
      <w:r w:rsidRPr="001C49D3">
        <w:rPr>
          <w:rFonts w:eastAsia="Cambria"/>
          <w:i/>
          <w:vertAlign w:val="superscript"/>
        </w:rPr>
        <w:t>e</w:t>
      </w:r>
      <w:r>
        <w:rPr>
          <w:rFonts w:eastAsia="Cambria"/>
          <w:i/>
        </w:rPr>
        <w:t xml:space="preserve"> partie</w:t>
      </w:r>
      <w:r w:rsidR="002C5B3E" w:rsidRPr="00D274C2">
        <w:rPr>
          <w:i/>
        </w:rPr>
        <w:t>]</w:t>
      </w:r>
    </w:p>
    <w:p w14:paraId="7F8D336B" w14:textId="10E5D963" w:rsidR="007C04CF" w:rsidRPr="00D274C2" w:rsidRDefault="001212D3" w:rsidP="002B4948">
      <w:pPr>
        <w:pStyle w:val="Orateurengris"/>
        <w:numPr>
          <w:ilvl w:val="0"/>
          <w:numId w:val="0"/>
        </w:numPr>
        <w:spacing w:before="120" w:after="240"/>
        <w:ind w:left="709" w:hanging="709"/>
        <w:jc w:val="center"/>
        <w:rPr>
          <w:i/>
        </w:rPr>
      </w:pPr>
      <w:r>
        <w:rPr>
          <w:i/>
        </w:rPr>
        <w:t xml:space="preserve">[Le Vice-Président, membre de la </w:t>
      </w:r>
      <w:r w:rsidRPr="001212D3">
        <w:rPr>
          <w:i/>
        </w:rPr>
        <w:t>délégation</w:t>
      </w:r>
      <w:r>
        <w:rPr>
          <w:i/>
        </w:rPr>
        <w:t xml:space="preserve"> de l</w:t>
      </w:r>
      <w:r w:rsidR="00346F1B">
        <w:rPr>
          <w:i/>
        </w:rPr>
        <w:t>’</w:t>
      </w:r>
      <w:r w:rsidR="001837D1">
        <w:rPr>
          <w:i/>
        </w:rPr>
        <w:t xml:space="preserve">Algérie, </w:t>
      </w:r>
      <w:r>
        <w:rPr>
          <w:i/>
        </w:rPr>
        <w:t>a présidé cette séance</w:t>
      </w:r>
      <w:r w:rsidR="007C04CF" w:rsidRPr="00D274C2">
        <w:rPr>
          <w:i/>
        </w:rPr>
        <w:t>]</w:t>
      </w:r>
    </w:p>
    <w:p w14:paraId="337C5B91" w14:textId="043C72C5" w:rsidR="001212D3" w:rsidRPr="001212D3" w:rsidRDefault="001212D3" w:rsidP="00F24F73">
      <w:pPr>
        <w:pStyle w:val="Orateurengris"/>
        <w:ind w:left="709" w:hanging="709"/>
      </w:pPr>
      <w:r w:rsidRPr="001212D3">
        <w:t xml:space="preserve">Le </w:t>
      </w:r>
      <w:r w:rsidRPr="001212D3">
        <w:rPr>
          <w:b/>
        </w:rPr>
        <w:t>Vice-Président</w:t>
      </w:r>
      <w:r>
        <w:t xml:space="preserve"> a repris la séance avec Sainte-Lucie, en ayant une pensée pour le Président qui était souffrant.</w:t>
      </w:r>
    </w:p>
    <w:p w14:paraId="1E0BA1FF" w14:textId="0A9BAA6D" w:rsidR="001212D3" w:rsidRDefault="001212D3" w:rsidP="00F24F73">
      <w:pPr>
        <w:pStyle w:val="Orateurengris"/>
        <w:ind w:left="709" w:hanging="709"/>
      </w:pPr>
      <w:r>
        <w:t xml:space="preserve">La délégation de </w:t>
      </w:r>
      <w:r w:rsidRPr="001D71D7">
        <w:rPr>
          <w:b/>
        </w:rPr>
        <w:t>Sainte-Lucie</w:t>
      </w:r>
      <w:r>
        <w:t xml:space="preserve"> a réitéré ses préoccupations quant aux nombr</w:t>
      </w:r>
      <w:r w:rsidR="001D71D7">
        <w:t>eux critères qui n</w:t>
      </w:r>
      <w:r w:rsidR="00346F1B">
        <w:t>’</w:t>
      </w:r>
      <w:r>
        <w:t>étai</w:t>
      </w:r>
      <w:r w:rsidR="001D71D7">
        <w:t>ent pas satisfaits, et a demandé à la Bulgarie si elle pouvait apporter des éclaircissements qui permettraient de comprendre la raison pour laquelle une recommandation négative avait été formulé</w:t>
      </w:r>
      <w:r w:rsidR="001837D1">
        <w:t>e pour de si nombreux critères.</w:t>
      </w:r>
    </w:p>
    <w:p w14:paraId="1B78C633" w14:textId="4C1F38F9" w:rsidR="001D71D7" w:rsidRPr="001D71D7" w:rsidRDefault="001D71D7" w:rsidP="00F24F73">
      <w:pPr>
        <w:pStyle w:val="Orateurengris"/>
        <w:ind w:left="709" w:hanging="709"/>
        <w:rPr>
          <w:b/>
        </w:rPr>
      </w:pPr>
      <w:r w:rsidRPr="001D71D7">
        <w:t>La délégation de la</w:t>
      </w:r>
      <w:r>
        <w:rPr>
          <w:b/>
        </w:rPr>
        <w:t xml:space="preserve"> Bulgarie </w:t>
      </w:r>
      <w:r w:rsidRPr="001D71D7">
        <w:t>a demandé</w:t>
      </w:r>
      <w:r>
        <w:rPr>
          <w:b/>
        </w:rPr>
        <w:t xml:space="preserve"> </w:t>
      </w:r>
      <w:r>
        <w:t>si elle devait répondre aux questions posées avant ou après l</w:t>
      </w:r>
      <w:r w:rsidR="00346F1B">
        <w:t>’</w:t>
      </w:r>
      <w:r w:rsidR="001837D1">
        <w:t>interruption de séance.</w:t>
      </w:r>
    </w:p>
    <w:p w14:paraId="088544E5" w14:textId="69E406E8" w:rsidR="001D71D7" w:rsidRPr="001D71D7" w:rsidRDefault="001D71D7" w:rsidP="00F24F73">
      <w:pPr>
        <w:pStyle w:val="Orateurengris"/>
        <w:ind w:left="709" w:hanging="709"/>
      </w:pPr>
      <w:r w:rsidRPr="001D71D7">
        <w:t xml:space="preserve">Le </w:t>
      </w:r>
      <w:r w:rsidRPr="001D71D7">
        <w:rPr>
          <w:b/>
        </w:rPr>
        <w:t>Vice-Président</w:t>
      </w:r>
      <w:r w:rsidRPr="001D71D7">
        <w:t xml:space="preserve"> a </w:t>
      </w:r>
      <w:r>
        <w:t xml:space="preserve">précisé </w:t>
      </w:r>
      <w:r w:rsidRPr="001D71D7">
        <w:t xml:space="preserve">que </w:t>
      </w:r>
      <w:r>
        <w:t>Sainte-Lucie n</w:t>
      </w:r>
      <w:r w:rsidR="00346F1B">
        <w:t>’</w:t>
      </w:r>
      <w:r>
        <w:t>avait fait</w:t>
      </w:r>
      <w:r w:rsidR="001837D1">
        <w:t xml:space="preserve"> que rappeler la même question.</w:t>
      </w:r>
    </w:p>
    <w:p w14:paraId="4FE6A0E4" w14:textId="06846DB1" w:rsidR="00D16628" w:rsidRPr="001113B2" w:rsidRDefault="001D71D7" w:rsidP="00F24F73">
      <w:pPr>
        <w:pStyle w:val="Orateurengris"/>
        <w:ind w:left="709" w:hanging="709"/>
      </w:pPr>
      <w:r w:rsidRPr="001113B2">
        <w:t xml:space="preserve">La délégation de la </w:t>
      </w:r>
      <w:r w:rsidRPr="001113B2">
        <w:rPr>
          <w:b/>
        </w:rPr>
        <w:t>Bulgarie</w:t>
      </w:r>
      <w:r w:rsidRPr="001113B2">
        <w:t xml:space="preserve"> a fait référence </w:t>
      </w:r>
      <w:r w:rsidR="0053220A">
        <w:t>au critère P.1</w:t>
      </w:r>
      <w:r w:rsidRPr="001113B2">
        <w:t xml:space="preserve"> qui</w:t>
      </w:r>
      <w:r w:rsidR="0053220A">
        <w:t>,</w:t>
      </w:r>
      <w:r w:rsidRPr="001113B2">
        <w:t xml:space="preserve"> à son avis, était un point essentiel car il contenait un élément qui était une source de </w:t>
      </w:r>
      <w:r w:rsidR="00BD7B3B" w:rsidRPr="001113B2">
        <w:t xml:space="preserve">possible </w:t>
      </w:r>
      <w:r w:rsidRPr="001113B2">
        <w:t>compréhension</w:t>
      </w:r>
      <w:r w:rsidR="00BD7B3B" w:rsidRPr="001113B2">
        <w:t xml:space="preserve"> erronée ou d</w:t>
      </w:r>
      <w:r w:rsidR="00346F1B">
        <w:t>’</w:t>
      </w:r>
      <w:r w:rsidR="00BD7B3B" w:rsidRPr="001113B2">
        <w:t xml:space="preserve">absence de clarté qui avait </w:t>
      </w:r>
      <w:r w:rsidR="0053220A">
        <w:t xml:space="preserve">eu </w:t>
      </w:r>
      <w:r w:rsidR="00BD7B3B" w:rsidRPr="001113B2">
        <w:t>des conséquences sur l</w:t>
      </w:r>
      <w:r w:rsidR="00346F1B">
        <w:t>’</w:t>
      </w:r>
      <w:r w:rsidR="00BD7B3B" w:rsidRPr="001113B2">
        <w:t xml:space="preserve">évaluation ou la compréhension du dossier de candidature dans son ensemble. La délégation a fait référence au nom de la candidature, </w:t>
      </w:r>
      <w:r w:rsidR="0053220A">
        <w:t xml:space="preserve">par lequel </w:t>
      </w:r>
      <w:r w:rsidR="00BD7B3B" w:rsidRPr="001113B2">
        <w:t>on comprenait qu</w:t>
      </w:r>
      <w:r w:rsidR="00346F1B">
        <w:t>’</w:t>
      </w:r>
      <w:r w:rsidR="00BD7B3B" w:rsidRPr="001113B2">
        <w:t>il s</w:t>
      </w:r>
      <w:r w:rsidR="00346F1B">
        <w:t>’</w:t>
      </w:r>
      <w:r w:rsidR="00BD7B3B" w:rsidRPr="001113B2">
        <w:t>agissait d</w:t>
      </w:r>
      <w:r w:rsidR="00346F1B">
        <w:t>’</w:t>
      </w:r>
      <w:r w:rsidR="00BD7B3B" w:rsidRPr="001113B2">
        <w:t>un festival de transmission du patrimoine et que ce festival était un ensemble de pratiques, comme souligné à plusieurs reprises dans le dossier de candidature. Toutefois, dès la préparation du dossier, les communautés et l</w:t>
      </w:r>
      <w:r w:rsidR="00346F1B">
        <w:t>’</w:t>
      </w:r>
      <w:r w:rsidR="00BD7B3B" w:rsidRPr="001113B2">
        <w:t xml:space="preserve">équipe de rédaction </w:t>
      </w:r>
      <w:r w:rsidR="001113B2" w:rsidRPr="001113B2">
        <w:t xml:space="preserve">avaient rencontré des difficultés pour traduire clairement et transmettre le sens de ce système de pratiques appelé </w:t>
      </w:r>
      <w:r w:rsidR="001113B2" w:rsidRPr="001113B2">
        <w:rPr>
          <w:i/>
          <w:iCs/>
        </w:rPr>
        <w:t>събор</w:t>
      </w:r>
      <w:r w:rsidR="001113B2" w:rsidRPr="001113B2">
        <w:rPr>
          <w:iCs/>
        </w:rPr>
        <w:t xml:space="preserve">, un mot intraduisible en anglais </w:t>
      </w:r>
      <w:r w:rsidR="001113B2">
        <w:rPr>
          <w:iCs/>
        </w:rPr>
        <w:t>et qui s</w:t>
      </w:r>
      <w:r w:rsidR="00346F1B">
        <w:rPr>
          <w:iCs/>
        </w:rPr>
        <w:t>’</w:t>
      </w:r>
      <w:r w:rsidR="001113B2">
        <w:rPr>
          <w:iCs/>
        </w:rPr>
        <w:t xml:space="preserve">avérait difficile à préciser. En français, le mot </w:t>
      </w:r>
      <w:r w:rsidR="001113B2" w:rsidRPr="001113B2">
        <w:rPr>
          <w:i/>
          <w:iCs/>
        </w:rPr>
        <w:t>kermesse</w:t>
      </w:r>
      <w:r w:rsidR="001113B2">
        <w:rPr>
          <w:iCs/>
        </w:rPr>
        <w:t xml:space="preserve"> était proche de cette signification. Cependant, un tel mot n</w:t>
      </w:r>
      <w:r w:rsidR="00346F1B">
        <w:rPr>
          <w:iCs/>
        </w:rPr>
        <w:t>’</w:t>
      </w:r>
      <w:r w:rsidR="001113B2">
        <w:rPr>
          <w:iCs/>
        </w:rPr>
        <w:t>existait pas en anglais et l</w:t>
      </w:r>
      <w:r w:rsidR="00346F1B">
        <w:rPr>
          <w:iCs/>
        </w:rPr>
        <w:t>’</w:t>
      </w:r>
      <w:r w:rsidR="001113B2">
        <w:rPr>
          <w:iCs/>
        </w:rPr>
        <w:t>équipe avait suggéré « rassemblement », « fête » ou « foire ». Finale</w:t>
      </w:r>
      <w:r w:rsidR="001113B2">
        <w:t>ment, l</w:t>
      </w:r>
      <w:r w:rsidR="00346F1B">
        <w:t>’</w:t>
      </w:r>
      <w:r w:rsidR="001113B2">
        <w:t xml:space="preserve">équipe avait préféré « festival » mais la délégation pensait que cela avait peut-être été un obstacle à la bonne compréhension du dossier de candidature car le terme « festival » </w:t>
      </w:r>
      <w:r w:rsidR="0079736F">
        <w:t xml:space="preserve">était porteur de </w:t>
      </w:r>
      <w:r w:rsidR="001113B2">
        <w:t xml:space="preserve">divers aspects liés à la une </w:t>
      </w:r>
      <w:r w:rsidR="008E2836">
        <w:t>« </w:t>
      </w:r>
      <w:r w:rsidR="001113B2">
        <w:t>festivalisation</w:t>
      </w:r>
      <w:r w:rsidR="008E2836">
        <w:t> »</w:t>
      </w:r>
      <w:r w:rsidR="001113B2">
        <w:t xml:space="preserve"> attendue. </w:t>
      </w:r>
      <w:r w:rsidR="008E2836">
        <w:t>La délégation a expliqué que les pratiques présentées dans le dossier ne constituaient pas qu</w:t>
      </w:r>
      <w:r w:rsidR="00346F1B">
        <w:t>’</w:t>
      </w:r>
      <w:r w:rsidR="008E2836">
        <w:t xml:space="preserve">un simple festival organisé de temps à autre, car le festival de </w:t>
      </w:r>
      <w:r w:rsidR="008E2836" w:rsidRPr="00FA4063">
        <w:rPr>
          <w:rFonts w:eastAsia="MS Mincho"/>
        </w:rPr>
        <w:t>Koprivshtitsa</w:t>
      </w:r>
      <w:r w:rsidR="008E2836">
        <w:rPr>
          <w:rFonts w:eastAsia="MS Mincho"/>
        </w:rPr>
        <w:t>, qui était organisé tous les cinq ans, faisait partie d</w:t>
      </w:r>
      <w:r w:rsidR="00346F1B">
        <w:rPr>
          <w:rFonts w:eastAsia="MS Mincho"/>
        </w:rPr>
        <w:t>’</w:t>
      </w:r>
      <w:r w:rsidR="008E2836">
        <w:rPr>
          <w:rFonts w:eastAsia="MS Mincho"/>
        </w:rPr>
        <w:t xml:space="preserve">un processus régulier et pérenne de transmission sur plusieurs années du </w:t>
      </w:r>
      <w:r w:rsidR="008E2836" w:rsidRPr="008E2836">
        <w:rPr>
          <w:rFonts w:eastAsia="MS Mincho"/>
        </w:rPr>
        <w:t>patrimoine</w:t>
      </w:r>
      <w:r w:rsidR="008E2836">
        <w:rPr>
          <w:rFonts w:eastAsia="MS Mincho"/>
        </w:rPr>
        <w:t>. Ce processus se déroulait tout au long de l</w:t>
      </w:r>
      <w:r w:rsidR="00346F1B">
        <w:rPr>
          <w:rFonts w:eastAsia="MS Mincho"/>
        </w:rPr>
        <w:t>’</w:t>
      </w:r>
      <w:r w:rsidR="008E2836">
        <w:rPr>
          <w:rFonts w:eastAsia="MS Mincho"/>
        </w:rPr>
        <w:t>année. Il ne s</w:t>
      </w:r>
      <w:r w:rsidR="00346F1B">
        <w:rPr>
          <w:rFonts w:eastAsia="MS Mincho"/>
        </w:rPr>
        <w:t>’</w:t>
      </w:r>
      <w:r w:rsidR="008E2836">
        <w:rPr>
          <w:rFonts w:eastAsia="MS Mincho"/>
        </w:rPr>
        <w:t>agissait donc pas d</w:t>
      </w:r>
      <w:r w:rsidR="00346F1B">
        <w:rPr>
          <w:rFonts w:eastAsia="MS Mincho"/>
        </w:rPr>
        <w:t>’</w:t>
      </w:r>
      <w:r w:rsidR="008E2836">
        <w:rPr>
          <w:rFonts w:eastAsia="MS Mincho"/>
        </w:rPr>
        <w:t xml:space="preserve">un </w:t>
      </w:r>
      <w:r w:rsidR="008E2836" w:rsidRPr="008E2836">
        <w:rPr>
          <w:rFonts w:eastAsia="MS Mincho"/>
        </w:rPr>
        <w:t xml:space="preserve">événement </w:t>
      </w:r>
      <w:r w:rsidR="008E2836">
        <w:rPr>
          <w:rFonts w:eastAsia="MS Mincho"/>
        </w:rPr>
        <w:t>isolé, prenant la forme d</w:t>
      </w:r>
      <w:r w:rsidR="00346F1B">
        <w:rPr>
          <w:rFonts w:eastAsia="MS Mincho"/>
        </w:rPr>
        <w:t>’</w:t>
      </w:r>
      <w:r w:rsidR="008E2836">
        <w:rPr>
          <w:rFonts w:eastAsia="MS Mincho"/>
        </w:rPr>
        <w:t>un festival, mais d</w:t>
      </w:r>
      <w:r w:rsidR="00346F1B">
        <w:rPr>
          <w:rFonts w:eastAsia="MS Mincho"/>
        </w:rPr>
        <w:t>’</w:t>
      </w:r>
      <w:r w:rsidR="008E2836">
        <w:rPr>
          <w:rFonts w:eastAsia="MS Mincho"/>
        </w:rPr>
        <w:t xml:space="preserve">un processus régulier et continu de </w:t>
      </w:r>
      <w:r w:rsidR="008E2836" w:rsidRPr="008E2836">
        <w:rPr>
          <w:rFonts w:eastAsia="MS Mincho"/>
        </w:rPr>
        <w:t>sauvegarde</w:t>
      </w:r>
      <w:r w:rsidR="008E2836">
        <w:rPr>
          <w:rFonts w:eastAsia="MS Mincho"/>
        </w:rPr>
        <w:t xml:space="preserve"> et de transmission. La </w:t>
      </w:r>
      <w:r w:rsidR="008E2836" w:rsidRPr="008E2836">
        <w:rPr>
          <w:rFonts w:eastAsia="MS Mincho"/>
        </w:rPr>
        <w:t>délégation</w:t>
      </w:r>
      <w:r w:rsidR="008E2836">
        <w:rPr>
          <w:rFonts w:eastAsia="MS Mincho"/>
        </w:rPr>
        <w:t xml:space="preserve"> a </w:t>
      </w:r>
      <w:r w:rsidR="008E2836" w:rsidRPr="008E2836">
        <w:rPr>
          <w:rFonts w:eastAsia="MS Mincho"/>
        </w:rPr>
        <w:t>par ailleurs</w:t>
      </w:r>
      <w:r w:rsidR="008E2836">
        <w:rPr>
          <w:rFonts w:eastAsia="MS Mincho"/>
        </w:rPr>
        <w:t xml:space="preserve"> expliqué que l</w:t>
      </w:r>
      <w:r w:rsidR="00346F1B">
        <w:rPr>
          <w:rFonts w:eastAsia="MS Mincho"/>
        </w:rPr>
        <w:t>’</w:t>
      </w:r>
      <w:r w:rsidR="008E2836" w:rsidRPr="008E2836">
        <w:rPr>
          <w:rFonts w:eastAsia="MS Mincho"/>
        </w:rPr>
        <w:t xml:space="preserve">événement </w:t>
      </w:r>
      <w:r w:rsidR="008E2836">
        <w:rPr>
          <w:rFonts w:eastAsia="MS Mincho"/>
        </w:rPr>
        <w:t>rassemblait plus de 200</w:t>
      </w:r>
      <w:r w:rsidR="00346F1B">
        <w:rPr>
          <w:rFonts w:eastAsia="MS Mincho"/>
        </w:rPr>
        <w:t> 000</w:t>
      </w:r>
      <w:r w:rsidR="008E2836">
        <w:rPr>
          <w:rFonts w:eastAsia="MS Mincho"/>
        </w:rPr>
        <w:t xml:space="preserve"> participants, </w:t>
      </w:r>
      <w:r w:rsidR="008E2836" w:rsidRPr="008E2836">
        <w:rPr>
          <w:rFonts w:eastAsia="MS Mincho"/>
        </w:rPr>
        <w:t>détenteurs</w:t>
      </w:r>
      <w:r w:rsidR="008E2836">
        <w:rPr>
          <w:rFonts w:eastAsia="MS Mincho"/>
        </w:rPr>
        <w:t xml:space="preserve"> et praticiens qui prenaient part à un processus de </w:t>
      </w:r>
      <w:r w:rsidR="008E2836" w:rsidRPr="008E2836">
        <w:rPr>
          <w:rFonts w:eastAsia="MS Mincho"/>
        </w:rPr>
        <w:t>sauvegarde</w:t>
      </w:r>
      <w:r w:rsidR="008E2836">
        <w:rPr>
          <w:rFonts w:eastAsia="MS Mincho"/>
        </w:rPr>
        <w:t xml:space="preserve">, de </w:t>
      </w:r>
      <w:r w:rsidR="008E2836" w:rsidRPr="008E2836">
        <w:rPr>
          <w:rFonts w:eastAsia="MS Mincho"/>
        </w:rPr>
        <w:t>conservation</w:t>
      </w:r>
      <w:r w:rsidR="008E2836">
        <w:rPr>
          <w:rFonts w:eastAsia="MS Mincho"/>
        </w:rPr>
        <w:t xml:space="preserve"> et de </w:t>
      </w:r>
      <w:r w:rsidR="008E2836" w:rsidRPr="008E2836">
        <w:rPr>
          <w:rFonts w:eastAsia="MS Mincho"/>
        </w:rPr>
        <w:t xml:space="preserve">transmission </w:t>
      </w:r>
      <w:r w:rsidR="008E2836">
        <w:rPr>
          <w:rFonts w:eastAsia="MS Mincho"/>
        </w:rPr>
        <w:t xml:space="preserve">des traditions du </w:t>
      </w:r>
      <w:r w:rsidR="008E2836" w:rsidRPr="008E2836">
        <w:rPr>
          <w:rFonts w:eastAsia="MS Mincho"/>
        </w:rPr>
        <w:t>patrimoine</w:t>
      </w:r>
      <w:r w:rsidR="008E2836">
        <w:rPr>
          <w:rFonts w:eastAsia="MS Mincho"/>
        </w:rPr>
        <w:t xml:space="preserve"> </w:t>
      </w:r>
      <w:r w:rsidR="008E2836" w:rsidRPr="008E2836">
        <w:rPr>
          <w:rFonts w:eastAsia="MS Mincho"/>
        </w:rPr>
        <w:t>culturel</w:t>
      </w:r>
      <w:r w:rsidR="008E2836">
        <w:rPr>
          <w:rFonts w:eastAsia="MS Mincho"/>
        </w:rPr>
        <w:t xml:space="preserve"> de leur </w:t>
      </w:r>
      <w:r w:rsidR="0053220A">
        <w:rPr>
          <w:rFonts w:eastAsia="MS Mincho"/>
        </w:rPr>
        <w:t>région bulgare</w:t>
      </w:r>
      <w:r w:rsidR="008E2836">
        <w:rPr>
          <w:rFonts w:eastAsia="MS Mincho"/>
        </w:rPr>
        <w:t xml:space="preserve">. Ils se rassemblaient une fois tous les cinq ans à </w:t>
      </w:r>
      <w:r w:rsidR="008E2836" w:rsidRPr="00FA4063">
        <w:rPr>
          <w:rFonts w:eastAsia="MS Mincho"/>
        </w:rPr>
        <w:t>Koprivshtitsa</w:t>
      </w:r>
      <w:r w:rsidR="00D16628">
        <w:rPr>
          <w:rFonts w:eastAsia="MS Mincho"/>
        </w:rPr>
        <w:t xml:space="preserve"> afin de présenter ce qu</w:t>
      </w:r>
      <w:r w:rsidR="00346F1B">
        <w:rPr>
          <w:rFonts w:eastAsia="MS Mincho"/>
        </w:rPr>
        <w:t>’</w:t>
      </w:r>
      <w:r w:rsidR="00D16628">
        <w:rPr>
          <w:rFonts w:eastAsia="MS Mincho"/>
        </w:rPr>
        <w:t xml:space="preserve">ils avaient sauvegardé et </w:t>
      </w:r>
      <w:r w:rsidR="0053220A">
        <w:rPr>
          <w:rFonts w:eastAsia="MS Mincho"/>
        </w:rPr>
        <w:t>ce qu</w:t>
      </w:r>
      <w:r w:rsidR="00346F1B">
        <w:rPr>
          <w:rFonts w:eastAsia="MS Mincho"/>
        </w:rPr>
        <w:t>’</w:t>
      </w:r>
      <w:r w:rsidR="0053220A">
        <w:rPr>
          <w:rFonts w:eastAsia="MS Mincho"/>
        </w:rPr>
        <w:t xml:space="preserve">ils </w:t>
      </w:r>
      <w:r w:rsidR="00D16628">
        <w:rPr>
          <w:rFonts w:eastAsia="MS Mincho"/>
        </w:rPr>
        <w:t xml:space="preserve">continuaient à transmettre à leurs enfants et petits-enfants. Ils partageaient leurs expériences de </w:t>
      </w:r>
      <w:r w:rsidR="00D16628" w:rsidRPr="00D16628">
        <w:rPr>
          <w:rFonts w:eastAsia="MS Mincho"/>
        </w:rPr>
        <w:t>sauvegarde</w:t>
      </w:r>
      <w:r w:rsidR="00D16628">
        <w:rPr>
          <w:rFonts w:eastAsia="MS Mincho"/>
        </w:rPr>
        <w:t xml:space="preserve"> des traditions une fois tous les cinq ans. Ainsi, l</w:t>
      </w:r>
      <w:r w:rsidR="00346F1B">
        <w:rPr>
          <w:rFonts w:eastAsia="MS Mincho"/>
        </w:rPr>
        <w:t>’</w:t>
      </w:r>
      <w:r w:rsidR="00D16628" w:rsidRPr="00D16628">
        <w:rPr>
          <w:rFonts w:eastAsia="MS Mincho"/>
        </w:rPr>
        <w:t>utilisation</w:t>
      </w:r>
      <w:r w:rsidR="00D16628">
        <w:rPr>
          <w:rFonts w:eastAsia="MS Mincho"/>
        </w:rPr>
        <w:t xml:space="preserve"> du terme « festival » en lieu et place de </w:t>
      </w:r>
      <w:r w:rsidR="00D16628" w:rsidRPr="001113B2">
        <w:rPr>
          <w:i/>
          <w:iCs/>
        </w:rPr>
        <w:t>събор</w:t>
      </w:r>
      <w:r w:rsidR="00D16628">
        <w:rPr>
          <w:i/>
          <w:iCs/>
        </w:rPr>
        <w:t xml:space="preserve"> </w:t>
      </w:r>
      <w:r w:rsidR="00D16628">
        <w:rPr>
          <w:iCs/>
        </w:rPr>
        <w:t>avait pu être à l</w:t>
      </w:r>
      <w:r w:rsidR="00346F1B">
        <w:rPr>
          <w:iCs/>
        </w:rPr>
        <w:t>’</w:t>
      </w:r>
      <w:r w:rsidR="00D16628">
        <w:rPr>
          <w:iCs/>
        </w:rPr>
        <w:t>origine d</w:t>
      </w:r>
      <w:r w:rsidR="00346F1B">
        <w:rPr>
          <w:iCs/>
        </w:rPr>
        <w:t>’</w:t>
      </w:r>
      <w:r w:rsidR="00D16628">
        <w:rPr>
          <w:iCs/>
        </w:rPr>
        <w:t xml:space="preserve">une </w:t>
      </w:r>
      <w:r w:rsidR="00D16628" w:rsidRPr="00D16628">
        <w:rPr>
          <w:iCs/>
        </w:rPr>
        <w:t>compréhension</w:t>
      </w:r>
      <w:r w:rsidR="00D16628">
        <w:rPr>
          <w:iCs/>
        </w:rPr>
        <w:t xml:space="preserve"> erronée pour plusieurs critères du dossier de candidature, et susciter des critiques quant au risque de festivalisation ou de </w:t>
      </w:r>
      <w:r w:rsidR="00D16628" w:rsidRPr="00D16628">
        <w:rPr>
          <w:iCs/>
        </w:rPr>
        <w:t>décontextualisation</w:t>
      </w:r>
      <w:r w:rsidR="00D16628">
        <w:rPr>
          <w:iCs/>
        </w:rPr>
        <w:t xml:space="preserve">. La </w:t>
      </w:r>
      <w:r w:rsidR="00D16628" w:rsidRPr="00D16628">
        <w:rPr>
          <w:iCs/>
        </w:rPr>
        <w:t>délégation</w:t>
      </w:r>
      <w:r w:rsidR="00D16628">
        <w:rPr>
          <w:iCs/>
        </w:rPr>
        <w:t xml:space="preserve"> a souligné que le dossier de candidature ne mettait pas l</w:t>
      </w:r>
      <w:r w:rsidR="00346F1B">
        <w:rPr>
          <w:iCs/>
        </w:rPr>
        <w:t>’</w:t>
      </w:r>
      <w:r w:rsidR="00D16628">
        <w:rPr>
          <w:iCs/>
        </w:rPr>
        <w:t xml:space="preserve">accent sur un </w:t>
      </w:r>
      <w:r w:rsidR="00D16628" w:rsidRPr="00D16628">
        <w:rPr>
          <w:iCs/>
        </w:rPr>
        <w:t xml:space="preserve">événement </w:t>
      </w:r>
      <w:r w:rsidR="00D16628">
        <w:rPr>
          <w:iCs/>
        </w:rPr>
        <w:t xml:space="preserve">isolé, un festival, mais sur un processus régulier auquel participaient des centaines de milliers de </w:t>
      </w:r>
      <w:r w:rsidR="00D16628" w:rsidRPr="00D16628">
        <w:rPr>
          <w:iCs/>
        </w:rPr>
        <w:t>détenteurs</w:t>
      </w:r>
      <w:r w:rsidR="00D16628">
        <w:rPr>
          <w:iCs/>
        </w:rPr>
        <w:t xml:space="preserve"> et de praticiens de différentes formes de PCI sauvegardées, allant de la musique à la danse en passant par la pratique d</w:t>
      </w:r>
      <w:r w:rsidR="00346F1B">
        <w:rPr>
          <w:iCs/>
        </w:rPr>
        <w:t>’</w:t>
      </w:r>
      <w:r w:rsidR="00D16628">
        <w:rPr>
          <w:iCs/>
        </w:rPr>
        <w:t>instr</w:t>
      </w:r>
      <w:r w:rsidR="00D16628">
        <w:t>uments, le folklore oral, les légendes, les rituels, les coutumes, etc.</w:t>
      </w:r>
      <w:r w:rsidR="0053220A">
        <w:t xml:space="preserve">, dans toutes les régions du pays. </w:t>
      </w:r>
      <w:r w:rsidR="00D16628">
        <w:t>La délégation pensait que ce point avait eu un impact négatif sur le dossier et était à l</w:t>
      </w:r>
      <w:r w:rsidR="00346F1B">
        <w:t>’</w:t>
      </w:r>
      <w:r w:rsidR="00D16628">
        <w:t>origine de la plupart des critiques formul</w:t>
      </w:r>
      <w:r w:rsidR="001837D1">
        <w:t>ées dans le projet de décision.</w:t>
      </w:r>
    </w:p>
    <w:p w14:paraId="0048B34A" w14:textId="00A36A59" w:rsidR="0053220A" w:rsidRPr="0053220A" w:rsidRDefault="0053220A" w:rsidP="00F24F73">
      <w:pPr>
        <w:pStyle w:val="Orateurengris"/>
        <w:ind w:left="709" w:hanging="709"/>
        <w:rPr>
          <w:b/>
        </w:rPr>
      </w:pPr>
      <w:r w:rsidRPr="0053220A">
        <w:t>La délégation de la</w:t>
      </w:r>
      <w:r>
        <w:rPr>
          <w:b/>
        </w:rPr>
        <w:t xml:space="preserve"> Colombie </w:t>
      </w:r>
      <w:r w:rsidR="000A55FB">
        <w:t>souhaitait</w:t>
      </w:r>
      <w:r>
        <w:t xml:space="preserve"> que l</w:t>
      </w:r>
      <w:r w:rsidR="00346F1B">
        <w:t>’</w:t>
      </w:r>
      <w:r>
        <w:t>État soumissionnaire s</w:t>
      </w:r>
      <w:r w:rsidR="00346F1B">
        <w:t>’</w:t>
      </w:r>
      <w:r>
        <w:t>explique sur le critère P.6, à savoir, comment envisageait-il l</w:t>
      </w:r>
      <w:r w:rsidR="00346F1B">
        <w:t>’</w:t>
      </w:r>
      <w:r>
        <w:t xml:space="preserve">application de sa meilleure pratique </w:t>
      </w:r>
      <w:r w:rsidR="001837D1">
        <w:t>dans un contexte international.</w:t>
      </w:r>
    </w:p>
    <w:p w14:paraId="6382CD42" w14:textId="0C6A972B" w:rsidR="0053220A" w:rsidRPr="001F1A36" w:rsidRDefault="004C7907" w:rsidP="00F24F73">
      <w:pPr>
        <w:pStyle w:val="Orateurengris"/>
        <w:ind w:left="709" w:hanging="709"/>
        <w:rPr>
          <w:b/>
        </w:rPr>
      </w:pPr>
      <w:r w:rsidRPr="004C7907">
        <w:t>La délégation de la</w:t>
      </w:r>
      <w:r>
        <w:rPr>
          <w:b/>
        </w:rPr>
        <w:t xml:space="preserve"> Bulgarie </w:t>
      </w:r>
      <w:r>
        <w:t xml:space="preserve">a expliqué que les aspects du festival de </w:t>
      </w:r>
      <w:r w:rsidRPr="001212D3">
        <w:t>Koprivshtitsa</w:t>
      </w:r>
      <w:r>
        <w:t xml:space="preserve"> qui pourraient s</w:t>
      </w:r>
      <w:r w:rsidR="00346F1B">
        <w:t>’</w:t>
      </w:r>
      <w:r>
        <w:t>appliquer au niveau international, dans le domaine de la promotion des efforts de sauvegarde aux niveaux régional, subrégional et international</w:t>
      </w:r>
      <w:r w:rsidR="000A55FB">
        <w:t>,</w:t>
      </w:r>
      <w:r>
        <w:t xml:space="preserve"> avaient été abordés dans plusieurs sections du dossier de candidature. </w:t>
      </w:r>
      <w:r w:rsidR="001F1A36">
        <w:t xml:space="preserve">Cet aspect international était attesté par la participation au festival de </w:t>
      </w:r>
      <w:r w:rsidR="001F1A36" w:rsidRPr="001212D3">
        <w:t>Koprivshtitsa</w:t>
      </w:r>
      <w:r w:rsidR="001F1A36">
        <w:t>, de nombreux groupes de chanteurs, danseurs et instrumentalistes, originaires du monde entier, qui présentaient des traditions vivantes et viables. Ainsi, des visiteurs étrangers participaient au festival, non seulement en tant que spectateurs mais également en tant qu</w:t>
      </w:r>
      <w:r w:rsidR="00346F1B">
        <w:t>’</w:t>
      </w:r>
      <w:r w:rsidR="001F1A36">
        <w:t xml:space="preserve">interprètes du folklore bulgare. Ils tiraient des enseignements des traditions présentées pendant leur visite au festival et faisaient partie du processus de transmission. Depuis la huitième édition du festival, en 2000, un espace à part dans la ville de </w:t>
      </w:r>
      <w:r w:rsidR="001F1A36" w:rsidRPr="001212D3">
        <w:t>Koprivshtitsa</w:t>
      </w:r>
      <w:r w:rsidR="001F1A36">
        <w:t xml:space="preserve"> était consacré aux interprètes étrangers du folklore bulgare, où des groupes de chanteurs, de danseurs et d</w:t>
      </w:r>
      <w:r w:rsidR="00346F1B">
        <w:t>’</w:t>
      </w:r>
      <w:r w:rsidR="001F1A36">
        <w:t>instrumentalistes venus d</w:t>
      </w:r>
      <w:r w:rsidR="00346F1B">
        <w:t>’</w:t>
      </w:r>
      <w:r w:rsidR="001F1A36">
        <w:t>Europe de l</w:t>
      </w:r>
      <w:r w:rsidR="00346F1B">
        <w:t>’</w:t>
      </w:r>
      <w:r w:rsidR="001F1A36">
        <w:t>est et de l</w:t>
      </w:r>
      <w:r w:rsidR="00346F1B">
        <w:t>’</w:t>
      </w:r>
      <w:r w:rsidR="001F1A36">
        <w:t>ouest, d</w:t>
      </w:r>
      <w:r w:rsidR="00346F1B">
        <w:t>’</w:t>
      </w:r>
      <w:r w:rsidR="001F1A36">
        <w:t>Amérique du nord, d</w:t>
      </w:r>
      <w:r w:rsidR="00346F1B">
        <w:t>’</w:t>
      </w:r>
      <w:r w:rsidR="001F1A36">
        <w:t>Asie et</w:t>
      </w:r>
      <w:r w:rsidR="00BE2A66">
        <w:t xml:space="preserve"> d</w:t>
      </w:r>
      <w:r w:rsidR="00346F1B">
        <w:t>’</w:t>
      </w:r>
      <w:r w:rsidR="00BE2A66">
        <w:t>Australie se produisaient</w:t>
      </w:r>
      <w:r w:rsidR="006E33DD">
        <w:t>.</w:t>
      </w:r>
      <w:r w:rsidR="001F1A36">
        <w:t xml:space="preserve"> </w:t>
      </w:r>
      <w:r w:rsidR="006E33DD">
        <w:t xml:space="preserve">Le festival était également un forum auquel les communautés de la diaspora bulgare prenaient activement part, témoignant de la permanence des traditions dans des contextes étrangers. La délégation a par ailleurs expliqué que le festival de </w:t>
      </w:r>
      <w:r w:rsidR="006E33DD" w:rsidRPr="001212D3">
        <w:t>Koprivshtitsa</w:t>
      </w:r>
      <w:r w:rsidR="006E33DD">
        <w:t>, d</w:t>
      </w:r>
      <w:r w:rsidR="00BE2A66">
        <w:t>ont le succès et l</w:t>
      </w:r>
      <w:r w:rsidR="00346F1B">
        <w:t>’</w:t>
      </w:r>
      <w:r w:rsidR="00BE2A66">
        <w:t>efficacité ne s</w:t>
      </w:r>
      <w:r w:rsidR="00346F1B">
        <w:t>’</w:t>
      </w:r>
      <w:r w:rsidR="006E33DD">
        <w:t xml:space="preserve">étaient pas démentis depuis plus de cinquante ans, </w:t>
      </w:r>
      <w:r w:rsidR="00BE2A66">
        <w:t xml:space="preserve">offrait </w:t>
      </w:r>
      <w:r w:rsidR="006E33DD">
        <w:t>un très bon exemple de coordination des différentes institutions en Bulgarie, telles que les ONG, les centres communautaires locaux, les instituts et les communautés détentrices, à titre individuel ou en groupe. Cette pratique, qui s</w:t>
      </w:r>
      <w:r w:rsidR="00346F1B">
        <w:t>’</w:t>
      </w:r>
      <w:r w:rsidR="006E33DD">
        <w:t xml:space="preserve">avérait efficace, pouvait donc être appliquée avec succès en encourageant les institutions gouvernementales et la communauté locale à présenter et pratiquer des traditions sauvegardées avec la participation la plus large possible des communautés. La délégation a conclu son intervention en assurant le Comité que ces aspects rendaient possible une duplication </w:t>
      </w:r>
      <w:r w:rsidR="00BE2A66">
        <w:t>dans d</w:t>
      </w:r>
      <w:r w:rsidR="00346F1B">
        <w:t>’</w:t>
      </w:r>
      <w:r w:rsidR="00BE2A66">
        <w:t xml:space="preserve">autres pays </w:t>
      </w:r>
      <w:r w:rsidR="006E33DD">
        <w:t xml:space="preserve">de ce modèle </w:t>
      </w:r>
      <w:r w:rsidR="00BE2A66">
        <w:t xml:space="preserve">qui avait si bien réussi et qui constituait la toile de fond </w:t>
      </w:r>
      <w:r w:rsidR="006E33DD">
        <w:t>du sys</w:t>
      </w:r>
      <w:r w:rsidR="00BE2A66">
        <w:t>tème bulgare de sauvegarde depuis plus d</w:t>
      </w:r>
      <w:r w:rsidR="00346F1B">
        <w:t>’</w:t>
      </w:r>
      <w:r w:rsidR="001837D1">
        <w:t>un demi-siècle.</w:t>
      </w:r>
    </w:p>
    <w:p w14:paraId="5E007EB2" w14:textId="0DD017B4" w:rsidR="00BE2A66" w:rsidRPr="00BE2A66" w:rsidRDefault="00BE2A66" w:rsidP="00F24F73">
      <w:pPr>
        <w:pStyle w:val="Orateurengris"/>
        <w:ind w:left="709" w:hanging="709"/>
      </w:pPr>
      <w:r w:rsidRPr="00BE2A66">
        <w:t xml:space="preserve">Le </w:t>
      </w:r>
      <w:r w:rsidRPr="00BE2A66">
        <w:rPr>
          <w:b/>
        </w:rPr>
        <w:t>Vice-Président</w:t>
      </w:r>
      <w:r w:rsidR="00D301C4">
        <w:t xml:space="preserve"> souhaitait </w:t>
      </w:r>
      <w:r w:rsidRPr="00BE2A66">
        <w:t xml:space="preserve">avancer </w:t>
      </w:r>
      <w:r>
        <w:t>et passer à l</w:t>
      </w:r>
      <w:r w:rsidR="00346F1B">
        <w:t>’</w:t>
      </w:r>
      <w:r>
        <w:t>adoption du projet de décision.</w:t>
      </w:r>
    </w:p>
    <w:p w14:paraId="239EADF5" w14:textId="64C3C8C3" w:rsidR="00BE2A66" w:rsidRDefault="00BE2A66" w:rsidP="00F24F73">
      <w:pPr>
        <w:pStyle w:val="Orateurengris"/>
        <w:ind w:left="709" w:hanging="709"/>
      </w:pPr>
      <w:r>
        <w:t xml:space="preserve">La délégation de </w:t>
      </w:r>
      <w:r w:rsidRPr="005C58DA">
        <w:rPr>
          <w:b/>
        </w:rPr>
        <w:t>Cuba</w:t>
      </w:r>
      <w:r>
        <w:t xml:space="preserve"> a remercié la Bulgarie de ses explications qui permettaient au Comité de pren</w:t>
      </w:r>
      <w:r w:rsidR="001837D1">
        <w:t>dre une décision plus légitime.</w:t>
      </w:r>
    </w:p>
    <w:p w14:paraId="595A76D4" w14:textId="1BB751A4" w:rsidR="005C58DA" w:rsidRPr="005C58DA" w:rsidRDefault="005C58DA" w:rsidP="00F24F73">
      <w:pPr>
        <w:pStyle w:val="Orateurengris"/>
        <w:ind w:left="709" w:hanging="709"/>
      </w:pPr>
      <w:r w:rsidRPr="005C58DA">
        <w:t>La délégation de l</w:t>
      </w:r>
      <w:r w:rsidR="00346F1B">
        <w:t>’</w:t>
      </w:r>
      <w:r w:rsidRPr="005C58DA">
        <w:rPr>
          <w:b/>
        </w:rPr>
        <w:t>Autriche</w:t>
      </w:r>
      <w:r w:rsidRPr="005C58DA">
        <w:t xml:space="preserve"> a également remercié la Bulgarie </w:t>
      </w:r>
      <w:r>
        <w:t>de ses éclaircissements, ajoutant qu</w:t>
      </w:r>
      <w:r w:rsidR="00346F1B">
        <w:t>’</w:t>
      </w:r>
      <w:r>
        <w:t>il était très important de partager plus d</w:t>
      </w:r>
      <w:r w:rsidR="00346F1B">
        <w:t>’</w:t>
      </w:r>
      <w:r>
        <w:t>exemples de bonnes pratiques. Elle souhaitait demander à l</w:t>
      </w:r>
      <w:r w:rsidR="00346F1B">
        <w:t>’</w:t>
      </w:r>
      <w:r>
        <w:t>Organe d</w:t>
      </w:r>
      <w:r w:rsidR="00346F1B">
        <w:t>’</w:t>
      </w:r>
      <w:r>
        <w:t>évaluation s</w:t>
      </w:r>
      <w:r w:rsidR="00346F1B">
        <w:t>’</w:t>
      </w:r>
      <w:r>
        <w:t>il estimait que le critère était désormais satisfait. Elle souhaitait également connaître les raisons pour lesquelles l</w:t>
      </w:r>
      <w:r w:rsidR="00346F1B">
        <w:t>’</w:t>
      </w:r>
      <w:r>
        <w:t>Organe d</w:t>
      </w:r>
      <w:r w:rsidR="00346F1B">
        <w:t>’</w:t>
      </w:r>
      <w:r>
        <w:t>évaluation avait décidé de ne pas inscrire l</w:t>
      </w:r>
      <w:r w:rsidR="00346F1B">
        <w:t>’</w:t>
      </w:r>
      <w:r>
        <w:t>élément sur le Regi</w:t>
      </w:r>
      <w:r w:rsidR="001837D1">
        <w:t>stre plutôt que de le renvoyer.</w:t>
      </w:r>
    </w:p>
    <w:p w14:paraId="013C1DBD" w14:textId="092A0B66" w:rsidR="00C75B58" w:rsidRPr="00C75B58" w:rsidRDefault="005C58DA" w:rsidP="00F24F73">
      <w:pPr>
        <w:pStyle w:val="Orateurengris"/>
        <w:ind w:left="709" w:hanging="709"/>
        <w:rPr>
          <w:b/>
        </w:rPr>
      </w:pPr>
      <w:r w:rsidRPr="005C58DA">
        <w:t>Le</w:t>
      </w:r>
      <w:r>
        <w:rPr>
          <w:b/>
        </w:rPr>
        <w:t xml:space="preserve"> Vice-Président de l</w:t>
      </w:r>
      <w:r w:rsidR="00346F1B">
        <w:rPr>
          <w:b/>
        </w:rPr>
        <w:t>’</w:t>
      </w:r>
      <w:r>
        <w:rPr>
          <w:b/>
        </w:rPr>
        <w:t>Organe d</w:t>
      </w:r>
      <w:r w:rsidR="00346F1B">
        <w:rPr>
          <w:b/>
        </w:rPr>
        <w:t>’</w:t>
      </w:r>
      <w:r>
        <w:rPr>
          <w:b/>
        </w:rPr>
        <w:t xml:space="preserve">évaluation </w:t>
      </w:r>
      <w:r>
        <w:t>a fait remarquer qu</w:t>
      </w:r>
      <w:r w:rsidR="00346F1B">
        <w:t>’</w:t>
      </w:r>
      <w:r>
        <w:t>il revenait au Comité de décider si la proposition était un « non » ou si on devait la renvoyer</w:t>
      </w:r>
      <w:r w:rsidR="00C75B58">
        <w:t xml:space="preserve"> à l</w:t>
      </w:r>
      <w:r w:rsidR="00346F1B">
        <w:t>’</w:t>
      </w:r>
      <w:r w:rsidR="00C75B58">
        <w:t>État soumissionnaire</w:t>
      </w:r>
      <w:r>
        <w:t>. S</w:t>
      </w:r>
      <w:r w:rsidR="00346F1B">
        <w:t>’</w:t>
      </w:r>
      <w:r>
        <w:t>agissant des informations contenues dans le présent dossier, l</w:t>
      </w:r>
      <w:r w:rsidR="00346F1B">
        <w:t>’</w:t>
      </w:r>
      <w:r>
        <w:t>Organe d</w:t>
      </w:r>
      <w:r w:rsidR="00346F1B">
        <w:t>’</w:t>
      </w:r>
      <w:r>
        <w:t>évaluation avait le sentiment qu</w:t>
      </w:r>
      <w:r w:rsidR="00346F1B">
        <w:t>’</w:t>
      </w:r>
      <w:r>
        <w:t>il s</w:t>
      </w:r>
      <w:r w:rsidR="00346F1B">
        <w:t>’</w:t>
      </w:r>
      <w:r>
        <w:t>agissait bien d</w:t>
      </w:r>
      <w:r w:rsidR="00346F1B">
        <w:t>’</w:t>
      </w:r>
      <w:r>
        <w:t xml:space="preserve">un « non », ajoutant que le Comité devrait également </w:t>
      </w:r>
      <w:r w:rsidR="00C75B58">
        <w:t xml:space="preserve">tenir compte de </w:t>
      </w:r>
      <w:r>
        <w:t>l</w:t>
      </w:r>
      <w:r w:rsidR="00346F1B">
        <w:t>’</w:t>
      </w:r>
      <w:r>
        <w:t>existence d</w:t>
      </w:r>
      <w:r w:rsidR="00346F1B">
        <w:t>’</w:t>
      </w:r>
      <w:r>
        <w:t xml:space="preserve">un grand nombre de festivals et </w:t>
      </w:r>
      <w:r w:rsidR="00C75B58">
        <w:t xml:space="preserve">se demander dans quelle mesure celui-ci </w:t>
      </w:r>
      <w:r>
        <w:t>était différent des autres, c.-à-d. tous les festivals d</w:t>
      </w:r>
      <w:r w:rsidR="00346F1B">
        <w:t>’</w:t>
      </w:r>
      <w:r>
        <w:t>artisanat et du PCI dev</w:t>
      </w:r>
      <w:r w:rsidR="00C75B58">
        <w:t>r</w:t>
      </w:r>
      <w:r>
        <w:t xml:space="preserve">aient-ils être considérés </w:t>
      </w:r>
      <w:r w:rsidR="00C75B58">
        <w:t>comme des meilleures pratiques de sauvegarde. Malgré les éclaircissements apportés, le Vice-Président a conclu son intervention en réitérant sa position de « non inscription » qui se fondait sur les informat</w:t>
      </w:r>
      <w:r w:rsidR="001837D1">
        <w:t>ions contenues dans le dossier.</w:t>
      </w:r>
    </w:p>
    <w:p w14:paraId="7FE695D4" w14:textId="0DF4D526" w:rsidR="000E0EE1" w:rsidRPr="000E0EE1" w:rsidRDefault="00C75B58" w:rsidP="00F24F73">
      <w:pPr>
        <w:pStyle w:val="Orateurengris"/>
        <w:ind w:left="709" w:hanging="709"/>
      </w:pPr>
      <w:r w:rsidRPr="00C75B58">
        <w:t>La délégation de</w:t>
      </w:r>
      <w:r>
        <w:rPr>
          <w:b/>
        </w:rPr>
        <w:t xml:space="preserve"> Sainte-Lucie </w:t>
      </w:r>
      <w:r>
        <w:t>souhaitait souligner que la décision ne portait pas sur une inscription mais sur une sélection d</w:t>
      </w:r>
      <w:r w:rsidR="00346F1B">
        <w:t>’</w:t>
      </w:r>
      <w:r>
        <w:t>une proposition de meilleures pratiques, c.-à-d. elle ne s</w:t>
      </w:r>
      <w:r w:rsidR="00346F1B">
        <w:t>’</w:t>
      </w:r>
      <w:r>
        <w:t>interrogeait pas sur l</w:t>
      </w:r>
      <w:r w:rsidR="00346F1B">
        <w:t>’</w:t>
      </w:r>
      <w:r>
        <w:t>élément en soi, dans le cas présent, le festival. Elle pensait que l</w:t>
      </w:r>
      <w:r w:rsidR="00346F1B">
        <w:t>’</w:t>
      </w:r>
      <w:r>
        <w:t>Organe d</w:t>
      </w:r>
      <w:r w:rsidR="00346F1B">
        <w:t>’</w:t>
      </w:r>
      <w:r>
        <w:t>évaluation</w:t>
      </w:r>
      <w:r w:rsidR="000E0EE1">
        <w:t xml:space="preserve"> avait pleinement compris le festival </w:t>
      </w:r>
      <w:r>
        <w:t>et l</w:t>
      </w:r>
      <w:r w:rsidR="00346F1B">
        <w:t>’</w:t>
      </w:r>
      <w:r>
        <w:t>avait apprécié</w:t>
      </w:r>
      <w:r w:rsidR="000E0EE1">
        <w:t xml:space="preserve"> mais que ce qui importait était de savoir si c</w:t>
      </w:r>
      <w:r w:rsidR="00346F1B">
        <w:t>’</w:t>
      </w:r>
      <w:r w:rsidR="000E0EE1">
        <w:t xml:space="preserve">était une des meilleures pratiques. La délégation a rappelé que chaque critère </w:t>
      </w:r>
      <w:r w:rsidR="005D0CF6">
        <w:t xml:space="preserve">posait </w:t>
      </w:r>
      <w:r w:rsidR="000E0EE1">
        <w:t xml:space="preserve">des problèmes et que, même après les </w:t>
      </w:r>
      <w:r w:rsidR="000E0EE1" w:rsidRPr="000E0EE1">
        <w:t>éclaircissements de l</w:t>
      </w:r>
      <w:r w:rsidR="00346F1B">
        <w:t>’</w:t>
      </w:r>
      <w:r w:rsidR="000E0EE1" w:rsidRPr="000E0EE1">
        <w:t>État soumissionnaire, l</w:t>
      </w:r>
      <w:r w:rsidR="00346F1B">
        <w:t>’</w:t>
      </w:r>
      <w:r w:rsidR="000E0EE1" w:rsidRPr="000E0EE1">
        <w:t>Organe d</w:t>
      </w:r>
      <w:r w:rsidR="00346F1B">
        <w:t>’</w:t>
      </w:r>
      <w:r w:rsidR="000E0EE1" w:rsidRPr="000E0EE1">
        <w:t xml:space="preserve">évaluation </w:t>
      </w:r>
      <w:r w:rsidR="000E0EE1">
        <w:t xml:space="preserve">avait maintenu </w:t>
      </w:r>
      <w:r w:rsidR="000E0EE1" w:rsidRPr="000E0EE1">
        <w:t xml:space="preserve">sa </w:t>
      </w:r>
      <w:r w:rsidR="000E0EE1">
        <w:t>recommandation. La délégation a rappelé au Comité que l</w:t>
      </w:r>
      <w:r w:rsidR="00346F1B">
        <w:t>’</w:t>
      </w:r>
      <w:r w:rsidR="000E0EE1">
        <w:t>Organe d</w:t>
      </w:r>
      <w:r w:rsidR="00346F1B">
        <w:t>’</w:t>
      </w:r>
      <w:r w:rsidR="000E0EE1">
        <w:t>évaluation était composé d</w:t>
      </w:r>
      <w:r w:rsidR="00346F1B">
        <w:t>’</w:t>
      </w:r>
      <w:r w:rsidR="000E0EE1">
        <w:t>experts dont l</w:t>
      </w:r>
      <w:r w:rsidR="00346F1B">
        <w:t>’</w:t>
      </w:r>
      <w:r w:rsidR="000E0EE1">
        <w:t>intégrité, la compétence et le difficile travail avaient été grandement appréciés par le Comité, et qu</w:t>
      </w:r>
      <w:r w:rsidR="00346F1B">
        <w:t>’</w:t>
      </w:r>
      <w:r w:rsidR="000E0EE1">
        <w:t xml:space="preserve">elle </w:t>
      </w:r>
      <w:r w:rsidR="005D0CF6">
        <w:t>restait d</w:t>
      </w:r>
      <w:r w:rsidR="001837D1">
        <w:t>onc sur sa précédente position.</w:t>
      </w:r>
    </w:p>
    <w:p w14:paraId="6DDD8769" w14:textId="596BAC43" w:rsidR="005D0CF6" w:rsidRPr="005D0CF6" w:rsidRDefault="005D0CF6" w:rsidP="00F24F73">
      <w:pPr>
        <w:pStyle w:val="Orateurengris"/>
        <w:ind w:left="709" w:hanging="709"/>
      </w:pPr>
      <w:r w:rsidRPr="005D0CF6">
        <w:t xml:space="preserve">Suite aux éclaircissements, la délégation de </w:t>
      </w:r>
      <w:r w:rsidRPr="005D0CF6">
        <w:rPr>
          <w:b/>
        </w:rPr>
        <w:t>Chypre</w:t>
      </w:r>
      <w:r w:rsidRPr="005D0CF6">
        <w:t xml:space="preserve"> était convaincue que les pratiques et méthodes </w:t>
      </w:r>
      <w:r>
        <w:t>appliquées, telles qu</w:t>
      </w:r>
      <w:r w:rsidR="00346F1B">
        <w:t>’</w:t>
      </w:r>
      <w:r>
        <w:t xml:space="preserve">expliquées, étaient bien constitutives </w:t>
      </w:r>
      <w:r w:rsidR="00124F65">
        <w:t>du PCI et satisfaisaient donc le</w:t>
      </w:r>
      <w:r>
        <w:t xml:space="preserve"> critère P.1, et que tous les autres critères suivraient.</w:t>
      </w:r>
    </w:p>
    <w:p w14:paraId="64127CE1" w14:textId="4EAAB988" w:rsidR="005D0CF6" w:rsidRPr="005D0CF6" w:rsidRDefault="005D0CF6" w:rsidP="00F24F73">
      <w:pPr>
        <w:pStyle w:val="Orateurengris"/>
        <w:ind w:left="709" w:hanging="709"/>
      </w:pPr>
      <w:r w:rsidRPr="005D0CF6">
        <w:t xml:space="preserve">La délégation du </w:t>
      </w:r>
      <w:r w:rsidRPr="005D0CF6">
        <w:rPr>
          <w:b/>
        </w:rPr>
        <w:t>Liban</w:t>
      </w:r>
      <w:r w:rsidRPr="005D0CF6">
        <w:t xml:space="preserve"> </w:t>
      </w:r>
      <w:r>
        <w:t>avait le sentiment que des doutes subsistaient. Elle souhaitait entendre l</w:t>
      </w:r>
      <w:r w:rsidR="00346F1B">
        <w:t>’</w:t>
      </w:r>
      <w:r>
        <w:t>Organe d</w:t>
      </w:r>
      <w:r w:rsidR="00346F1B">
        <w:t>’</w:t>
      </w:r>
      <w:r>
        <w:t>évaluation afin de savoir s</w:t>
      </w:r>
      <w:r w:rsidR="00346F1B">
        <w:t>’</w:t>
      </w:r>
      <w:r>
        <w:t>il estimait que les éclaircissements apportés avaient répondu à ses préoccupations en ce qui concerne la transmission, la viabilité, la décontextu</w:t>
      </w:r>
      <w:r w:rsidR="001837D1">
        <w:t>alisation et la folklorisation.</w:t>
      </w:r>
    </w:p>
    <w:p w14:paraId="624E46F3" w14:textId="3D25D48E" w:rsidR="005D0CF6" w:rsidRPr="005D0CF6" w:rsidRDefault="005D0CF6" w:rsidP="00F24F73">
      <w:pPr>
        <w:pStyle w:val="Orateurengris"/>
        <w:ind w:left="709" w:hanging="709"/>
        <w:rPr>
          <w:b/>
        </w:rPr>
      </w:pPr>
      <w:r w:rsidRPr="005D0CF6">
        <w:t>Le</w:t>
      </w:r>
      <w:r>
        <w:rPr>
          <w:b/>
        </w:rPr>
        <w:t xml:space="preserve"> </w:t>
      </w:r>
      <w:r w:rsidRPr="005D0CF6">
        <w:rPr>
          <w:b/>
        </w:rPr>
        <w:t>Rapporteur</w:t>
      </w:r>
      <w:r>
        <w:rPr>
          <w:b/>
        </w:rPr>
        <w:t xml:space="preserve"> de l</w:t>
      </w:r>
      <w:r w:rsidR="00346F1B">
        <w:rPr>
          <w:b/>
        </w:rPr>
        <w:t>’</w:t>
      </w:r>
      <w:r>
        <w:rPr>
          <w:b/>
        </w:rPr>
        <w:t>Organe d</w:t>
      </w:r>
      <w:r w:rsidR="00346F1B">
        <w:rPr>
          <w:b/>
        </w:rPr>
        <w:t>’</w:t>
      </w:r>
      <w:r>
        <w:rPr>
          <w:b/>
        </w:rPr>
        <w:t xml:space="preserve">évaluation </w:t>
      </w:r>
      <w:r w:rsidR="008A26F8">
        <w:t>a attiré l</w:t>
      </w:r>
      <w:r w:rsidR="00346F1B">
        <w:t>’</w:t>
      </w:r>
      <w:r w:rsidR="008A26F8">
        <w:t>attention sur ce qui semblait apparemment être</w:t>
      </w:r>
      <w:r w:rsidR="00E22340">
        <w:t xml:space="preserve"> une nouvelle interprétation du terme « éclaircissement </w:t>
      </w:r>
      <w:r w:rsidR="008A26F8">
        <w:t>», tout en concédant que certains éléments de la réponse de l</w:t>
      </w:r>
      <w:r w:rsidR="00346F1B">
        <w:t>’</w:t>
      </w:r>
      <w:r w:rsidR="008A26F8">
        <w:t>État soumissionnaire pourraient avoir pour conséquence une révision de certaines des remarques formulées par l</w:t>
      </w:r>
      <w:r w:rsidR="00346F1B">
        <w:t>’</w:t>
      </w:r>
      <w:r w:rsidR="008A26F8">
        <w:t>Organe. Toutefois, il s</w:t>
      </w:r>
      <w:r w:rsidR="00346F1B">
        <w:t>’</w:t>
      </w:r>
      <w:r w:rsidR="008A26F8">
        <w:t xml:space="preserve">agissait là de nouveaux éléments </w:t>
      </w:r>
      <w:r w:rsidR="00E22340">
        <w:t>d</w:t>
      </w:r>
      <w:r w:rsidR="00346F1B">
        <w:t>’</w:t>
      </w:r>
      <w:r w:rsidR="00E22340">
        <w:t xml:space="preserve">information </w:t>
      </w:r>
      <w:r w:rsidR="008A26F8">
        <w:t>qui n</w:t>
      </w:r>
      <w:r w:rsidR="00346F1B">
        <w:t>’</w:t>
      </w:r>
      <w:r w:rsidR="008A26F8">
        <w:t>étaient pas inclus dans le dossier de candidature lors de son évaluation. Le Rapporteur a convenu qu</w:t>
      </w:r>
      <w:r w:rsidR="00346F1B">
        <w:t>’</w:t>
      </w:r>
      <w:r w:rsidR="008A26F8">
        <w:t>il serait intéressant d</w:t>
      </w:r>
      <w:r w:rsidR="00346F1B">
        <w:t>’</w:t>
      </w:r>
      <w:r w:rsidR="008A26F8">
        <w:t>avoir une discussion plus approfondie sur ces nouveaux éléments d</w:t>
      </w:r>
      <w:r w:rsidR="00346F1B">
        <w:t>’</w:t>
      </w:r>
      <w:r w:rsidR="008A26F8">
        <w:t>information, mais le système en vigueur ne le permettait pas. L</w:t>
      </w:r>
      <w:r w:rsidR="00346F1B">
        <w:t>’</w:t>
      </w:r>
      <w:r w:rsidR="008A26F8">
        <w:t>Organe d</w:t>
      </w:r>
      <w:r w:rsidR="00346F1B">
        <w:t>’</w:t>
      </w:r>
      <w:r w:rsidR="008A26F8">
        <w:t>évaluation maintenait donc sa position en encourageant l</w:t>
      </w:r>
      <w:r w:rsidR="00346F1B">
        <w:t>’</w:t>
      </w:r>
      <w:r w:rsidR="008A26F8">
        <w:t xml:space="preserve">État soumissionnaire à compléter son dossier de nouvelles informations </w:t>
      </w:r>
      <w:r w:rsidR="001837D1">
        <w:t>pour une soumission ultérieure.</w:t>
      </w:r>
    </w:p>
    <w:p w14:paraId="3DEF68A8" w14:textId="4C3DDF80" w:rsidR="008A26F8" w:rsidRPr="008A26F8" w:rsidRDefault="008A26F8" w:rsidP="00F24F73">
      <w:pPr>
        <w:pStyle w:val="Orateurengris"/>
        <w:ind w:left="709" w:hanging="709"/>
      </w:pPr>
      <w:r w:rsidRPr="008A26F8">
        <w:t xml:space="preserve">Le </w:t>
      </w:r>
      <w:r w:rsidRPr="008A26F8">
        <w:rPr>
          <w:b/>
        </w:rPr>
        <w:t>Vice-Président</w:t>
      </w:r>
      <w:r w:rsidRPr="008A26F8">
        <w:t xml:space="preserve"> est passé à l</w:t>
      </w:r>
      <w:r w:rsidR="00346F1B">
        <w:t>’</w:t>
      </w:r>
      <w:r w:rsidRPr="008A26F8">
        <w:t>adoption du projet de décision paragraphe par paragraphe</w:t>
      </w:r>
      <w:r>
        <w:t>. En l</w:t>
      </w:r>
      <w:r w:rsidR="00346F1B">
        <w:t>’</w:t>
      </w:r>
      <w:r>
        <w:t>absence d</w:t>
      </w:r>
      <w:r w:rsidR="00346F1B">
        <w:t>’</w:t>
      </w:r>
      <w:r>
        <w:t xml:space="preserve">objections, le paragraphe 1 a été </w:t>
      </w:r>
      <w:r w:rsidR="008052AC">
        <w:t>dûment</w:t>
      </w:r>
      <w:r>
        <w:t xml:space="preserve"> adopté. Le Vice-Président a pris note d</w:t>
      </w:r>
      <w:r w:rsidR="00346F1B">
        <w:t>’</w:t>
      </w:r>
      <w:r>
        <w:t>amendements au paragraphe consacré au critère P.1 dans le paragraphe 2.</w:t>
      </w:r>
    </w:p>
    <w:p w14:paraId="25ADB567" w14:textId="240253E0" w:rsidR="008A26F8" w:rsidRPr="008A26F8" w:rsidRDefault="008A26F8" w:rsidP="00F24F73">
      <w:pPr>
        <w:pStyle w:val="Orateurengris"/>
        <w:ind w:left="709" w:hanging="709"/>
        <w:rPr>
          <w:b/>
        </w:rPr>
      </w:pPr>
      <w:r w:rsidRPr="008A26F8">
        <w:t>La délégation d</w:t>
      </w:r>
      <w:r w:rsidR="00346F1B">
        <w:t>’</w:t>
      </w:r>
      <w:r w:rsidRPr="008A26F8">
        <w:rPr>
          <w:b/>
        </w:rPr>
        <w:t>Éthiopie</w:t>
      </w:r>
      <w:r>
        <w:rPr>
          <w:b/>
        </w:rPr>
        <w:t xml:space="preserve"> </w:t>
      </w:r>
      <w:r>
        <w:t>s</w:t>
      </w:r>
      <w:r w:rsidR="00346F1B">
        <w:t>’</w:t>
      </w:r>
      <w:r>
        <w:t>est déclarée satisfaite de la réponse de la Bulgarie à sa question, et s</w:t>
      </w:r>
      <w:r w:rsidR="00346F1B">
        <w:t>’</w:t>
      </w:r>
      <w:r>
        <w:t>est donc jointe à la Mongolie en tant que coauteur de l</w:t>
      </w:r>
      <w:r w:rsidR="00346F1B">
        <w:t>’</w:t>
      </w:r>
      <w:r w:rsidR="001837D1">
        <w:t>amendement.</w:t>
      </w:r>
    </w:p>
    <w:p w14:paraId="3BD778F8" w14:textId="451CC5A0" w:rsidR="008A26F8" w:rsidRPr="008A26F8" w:rsidRDefault="008A26F8" w:rsidP="00F24F73">
      <w:pPr>
        <w:pStyle w:val="Orateurengris"/>
        <w:ind w:left="709" w:hanging="709"/>
      </w:pPr>
      <w:r w:rsidRPr="008A26F8">
        <w:t>Les délégation</w:t>
      </w:r>
      <w:r>
        <w:t xml:space="preserve">s </w:t>
      </w:r>
      <w:r w:rsidRPr="008A26F8">
        <w:t>de l</w:t>
      </w:r>
      <w:r w:rsidR="00346F1B">
        <w:t>’</w:t>
      </w:r>
      <w:r w:rsidRPr="008A26F8">
        <w:rPr>
          <w:b/>
        </w:rPr>
        <w:t>Inde</w:t>
      </w:r>
      <w:r w:rsidRPr="008A26F8">
        <w:t xml:space="preserve"> et de </w:t>
      </w:r>
      <w:r w:rsidRPr="008A26F8">
        <w:rPr>
          <w:b/>
        </w:rPr>
        <w:t>Chypre</w:t>
      </w:r>
      <w:r w:rsidRPr="008A26F8">
        <w:t xml:space="preserve"> soutenaient l</w:t>
      </w:r>
      <w:r w:rsidR="00346F1B">
        <w:t>’</w:t>
      </w:r>
      <w:r w:rsidR="001837D1">
        <w:t>amendement de la Mongolie.</w:t>
      </w:r>
    </w:p>
    <w:p w14:paraId="685A29D1" w14:textId="1685A694" w:rsidR="00DC7843" w:rsidRPr="00DC7843" w:rsidRDefault="00DC7843" w:rsidP="00F24F73">
      <w:pPr>
        <w:pStyle w:val="Orateurengris"/>
        <w:ind w:left="709" w:hanging="709"/>
      </w:pPr>
      <w:r w:rsidRPr="00DC7843">
        <w:t>En l</w:t>
      </w:r>
      <w:r w:rsidR="00346F1B">
        <w:t>’</w:t>
      </w:r>
      <w:r w:rsidRPr="00DC7843">
        <w:t>absence d</w:t>
      </w:r>
      <w:r w:rsidR="00346F1B">
        <w:t>’</w:t>
      </w:r>
      <w:r>
        <w:t xml:space="preserve">autres commentaires ou objections, le </w:t>
      </w:r>
      <w:r w:rsidRPr="00DC7843">
        <w:rPr>
          <w:b/>
        </w:rPr>
        <w:t>Vice-Président</w:t>
      </w:r>
      <w:r>
        <w:t xml:space="preserve"> a déclaré adopté tel qu</w:t>
      </w:r>
      <w:r w:rsidR="00346F1B">
        <w:t>’</w:t>
      </w:r>
      <w:r>
        <w:t>amendé le paragraphe sur le critère P.1. Les paragraphes sur les critères P.2 et P.3, tels qu</w:t>
      </w:r>
      <w:r w:rsidR="00346F1B">
        <w:t>’</w:t>
      </w:r>
      <w:r>
        <w:t>amendés par la Mongolie, ont également été adoptés. Les paragraphes sur les critères P.4 et P.5, tels que proposés, ont été adoptés. Le paragraphe sur le critère P.6 a été adopté tel qu</w:t>
      </w:r>
      <w:r w:rsidR="00346F1B">
        <w:t>’</w:t>
      </w:r>
      <w:r>
        <w:t>amendé. Les paragraphes sur les critères P.7 et P.8 ont été adoptés tels que proposés. Le paragraphe sur le critère P.9, tel qu</w:t>
      </w:r>
      <w:r w:rsidR="00346F1B">
        <w:t>’</w:t>
      </w:r>
      <w:r>
        <w:t>amendé par la Mongolie, a été adopté. Le Vice-Président est passé au paragraphe 3, en demandant à la Mongolie si elle souhaitait amender ce paragraphe 3 « Sélectionne » afin d</w:t>
      </w:r>
      <w:r w:rsidR="00346F1B">
        <w:t>’</w:t>
      </w:r>
      <w:r>
        <w:t>être en cohérence avec ses précédents amendements.</w:t>
      </w:r>
    </w:p>
    <w:p w14:paraId="568E0DAA" w14:textId="3644B916" w:rsidR="00DC7843" w:rsidRPr="00DC7843" w:rsidRDefault="00DC7843" w:rsidP="00F24F73">
      <w:pPr>
        <w:pStyle w:val="Orateurengris"/>
        <w:ind w:left="709" w:hanging="709"/>
      </w:pPr>
      <w:r w:rsidRPr="00DC7843">
        <w:t xml:space="preserve">La délégation de la </w:t>
      </w:r>
      <w:r w:rsidRPr="00DC7843">
        <w:rPr>
          <w:b/>
        </w:rPr>
        <w:t>Mongolie</w:t>
      </w:r>
      <w:r w:rsidRPr="00DC7843">
        <w:t xml:space="preserve"> s</w:t>
      </w:r>
      <w:r w:rsidR="00346F1B">
        <w:t>’</w:t>
      </w:r>
      <w:r w:rsidRPr="00DC7843">
        <w:t>est excusée pour l</w:t>
      </w:r>
      <w:r w:rsidR="00346F1B">
        <w:t>’</w:t>
      </w:r>
      <w:r>
        <w:t>omission. Le paragraphe devait donc être ainsi rédigé « Décide de sélectionner ».</w:t>
      </w:r>
    </w:p>
    <w:p w14:paraId="4322D4E3" w14:textId="681D89BB" w:rsidR="00DC7843" w:rsidRPr="00DC7843" w:rsidRDefault="00DC7843" w:rsidP="00F24F73">
      <w:pPr>
        <w:pStyle w:val="Orateurengris"/>
        <w:ind w:left="709" w:hanging="709"/>
      </w:pPr>
      <w:r w:rsidRPr="00DC7843">
        <w:t xml:space="preserve">La délégation de </w:t>
      </w:r>
      <w:r w:rsidRPr="00DC7843">
        <w:rPr>
          <w:b/>
        </w:rPr>
        <w:t>Sainte-Lucie</w:t>
      </w:r>
      <w:r w:rsidR="00D301C4">
        <w:t xml:space="preserve"> souhaitait </w:t>
      </w:r>
      <w:r w:rsidRPr="00DC7843">
        <w:t xml:space="preserve">préciser que son silence </w:t>
      </w:r>
      <w:r>
        <w:t>pendant l</w:t>
      </w:r>
      <w:r w:rsidR="00346F1B">
        <w:t>’</w:t>
      </w:r>
      <w:r>
        <w:t>adoption des amendements n</w:t>
      </w:r>
      <w:r w:rsidR="00346F1B">
        <w:t>’</w:t>
      </w:r>
      <w:r>
        <w:t>avait pas valeur d</w:t>
      </w:r>
      <w:r w:rsidR="00346F1B">
        <w:t>’</w:t>
      </w:r>
      <w:r>
        <w:t>approbation. Elle ne voulait simpl</w:t>
      </w:r>
      <w:r w:rsidR="00AB7851">
        <w:t xml:space="preserve">ement pas être la seule voix à faire obstacle </w:t>
      </w:r>
      <w:r>
        <w:t xml:space="preserve">à la réussite de la </w:t>
      </w:r>
      <w:r w:rsidR="00AB7851">
        <w:t>démarche de la Bulgarie concernant une</w:t>
      </w:r>
      <w:r>
        <w:t xml:space="preserve"> </w:t>
      </w:r>
      <w:r w:rsidR="00F11BFC">
        <w:t xml:space="preserve">tradition </w:t>
      </w:r>
      <w:r>
        <w:t xml:space="preserve">très importante </w:t>
      </w:r>
      <w:r w:rsidR="00AB7851">
        <w:t>pour le pays</w:t>
      </w:r>
      <w:r w:rsidR="001837D1">
        <w:t>.</w:t>
      </w:r>
    </w:p>
    <w:p w14:paraId="7D16F369" w14:textId="534CD9BB" w:rsidR="00E22340" w:rsidRPr="00E22340" w:rsidRDefault="00E22340" w:rsidP="00F24F73">
      <w:pPr>
        <w:pStyle w:val="Orateurengris"/>
        <w:ind w:left="709" w:hanging="709"/>
        <w:rPr>
          <w:b/>
          <w:noProof/>
        </w:rPr>
      </w:pPr>
      <w:r w:rsidRPr="00E22340">
        <w:rPr>
          <w:noProof/>
        </w:rPr>
        <w:t>Le</w:t>
      </w:r>
      <w:r>
        <w:rPr>
          <w:b/>
          <w:noProof/>
        </w:rPr>
        <w:t xml:space="preserve"> Vice-Président </w:t>
      </w:r>
      <w:r>
        <w:rPr>
          <w:noProof/>
        </w:rPr>
        <w:t>a remercié le Comité de faire preuve d</w:t>
      </w:r>
      <w:r w:rsidR="00346F1B">
        <w:rPr>
          <w:noProof/>
        </w:rPr>
        <w:t>’</w:t>
      </w:r>
      <w:r>
        <w:rPr>
          <w:noProof/>
        </w:rPr>
        <w:t>un esprit cons</w:t>
      </w:r>
      <w:r w:rsidR="001837D1">
        <w:rPr>
          <w:noProof/>
        </w:rPr>
        <w:t>tructif à une heure si tardive.</w:t>
      </w:r>
    </w:p>
    <w:p w14:paraId="49E61CA0" w14:textId="0BDAEDC2" w:rsidR="00E22340" w:rsidRPr="00E22340" w:rsidRDefault="00E22340" w:rsidP="00F24F73">
      <w:pPr>
        <w:pStyle w:val="Orateurengris"/>
        <w:ind w:left="709" w:hanging="709"/>
        <w:rPr>
          <w:b/>
        </w:rPr>
      </w:pPr>
      <w:r w:rsidRPr="00E22340">
        <w:t>La</w:t>
      </w:r>
      <w:r>
        <w:rPr>
          <w:b/>
        </w:rPr>
        <w:t xml:space="preserve"> </w:t>
      </w:r>
      <w:r w:rsidRPr="00E22340">
        <w:t>délégation du</w:t>
      </w:r>
      <w:r>
        <w:rPr>
          <w:b/>
        </w:rPr>
        <w:t xml:space="preserve"> Liban </w:t>
      </w:r>
      <w:r>
        <w:t>ne souhaitait pas aller à l</w:t>
      </w:r>
      <w:r w:rsidR="00346F1B">
        <w:t>’</w:t>
      </w:r>
      <w:r>
        <w:t>encontre du consensus établi, mais a dit soutenir les remarq</w:t>
      </w:r>
      <w:r w:rsidR="001837D1">
        <w:t>ues formulées par Sainte-Lucie.</w:t>
      </w:r>
    </w:p>
    <w:p w14:paraId="4D58C489" w14:textId="6D37424E" w:rsidR="00E22340" w:rsidRDefault="00E22340" w:rsidP="00F24F73">
      <w:pPr>
        <w:pStyle w:val="Orateurengris"/>
        <w:ind w:left="709" w:hanging="709"/>
      </w:pPr>
      <w:r>
        <w:t xml:space="preserve">Le </w:t>
      </w:r>
      <w:r w:rsidRPr="00E22340">
        <w:rPr>
          <w:b/>
        </w:rPr>
        <w:t>Vice-Président</w:t>
      </w:r>
      <w:r>
        <w:t xml:space="preserve"> a proposé d</w:t>
      </w:r>
      <w:r w:rsidR="00346F1B">
        <w:t>’</w:t>
      </w:r>
      <w:r>
        <w:t>inclure un paragraphe dans la décision – identique à ceux rédigés pour les inscriptions sur la Liste représentative- qui prenait acte des explications et éclaircis</w:t>
      </w:r>
      <w:r w:rsidR="001837D1">
        <w:t>sements entendus dans la salle.</w:t>
      </w:r>
    </w:p>
    <w:p w14:paraId="2F6989F8" w14:textId="64EC3D9C" w:rsidR="00E22340" w:rsidRPr="00E22340" w:rsidRDefault="00E22340" w:rsidP="00F24F73">
      <w:pPr>
        <w:pStyle w:val="Orateurengris"/>
        <w:ind w:left="709" w:hanging="709"/>
        <w:rPr>
          <w:b/>
        </w:rPr>
      </w:pPr>
      <w:r w:rsidRPr="00E22340">
        <w:t>La délégation de la</w:t>
      </w:r>
      <w:r>
        <w:rPr>
          <w:b/>
        </w:rPr>
        <w:t xml:space="preserve"> Côte d</w:t>
      </w:r>
      <w:r w:rsidR="00346F1B">
        <w:rPr>
          <w:b/>
        </w:rPr>
        <w:t>’</w:t>
      </w:r>
      <w:r>
        <w:rPr>
          <w:b/>
        </w:rPr>
        <w:t xml:space="preserve">Ivoire </w:t>
      </w:r>
      <w:r>
        <w:t>se demandait si l</w:t>
      </w:r>
      <w:r w:rsidR="00346F1B">
        <w:t>’</w:t>
      </w:r>
      <w:r>
        <w:t xml:space="preserve">élément </w:t>
      </w:r>
      <w:r w:rsidR="00F511AB">
        <w:t xml:space="preserve">était </w:t>
      </w:r>
      <w:r w:rsidR="001837D1">
        <w:t>renvoyé ou inscrit.</w:t>
      </w:r>
    </w:p>
    <w:p w14:paraId="24ED6714" w14:textId="01E8E493" w:rsidR="00E22340" w:rsidRPr="00E22340" w:rsidRDefault="00E22340" w:rsidP="00F24F73">
      <w:pPr>
        <w:pStyle w:val="Orateurengris"/>
        <w:ind w:left="709" w:hanging="709"/>
      </w:pPr>
      <w:r w:rsidRPr="00E22340">
        <w:t>Le</w:t>
      </w:r>
      <w:r>
        <w:rPr>
          <w:b/>
        </w:rPr>
        <w:t xml:space="preserve"> Vice-Président </w:t>
      </w:r>
      <w:r w:rsidRPr="00E22340">
        <w:t xml:space="preserve">a précisé </w:t>
      </w:r>
      <w:r>
        <w:t>que l</w:t>
      </w:r>
      <w:r w:rsidR="00346F1B">
        <w:t>’</w:t>
      </w:r>
      <w:r>
        <w:t>élément serait effectivement inscrit</w:t>
      </w:r>
      <w:r w:rsidR="001837D1">
        <w:t xml:space="preserve"> après adoption de la décision.</w:t>
      </w:r>
    </w:p>
    <w:p w14:paraId="5E808538" w14:textId="2C184E16" w:rsidR="00F511AB" w:rsidRDefault="00F511AB" w:rsidP="00F24F73">
      <w:pPr>
        <w:pStyle w:val="Orateurengris"/>
        <w:ind w:left="709" w:hanging="709"/>
      </w:pPr>
      <w:r>
        <w:t xml:space="preserve">La délégation de la </w:t>
      </w:r>
      <w:r w:rsidRPr="00F511AB">
        <w:rPr>
          <w:b/>
        </w:rPr>
        <w:t>Côte d</w:t>
      </w:r>
      <w:r w:rsidR="00346F1B">
        <w:rPr>
          <w:b/>
        </w:rPr>
        <w:t>’</w:t>
      </w:r>
      <w:r w:rsidRPr="00F511AB">
        <w:rPr>
          <w:b/>
        </w:rPr>
        <w:t>Ivoire</w:t>
      </w:r>
      <w:r>
        <w:t xml:space="preserve"> a fait remarquer que le Comité était passé d</w:t>
      </w:r>
      <w:r w:rsidR="00346F1B">
        <w:t>’</w:t>
      </w:r>
      <w:r>
        <w:t>un « non » à une inscription, sans passer par l</w:t>
      </w:r>
      <w:r w:rsidR="00346F1B">
        <w:t>’</w:t>
      </w:r>
      <w:r w:rsidR="001837D1">
        <w:t>étape intermédiaire du renvoi.</w:t>
      </w:r>
    </w:p>
    <w:p w14:paraId="7D831757" w14:textId="13904177" w:rsidR="005B24D6" w:rsidRPr="00F511AB" w:rsidRDefault="00F511AB" w:rsidP="00F24F73">
      <w:pPr>
        <w:pStyle w:val="Orateurengris"/>
        <w:ind w:left="709" w:hanging="709"/>
      </w:pPr>
      <w:r w:rsidRPr="00F511AB">
        <w:t>Le</w:t>
      </w:r>
      <w:r>
        <w:rPr>
          <w:b/>
        </w:rPr>
        <w:t xml:space="preserve"> Vice-Président </w:t>
      </w:r>
      <w:r w:rsidRPr="00F511AB">
        <w:t>a expliqué</w:t>
      </w:r>
      <w:r>
        <w:rPr>
          <w:b/>
        </w:rPr>
        <w:t xml:space="preserve"> </w:t>
      </w:r>
      <w:r w:rsidRPr="00F511AB">
        <w:t xml:space="preserve">que le Comité </w:t>
      </w:r>
      <w:r>
        <w:t>avait adopté les paragraphes un p</w:t>
      </w:r>
      <w:r w:rsidR="005B24D6">
        <w:t>ar un, ce qui allait dans le sens d</w:t>
      </w:r>
      <w:r w:rsidR="00346F1B">
        <w:t>’</w:t>
      </w:r>
      <w:r w:rsidR="005B24D6">
        <w:t>une inscription par consensus. Le Vice-Président est revenu sur la proposit</w:t>
      </w:r>
      <w:r w:rsidR="001837D1">
        <w:t>ion de paragraphe additionnel.</w:t>
      </w:r>
    </w:p>
    <w:p w14:paraId="37A6A1E2" w14:textId="5AB7AB04" w:rsidR="005B24D6" w:rsidRPr="005B24D6" w:rsidRDefault="005B24D6" w:rsidP="00F24F73">
      <w:pPr>
        <w:pStyle w:val="Orateurengris"/>
        <w:ind w:left="709" w:hanging="709"/>
        <w:rPr>
          <w:b/>
        </w:rPr>
      </w:pPr>
      <w:r w:rsidRPr="005B24D6">
        <w:t>La délégation de l</w:t>
      </w:r>
      <w:r w:rsidR="00346F1B">
        <w:t>’</w:t>
      </w:r>
      <w:r w:rsidRPr="005B24D6">
        <w:rPr>
          <w:b/>
        </w:rPr>
        <w:t>Éthiopie</w:t>
      </w:r>
      <w:r>
        <w:t xml:space="preserve"> soutenait les paragraphes 3 et 4 et, selon cette logique, elle souhaitait revenir sur le paragraphe consacré au paragraphe sur le critère P.4 car elle v</w:t>
      </w:r>
      <w:r w:rsidR="001837D1">
        <w:t>oulait présenter un amendement.</w:t>
      </w:r>
    </w:p>
    <w:p w14:paraId="54D6A25E" w14:textId="59A314D6" w:rsidR="005B24D6" w:rsidRPr="005B24D6" w:rsidRDefault="005B24D6" w:rsidP="00F24F73">
      <w:pPr>
        <w:pStyle w:val="Orateurengris"/>
        <w:ind w:left="709" w:hanging="709"/>
      </w:pPr>
      <w:r w:rsidRPr="005B24D6">
        <w:t>Le</w:t>
      </w:r>
      <w:r>
        <w:rPr>
          <w:b/>
        </w:rPr>
        <w:t xml:space="preserve"> Vice-Président </w:t>
      </w:r>
      <w:r w:rsidRPr="005B24D6">
        <w:t>a expliqué</w:t>
      </w:r>
      <w:r>
        <w:t xml:space="preserve"> que le paragraphe sur le critère P.4 avait déjà été adopté. Une motion d</w:t>
      </w:r>
      <w:r w:rsidR="00346F1B">
        <w:t>’</w:t>
      </w:r>
      <w:r w:rsidR="001837D1">
        <w:t>ordre a été soumise par Chypre.</w:t>
      </w:r>
    </w:p>
    <w:p w14:paraId="2F0E5D88" w14:textId="583F17A3" w:rsidR="005B24D6" w:rsidRPr="005B24D6" w:rsidRDefault="005B24D6" w:rsidP="00F24F73">
      <w:pPr>
        <w:pStyle w:val="Orateurengris"/>
        <w:ind w:left="709" w:hanging="709"/>
        <w:rPr>
          <w:b/>
        </w:rPr>
      </w:pPr>
      <w:r>
        <w:t xml:space="preserve">La délégation de </w:t>
      </w:r>
      <w:r w:rsidRPr="005B24D6">
        <w:rPr>
          <w:b/>
        </w:rPr>
        <w:t>Chypre</w:t>
      </w:r>
      <w:r>
        <w:t xml:space="preserve"> a déclaré que, tous les paragraphes ayant déjà été adoptés,</w:t>
      </w:r>
      <w:r w:rsidR="001837D1">
        <w:t xml:space="preserve"> on ne pouvait pas les rouvrir.</w:t>
      </w:r>
    </w:p>
    <w:p w14:paraId="143D9570" w14:textId="27FEC81B" w:rsidR="005B24D6" w:rsidRPr="005B24D6" w:rsidRDefault="005B24D6" w:rsidP="00F24F73">
      <w:pPr>
        <w:pStyle w:val="Orateurengris"/>
        <w:ind w:left="709" w:hanging="709"/>
        <w:rPr>
          <w:b/>
        </w:rPr>
      </w:pPr>
      <w:r>
        <w:t xml:space="preserve">Le </w:t>
      </w:r>
      <w:r w:rsidRPr="00397AB0">
        <w:rPr>
          <w:b/>
        </w:rPr>
        <w:t>Vice-Président</w:t>
      </w:r>
      <w:r>
        <w:t xml:space="preserve"> a </w:t>
      </w:r>
      <w:r w:rsidR="00397AB0">
        <w:t>souscrit aux propos de Chypre qui ont été acceptés par l</w:t>
      </w:r>
      <w:r w:rsidR="00346F1B">
        <w:t>’</w:t>
      </w:r>
      <w:r w:rsidR="001837D1">
        <w:t>Éthiopie.</w:t>
      </w:r>
    </w:p>
    <w:p w14:paraId="73DE4CFB" w14:textId="06C76357" w:rsidR="00397AB0" w:rsidRPr="00397AB0" w:rsidRDefault="00397AB0" w:rsidP="00F24F73">
      <w:pPr>
        <w:pStyle w:val="Orateurengris"/>
        <w:tabs>
          <w:tab w:val="left" w:pos="2268"/>
        </w:tabs>
        <w:ind w:left="709" w:hanging="709"/>
      </w:pPr>
      <w:r w:rsidRPr="00397AB0">
        <w:t>La délégation</w:t>
      </w:r>
      <w:r>
        <w:t xml:space="preserve"> de </w:t>
      </w:r>
      <w:r w:rsidRPr="00397AB0">
        <w:rPr>
          <w:b/>
        </w:rPr>
        <w:t>Sainte-Lucie</w:t>
      </w:r>
      <w:r>
        <w:t xml:space="preserve"> s</w:t>
      </w:r>
      <w:r w:rsidR="00346F1B">
        <w:t>’</w:t>
      </w:r>
      <w:r>
        <w:t>est déclarée coauteur du dernier paragraphe 4 qui remerciait la Bulgarie</w:t>
      </w:r>
      <w:r w:rsidR="001837D1">
        <w:t xml:space="preserve"> des éclaircissements apportés.</w:t>
      </w:r>
    </w:p>
    <w:p w14:paraId="23D7F272" w14:textId="28CF23F0" w:rsidR="00397AB0" w:rsidRPr="00397AB0" w:rsidRDefault="00397AB0" w:rsidP="00F24F73">
      <w:pPr>
        <w:pStyle w:val="Orateurengris"/>
        <w:ind w:left="709" w:hanging="709"/>
      </w:pPr>
      <w:r w:rsidRPr="00397AB0">
        <w:t xml:space="preserve">Le </w:t>
      </w:r>
      <w:r w:rsidRPr="00397AB0">
        <w:rPr>
          <w:b/>
        </w:rPr>
        <w:t>Vice-Président</w:t>
      </w:r>
      <w:r w:rsidRPr="00397AB0">
        <w:t xml:space="preserve"> </w:t>
      </w:r>
      <w:r>
        <w:t>est revenu à l</w:t>
      </w:r>
      <w:r w:rsidR="00346F1B">
        <w:t>’</w:t>
      </w:r>
      <w:r>
        <w:t>adoption du paragraphe 3 qui a été adopté tel qu</w:t>
      </w:r>
      <w:r w:rsidR="00346F1B">
        <w:t>’</w:t>
      </w:r>
      <w:r>
        <w:t>amendé par la Mongolie. Le paragraphe standard 4 a également été adopté. En l</w:t>
      </w:r>
      <w:r w:rsidR="00346F1B">
        <w:t>’</w:t>
      </w:r>
      <w:r>
        <w:t>absence de commentaires ou d</w:t>
      </w:r>
      <w:r w:rsidR="00346F1B">
        <w:t>’</w:t>
      </w:r>
      <w:r>
        <w:t xml:space="preserve">objections, le </w:t>
      </w:r>
      <w:r w:rsidRPr="003F4D9A">
        <w:rPr>
          <w:b/>
        </w:rPr>
        <w:t xml:space="preserve">Vice-Président a déclaré adoptée la décision 11.COM 10.c.3 de sélectionner </w:t>
      </w:r>
      <w:r w:rsidRPr="003F4D9A">
        <w:rPr>
          <w:b/>
          <w:bCs/>
        </w:rPr>
        <w:t xml:space="preserve">le festival de folklore à </w:t>
      </w:r>
      <w:r w:rsidRPr="003F4D9A">
        <w:rPr>
          <w:rFonts w:eastAsia="MS Mincho"/>
          <w:b/>
        </w:rPr>
        <w:t xml:space="preserve">Koprivshtitsa : un ensemble de pratiques pour présenter et transmettre le patrimoine </w:t>
      </w:r>
      <w:r w:rsidR="003F4D9A" w:rsidRPr="003F4D9A">
        <w:rPr>
          <w:rFonts w:eastAsia="MS Mincho"/>
          <w:b/>
        </w:rPr>
        <w:t>pour le Registre des meilleures pratiques de sauvegarde</w:t>
      </w:r>
      <w:r w:rsidR="001837D1">
        <w:rPr>
          <w:rFonts w:eastAsia="MS Mincho"/>
          <w:b/>
        </w:rPr>
        <w:t>.</w:t>
      </w:r>
    </w:p>
    <w:p w14:paraId="47E48A30" w14:textId="4DB11894" w:rsidR="003F4D9A" w:rsidRPr="003F4D9A" w:rsidRDefault="003F4D9A" w:rsidP="00F24F73">
      <w:pPr>
        <w:pStyle w:val="Orateurengris"/>
        <w:ind w:left="709" w:hanging="709"/>
      </w:pPr>
      <w:r w:rsidRPr="003F4D9A">
        <w:t xml:space="preserve">La </w:t>
      </w:r>
      <w:r>
        <w:t xml:space="preserve">délégation de la </w:t>
      </w:r>
      <w:r w:rsidRPr="003F4D9A">
        <w:rPr>
          <w:b/>
        </w:rPr>
        <w:t>Bulgarie</w:t>
      </w:r>
      <w:r>
        <w:t xml:space="preserve"> a remercié le Comité pour sa décision qui, bien que sage et justifiée, avait été difficilement adoptée. Elle s</w:t>
      </w:r>
      <w:r w:rsidR="00346F1B">
        <w:t>’</w:t>
      </w:r>
      <w:r>
        <w:t>exprimait au nom des sept millions de participants qui, d</w:t>
      </w:r>
      <w:r w:rsidR="00346F1B">
        <w:t>’</w:t>
      </w:r>
      <w:r>
        <w:t>une manière ou d</w:t>
      </w:r>
      <w:r w:rsidR="00346F1B">
        <w:t>’</w:t>
      </w:r>
      <w:r>
        <w:t>une autre, prenaient part à ce laboratoire vivant qui était plus grand que le festival lui-même. Il incarnait l</w:t>
      </w:r>
      <w:r w:rsidR="00346F1B">
        <w:t>’</w:t>
      </w:r>
      <w:r>
        <w:t>essence même de la vie et du travail en commun des détenteurs, des chercheurs et des personnes en charge de la transmission qui, en ce moment même, se réjouissaient et célébraient cette sélection. La délégation a de nouveau remercié le Comité</w:t>
      </w:r>
      <w:r w:rsidR="00DF270F">
        <w:t xml:space="preserve"> pour son attitude</w:t>
      </w:r>
      <w:r>
        <w:t xml:space="preserve"> sage et constructi</w:t>
      </w:r>
      <w:r w:rsidR="00DF270F">
        <w:t xml:space="preserve">ve, et a invité tout le monde </w:t>
      </w:r>
      <w:r w:rsidR="00DF270F" w:rsidRPr="00D274C2">
        <w:rPr>
          <w:b/>
          <w:bCs/>
        </w:rPr>
        <w:t xml:space="preserve">à </w:t>
      </w:r>
      <w:r w:rsidR="00DF270F" w:rsidRPr="00DF270F">
        <w:rPr>
          <w:rFonts w:eastAsia="MS Mincho"/>
        </w:rPr>
        <w:t>Koprivshtitsa </w:t>
      </w:r>
      <w:r w:rsidR="00DF270F">
        <w:rPr>
          <w:rFonts w:eastAsia="MS Mincho"/>
        </w:rPr>
        <w:t xml:space="preserve">pour </w:t>
      </w:r>
      <w:r w:rsidR="001837D1">
        <w:rPr>
          <w:rFonts w:eastAsia="MS Mincho"/>
        </w:rPr>
        <w:t>faire la fête tous ensemble.</w:t>
      </w:r>
    </w:p>
    <w:p w14:paraId="750DD44D" w14:textId="520FDEF1" w:rsidR="00DF270F" w:rsidRPr="00DF270F" w:rsidRDefault="00DF270F" w:rsidP="00F24F73">
      <w:pPr>
        <w:pStyle w:val="Orateurengris"/>
        <w:ind w:left="709" w:hanging="709"/>
      </w:pPr>
      <w:r w:rsidRPr="00DF270F">
        <w:t xml:space="preserve">La délégation de </w:t>
      </w:r>
      <w:r w:rsidRPr="00DF270F">
        <w:rPr>
          <w:b/>
        </w:rPr>
        <w:t>Chypre</w:t>
      </w:r>
      <w:r w:rsidRPr="00DF270F">
        <w:t xml:space="preserve"> </w:t>
      </w:r>
      <w:r>
        <w:t>souhaitait connaître l</w:t>
      </w:r>
      <w:r w:rsidR="00346F1B">
        <w:t>’</w:t>
      </w:r>
      <w:r>
        <w:t>opinion de l</w:t>
      </w:r>
      <w:r w:rsidR="00346F1B">
        <w:t>’</w:t>
      </w:r>
      <w:r>
        <w:t>Organe d</w:t>
      </w:r>
      <w:r w:rsidR="00346F1B">
        <w:t>’</w:t>
      </w:r>
      <w:r>
        <w:t>évaluation et savoir s</w:t>
      </w:r>
      <w:r w:rsidR="00346F1B">
        <w:t>’</w:t>
      </w:r>
      <w:r>
        <w:t>il souscrivait à la décision du Comité, ajoutant que le dialogue entre l</w:t>
      </w:r>
      <w:r w:rsidR="00346F1B">
        <w:t>’</w:t>
      </w:r>
      <w:r>
        <w:t>Organe d</w:t>
      </w:r>
      <w:r w:rsidR="00346F1B">
        <w:t>’</w:t>
      </w:r>
      <w:r>
        <w:t>évaluation et les États soumissionnaires devrait impliquer l</w:t>
      </w:r>
      <w:r w:rsidR="00346F1B">
        <w:t>’</w:t>
      </w:r>
      <w:r>
        <w:t>ensemble de l</w:t>
      </w:r>
      <w:r w:rsidR="00346F1B">
        <w:t>’</w:t>
      </w:r>
      <w:r>
        <w:t xml:space="preserve">Organe, composé de douze membres, et ne devrait pas reposer sur le seul avis de </w:t>
      </w:r>
      <w:r w:rsidR="001837D1">
        <w:t>son Président ou du Rapporteur.</w:t>
      </w:r>
    </w:p>
    <w:p w14:paraId="505CC092" w14:textId="0BC1EAC6" w:rsidR="00DF270F" w:rsidRPr="00DF270F" w:rsidRDefault="00DF270F" w:rsidP="00F24F73">
      <w:pPr>
        <w:pStyle w:val="Orateurengris"/>
        <w:ind w:left="709" w:hanging="709"/>
      </w:pPr>
      <w:r w:rsidRPr="00DF270F">
        <w:t xml:space="preserve">La délégation de la </w:t>
      </w:r>
      <w:r w:rsidRPr="00DF270F">
        <w:rPr>
          <w:b/>
        </w:rPr>
        <w:t>Suisse</w:t>
      </w:r>
      <w:r w:rsidRPr="00DF270F">
        <w:t xml:space="preserve"> a félicité la Bulgarie </w:t>
      </w:r>
      <w:r>
        <w:t>pour son inscription, ajoutant qu</w:t>
      </w:r>
      <w:r w:rsidR="00346F1B">
        <w:t>’</w:t>
      </w:r>
      <w:r>
        <w:t>elle respectait la décision du Comité. Néanmoins, elle s</w:t>
      </w:r>
      <w:r w:rsidR="00346F1B">
        <w:t>’</w:t>
      </w:r>
      <w:r>
        <w:t>est dite étonnée par la direction que la discussion avait prise, car cela soulevait certaines questions sur le poids des recommandations de l</w:t>
      </w:r>
      <w:r w:rsidR="00346F1B">
        <w:t>’</w:t>
      </w:r>
      <w:r>
        <w:t>Organe d</w:t>
      </w:r>
      <w:r w:rsidR="00346F1B">
        <w:t>’</w:t>
      </w:r>
      <w:r w:rsidR="001837D1">
        <w:t>évaluation.</w:t>
      </w:r>
    </w:p>
    <w:p w14:paraId="3306520B" w14:textId="400D93E6" w:rsidR="00DF270F" w:rsidRPr="00DF270F" w:rsidRDefault="00DF270F" w:rsidP="00F24F73">
      <w:pPr>
        <w:pStyle w:val="Orateurengris"/>
        <w:ind w:left="709" w:hanging="709"/>
      </w:pPr>
      <w:r>
        <w:t xml:space="preserve">Après avoir </w:t>
      </w:r>
      <w:r w:rsidR="0090561F">
        <w:t>signalé qu</w:t>
      </w:r>
      <w:r w:rsidR="00346F1B">
        <w:t>’</w:t>
      </w:r>
      <w:r w:rsidR="0090561F">
        <w:t>il n</w:t>
      </w:r>
      <w:r w:rsidR="00346F1B">
        <w:t>’</w:t>
      </w:r>
      <w:r w:rsidR="0090561F">
        <w:t xml:space="preserve">y avait pas </w:t>
      </w:r>
      <w:r>
        <w:t>d</w:t>
      </w:r>
      <w:r w:rsidR="00346F1B">
        <w:t>’</w:t>
      </w:r>
      <w:r>
        <w:t xml:space="preserve">autres intervenants, le </w:t>
      </w:r>
      <w:r w:rsidRPr="0090561F">
        <w:rPr>
          <w:b/>
        </w:rPr>
        <w:t>Vice-Président</w:t>
      </w:r>
      <w:r w:rsidR="0090561F">
        <w:t xml:space="preserve"> est passé à la proposition </w:t>
      </w:r>
      <w:r>
        <w:t>s</w:t>
      </w:r>
      <w:r w:rsidR="001837D1">
        <w:t>uivante soumise par la Croatie.</w:t>
      </w:r>
    </w:p>
    <w:p w14:paraId="673E8AE0" w14:textId="7FE07C95" w:rsidR="0090561F" w:rsidRPr="0090561F" w:rsidRDefault="0090561F" w:rsidP="00F24F73">
      <w:pPr>
        <w:pStyle w:val="Orateurengris"/>
        <w:ind w:left="709" w:hanging="709"/>
        <w:rPr>
          <w:b/>
        </w:rPr>
      </w:pPr>
      <w:r w:rsidRPr="0090561F">
        <w:t>Le</w:t>
      </w:r>
      <w:r>
        <w:rPr>
          <w:b/>
        </w:rPr>
        <w:t xml:space="preserve"> Vice-Président de l</w:t>
      </w:r>
      <w:r w:rsidR="00346F1B">
        <w:rPr>
          <w:b/>
        </w:rPr>
        <w:t>’</w:t>
      </w:r>
      <w:r>
        <w:rPr>
          <w:b/>
        </w:rPr>
        <w:t>Organe d</w:t>
      </w:r>
      <w:r w:rsidR="00346F1B">
        <w:rPr>
          <w:b/>
        </w:rPr>
        <w:t>’</w:t>
      </w:r>
      <w:r>
        <w:rPr>
          <w:b/>
        </w:rPr>
        <w:t xml:space="preserve">évaluation </w:t>
      </w:r>
      <w:r w:rsidRPr="0090561F">
        <w:t xml:space="preserve">est passé à la </w:t>
      </w:r>
      <w:r>
        <w:t>proposition</w:t>
      </w:r>
      <w:r w:rsidRPr="0090561F">
        <w:t xml:space="preserve"> suivante</w:t>
      </w:r>
      <w:r>
        <w:rPr>
          <w:b/>
        </w:rPr>
        <w:t xml:space="preserve">, </w:t>
      </w:r>
      <w:bookmarkStart w:id="58" w:name="Decision10c4"/>
      <w:r>
        <w:rPr>
          <w:b/>
        </w:rPr>
        <w:t>l</w:t>
      </w:r>
      <w:r w:rsidR="00346F1B">
        <w:rPr>
          <w:b/>
        </w:rPr>
        <w:t>’</w:t>
      </w:r>
      <w:r>
        <w:rPr>
          <w:b/>
        </w:rPr>
        <w:t xml:space="preserve">écomusée de la Batana, projet communautaire de </w:t>
      </w:r>
      <w:r w:rsidRPr="0090561F">
        <w:rPr>
          <w:b/>
        </w:rPr>
        <w:t>sauvegarde</w:t>
      </w:r>
      <w:r>
        <w:rPr>
          <w:b/>
        </w:rPr>
        <w:t xml:space="preserve"> de la culture vivante de Rovinj/Rovign</w:t>
      </w:r>
      <w:bookmarkEnd w:id="58"/>
      <w:r>
        <w:rPr>
          <w:b/>
        </w:rPr>
        <w:t xml:space="preserve"> </w:t>
      </w:r>
      <w:r>
        <w:t>[projet de décision 11.COM 10.c.4], soumise par la Croatie. La batana, un bateau de pêche traditionnel important pour l</w:t>
      </w:r>
      <w:r w:rsidR="00346F1B">
        <w:t>’</w:t>
      </w:r>
      <w:r>
        <w:t>activité et le patrimoine de Rovinj, était devenue rare avec l</w:t>
      </w:r>
      <w:r w:rsidR="00346F1B">
        <w:t>’</w:t>
      </w:r>
      <w:r>
        <w:t>arrivée de modèles industriels. Mais en 2004, une association à but non lucratif, la Maison de la Batana</w:t>
      </w:r>
      <w:r w:rsidR="00E217A2">
        <w:t>,</w:t>
      </w:r>
      <w:r>
        <w:t xml:space="preserve"> avait décidé de participer à la sauvegarde de ce type de bateau et des pr</w:t>
      </w:r>
      <w:r w:rsidR="00E217A2">
        <w:t>atiques associées en ouvrant l</w:t>
      </w:r>
      <w:r w:rsidR="00346F1B">
        <w:t>’</w:t>
      </w:r>
      <w:r w:rsidR="00E217A2">
        <w:t>é</w:t>
      </w:r>
      <w:r>
        <w:t>comusée de la Batana. Avec le soutien de la municipalité, de la communauté italienne de Rovinj, du Musée du patrimoine de la ville de Rovinj, du Centre de recherches historiques de Rovinj et d</w:t>
      </w:r>
      <w:r w:rsidR="00346F1B">
        <w:t>’</w:t>
      </w:r>
      <w:r>
        <w:t xml:space="preserve">un expert en écomuséologie, </w:t>
      </w:r>
      <w:r w:rsidR="00E217A2">
        <w:t>elle avait ouvert une exposition permanente sur la culture de la batana, un chantier naval et elle accueillait des ateliers et des régates. À l</w:t>
      </w:r>
      <w:r w:rsidR="00346F1B">
        <w:t>’</w:t>
      </w:r>
      <w:r w:rsidR="00E217A2">
        <w:t>examen des informations contenues dans le dossier, l</w:t>
      </w:r>
      <w:r w:rsidR="00346F1B">
        <w:t>’</w:t>
      </w:r>
      <w:r w:rsidR="00E217A2">
        <w:t>Organe d</w:t>
      </w:r>
      <w:r w:rsidR="00346F1B">
        <w:t>’</w:t>
      </w:r>
      <w:r w:rsidR="00E217A2">
        <w:t>évaluation avait décidé que le programme satisfaisait tous les critères de sélection au titre de meilleure pratique de sauvegarde. Les informations fournies dans le dossier de candidature décrivaient correctement la situation et les démarches de la communauté qui avaient conduit à la réalisation de ce projet, à sa mise en œuvre et à celle des actions de sauvegarde. Il soulignait le lien entre revitalisation d</w:t>
      </w:r>
      <w:r w:rsidR="00346F1B">
        <w:t>’</w:t>
      </w:r>
      <w:r w:rsidR="00E217A2">
        <w:t>un élément du PCI et développement durable, avec un impact sur toute la communauté. L</w:t>
      </w:r>
      <w:r w:rsidR="00346F1B">
        <w:t>’</w:t>
      </w:r>
      <w:r w:rsidR="00E217A2">
        <w:t>Organe d</w:t>
      </w:r>
      <w:r w:rsidR="00346F1B">
        <w:t>’</w:t>
      </w:r>
      <w:r w:rsidR="00E217A2">
        <w:t>évaluation avait décidé recommander la sélection de l</w:t>
      </w:r>
      <w:r w:rsidR="00346F1B">
        <w:t>’</w:t>
      </w:r>
      <w:r w:rsidR="00E217A2">
        <w:t xml:space="preserve">écomusée de la Batana, projet communautaire de sauvegarde de la culture vivante de </w:t>
      </w:r>
      <w:r w:rsidR="001837D1">
        <w:t>Rovinj/Rovign pour le Registre.</w:t>
      </w:r>
    </w:p>
    <w:p w14:paraId="557A4568" w14:textId="5B87F662" w:rsidR="00F92782" w:rsidRPr="00F92782" w:rsidRDefault="00F92782" w:rsidP="00F24F73">
      <w:pPr>
        <w:pStyle w:val="Orateurengris"/>
        <w:ind w:left="709" w:hanging="709"/>
        <w:rPr>
          <w:bCs/>
        </w:rPr>
      </w:pPr>
      <w:r>
        <w:rPr>
          <w:bCs/>
        </w:rPr>
        <w:t>Après avoir remercié le Vice-Président de l</w:t>
      </w:r>
      <w:r w:rsidR="00346F1B">
        <w:rPr>
          <w:bCs/>
        </w:rPr>
        <w:t>’</w:t>
      </w:r>
      <w:r>
        <w:rPr>
          <w:bCs/>
        </w:rPr>
        <w:t>Organe d</w:t>
      </w:r>
      <w:r w:rsidR="00346F1B">
        <w:rPr>
          <w:bCs/>
        </w:rPr>
        <w:t>’</w:t>
      </w:r>
      <w:r>
        <w:rPr>
          <w:bCs/>
        </w:rPr>
        <w:t xml:space="preserve">évaluation, le </w:t>
      </w:r>
      <w:r w:rsidRPr="00F92782">
        <w:rPr>
          <w:b/>
          <w:bCs/>
        </w:rPr>
        <w:t>Vice-Président</w:t>
      </w:r>
      <w:r>
        <w:rPr>
          <w:bCs/>
        </w:rPr>
        <w:t xml:space="preserve"> a signalé qu</w:t>
      </w:r>
      <w:r w:rsidR="00346F1B">
        <w:rPr>
          <w:bCs/>
        </w:rPr>
        <w:t>’</w:t>
      </w:r>
      <w:r>
        <w:rPr>
          <w:bCs/>
        </w:rPr>
        <w:t xml:space="preserve">aucun </w:t>
      </w:r>
      <w:r w:rsidRPr="00F92782">
        <w:rPr>
          <w:bCs/>
        </w:rPr>
        <w:t>amendement</w:t>
      </w:r>
      <w:r>
        <w:rPr>
          <w:bCs/>
        </w:rPr>
        <w:t xml:space="preserve"> n</w:t>
      </w:r>
      <w:r w:rsidR="00346F1B">
        <w:rPr>
          <w:bCs/>
        </w:rPr>
        <w:t>’</w:t>
      </w:r>
      <w:r>
        <w:rPr>
          <w:bCs/>
        </w:rPr>
        <w:t>avait été déposé et a donc proposé d</w:t>
      </w:r>
      <w:r w:rsidR="00346F1B">
        <w:rPr>
          <w:bCs/>
        </w:rPr>
        <w:t>’</w:t>
      </w:r>
      <w:r>
        <w:rPr>
          <w:bCs/>
        </w:rPr>
        <w:t xml:space="preserve">adopter la </w:t>
      </w:r>
      <w:r w:rsidRPr="00F92782">
        <w:rPr>
          <w:bCs/>
        </w:rPr>
        <w:t>décision</w:t>
      </w:r>
      <w:r>
        <w:rPr>
          <w:bCs/>
        </w:rPr>
        <w:t xml:space="preserve"> dans son ensemble. </w:t>
      </w:r>
      <w:r w:rsidRPr="00F92782">
        <w:rPr>
          <w:bCs/>
        </w:rPr>
        <w:t>En l</w:t>
      </w:r>
      <w:r w:rsidR="00346F1B">
        <w:rPr>
          <w:bCs/>
        </w:rPr>
        <w:t>’</w:t>
      </w:r>
      <w:r w:rsidRPr="00F92782">
        <w:rPr>
          <w:bCs/>
        </w:rPr>
        <w:t xml:space="preserve">absence </w:t>
      </w:r>
      <w:r>
        <w:rPr>
          <w:bCs/>
        </w:rPr>
        <w:t>de commentaires ou d</w:t>
      </w:r>
      <w:r w:rsidR="00346F1B">
        <w:rPr>
          <w:bCs/>
        </w:rPr>
        <w:t>’</w:t>
      </w:r>
      <w:r w:rsidRPr="00F92782">
        <w:rPr>
          <w:bCs/>
        </w:rPr>
        <w:t>objections</w:t>
      </w:r>
      <w:r>
        <w:rPr>
          <w:bCs/>
        </w:rPr>
        <w:t xml:space="preserve">, le </w:t>
      </w:r>
      <w:r w:rsidR="00976B5B" w:rsidRPr="00976B5B">
        <w:rPr>
          <w:b/>
          <w:bCs/>
        </w:rPr>
        <w:t>Vice-Président</w:t>
      </w:r>
      <w:r w:rsidR="00976B5B">
        <w:rPr>
          <w:bCs/>
        </w:rPr>
        <w:t xml:space="preserve"> </w:t>
      </w:r>
      <w:r w:rsidRPr="00F92782">
        <w:rPr>
          <w:b/>
          <w:bCs/>
        </w:rPr>
        <w:t xml:space="preserve">a déclaré adoptée la décision 11.COM 10.c.4 de sélectionner </w:t>
      </w:r>
      <w:r w:rsidRPr="00F92782">
        <w:rPr>
          <w:b/>
        </w:rPr>
        <w:t>l</w:t>
      </w:r>
      <w:r w:rsidR="00346F1B">
        <w:rPr>
          <w:b/>
        </w:rPr>
        <w:t>’</w:t>
      </w:r>
      <w:r w:rsidRPr="00F92782">
        <w:rPr>
          <w:b/>
        </w:rPr>
        <w:t>écomusée de la Batana, projet communautaire de sauvegarde de la culture vivante de Rovinj/Rovign pour le Registre des meilleures pratiques de sauvegarde</w:t>
      </w:r>
      <w:r w:rsidR="001837D1">
        <w:t>.</w:t>
      </w:r>
    </w:p>
    <w:p w14:paraId="49A5758E" w14:textId="54D5447A" w:rsidR="00F92782" w:rsidRDefault="00F92782" w:rsidP="00F24F73">
      <w:pPr>
        <w:pStyle w:val="Orateurengris"/>
        <w:ind w:left="709" w:hanging="709"/>
      </w:pPr>
      <w:r>
        <w:t xml:space="preserve">La délégation de la </w:t>
      </w:r>
      <w:r w:rsidRPr="00F92782">
        <w:rPr>
          <w:b/>
        </w:rPr>
        <w:t>Croatie</w:t>
      </w:r>
      <w:r>
        <w:t xml:space="preserve"> a adressé ses remerciements à tous les délégués, ajoutant qu</w:t>
      </w:r>
      <w:r w:rsidR="00346F1B">
        <w:t>’</w:t>
      </w:r>
      <w:r>
        <w:t>elle était heureuse de voir l</w:t>
      </w:r>
      <w:r w:rsidR="00346F1B">
        <w:t>’</w:t>
      </w:r>
      <w:r>
        <w:t xml:space="preserve">élément inscrit sur le Registre des meilleures pratiques de sauvegarde. La communauté locale de la ville de Rovinj avait travaillé </w:t>
      </w:r>
      <w:r w:rsidR="00D9602D">
        <w:t>d</w:t>
      </w:r>
      <w:r w:rsidR="00346F1B">
        <w:t>’</w:t>
      </w:r>
      <w:r w:rsidR="00D9602D">
        <w:t xml:space="preserve">arrache-pied </w:t>
      </w:r>
      <w:r>
        <w:t>pour assurer la viabilité de l</w:t>
      </w:r>
      <w:r w:rsidR="00346F1B">
        <w:t>’</w:t>
      </w:r>
      <w:r>
        <w:t>élément. La communauté de Rovinj, ainsi que la Croatie, était ouverte à la coopération internationale et à l</w:t>
      </w:r>
      <w:r w:rsidR="00346F1B">
        <w:t>’</w:t>
      </w:r>
      <w:r>
        <w:t>échange de ses bonnes pratiques en matière de sauvegarde du patrimoine immatériel. La délégation était convaincue que cette session serait une célébration du patrimoine vivant, comme les jours précédents p</w:t>
      </w:r>
      <w:r w:rsidR="00976B5B">
        <w:t>ouvaient en témoigner. [A</w:t>
      </w:r>
      <w:r>
        <w:t>u</w:t>
      </w:r>
      <w:r w:rsidR="00D9602D">
        <w:t>tre intervenant] L</w:t>
      </w:r>
      <w:r w:rsidR="00346F1B">
        <w:t>’</w:t>
      </w:r>
      <w:r w:rsidR="00D9602D">
        <w:t xml:space="preserve">intervenante, </w:t>
      </w:r>
      <w:r>
        <w:t>au nom du projet de l</w:t>
      </w:r>
      <w:r w:rsidR="00346F1B">
        <w:t>’</w:t>
      </w:r>
      <w:r>
        <w:t xml:space="preserve">écomusée de la Batana et de la communauté de Rovinj, sa ville </w:t>
      </w:r>
      <w:r w:rsidR="00D9602D">
        <w:t>natale, a adressé ses remerciements au Comité pour son soutien et sa reconnaissance des efforts déployés par la Croatie au cours des douze dernières années afin de sauvegarder son PCI associé à la batana. L</w:t>
      </w:r>
      <w:r w:rsidR="00346F1B">
        <w:t>’</w:t>
      </w:r>
      <w:r w:rsidR="00D9602D">
        <w:t>inscription encouragerait la mise en œuvre de bonnes pratiques pérennes, en particulier s</w:t>
      </w:r>
      <w:r w:rsidR="00346F1B">
        <w:t>’</w:t>
      </w:r>
      <w:r w:rsidR="00D9602D">
        <w:t>agissant de la transmission des connaissances aux jeunes générations, et le partage d</w:t>
      </w:r>
      <w:r w:rsidR="00346F1B">
        <w:t>’</w:t>
      </w:r>
      <w:r w:rsidR="00D9602D">
        <w:t>expériences avec tous ceux qui étaient intéressés par la collaboration et le dialogue. Elle a remercié l</w:t>
      </w:r>
      <w:r w:rsidR="00346F1B">
        <w:t>’</w:t>
      </w:r>
      <w:r w:rsidR="00D9602D">
        <w:t>Éthiopie pour son chaleureux accueil.</w:t>
      </w:r>
    </w:p>
    <w:p w14:paraId="27550202" w14:textId="58731F7E" w:rsidR="00E639FE" w:rsidRPr="00E22340" w:rsidRDefault="00D9602D" w:rsidP="00F24F73">
      <w:pPr>
        <w:pStyle w:val="Orateurengris"/>
        <w:numPr>
          <w:ilvl w:val="0"/>
          <w:numId w:val="0"/>
        </w:numPr>
        <w:ind w:left="709" w:hanging="709"/>
        <w:jc w:val="center"/>
        <w:rPr>
          <w:i/>
          <w:noProof/>
        </w:rPr>
      </w:pPr>
      <w:r>
        <w:rPr>
          <w:i/>
          <w:noProof/>
        </w:rPr>
        <w:t>[Un film a été projeté</w:t>
      </w:r>
      <w:r w:rsidR="00C33DA9" w:rsidRPr="00E22340">
        <w:rPr>
          <w:i/>
          <w:noProof/>
        </w:rPr>
        <w:t>]</w:t>
      </w:r>
    </w:p>
    <w:p w14:paraId="29553A31" w14:textId="565C22FC" w:rsidR="00D9602D" w:rsidRPr="00D9602D" w:rsidRDefault="00D9602D" w:rsidP="00F24F73">
      <w:pPr>
        <w:pStyle w:val="Orateurengris"/>
        <w:ind w:left="709" w:hanging="709"/>
        <w:rPr>
          <w:rFonts w:eastAsia="MS Mincho"/>
          <w:noProof/>
        </w:rPr>
      </w:pPr>
      <w:r>
        <w:rPr>
          <w:rFonts w:eastAsia="MS Mincho"/>
          <w:noProof/>
        </w:rPr>
        <w:t xml:space="preserve">Le </w:t>
      </w:r>
      <w:r w:rsidRPr="00D9602D">
        <w:rPr>
          <w:rFonts w:eastAsia="MS Mincho"/>
          <w:b/>
          <w:noProof/>
        </w:rPr>
        <w:t>Vice-Président</w:t>
      </w:r>
      <w:r>
        <w:rPr>
          <w:rFonts w:eastAsia="MS Mincho"/>
          <w:noProof/>
        </w:rPr>
        <w:t xml:space="preserve"> a remercié la Croatie, et est passé à la </w:t>
      </w:r>
      <w:r w:rsidRPr="00D9602D">
        <w:rPr>
          <w:rFonts w:eastAsia="MS Mincho"/>
          <w:noProof/>
        </w:rPr>
        <w:t xml:space="preserve">proposition </w:t>
      </w:r>
      <w:r w:rsidR="001837D1">
        <w:rPr>
          <w:rFonts w:eastAsia="MS Mincho"/>
          <w:noProof/>
        </w:rPr>
        <w:t>suivante, soumise par Fidji.</w:t>
      </w:r>
    </w:p>
    <w:p w14:paraId="6B14B6CF" w14:textId="321AB8AE" w:rsidR="008739F2" w:rsidRPr="008739F2" w:rsidRDefault="00E8483B" w:rsidP="00F24F73">
      <w:pPr>
        <w:pStyle w:val="Orateurengris"/>
        <w:ind w:left="709" w:hanging="709"/>
        <w:rPr>
          <w:rFonts w:eastAsia="MS Mincho"/>
        </w:rPr>
      </w:pPr>
      <w:r>
        <w:rPr>
          <w:rFonts w:eastAsia="MS Mincho"/>
        </w:rPr>
        <w:t xml:space="preserve">Le </w:t>
      </w:r>
      <w:r w:rsidRPr="008739F2">
        <w:rPr>
          <w:rFonts w:eastAsia="MS Mincho"/>
          <w:b/>
        </w:rPr>
        <w:t>Vice-Président de l</w:t>
      </w:r>
      <w:r w:rsidR="00346F1B">
        <w:rPr>
          <w:rFonts w:eastAsia="MS Mincho"/>
          <w:b/>
        </w:rPr>
        <w:t>’</w:t>
      </w:r>
      <w:r w:rsidRPr="008739F2">
        <w:rPr>
          <w:rFonts w:eastAsia="MS Mincho"/>
          <w:b/>
        </w:rPr>
        <w:t>Organe d</w:t>
      </w:r>
      <w:r w:rsidR="00346F1B">
        <w:rPr>
          <w:rFonts w:eastAsia="MS Mincho"/>
          <w:b/>
        </w:rPr>
        <w:t>’</w:t>
      </w:r>
      <w:r w:rsidRPr="008739F2">
        <w:rPr>
          <w:rFonts w:eastAsia="MS Mincho"/>
          <w:b/>
        </w:rPr>
        <w:t>évaluation</w:t>
      </w:r>
      <w:r>
        <w:rPr>
          <w:rFonts w:eastAsia="MS Mincho"/>
        </w:rPr>
        <w:t xml:space="preserve"> est passé à la </w:t>
      </w:r>
      <w:r w:rsidRPr="00E8483B">
        <w:rPr>
          <w:rFonts w:eastAsia="MS Mincho"/>
        </w:rPr>
        <w:t xml:space="preserve">proposition </w:t>
      </w:r>
      <w:r>
        <w:rPr>
          <w:rFonts w:eastAsia="MS Mincho"/>
        </w:rPr>
        <w:t xml:space="preserve">suivante, </w:t>
      </w:r>
      <w:bookmarkStart w:id="59" w:name="Decision10c5"/>
      <w:r w:rsidRPr="00B849F0">
        <w:rPr>
          <w:rFonts w:eastAsia="MS Mincho"/>
          <w:b/>
        </w:rPr>
        <w:t>la cartographie culturelle, méthodologie pour la sauvegarde</w:t>
      </w:r>
      <w:r w:rsidR="00F94E81" w:rsidRPr="00B849F0">
        <w:rPr>
          <w:rFonts w:eastAsia="MS Mincho"/>
          <w:b/>
        </w:rPr>
        <w:t xml:space="preserve"> du patrimoine culturel immatériel</w:t>
      </w:r>
      <w:r w:rsidR="00F94E81" w:rsidRPr="00F94E81">
        <w:rPr>
          <w:rFonts w:eastAsia="MS Mincho"/>
        </w:rPr>
        <w:t xml:space="preserve"> </w:t>
      </w:r>
      <w:r w:rsidR="00F94E81" w:rsidRPr="008739F2">
        <w:rPr>
          <w:rFonts w:eastAsia="MS Mincho"/>
          <w:b/>
        </w:rPr>
        <w:t>iTaukei</w:t>
      </w:r>
      <w:r w:rsidR="00F94E81" w:rsidRPr="00F94E81">
        <w:rPr>
          <w:rFonts w:eastAsia="MS Mincho"/>
        </w:rPr>
        <w:t xml:space="preserve"> </w:t>
      </w:r>
      <w:bookmarkEnd w:id="59"/>
      <w:r w:rsidR="00F94E81">
        <w:rPr>
          <w:rFonts w:eastAsia="MS Mincho"/>
        </w:rPr>
        <w:t xml:space="preserve">[projet de décision 11.COM 10.c.5], soumise par Fidji. En 2004, un programme de </w:t>
      </w:r>
      <w:r w:rsidR="00F94E81" w:rsidRPr="00F94E81">
        <w:rPr>
          <w:rFonts w:eastAsia="MS Mincho"/>
        </w:rPr>
        <w:t>sauvegarde</w:t>
      </w:r>
      <w:r w:rsidR="00F94E81">
        <w:rPr>
          <w:rFonts w:eastAsia="MS Mincho"/>
        </w:rPr>
        <w:t xml:space="preserve"> des connaissances traditionnelles et </w:t>
      </w:r>
      <w:r w:rsidR="00F94E81" w:rsidRPr="00F94E81">
        <w:rPr>
          <w:rFonts w:eastAsia="MS Mincho"/>
        </w:rPr>
        <w:t>expressions</w:t>
      </w:r>
      <w:r w:rsidR="00F94E81">
        <w:rPr>
          <w:rFonts w:eastAsia="MS Mincho"/>
        </w:rPr>
        <w:t xml:space="preserve"> de la population iTaukei de Fidji avait été lancé afin de répondre aux inquiétudes suscitées par leur possible disparition définitive. En </w:t>
      </w:r>
      <w:r w:rsidR="00F94E81" w:rsidRPr="00F94E81">
        <w:rPr>
          <w:rFonts w:eastAsia="MS Mincho"/>
        </w:rPr>
        <w:t>collaboration</w:t>
      </w:r>
      <w:r w:rsidR="00F94E81">
        <w:rPr>
          <w:rFonts w:eastAsia="MS Mincho"/>
        </w:rPr>
        <w:t xml:space="preserve"> avec les chefs, les anciens et les </w:t>
      </w:r>
      <w:r w:rsidR="00F94E81" w:rsidRPr="00F94E81">
        <w:rPr>
          <w:rFonts w:eastAsia="MS Mincho"/>
        </w:rPr>
        <w:t>détenteurs</w:t>
      </w:r>
      <w:r w:rsidR="00F94E81">
        <w:rPr>
          <w:rFonts w:eastAsia="MS Mincho"/>
        </w:rPr>
        <w:t>, le programme de cartographie culturelle de l</w:t>
      </w:r>
      <w:r w:rsidR="00346F1B">
        <w:rPr>
          <w:rFonts w:eastAsia="MS Mincho"/>
        </w:rPr>
        <w:t>’</w:t>
      </w:r>
      <w:r w:rsidR="00F94E81">
        <w:rPr>
          <w:rFonts w:eastAsia="MS Mincho"/>
        </w:rPr>
        <w:t>Institut iTaukei de la langue et de la culture œuvrait à l</w:t>
      </w:r>
      <w:r w:rsidR="00346F1B">
        <w:rPr>
          <w:rFonts w:eastAsia="MS Mincho"/>
        </w:rPr>
        <w:t>’</w:t>
      </w:r>
      <w:r w:rsidR="00F94E81" w:rsidRPr="00F94E81">
        <w:rPr>
          <w:rFonts w:eastAsia="MS Mincho"/>
        </w:rPr>
        <w:t>identification</w:t>
      </w:r>
      <w:r w:rsidR="00F94E81">
        <w:rPr>
          <w:rFonts w:eastAsia="MS Mincho"/>
        </w:rPr>
        <w:t xml:space="preserve">, la </w:t>
      </w:r>
      <w:r w:rsidR="00F94E81" w:rsidRPr="00F94E81">
        <w:rPr>
          <w:rFonts w:eastAsia="MS Mincho"/>
        </w:rPr>
        <w:t>documentation</w:t>
      </w:r>
      <w:r w:rsidR="00F94E81">
        <w:rPr>
          <w:rFonts w:eastAsia="MS Mincho"/>
        </w:rPr>
        <w:t xml:space="preserve"> et l</w:t>
      </w:r>
      <w:r w:rsidR="00346F1B">
        <w:rPr>
          <w:rFonts w:eastAsia="MS Mincho"/>
        </w:rPr>
        <w:t>’</w:t>
      </w:r>
      <w:r w:rsidR="00F94E81" w:rsidRPr="00F94E81">
        <w:rPr>
          <w:rFonts w:eastAsia="MS Mincho"/>
        </w:rPr>
        <w:t>enregistrement</w:t>
      </w:r>
      <w:r w:rsidR="00F94E81">
        <w:rPr>
          <w:rFonts w:eastAsia="MS Mincho"/>
        </w:rPr>
        <w:t xml:space="preserve"> des éléments qui étaient importants pour l</w:t>
      </w:r>
      <w:r w:rsidR="00346F1B">
        <w:rPr>
          <w:rFonts w:eastAsia="MS Mincho"/>
        </w:rPr>
        <w:t>’</w:t>
      </w:r>
      <w:r w:rsidR="00F94E81">
        <w:rPr>
          <w:rFonts w:eastAsia="MS Mincho"/>
        </w:rPr>
        <w:t xml:space="preserve">identité et la pérennité de la </w:t>
      </w:r>
      <w:r w:rsidR="00F94E81" w:rsidRPr="00F94E81">
        <w:rPr>
          <w:rFonts w:eastAsia="MS Mincho"/>
        </w:rPr>
        <w:t>communauté</w:t>
      </w:r>
      <w:r w:rsidR="00F94E81">
        <w:rPr>
          <w:rFonts w:eastAsia="MS Mincho"/>
        </w:rPr>
        <w:t xml:space="preserve"> et dont la </w:t>
      </w:r>
      <w:r w:rsidR="00F94E81" w:rsidRPr="00F94E81">
        <w:rPr>
          <w:rFonts w:eastAsia="MS Mincho"/>
        </w:rPr>
        <w:t>viabilité</w:t>
      </w:r>
      <w:r w:rsidR="00F94E81">
        <w:rPr>
          <w:rFonts w:eastAsia="MS Mincho"/>
        </w:rPr>
        <w:t xml:space="preserve"> avait été affaiblie par des facteurs économiques et climatiques, ainsi que par l</w:t>
      </w:r>
      <w:r w:rsidR="00346F1B">
        <w:rPr>
          <w:rFonts w:eastAsia="MS Mincho"/>
        </w:rPr>
        <w:t>’</w:t>
      </w:r>
      <w:r w:rsidR="00F94E81">
        <w:rPr>
          <w:rFonts w:eastAsia="MS Mincho"/>
        </w:rPr>
        <w:t>influence des mass médias.</w:t>
      </w:r>
      <w:r w:rsidR="00B849F0">
        <w:rPr>
          <w:rFonts w:eastAsia="MS Mincho"/>
        </w:rPr>
        <w:t xml:space="preserve"> Onze des quatorze provinces du pays avaient jusqu</w:t>
      </w:r>
      <w:r w:rsidR="00346F1B">
        <w:rPr>
          <w:rFonts w:eastAsia="MS Mincho"/>
        </w:rPr>
        <w:t>’</w:t>
      </w:r>
      <w:r w:rsidR="00B849F0">
        <w:rPr>
          <w:rFonts w:eastAsia="MS Mincho"/>
        </w:rPr>
        <w:t xml:space="preserve">alors été cartographiées. Ce programme visait à définir des </w:t>
      </w:r>
      <w:r w:rsidR="00B849F0" w:rsidRPr="00B849F0">
        <w:rPr>
          <w:rFonts w:eastAsia="MS Mincho"/>
        </w:rPr>
        <w:t>orientations</w:t>
      </w:r>
      <w:r w:rsidR="00B849F0">
        <w:rPr>
          <w:rFonts w:eastAsia="MS Mincho"/>
        </w:rPr>
        <w:t xml:space="preserve"> méthodologiques pour la cartographie du PCI de la </w:t>
      </w:r>
      <w:r w:rsidR="00B849F0" w:rsidRPr="00B849F0">
        <w:rPr>
          <w:rFonts w:eastAsia="MS Mincho"/>
        </w:rPr>
        <w:t>communauté</w:t>
      </w:r>
      <w:r w:rsidR="008739F2">
        <w:rPr>
          <w:rFonts w:eastAsia="MS Mincho"/>
        </w:rPr>
        <w:t xml:space="preserve"> iTauke</w:t>
      </w:r>
      <w:r w:rsidR="00B849F0">
        <w:rPr>
          <w:rFonts w:eastAsia="MS Mincho"/>
        </w:rPr>
        <w:t>i à Fidji et à sauvegarder les connaissances traditionnelles et les expressions culturelles de tous les domaines de son PCI. L</w:t>
      </w:r>
      <w:r w:rsidR="00346F1B">
        <w:rPr>
          <w:rFonts w:eastAsia="MS Mincho"/>
        </w:rPr>
        <w:t>’</w:t>
      </w:r>
      <w:r w:rsidR="00B849F0">
        <w:rPr>
          <w:rFonts w:eastAsia="MS Mincho"/>
        </w:rPr>
        <w:t>Organe d</w:t>
      </w:r>
      <w:r w:rsidR="00346F1B">
        <w:rPr>
          <w:rFonts w:eastAsia="MS Mincho"/>
        </w:rPr>
        <w:t>’</w:t>
      </w:r>
      <w:r w:rsidR="00B849F0">
        <w:rPr>
          <w:rFonts w:eastAsia="MS Mincho"/>
        </w:rPr>
        <w:t xml:space="preserve">évaluation avait estimé que, bien que le dossier indique que le programme était mis en œuvre en </w:t>
      </w:r>
      <w:r w:rsidR="00B849F0" w:rsidRPr="00B849F0">
        <w:rPr>
          <w:rFonts w:eastAsia="MS Mincho"/>
        </w:rPr>
        <w:t>coordination</w:t>
      </w:r>
      <w:r w:rsidR="00B849F0">
        <w:rPr>
          <w:rFonts w:eastAsia="MS Mincho"/>
        </w:rPr>
        <w:t xml:space="preserve"> avec différentes organisations telles que le Centre pour le patrimoine culturel immatériel dans la région Asie-Pacifique et l</w:t>
      </w:r>
      <w:r w:rsidR="00346F1B">
        <w:rPr>
          <w:rFonts w:eastAsia="MS Mincho"/>
        </w:rPr>
        <w:t>’</w:t>
      </w:r>
      <w:r w:rsidR="00B849F0">
        <w:rPr>
          <w:rFonts w:eastAsia="MS Mincho"/>
        </w:rPr>
        <w:t xml:space="preserve">Institut iTaukei de langue et de culture, il semblait être essentiellement dirigé par le </w:t>
      </w:r>
      <w:r w:rsidR="00B849F0" w:rsidRPr="00B849F0">
        <w:rPr>
          <w:rFonts w:eastAsia="MS Mincho"/>
        </w:rPr>
        <w:t>gouvernement</w:t>
      </w:r>
      <w:r w:rsidR="00B849F0">
        <w:rPr>
          <w:rFonts w:eastAsia="MS Mincho"/>
        </w:rPr>
        <w:t>. En outre</w:t>
      </w:r>
      <w:r w:rsidR="00847C27">
        <w:rPr>
          <w:rFonts w:eastAsia="MS Mincho"/>
        </w:rPr>
        <w:t>,</w:t>
      </w:r>
      <w:r w:rsidR="00B849F0">
        <w:rPr>
          <w:rFonts w:eastAsia="MS Mincho"/>
        </w:rPr>
        <w:t xml:space="preserve"> le dossier n</w:t>
      </w:r>
      <w:r w:rsidR="00346F1B">
        <w:rPr>
          <w:rFonts w:eastAsia="MS Mincho"/>
        </w:rPr>
        <w:t>’</w:t>
      </w:r>
      <w:r w:rsidR="00B849F0">
        <w:rPr>
          <w:rFonts w:eastAsia="MS Mincho"/>
        </w:rPr>
        <w:t xml:space="preserve">expliquait </w:t>
      </w:r>
      <w:r w:rsidR="00847C27">
        <w:rPr>
          <w:rFonts w:eastAsia="MS Mincho"/>
        </w:rPr>
        <w:t xml:space="preserve">pas de façon </w:t>
      </w:r>
      <w:r w:rsidR="00847C27" w:rsidRPr="00847C27">
        <w:rPr>
          <w:rFonts w:eastAsia="MS Mincho"/>
        </w:rPr>
        <w:t xml:space="preserve">suffisamment </w:t>
      </w:r>
      <w:r w:rsidR="00847C27">
        <w:rPr>
          <w:rFonts w:eastAsia="MS Mincho"/>
        </w:rPr>
        <w:t xml:space="preserve">détaillée </w:t>
      </w:r>
      <w:r w:rsidR="00B849F0">
        <w:rPr>
          <w:rFonts w:eastAsia="MS Mincho"/>
        </w:rPr>
        <w:t xml:space="preserve">de quelle manière la communauté avait participé à toutes les étapes de la </w:t>
      </w:r>
      <w:r w:rsidR="00B849F0" w:rsidRPr="00B849F0">
        <w:rPr>
          <w:rFonts w:eastAsia="MS Mincho"/>
        </w:rPr>
        <w:t>planification</w:t>
      </w:r>
      <w:r w:rsidR="00B849F0">
        <w:rPr>
          <w:rFonts w:eastAsia="MS Mincho"/>
        </w:rPr>
        <w:t xml:space="preserve"> et de la mise en œuvre du programme. </w:t>
      </w:r>
      <w:r w:rsidR="008739F2">
        <w:rPr>
          <w:rFonts w:eastAsia="MS Mincho"/>
        </w:rPr>
        <w:t>S</w:t>
      </w:r>
      <w:r w:rsidR="00346F1B">
        <w:rPr>
          <w:rFonts w:eastAsia="MS Mincho"/>
        </w:rPr>
        <w:t>’</w:t>
      </w:r>
      <w:r w:rsidR="008739F2">
        <w:rPr>
          <w:rFonts w:eastAsia="MS Mincho"/>
        </w:rPr>
        <w:t xml:space="preserve">agissant de </w:t>
      </w:r>
      <w:r w:rsidR="00B849F0">
        <w:rPr>
          <w:rFonts w:eastAsia="MS Mincho"/>
        </w:rPr>
        <w:t xml:space="preserve">la diffusion </w:t>
      </w:r>
      <w:r w:rsidR="008739F2">
        <w:rPr>
          <w:rFonts w:eastAsia="MS Mincho"/>
        </w:rPr>
        <w:t xml:space="preserve">auprès du plus grand nombre </w:t>
      </w:r>
      <w:r w:rsidR="00B849F0">
        <w:rPr>
          <w:rFonts w:eastAsia="MS Mincho"/>
        </w:rPr>
        <w:t xml:space="preserve">de leurs connaissances et expériences, des </w:t>
      </w:r>
      <w:r w:rsidR="00B849F0" w:rsidRPr="00B849F0">
        <w:rPr>
          <w:rFonts w:eastAsia="MS Mincho"/>
        </w:rPr>
        <w:t>informations</w:t>
      </w:r>
      <w:r w:rsidR="00B849F0">
        <w:rPr>
          <w:rFonts w:eastAsia="MS Mincho"/>
        </w:rPr>
        <w:t xml:space="preserve"> complémentaires seraient</w:t>
      </w:r>
      <w:r w:rsidR="008739F2">
        <w:rPr>
          <w:rFonts w:eastAsia="MS Mincho"/>
        </w:rPr>
        <w:t xml:space="preserve"> utiles afin d</w:t>
      </w:r>
      <w:r w:rsidR="00346F1B">
        <w:rPr>
          <w:rFonts w:eastAsia="MS Mincho"/>
        </w:rPr>
        <w:t>’</w:t>
      </w:r>
      <w:r w:rsidR="008739F2">
        <w:rPr>
          <w:rFonts w:eastAsia="MS Mincho"/>
        </w:rPr>
        <w:t xml:space="preserve">évaluer la volonté des communautés concernées de diffuser le programme en tant que meilleure pratique de </w:t>
      </w:r>
      <w:r w:rsidR="008739F2" w:rsidRPr="008739F2">
        <w:rPr>
          <w:rFonts w:eastAsia="MS Mincho"/>
        </w:rPr>
        <w:t>sauvegarde</w:t>
      </w:r>
      <w:r w:rsidR="008739F2">
        <w:rPr>
          <w:rFonts w:eastAsia="MS Mincho"/>
        </w:rPr>
        <w:t>. P</w:t>
      </w:r>
      <w:r w:rsidR="008739F2" w:rsidRPr="008739F2">
        <w:rPr>
          <w:rFonts w:eastAsia="MS Mincho"/>
        </w:rPr>
        <w:t>ar ailleurs</w:t>
      </w:r>
      <w:r w:rsidR="008739F2">
        <w:rPr>
          <w:rFonts w:eastAsia="MS Mincho"/>
        </w:rPr>
        <w:t>, l</w:t>
      </w:r>
      <w:r w:rsidR="00346F1B">
        <w:rPr>
          <w:rFonts w:eastAsia="MS Mincho"/>
        </w:rPr>
        <w:t>’</w:t>
      </w:r>
      <w:r w:rsidR="008739F2" w:rsidRPr="008739F2">
        <w:rPr>
          <w:rFonts w:eastAsia="MS Mincho"/>
        </w:rPr>
        <w:t>efficacité</w:t>
      </w:r>
      <w:r w:rsidR="008739F2">
        <w:rPr>
          <w:rFonts w:eastAsia="MS Mincho"/>
        </w:rPr>
        <w:t xml:space="preserve"> de ces mesures dans la contribution à la </w:t>
      </w:r>
      <w:r w:rsidR="008739F2" w:rsidRPr="008739F2">
        <w:rPr>
          <w:rFonts w:eastAsia="MS Mincho"/>
        </w:rPr>
        <w:t>viabilité</w:t>
      </w:r>
      <w:r w:rsidR="008739F2">
        <w:rPr>
          <w:rFonts w:eastAsia="MS Mincho"/>
        </w:rPr>
        <w:t xml:space="preserve"> du PCI n</w:t>
      </w:r>
      <w:r w:rsidR="00346F1B">
        <w:rPr>
          <w:rFonts w:eastAsia="MS Mincho"/>
        </w:rPr>
        <w:t>’</w:t>
      </w:r>
      <w:r w:rsidR="008739F2">
        <w:rPr>
          <w:rFonts w:eastAsia="MS Mincho"/>
        </w:rPr>
        <w:t xml:space="preserve">était pas clairement démontrée. Des </w:t>
      </w:r>
      <w:r w:rsidR="008739F2" w:rsidRPr="008739F2">
        <w:rPr>
          <w:rFonts w:eastAsia="MS Mincho"/>
        </w:rPr>
        <w:t>informations</w:t>
      </w:r>
      <w:r w:rsidR="008739F2">
        <w:rPr>
          <w:rFonts w:eastAsia="MS Mincho"/>
        </w:rPr>
        <w:t xml:space="preserve"> complémentaires étaient nécessaires </w:t>
      </w:r>
      <w:r w:rsidR="00847C27">
        <w:rPr>
          <w:rFonts w:eastAsia="MS Mincho"/>
        </w:rPr>
        <w:t xml:space="preserve">sur </w:t>
      </w:r>
      <w:r w:rsidR="008739F2">
        <w:rPr>
          <w:rFonts w:eastAsia="MS Mincho"/>
        </w:rPr>
        <w:t xml:space="preserve">les effets concrets du </w:t>
      </w:r>
      <w:r w:rsidR="008739F2" w:rsidRPr="008739F2">
        <w:rPr>
          <w:rFonts w:eastAsia="MS Mincho"/>
        </w:rPr>
        <w:t>programme</w:t>
      </w:r>
      <w:r w:rsidR="008739F2">
        <w:rPr>
          <w:rFonts w:eastAsia="MS Mincho"/>
        </w:rPr>
        <w:t xml:space="preserve"> au sein des communautés, groupes et </w:t>
      </w:r>
      <w:r w:rsidR="008739F2" w:rsidRPr="008739F2">
        <w:rPr>
          <w:rFonts w:eastAsia="MS Mincho"/>
        </w:rPr>
        <w:t>individus</w:t>
      </w:r>
      <w:r w:rsidR="008739F2">
        <w:rPr>
          <w:rFonts w:eastAsia="MS Mincho"/>
        </w:rPr>
        <w:t xml:space="preserve"> concernés, et </w:t>
      </w:r>
      <w:r w:rsidR="00847C27">
        <w:rPr>
          <w:rFonts w:eastAsia="MS Mincho"/>
        </w:rPr>
        <w:t xml:space="preserve">sur </w:t>
      </w:r>
      <w:r w:rsidR="008739F2">
        <w:rPr>
          <w:rFonts w:eastAsia="MS Mincho"/>
        </w:rPr>
        <w:t>l</w:t>
      </w:r>
      <w:r w:rsidR="00346F1B">
        <w:rPr>
          <w:rFonts w:eastAsia="MS Mincho"/>
        </w:rPr>
        <w:t>’</w:t>
      </w:r>
      <w:r w:rsidR="008739F2" w:rsidRPr="008739F2">
        <w:rPr>
          <w:rFonts w:eastAsia="MS Mincho"/>
        </w:rPr>
        <w:t>efficacité</w:t>
      </w:r>
      <w:r w:rsidR="008739F2">
        <w:rPr>
          <w:rFonts w:eastAsia="MS Mincho"/>
        </w:rPr>
        <w:t xml:space="preserve"> des </w:t>
      </w:r>
      <w:r w:rsidR="008739F2" w:rsidRPr="008739F2">
        <w:rPr>
          <w:rFonts w:eastAsia="MS Mincho"/>
        </w:rPr>
        <w:t>activités</w:t>
      </w:r>
      <w:r w:rsidR="008739F2">
        <w:rPr>
          <w:rFonts w:eastAsia="MS Mincho"/>
        </w:rPr>
        <w:t xml:space="preserve"> d</w:t>
      </w:r>
      <w:r w:rsidR="00346F1B">
        <w:rPr>
          <w:rFonts w:eastAsia="MS Mincho"/>
        </w:rPr>
        <w:t>’</w:t>
      </w:r>
      <w:r w:rsidR="008739F2" w:rsidRPr="008739F2">
        <w:rPr>
          <w:rFonts w:eastAsia="MS Mincho"/>
        </w:rPr>
        <w:t>inventaire</w:t>
      </w:r>
      <w:r w:rsidR="008739F2">
        <w:rPr>
          <w:rFonts w:eastAsia="MS Mincho"/>
        </w:rPr>
        <w:t>. L</w:t>
      </w:r>
      <w:r w:rsidR="00346F1B">
        <w:rPr>
          <w:rFonts w:eastAsia="MS Mincho"/>
        </w:rPr>
        <w:t>’</w:t>
      </w:r>
      <w:r w:rsidR="008739F2">
        <w:rPr>
          <w:rFonts w:eastAsia="MS Mincho"/>
        </w:rPr>
        <w:t>Organe d</w:t>
      </w:r>
      <w:r w:rsidR="00346F1B">
        <w:rPr>
          <w:rFonts w:eastAsia="MS Mincho"/>
        </w:rPr>
        <w:t>’</w:t>
      </w:r>
      <w:r w:rsidR="008739F2">
        <w:rPr>
          <w:rFonts w:eastAsia="MS Mincho"/>
        </w:rPr>
        <w:t xml:space="preserve">évaluation avait décidé de recommander le renvoi de la cartographie culturelle, méthodologie pour la </w:t>
      </w:r>
      <w:r w:rsidR="008739F2" w:rsidRPr="008739F2">
        <w:rPr>
          <w:rFonts w:eastAsia="MS Mincho"/>
        </w:rPr>
        <w:t>sauvegarde</w:t>
      </w:r>
      <w:r w:rsidR="008739F2">
        <w:rPr>
          <w:rFonts w:eastAsia="MS Mincho"/>
        </w:rPr>
        <w:t xml:space="preserve"> du patrimoine culturel immatériel iTaukei à l</w:t>
      </w:r>
      <w:r w:rsidR="00346F1B">
        <w:rPr>
          <w:rFonts w:eastAsia="MS Mincho"/>
        </w:rPr>
        <w:t>’</w:t>
      </w:r>
      <w:r w:rsidR="008739F2">
        <w:rPr>
          <w:rFonts w:eastAsia="MS Mincho"/>
        </w:rPr>
        <w:t>État soumissionnaire pour complément d</w:t>
      </w:r>
      <w:r w:rsidR="00346F1B">
        <w:rPr>
          <w:rFonts w:eastAsia="MS Mincho"/>
        </w:rPr>
        <w:t>’</w:t>
      </w:r>
      <w:r w:rsidR="001837D1">
        <w:rPr>
          <w:rFonts w:eastAsia="MS Mincho"/>
        </w:rPr>
        <w:t>information.</w:t>
      </w:r>
    </w:p>
    <w:p w14:paraId="487BA636" w14:textId="16928826" w:rsidR="00847C27" w:rsidRPr="00847C27" w:rsidRDefault="00847C27" w:rsidP="00F24F73">
      <w:pPr>
        <w:pStyle w:val="Orateurengris"/>
        <w:ind w:left="709" w:hanging="709"/>
        <w:rPr>
          <w:bCs/>
        </w:rPr>
      </w:pPr>
      <w:r>
        <w:rPr>
          <w:bCs/>
        </w:rPr>
        <w:t>Après avoir remercié le Vice-Président de l</w:t>
      </w:r>
      <w:r w:rsidR="00346F1B">
        <w:rPr>
          <w:bCs/>
        </w:rPr>
        <w:t>’</w:t>
      </w:r>
      <w:r>
        <w:rPr>
          <w:bCs/>
        </w:rPr>
        <w:t>Organe d</w:t>
      </w:r>
      <w:r w:rsidR="00346F1B">
        <w:rPr>
          <w:bCs/>
        </w:rPr>
        <w:t>’</w:t>
      </w:r>
      <w:r>
        <w:rPr>
          <w:bCs/>
        </w:rPr>
        <w:t xml:space="preserve">évaluation, le </w:t>
      </w:r>
      <w:r w:rsidRPr="00847C27">
        <w:rPr>
          <w:b/>
          <w:bCs/>
        </w:rPr>
        <w:t>Vice-Président</w:t>
      </w:r>
      <w:r>
        <w:rPr>
          <w:bCs/>
        </w:rPr>
        <w:t xml:space="preserve"> a signalé qu</w:t>
      </w:r>
      <w:r w:rsidR="00346F1B">
        <w:rPr>
          <w:bCs/>
        </w:rPr>
        <w:t>’</w:t>
      </w:r>
      <w:r>
        <w:rPr>
          <w:bCs/>
        </w:rPr>
        <w:t xml:space="preserve">aucun </w:t>
      </w:r>
      <w:r w:rsidRPr="00847C27">
        <w:rPr>
          <w:bCs/>
        </w:rPr>
        <w:t>amendement</w:t>
      </w:r>
      <w:r>
        <w:rPr>
          <w:bCs/>
        </w:rPr>
        <w:t xml:space="preserve"> n</w:t>
      </w:r>
      <w:r w:rsidR="00346F1B">
        <w:rPr>
          <w:bCs/>
        </w:rPr>
        <w:t>’</w:t>
      </w:r>
      <w:r>
        <w:rPr>
          <w:bCs/>
        </w:rPr>
        <w:t>avait été déposé, et a donc proposé d</w:t>
      </w:r>
      <w:r w:rsidR="00346F1B">
        <w:rPr>
          <w:bCs/>
        </w:rPr>
        <w:t>’</w:t>
      </w:r>
      <w:r>
        <w:rPr>
          <w:bCs/>
        </w:rPr>
        <w:t>adopter la décision dans son ensemble. En l</w:t>
      </w:r>
      <w:r w:rsidR="00346F1B">
        <w:rPr>
          <w:bCs/>
        </w:rPr>
        <w:t>’</w:t>
      </w:r>
      <w:r>
        <w:rPr>
          <w:bCs/>
        </w:rPr>
        <w:t>absence de commentaires ou d</w:t>
      </w:r>
      <w:r w:rsidR="00346F1B">
        <w:rPr>
          <w:bCs/>
        </w:rPr>
        <w:t>’</w:t>
      </w:r>
      <w:r>
        <w:rPr>
          <w:bCs/>
        </w:rPr>
        <w:t xml:space="preserve">objections, le </w:t>
      </w:r>
      <w:r w:rsidRPr="00847C27">
        <w:rPr>
          <w:b/>
          <w:bCs/>
        </w:rPr>
        <w:t>Président a déclaré adoptée la décision 11.COM 10.c.5 de renvoyer la cartographie culturelle, méthodologie pour la sauvegarde du patrimoine culturel immatériel iTaukei à l</w:t>
      </w:r>
      <w:r w:rsidR="00346F1B">
        <w:rPr>
          <w:b/>
          <w:bCs/>
        </w:rPr>
        <w:t>’</w:t>
      </w:r>
      <w:r w:rsidRPr="00847C27">
        <w:rPr>
          <w:b/>
          <w:bCs/>
        </w:rPr>
        <w:t>État soumissionnaire pour complément d</w:t>
      </w:r>
      <w:r w:rsidR="00346F1B">
        <w:rPr>
          <w:b/>
          <w:bCs/>
        </w:rPr>
        <w:t>’</w:t>
      </w:r>
      <w:r w:rsidRPr="00847C27">
        <w:rPr>
          <w:b/>
          <w:bCs/>
        </w:rPr>
        <w:t>information</w:t>
      </w:r>
      <w:r w:rsidR="001837D1">
        <w:rPr>
          <w:bCs/>
        </w:rPr>
        <w:t>.</w:t>
      </w:r>
    </w:p>
    <w:p w14:paraId="10F6C4B8" w14:textId="4269DDFD" w:rsidR="00847C27" w:rsidRPr="00847C27" w:rsidRDefault="00847C27" w:rsidP="00F24F73">
      <w:pPr>
        <w:pStyle w:val="Orateurengris"/>
        <w:ind w:left="709" w:hanging="709"/>
        <w:rPr>
          <w:noProof/>
        </w:rPr>
      </w:pPr>
      <w:r w:rsidRPr="00847C27">
        <w:rPr>
          <w:noProof/>
        </w:rPr>
        <w:t xml:space="preserve">La délégation de </w:t>
      </w:r>
      <w:r w:rsidRPr="00847C27">
        <w:rPr>
          <w:b/>
          <w:noProof/>
        </w:rPr>
        <w:t>Fidji</w:t>
      </w:r>
      <w:r w:rsidRPr="00847C27">
        <w:rPr>
          <w:noProof/>
        </w:rPr>
        <w:t xml:space="preserve"> n</w:t>
      </w:r>
      <w:r w:rsidR="00346F1B">
        <w:rPr>
          <w:noProof/>
        </w:rPr>
        <w:t>’</w:t>
      </w:r>
      <w:r w:rsidRPr="00847C27">
        <w:rPr>
          <w:noProof/>
        </w:rPr>
        <w:t>était pas présente dans la salle.</w:t>
      </w:r>
    </w:p>
    <w:p w14:paraId="7022B221" w14:textId="0E77CF75" w:rsidR="00847C27" w:rsidRDefault="00847C27" w:rsidP="00F24F73">
      <w:pPr>
        <w:pStyle w:val="Orateurengris"/>
        <w:ind w:left="709" w:hanging="709"/>
        <w:rPr>
          <w:rFonts w:eastAsia="MS Mincho"/>
          <w:noProof/>
        </w:rPr>
      </w:pPr>
      <w:r>
        <w:rPr>
          <w:rFonts w:eastAsia="MS Mincho"/>
          <w:noProof/>
        </w:rPr>
        <w:t xml:space="preserve">Le </w:t>
      </w:r>
      <w:r w:rsidRPr="00847C27">
        <w:rPr>
          <w:rFonts w:eastAsia="MS Mincho"/>
          <w:b/>
          <w:noProof/>
        </w:rPr>
        <w:t>Vice-Président</w:t>
      </w:r>
      <w:r>
        <w:rPr>
          <w:rFonts w:eastAsia="MS Mincho"/>
          <w:noProof/>
        </w:rPr>
        <w:t xml:space="preserve"> est passé à la </w:t>
      </w:r>
      <w:r w:rsidRPr="00847C27">
        <w:rPr>
          <w:rFonts w:eastAsia="MS Mincho"/>
          <w:noProof/>
        </w:rPr>
        <w:t xml:space="preserve">proposition </w:t>
      </w:r>
      <w:r>
        <w:rPr>
          <w:rFonts w:eastAsia="MS Mincho"/>
          <w:noProof/>
        </w:rPr>
        <w:t>su</w:t>
      </w:r>
      <w:r w:rsidR="001837D1">
        <w:rPr>
          <w:rFonts w:eastAsia="MS Mincho"/>
          <w:noProof/>
        </w:rPr>
        <w:t>ivante, soumise par la Hongrie.</w:t>
      </w:r>
    </w:p>
    <w:p w14:paraId="246BF663" w14:textId="3281089B" w:rsidR="00785AD2" w:rsidRPr="00785AD2" w:rsidRDefault="00F545DF" w:rsidP="00F24F73">
      <w:pPr>
        <w:pStyle w:val="Orateurengris"/>
        <w:tabs>
          <w:tab w:val="left" w:pos="6521"/>
        </w:tabs>
        <w:ind w:left="709" w:hanging="709"/>
        <w:rPr>
          <w:rFonts w:eastAsia="MS Mincho"/>
        </w:rPr>
      </w:pPr>
      <w:r>
        <w:rPr>
          <w:rFonts w:eastAsia="MS Mincho"/>
        </w:rPr>
        <w:t xml:space="preserve">Le </w:t>
      </w:r>
      <w:r w:rsidRPr="00F545DF">
        <w:rPr>
          <w:rFonts w:eastAsia="MS Mincho"/>
          <w:b/>
        </w:rPr>
        <w:t>Vice-Président de l</w:t>
      </w:r>
      <w:r w:rsidR="00346F1B">
        <w:rPr>
          <w:rFonts w:eastAsia="MS Mincho"/>
          <w:b/>
        </w:rPr>
        <w:t>’</w:t>
      </w:r>
      <w:r w:rsidRPr="00F545DF">
        <w:rPr>
          <w:rFonts w:eastAsia="MS Mincho"/>
          <w:b/>
        </w:rPr>
        <w:t>Organe d</w:t>
      </w:r>
      <w:r w:rsidR="00346F1B">
        <w:rPr>
          <w:rFonts w:eastAsia="MS Mincho"/>
          <w:b/>
        </w:rPr>
        <w:t>’</w:t>
      </w:r>
      <w:r w:rsidRPr="00F545DF">
        <w:rPr>
          <w:rFonts w:eastAsia="MS Mincho"/>
          <w:b/>
        </w:rPr>
        <w:t>évaluation</w:t>
      </w:r>
      <w:r>
        <w:rPr>
          <w:rFonts w:eastAsia="MS Mincho"/>
        </w:rPr>
        <w:t xml:space="preserve"> est passé à la proposition suivante, </w:t>
      </w:r>
      <w:bookmarkStart w:id="60" w:name="Decision10c6"/>
      <w:r w:rsidRPr="00785AD2">
        <w:rPr>
          <w:rFonts w:eastAsia="MS Mincho"/>
          <w:b/>
        </w:rPr>
        <w:t>le concept Kodály, sauvegarde du patrimoine musical traditionnel</w:t>
      </w:r>
      <w:bookmarkEnd w:id="60"/>
      <w:r>
        <w:rPr>
          <w:rFonts w:eastAsia="MS Mincho"/>
        </w:rPr>
        <w:t xml:space="preserve"> [projet de décision 11.COM 10.c.6], soumise par la Hongrie. Au cours du siècle dernier, le concept Kodály de </w:t>
      </w:r>
      <w:r w:rsidRPr="00F545DF">
        <w:rPr>
          <w:rFonts w:eastAsia="MS Mincho"/>
        </w:rPr>
        <w:t>sauvegarde</w:t>
      </w:r>
      <w:r>
        <w:rPr>
          <w:rFonts w:eastAsia="MS Mincho"/>
        </w:rPr>
        <w:t xml:space="preserve"> de la musique populaire traditionnelle avait permis de promouvoir, transmettre et documenter les pratiques en Hongrie et d</w:t>
      </w:r>
      <w:r w:rsidR="00346F1B">
        <w:rPr>
          <w:rFonts w:eastAsia="MS Mincho"/>
        </w:rPr>
        <w:t>’</w:t>
      </w:r>
      <w:r>
        <w:rPr>
          <w:rFonts w:eastAsia="MS Mincho"/>
        </w:rPr>
        <w:t>aider les pays étrangers désireux d</w:t>
      </w:r>
      <w:r w:rsidR="00346F1B">
        <w:rPr>
          <w:rFonts w:eastAsia="MS Mincho"/>
        </w:rPr>
        <w:t>’</w:t>
      </w:r>
      <w:r>
        <w:rPr>
          <w:rFonts w:eastAsia="MS Mincho"/>
        </w:rPr>
        <w:t xml:space="preserve">en faire autant. </w:t>
      </w:r>
      <w:r w:rsidR="0040476C">
        <w:rPr>
          <w:rFonts w:eastAsia="MS Mincho"/>
        </w:rPr>
        <w:t xml:space="preserve">Conçu </w:t>
      </w:r>
      <w:r>
        <w:rPr>
          <w:rFonts w:eastAsia="MS Mincho"/>
        </w:rPr>
        <w:t>par Zoltán Kodály et soutenu par l</w:t>
      </w:r>
      <w:r w:rsidR="00346F1B">
        <w:rPr>
          <w:rFonts w:eastAsia="MS Mincho"/>
        </w:rPr>
        <w:t>’</w:t>
      </w:r>
      <w:r>
        <w:rPr>
          <w:rFonts w:eastAsia="MS Mincho"/>
        </w:rPr>
        <w:t>Acad</w:t>
      </w:r>
      <w:r w:rsidR="0040476C">
        <w:rPr>
          <w:rFonts w:eastAsia="MS Mincho"/>
        </w:rPr>
        <w:t xml:space="preserve">émie hongroise des sciences, ses objectifs étaient de rendre la musique populaire accessible en encourageant sa pratique quotidienne, en réalisant des travaux de </w:t>
      </w:r>
      <w:r w:rsidR="0040476C" w:rsidRPr="0040476C">
        <w:rPr>
          <w:rFonts w:eastAsia="MS Mincho"/>
        </w:rPr>
        <w:t>recherche</w:t>
      </w:r>
      <w:r w:rsidR="0040476C">
        <w:rPr>
          <w:rFonts w:eastAsia="MS Mincho"/>
        </w:rPr>
        <w:t xml:space="preserve"> et de documentation et en l</w:t>
      </w:r>
      <w:r w:rsidR="00346F1B">
        <w:rPr>
          <w:rFonts w:eastAsia="MS Mincho"/>
        </w:rPr>
        <w:t>’</w:t>
      </w:r>
      <w:r w:rsidR="0040476C">
        <w:rPr>
          <w:rFonts w:eastAsia="MS Mincho"/>
        </w:rPr>
        <w:t xml:space="preserve">enseignant. Mis en œuvre dans les écoles depuis 1945, le concept était </w:t>
      </w:r>
      <w:r w:rsidR="0040476C" w:rsidRPr="0040476C">
        <w:rPr>
          <w:rFonts w:eastAsia="MS Mincho"/>
        </w:rPr>
        <w:t>également</w:t>
      </w:r>
      <w:r w:rsidR="0040476C">
        <w:rPr>
          <w:rFonts w:eastAsia="MS Mincho"/>
        </w:rPr>
        <w:t xml:space="preserve"> appliqué par des instituts culturels pour documenter la musique et inspirer des artistes, tout en œuvrant à </w:t>
      </w:r>
      <w:r w:rsidR="00785AD2">
        <w:rPr>
          <w:rFonts w:eastAsia="MS Mincho"/>
        </w:rPr>
        <w:t>l</w:t>
      </w:r>
      <w:r w:rsidR="00346F1B">
        <w:rPr>
          <w:rFonts w:eastAsia="MS Mincho"/>
        </w:rPr>
        <w:t>’</w:t>
      </w:r>
      <w:r w:rsidR="0040476C">
        <w:rPr>
          <w:rFonts w:eastAsia="MS Mincho"/>
        </w:rPr>
        <w:t>exportation</w:t>
      </w:r>
      <w:r w:rsidR="00785AD2">
        <w:rPr>
          <w:rFonts w:eastAsia="MS Mincho"/>
        </w:rPr>
        <w:t xml:space="preserve"> du concept</w:t>
      </w:r>
      <w:r w:rsidR="0040476C">
        <w:rPr>
          <w:rFonts w:eastAsia="MS Mincho"/>
        </w:rPr>
        <w:t>. Après avoir été soumis une première fois en 2014, ce dossier était de nouveau proposé. L</w:t>
      </w:r>
      <w:r w:rsidR="00346F1B">
        <w:rPr>
          <w:rFonts w:eastAsia="MS Mincho"/>
        </w:rPr>
        <w:t>’</w:t>
      </w:r>
      <w:r w:rsidR="0040476C">
        <w:rPr>
          <w:rFonts w:eastAsia="MS Mincho"/>
        </w:rPr>
        <w:t>Organe d</w:t>
      </w:r>
      <w:r w:rsidR="00346F1B">
        <w:rPr>
          <w:rFonts w:eastAsia="MS Mincho"/>
        </w:rPr>
        <w:t>’</w:t>
      </w:r>
      <w:r w:rsidR="0040476C">
        <w:rPr>
          <w:rFonts w:eastAsia="MS Mincho"/>
        </w:rPr>
        <w:t xml:space="preserve">évaluation avait été confronté aux mêmes problèmes que le précédent Organe, à savoir, la nature précise du </w:t>
      </w:r>
      <w:r w:rsidR="0040476C" w:rsidRPr="0040476C">
        <w:rPr>
          <w:rFonts w:eastAsia="MS Mincho"/>
        </w:rPr>
        <w:t>programme</w:t>
      </w:r>
      <w:r w:rsidR="0040476C">
        <w:rPr>
          <w:rFonts w:eastAsia="MS Mincho"/>
        </w:rPr>
        <w:t xml:space="preserve"> ou du projet à envisager en tant que meilleure p</w:t>
      </w:r>
      <w:r w:rsidR="00785AD2">
        <w:rPr>
          <w:rFonts w:eastAsia="MS Mincho"/>
        </w:rPr>
        <w:t xml:space="preserve">ratique demeurait assez </w:t>
      </w:r>
      <w:r w:rsidR="0040476C">
        <w:rPr>
          <w:rFonts w:eastAsia="MS Mincho"/>
        </w:rPr>
        <w:t xml:space="preserve">vague. </w:t>
      </w:r>
      <w:r w:rsidR="00785AD2">
        <w:rPr>
          <w:rFonts w:eastAsia="MS Mincho"/>
        </w:rPr>
        <w:t xml:space="preserve">Le dossier semblait se concentrer sur la </w:t>
      </w:r>
      <w:r w:rsidR="00785AD2" w:rsidRPr="00785AD2">
        <w:rPr>
          <w:rFonts w:eastAsia="MS Mincho"/>
        </w:rPr>
        <w:t>documentation</w:t>
      </w:r>
      <w:r w:rsidR="00785AD2">
        <w:rPr>
          <w:rFonts w:eastAsia="MS Mincho"/>
        </w:rPr>
        <w:t xml:space="preserve">, la préservation et la </w:t>
      </w:r>
      <w:r w:rsidR="00785AD2" w:rsidRPr="00785AD2">
        <w:rPr>
          <w:rFonts w:eastAsia="MS Mincho"/>
        </w:rPr>
        <w:t>publication</w:t>
      </w:r>
      <w:r w:rsidR="00785AD2">
        <w:rPr>
          <w:rFonts w:eastAsia="MS Mincho"/>
        </w:rPr>
        <w:t xml:space="preserve"> de la musique populaire et sur certains aspects du concept Kodály plutôt que sur une série de mesures de sauvegarde directement destinées à assurer la </w:t>
      </w:r>
      <w:r w:rsidR="00785AD2" w:rsidRPr="00785AD2">
        <w:rPr>
          <w:rFonts w:eastAsia="MS Mincho"/>
        </w:rPr>
        <w:t>viabilité</w:t>
      </w:r>
      <w:r w:rsidR="00785AD2">
        <w:rPr>
          <w:rFonts w:eastAsia="MS Mincho"/>
        </w:rPr>
        <w:t xml:space="preserve"> du </w:t>
      </w:r>
      <w:r w:rsidR="00785AD2" w:rsidRPr="00785AD2">
        <w:rPr>
          <w:rFonts w:eastAsia="MS Mincho"/>
        </w:rPr>
        <w:t>patrimoine</w:t>
      </w:r>
      <w:r w:rsidR="00785AD2">
        <w:rPr>
          <w:rFonts w:eastAsia="MS Mincho"/>
        </w:rPr>
        <w:t xml:space="preserve"> musical populaire. Sa contribution à la </w:t>
      </w:r>
      <w:r w:rsidR="00785AD2" w:rsidRPr="00785AD2">
        <w:rPr>
          <w:rFonts w:eastAsia="MS Mincho"/>
        </w:rPr>
        <w:t>sauvegarde</w:t>
      </w:r>
      <w:r w:rsidR="00785AD2">
        <w:rPr>
          <w:rFonts w:eastAsia="MS Mincho"/>
        </w:rPr>
        <w:t xml:space="preserve"> de la musique populaire au sein des communautés détentrices n</w:t>
      </w:r>
      <w:r w:rsidR="00346F1B">
        <w:rPr>
          <w:rFonts w:eastAsia="MS Mincho"/>
        </w:rPr>
        <w:t>’</w:t>
      </w:r>
      <w:r w:rsidR="00785AD2">
        <w:rPr>
          <w:rFonts w:eastAsia="MS Mincho"/>
        </w:rPr>
        <w:t xml:space="preserve">était donc pas évidente. Des </w:t>
      </w:r>
      <w:r w:rsidR="00785AD2" w:rsidRPr="00785AD2">
        <w:rPr>
          <w:rFonts w:eastAsia="MS Mincho"/>
        </w:rPr>
        <w:t>informations</w:t>
      </w:r>
      <w:r w:rsidR="00785AD2">
        <w:rPr>
          <w:rFonts w:eastAsia="MS Mincho"/>
        </w:rPr>
        <w:t xml:space="preserve"> complémentaires étaient nécessaires afin </w:t>
      </w:r>
      <w:r w:rsidR="000F1653">
        <w:rPr>
          <w:rFonts w:eastAsia="MS Mincho"/>
        </w:rPr>
        <w:t xml:space="preserve">de </w:t>
      </w:r>
      <w:r w:rsidR="00785AD2">
        <w:rPr>
          <w:rFonts w:eastAsia="MS Mincho"/>
        </w:rPr>
        <w:t xml:space="preserve">démontrer de quelle façon le projet assurait la </w:t>
      </w:r>
      <w:r w:rsidR="00785AD2" w:rsidRPr="00785AD2">
        <w:rPr>
          <w:rFonts w:eastAsia="MS Mincho"/>
        </w:rPr>
        <w:t xml:space="preserve">transmission </w:t>
      </w:r>
      <w:r w:rsidR="00785AD2">
        <w:rPr>
          <w:rFonts w:eastAsia="MS Mincho"/>
        </w:rPr>
        <w:t xml:space="preserve">des connaissances et </w:t>
      </w:r>
      <w:r w:rsidR="00785AD2" w:rsidRPr="00785AD2">
        <w:rPr>
          <w:rFonts w:eastAsia="MS Mincho"/>
        </w:rPr>
        <w:t>savoir-faire</w:t>
      </w:r>
      <w:r w:rsidR="00785AD2">
        <w:rPr>
          <w:rFonts w:eastAsia="MS Mincho"/>
        </w:rPr>
        <w:t xml:space="preserve"> au sein de ces communautés. L</w:t>
      </w:r>
      <w:r w:rsidR="00346F1B">
        <w:rPr>
          <w:rFonts w:eastAsia="MS Mincho"/>
        </w:rPr>
        <w:t>’</w:t>
      </w:r>
      <w:r w:rsidR="00785AD2">
        <w:rPr>
          <w:rFonts w:eastAsia="MS Mincho"/>
        </w:rPr>
        <w:t>Organe d</w:t>
      </w:r>
      <w:r w:rsidR="00346F1B">
        <w:rPr>
          <w:rFonts w:eastAsia="MS Mincho"/>
        </w:rPr>
        <w:t>’</w:t>
      </w:r>
      <w:r w:rsidR="00785AD2">
        <w:rPr>
          <w:rFonts w:eastAsia="MS Mincho"/>
        </w:rPr>
        <w:t>évaluation avait décidé que plus d</w:t>
      </w:r>
      <w:r w:rsidR="00346F1B">
        <w:rPr>
          <w:rFonts w:eastAsia="MS Mincho"/>
        </w:rPr>
        <w:t>’</w:t>
      </w:r>
      <w:r w:rsidR="00785AD2" w:rsidRPr="00785AD2">
        <w:rPr>
          <w:rFonts w:eastAsia="MS Mincho"/>
        </w:rPr>
        <w:t>informations</w:t>
      </w:r>
      <w:r w:rsidR="00785AD2">
        <w:rPr>
          <w:rFonts w:eastAsia="MS Mincho"/>
        </w:rPr>
        <w:t xml:space="preserve"> étaient nécessaires</w:t>
      </w:r>
      <w:r w:rsidR="000F1653">
        <w:rPr>
          <w:rFonts w:eastAsia="MS Mincho"/>
        </w:rPr>
        <w:t>,</w:t>
      </w:r>
      <w:r w:rsidR="000F1653" w:rsidRPr="000F1653">
        <w:rPr>
          <w:rFonts w:eastAsia="MS Mincho"/>
        </w:rPr>
        <w:t xml:space="preserve"> </w:t>
      </w:r>
      <w:r w:rsidR="000F1653">
        <w:rPr>
          <w:rFonts w:eastAsia="MS Mincho"/>
        </w:rPr>
        <w:t xml:space="preserve">y compris des lettres de </w:t>
      </w:r>
      <w:r w:rsidR="000F1653" w:rsidRPr="00785AD2">
        <w:rPr>
          <w:rFonts w:eastAsia="MS Mincho"/>
        </w:rPr>
        <w:t>consentement</w:t>
      </w:r>
      <w:r w:rsidR="000F1653">
        <w:rPr>
          <w:rFonts w:eastAsia="MS Mincho"/>
        </w:rPr>
        <w:t>,</w:t>
      </w:r>
      <w:r w:rsidR="00785AD2">
        <w:rPr>
          <w:rFonts w:eastAsia="MS Mincho"/>
        </w:rPr>
        <w:t xml:space="preserve"> pour </w:t>
      </w:r>
      <w:r w:rsidR="000F1653">
        <w:rPr>
          <w:rFonts w:eastAsia="MS Mincho"/>
        </w:rPr>
        <w:t xml:space="preserve">attester </w:t>
      </w:r>
      <w:r w:rsidR="00785AD2">
        <w:rPr>
          <w:rFonts w:eastAsia="MS Mincho"/>
        </w:rPr>
        <w:t xml:space="preserve">la </w:t>
      </w:r>
      <w:r w:rsidR="00785AD2" w:rsidRPr="00785AD2">
        <w:rPr>
          <w:rFonts w:eastAsia="MS Mincho"/>
        </w:rPr>
        <w:t>participation</w:t>
      </w:r>
      <w:r w:rsidR="000F1653">
        <w:rPr>
          <w:rFonts w:eastAsia="MS Mincho"/>
        </w:rPr>
        <w:t xml:space="preserve"> des communautés locales.</w:t>
      </w:r>
      <w:r w:rsidR="00785AD2">
        <w:rPr>
          <w:rFonts w:eastAsia="MS Mincho"/>
        </w:rPr>
        <w:t xml:space="preserve"> Il convenait </w:t>
      </w:r>
      <w:r w:rsidR="00785AD2" w:rsidRPr="00785AD2">
        <w:rPr>
          <w:rFonts w:eastAsia="MS Mincho"/>
        </w:rPr>
        <w:t>également</w:t>
      </w:r>
      <w:r w:rsidR="00785AD2">
        <w:rPr>
          <w:rFonts w:eastAsia="MS Mincho"/>
        </w:rPr>
        <w:t xml:space="preserve"> d</w:t>
      </w:r>
      <w:r w:rsidR="00346F1B">
        <w:rPr>
          <w:rFonts w:eastAsia="MS Mincho"/>
        </w:rPr>
        <w:t>’</w:t>
      </w:r>
      <w:r w:rsidR="00785AD2">
        <w:rPr>
          <w:rFonts w:eastAsia="MS Mincho"/>
        </w:rPr>
        <w:t>évaluer l</w:t>
      </w:r>
      <w:r w:rsidR="00346F1B">
        <w:rPr>
          <w:rFonts w:eastAsia="MS Mincho"/>
        </w:rPr>
        <w:t>’</w:t>
      </w:r>
      <w:r w:rsidR="00785AD2">
        <w:rPr>
          <w:rFonts w:eastAsia="MS Mincho"/>
        </w:rPr>
        <w:t xml:space="preserve">impact du </w:t>
      </w:r>
      <w:r w:rsidR="00785AD2" w:rsidRPr="00785AD2">
        <w:rPr>
          <w:rFonts w:eastAsia="MS Mincho"/>
        </w:rPr>
        <w:t>programme</w:t>
      </w:r>
      <w:r w:rsidR="00785AD2">
        <w:rPr>
          <w:rFonts w:eastAsia="MS Mincho"/>
        </w:rPr>
        <w:t xml:space="preserve">, comme demandé au titre du </w:t>
      </w:r>
      <w:r w:rsidR="00785AD2" w:rsidRPr="00785AD2">
        <w:rPr>
          <w:rFonts w:eastAsia="MS Mincho"/>
        </w:rPr>
        <w:t>critère</w:t>
      </w:r>
      <w:r w:rsidR="00785AD2">
        <w:rPr>
          <w:rFonts w:eastAsia="MS Mincho"/>
        </w:rPr>
        <w:t xml:space="preserve"> P.8. l</w:t>
      </w:r>
      <w:r w:rsidR="00346F1B">
        <w:rPr>
          <w:rFonts w:eastAsia="MS Mincho"/>
        </w:rPr>
        <w:t>’</w:t>
      </w:r>
      <w:r w:rsidR="00785AD2">
        <w:rPr>
          <w:rFonts w:eastAsia="MS Mincho"/>
        </w:rPr>
        <w:t>Organe d</w:t>
      </w:r>
      <w:r w:rsidR="00346F1B">
        <w:rPr>
          <w:rFonts w:eastAsia="MS Mincho"/>
        </w:rPr>
        <w:t>’</w:t>
      </w:r>
      <w:r w:rsidR="00785AD2">
        <w:rPr>
          <w:rFonts w:eastAsia="MS Mincho"/>
        </w:rPr>
        <w:t xml:space="preserve">évaluation avait décidé de recommander le renvoi du concept Kodály, </w:t>
      </w:r>
      <w:r w:rsidR="00785AD2" w:rsidRPr="00785AD2">
        <w:rPr>
          <w:rFonts w:eastAsia="MS Mincho"/>
        </w:rPr>
        <w:t>sauvegarde</w:t>
      </w:r>
      <w:r w:rsidR="00785AD2">
        <w:rPr>
          <w:rFonts w:eastAsia="MS Mincho"/>
        </w:rPr>
        <w:t xml:space="preserve"> du </w:t>
      </w:r>
      <w:r w:rsidR="00785AD2" w:rsidRPr="00785AD2">
        <w:rPr>
          <w:rFonts w:eastAsia="MS Mincho"/>
        </w:rPr>
        <w:t>patrimoine</w:t>
      </w:r>
      <w:r w:rsidR="00785AD2">
        <w:rPr>
          <w:rFonts w:eastAsia="MS Mincho"/>
        </w:rPr>
        <w:t xml:space="preserve"> musical traditionnel à l</w:t>
      </w:r>
      <w:r w:rsidR="00346F1B">
        <w:rPr>
          <w:rFonts w:eastAsia="MS Mincho"/>
        </w:rPr>
        <w:t>’</w:t>
      </w:r>
      <w:r w:rsidR="00785AD2">
        <w:rPr>
          <w:rFonts w:eastAsia="MS Mincho"/>
        </w:rPr>
        <w:t>État soumissionnaire pour complément d</w:t>
      </w:r>
      <w:r w:rsidR="00346F1B">
        <w:rPr>
          <w:rFonts w:eastAsia="MS Mincho"/>
        </w:rPr>
        <w:t>’</w:t>
      </w:r>
      <w:r w:rsidR="001837D1">
        <w:rPr>
          <w:rFonts w:eastAsia="MS Mincho"/>
        </w:rPr>
        <w:t>information.</w:t>
      </w:r>
    </w:p>
    <w:p w14:paraId="28B0176B" w14:textId="34F568A0" w:rsidR="000F1653" w:rsidRPr="000F1653" w:rsidRDefault="000F1653" w:rsidP="00F24F73">
      <w:pPr>
        <w:pStyle w:val="Orateurengris"/>
        <w:ind w:left="709" w:hanging="709"/>
        <w:rPr>
          <w:rFonts w:eastAsia="MS Mincho"/>
        </w:rPr>
      </w:pPr>
      <w:r>
        <w:rPr>
          <w:rFonts w:eastAsia="MS Mincho"/>
        </w:rPr>
        <w:t xml:space="preserve">Le </w:t>
      </w:r>
      <w:r w:rsidRPr="000F1653">
        <w:rPr>
          <w:rFonts w:eastAsia="MS Mincho"/>
          <w:b/>
        </w:rPr>
        <w:t>Vice-Président</w:t>
      </w:r>
      <w:r>
        <w:rPr>
          <w:rFonts w:eastAsia="MS Mincho"/>
        </w:rPr>
        <w:t xml:space="preserve"> a remercié le Vice-Président de l</w:t>
      </w:r>
      <w:r w:rsidR="00346F1B">
        <w:rPr>
          <w:rFonts w:eastAsia="MS Mincho"/>
        </w:rPr>
        <w:t>’</w:t>
      </w:r>
      <w:r>
        <w:rPr>
          <w:rFonts w:eastAsia="MS Mincho"/>
        </w:rPr>
        <w:t>Organe d</w:t>
      </w:r>
      <w:r w:rsidR="00346F1B">
        <w:rPr>
          <w:rFonts w:eastAsia="MS Mincho"/>
        </w:rPr>
        <w:t>’</w:t>
      </w:r>
      <w:r>
        <w:rPr>
          <w:rFonts w:eastAsia="MS Mincho"/>
        </w:rPr>
        <w:t>évaluation et a signalé qu</w:t>
      </w:r>
      <w:r w:rsidR="00346F1B">
        <w:rPr>
          <w:rFonts w:eastAsia="MS Mincho"/>
        </w:rPr>
        <w:t>’</w:t>
      </w:r>
      <w:r>
        <w:rPr>
          <w:rFonts w:eastAsia="MS Mincho"/>
        </w:rPr>
        <w:t>une demande de débat avait été reçue de la part de la Répub</w:t>
      </w:r>
      <w:r w:rsidR="001837D1">
        <w:rPr>
          <w:rFonts w:eastAsia="MS Mincho"/>
        </w:rPr>
        <w:t>lique de Corée pour ce dossier.</w:t>
      </w:r>
    </w:p>
    <w:p w14:paraId="29C2BB66" w14:textId="454D7317" w:rsidR="000F1653" w:rsidRDefault="000F1653" w:rsidP="00F24F73">
      <w:pPr>
        <w:pStyle w:val="Orateurengris"/>
        <w:ind w:left="709" w:hanging="709"/>
        <w:rPr>
          <w:rFonts w:eastAsia="MS Mincho"/>
        </w:rPr>
      </w:pPr>
      <w:r>
        <w:rPr>
          <w:rFonts w:eastAsia="MS Mincho"/>
        </w:rPr>
        <w:t xml:space="preserve">La </w:t>
      </w:r>
      <w:r w:rsidRPr="000F1653">
        <w:rPr>
          <w:rFonts w:eastAsia="MS Mincho"/>
        </w:rPr>
        <w:t>délégation</w:t>
      </w:r>
      <w:r>
        <w:rPr>
          <w:rFonts w:eastAsia="MS Mincho"/>
        </w:rPr>
        <w:t xml:space="preserve"> de la </w:t>
      </w:r>
      <w:r w:rsidRPr="000F1653">
        <w:rPr>
          <w:rFonts w:eastAsia="MS Mincho"/>
          <w:b/>
        </w:rPr>
        <w:t>Palestine</w:t>
      </w:r>
      <w:r w:rsidR="00562ADB">
        <w:rPr>
          <w:rFonts w:eastAsia="MS Mincho"/>
        </w:rPr>
        <w:t xml:space="preserve"> a réitéré ses remerciements </w:t>
      </w:r>
      <w:r>
        <w:rPr>
          <w:rFonts w:eastAsia="MS Mincho"/>
        </w:rPr>
        <w:t>et sa confiance en l</w:t>
      </w:r>
      <w:r w:rsidR="00346F1B">
        <w:rPr>
          <w:rFonts w:eastAsia="MS Mincho"/>
        </w:rPr>
        <w:t>’</w:t>
      </w:r>
      <w:r>
        <w:rPr>
          <w:rFonts w:eastAsia="MS Mincho"/>
        </w:rPr>
        <w:t>Organe d</w:t>
      </w:r>
      <w:r w:rsidR="00346F1B">
        <w:rPr>
          <w:rFonts w:eastAsia="MS Mincho"/>
        </w:rPr>
        <w:t>’</w:t>
      </w:r>
      <w:r>
        <w:rPr>
          <w:rFonts w:eastAsia="MS Mincho"/>
        </w:rPr>
        <w:t xml:space="preserve">évaluation dont le travail était tout à fait cohérent. La </w:t>
      </w:r>
      <w:r w:rsidRPr="000F1653">
        <w:rPr>
          <w:rFonts w:eastAsia="MS Mincho"/>
        </w:rPr>
        <w:t>délégation</w:t>
      </w:r>
      <w:r>
        <w:rPr>
          <w:rFonts w:eastAsia="MS Mincho"/>
        </w:rPr>
        <w:t xml:space="preserve"> a évoqué le système Kodály et le compositeur hongrois bien connu, Zoltán Kodály, qui étai</w:t>
      </w:r>
      <w:r w:rsidR="00562ADB">
        <w:rPr>
          <w:rFonts w:eastAsia="MS Mincho"/>
        </w:rPr>
        <w:t>ent bien plus que hongrois car le musicien et son système</w:t>
      </w:r>
      <w:r>
        <w:rPr>
          <w:rFonts w:eastAsia="MS Mincho"/>
        </w:rPr>
        <w:t xml:space="preserve"> étai</w:t>
      </w:r>
      <w:r w:rsidR="00562ADB">
        <w:rPr>
          <w:rFonts w:eastAsia="MS Mincho"/>
        </w:rPr>
        <w:t>en</w:t>
      </w:r>
      <w:r>
        <w:rPr>
          <w:rFonts w:eastAsia="MS Mincho"/>
        </w:rPr>
        <w:t>t célèbre</w:t>
      </w:r>
      <w:r w:rsidR="00562ADB">
        <w:rPr>
          <w:rFonts w:eastAsia="MS Mincho"/>
        </w:rPr>
        <w:t>s</w:t>
      </w:r>
      <w:r>
        <w:rPr>
          <w:rFonts w:eastAsia="MS Mincho"/>
        </w:rPr>
        <w:t xml:space="preserve"> dans le monde entier. Avant de prendre une décision, la </w:t>
      </w:r>
      <w:r w:rsidRPr="000F1653">
        <w:rPr>
          <w:rFonts w:eastAsia="MS Mincho"/>
        </w:rPr>
        <w:t>délégation</w:t>
      </w:r>
      <w:r>
        <w:rPr>
          <w:rFonts w:eastAsia="MS Mincho"/>
        </w:rPr>
        <w:t xml:space="preserve"> </w:t>
      </w:r>
      <w:r w:rsidR="00453A8A">
        <w:rPr>
          <w:rFonts w:eastAsia="MS Mincho"/>
        </w:rPr>
        <w:t>souhaitait</w:t>
      </w:r>
      <w:r w:rsidR="00562ADB">
        <w:rPr>
          <w:rFonts w:eastAsia="MS Mincho"/>
        </w:rPr>
        <w:t xml:space="preserve"> </w:t>
      </w:r>
      <w:r>
        <w:rPr>
          <w:rFonts w:eastAsia="MS Mincho"/>
        </w:rPr>
        <w:t>que l</w:t>
      </w:r>
      <w:r w:rsidR="00346F1B">
        <w:rPr>
          <w:rFonts w:eastAsia="MS Mincho"/>
        </w:rPr>
        <w:t>’</w:t>
      </w:r>
      <w:r>
        <w:rPr>
          <w:rFonts w:eastAsia="MS Mincho"/>
        </w:rPr>
        <w:t>État soumissionnaire s</w:t>
      </w:r>
      <w:r w:rsidR="00346F1B">
        <w:rPr>
          <w:rFonts w:eastAsia="MS Mincho"/>
        </w:rPr>
        <w:t>’</w:t>
      </w:r>
      <w:r>
        <w:rPr>
          <w:rFonts w:eastAsia="MS Mincho"/>
        </w:rPr>
        <w:t xml:space="preserve">explique </w:t>
      </w:r>
      <w:r w:rsidR="00562ADB">
        <w:rPr>
          <w:rFonts w:eastAsia="MS Mincho"/>
        </w:rPr>
        <w:t xml:space="preserve">afin de mieux </w:t>
      </w:r>
      <w:r>
        <w:rPr>
          <w:rFonts w:eastAsia="MS Mincho"/>
        </w:rPr>
        <w:t>comprendre la raison pour laquelle l</w:t>
      </w:r>
      <w:r w:rsidR="00346F1B">
        <w:rPr>
          <w:rFonts w:eastAsia="MS Mincho"/>
        </w:rPr>
        <w:t>’</w:t>
      </w:r>
      <w:r>
        <w:rPr>
          <w:rFonts w:eastAsia="MS Mincho"/>
        </w:rPr>
        <w:t>Organe d</w:t>
      </w:r>
      <w:r w:rsidR="00346F1B">
        <w:rPr>
          <w:rFonts w:eastAsia="MS Mincho"/>
        </w:rPr>
        <w:t>’</w:t>
      </w:r>
      <w:r>
        <w:rPr>
          <w:rFonts w:eastAsia="MS Mincho"/>
        </w:rPr>
        <w:t>évaluation avait jugé les mesures de sau</w:t>
      </w:r>
      <w:r w:rsidR="001837D1">
        <w:rPr>
          <w:rFonts w:eastAsia="MS Mincho"/>
        </w:rPr>
        <w:t>vegarde vagues et peu précises.</w:t>
      </w:r>
    </w:p>
    <w:p w14:paraId="78A7DA50" w14:textId="3EA8263A" w:rsidR="00562ADB" w:rsidRPr="00562ADB" w:rsidRDefault="00562ADB" w:rsidP="00F24F73">
      <w:pPr>
        <w:pStyle w:val="Orateurengris"/>
        <w:ind w:left="709" w:hanging="709"/>
        <w:rPr>
          <w:rFonts w:eastAsia="MS Mincho"/>
        </w:rPr>
      </w:pPr>
      <w:r>
        <w:rPr>
          <w:rFonts w:eastAsia="MS Mincho"/>
        </w:rPr>
        <w:t xml:space="preserve">Le </w:t>
      </w:r>
      <w:r w:rsidRPr="00562ADB">
        <w:rPr>
          <w:rFonts w:eastAsia="MS Mincho"/>
          <w:b/>
        </w:rPr>
        <w:t>Vice-Président</w:t>
      </w:r>
      <w:r>
        <w:rPr>
          <w:rFonts w:eastAsia="MS Mincho"/>
        </w:rPr>
        <w:t xml:space="preserve"> a rappelé au Comité qu</w:t>
      </w:r>
      <w:r w:rsidR="00346F1B">
        <w:rPr>
          <w:rFonts w:eastAsia="MS Mincho"/>
        </w:rPr>
        <w:t>’</w:t>
      </w:r>
      <w:r>
        <w:rPr>
          <w:rFonts w:eastAsia="MS Mincho"/>
        </w:rPr>
        <w:t>une demande de débat avait été reçue de la part de la République de Corée, a</w:t>
      </w:r>
      <w:r w:rsidR="00CC77D3">
        <w:rPr>
          <w:rFonts w:eastAsia="MS Mincho"/>
        </w:rPr>
        <w:t xml:space="preserve">insi que trois amendements : un, </w:t>
      </w:r>
      <w:r>
        <w:rPr>
          <w:rFonts w:eastAsia="MS Mincho"/>
        </w:rPr>
        <w:t>de la Bulgarie</w:t>
      </w:r>
      <w:r w:rsidR="00CC77D3">
        <w:rPr>
          <w:rFonts w:eastAsia="MS Mincho"/>
        </w:rPr>
        <w:t>,</w:t>
      </w:r>
      <w:r>
        <w:rPr>
          <w:rFonts w:eastAsia="MS Mincho"/>
        </w:rPr>
        <w:t xml:space="preserve"> aux </w:t>
      </w:r>
      <w:r w:rsidRPr="00562ADB">
        <w:rPr>
          <w:rFonts w:eastAsia="MS Mincho"/>
        </w:rPr>
        <w:t>paragraphe</w:t>
      </w:r>
      <w:r>
        <w:rPr>
          <w:rFonts w:eastAsia="MS Mincho"/>
        </w:rPr>
        <w:t xml:space="preserve">s consacrés aux </w:t>
      </w:r>
      <w:r w:rsidRPr="00562ADB">
        <w:rPr>
          <w:rFonts w:eastAsia="MS Mincho"/>
        </w:rPr>
        <w:t>critère</w:t>
      </w:r>
      <w:r w:rsidR="00CC77D3">
        <w:rPr>
          <w:rFonts w:eastAsia="MS Mincho"/>
        </w:rPr>
        <w:t xml:space="preserve">s P.1 et P.3 ; un, </w:t>
      </w:r>
      <w:r>
        <w:rPr>
          <w:rFonts w:eastAsia="MS Mincho"/>
        </w:rPr>
        <w:t>de la Turquie</w:t>
      </w:r>
      <w:r w:rsidR="00CC77D3">
        <w:rPr>
          <w:rFonts w:eastAsia="MS Mincho"/>
        </w:rPr>
        <w:t>,</w:t>
      </w:r>
      <w:r>
        <w:rPr>
          <w:rFonts w:eastAsia="MS Mincho"/>
        </w:rPr>
        <w:t xml:space="preserve"> au </w:t>
      </w:r>
      <w:r w:rsidRPr="00562ADB">
        <w:rPr>
          <w:rFonts w:eastAsia="MS Mincho"/>
        </w:rPr>
        <w:t>paragraphe</w:t>
      </w:r>
      <w:r>
        <w:rPr>
          <w:rFonts w:eastAsia="MS Mincho"/>
        </w:rPr>
        <w:t xml:space="preserve"> sur le </w:t>
      </w:r>
      <w:r w:rsidRPr="00562ADB">
        <w:rPr>
          <w:rFonts w:eastAsia="MS Mincho"/>
        </w:rPr>
        <w:t>critère</w:t>
      </w:r>
      <w:r>
        <w:rPr>
          <w:rFonts w:eastAsia="MS Mincho"/>
        </w:rPr>
        <w:t xml:space="preserve"> P.2 ; et un</w:t>
      </w:r>
      <w:r w:rsidR="00CC77D3">
        <w:rPr>
          <w:rFonts w:eastAsia="MS Mincho"/>
        </w:rPr>
        <w:t>,</w:t>
      </w:r>
      <w:r>
        <w:rPr>
          <w:rFonts w:eastAsia="MS Mincho"/>
        </w:rPr>
        <w:t xml:space="preserve"> de l</w:t>
      </w:r>
      <w:r w:rsidR="00346F1B">
        <w:rPr>
          <w:rFonts w:eastAsia="MS Mincho"/>
        </w:rPr>
        <w:t>’</w:t>
      </w:r>
      <w:r>
        <w:rPr>
          <w:rFonts w:eastAsia="MS Mincho"/>
        </w:rPr>
        <w:t>Inde</w:t>
      </w:r>
      <w:r w:rsidR="00CC77D3">
        <w:rPr>
          <w:rFonts w:eastAsia="MS Mincho"/>
        </w:rPr>
        <w:t>,</w:t>
      </w:r>
      <w:r>
        <w:rPr>
          <w:rFonts w:eastAsia="MS Mincho"/>
        </w:rPr>
        <w:t xml:space="preserve"> au </w:t>
      </w:r>
      <w:r w:rsidRPr="00562ADB">
        <w:rPr>
          <w:rFonts w:eastAsia="MS Mincho"/>
        </w:rPr>
        <w:t>paragraphe</w:t>
      </w:r>
      <w:r>
        <w:rPr>
          <w:rFonts w:eastAsia="MS Mincho"/>
        </w:rPr>
        <w:t xml:space="preserve"> sur le </w:t>
      </w:r>
      <w:r w:rsidRPr="00562ADB">
        <w:rPr>
          <w:rFonts w:eastAsia="MS Mincho"/>
        </w:rPr>
        <w:t>critère</w:t>
      </w:r>
      <w:r w:rsidR="001837D1">
        <w:rPr>
          <w:rFonts w:eastAsia="MS Mincho"/>
        </w:rPr>
        <w:t xml:space="preserve"> P.8.</w:t>
      </w:r>
    </w:p>
    <w:p w14:paraId="382B54F5" w14:textId="53CF5024" w:rsidR="00CC77D3" w:rsidRPr="00CC77D3" w:rsidRDefault="00CC77D3" w:rsidP="00F24F73">
      <w:pPr>
        <w:pStyle w:val="Orateurengris"/>
        <w:ind w:left="709" w:hanging="709"/>
        <w:rPr>
          <w:rFonts w:eastAsia="MS Mincho"/>
        </w:rPr>
      </w:pPr>
      <w:r>
        <w:rPr>
          <w:rFonts w:eastAsia="MS Mincho"/>
        </w:rPr>
        <w:t xml:space="preserve">Afin de gagner du temps, la </w:t>
      </w:r>
      <w:r w:rsidRPr="00CC77D3">
        <w:rPr>
          <w:rFonts w:eastAsia="MS Mincho"/>
        </w:rPr>
        <w:t>délégation</w:t>
      </w:r>
      <w:r>
        <w:rPr>
          <w:rFonts w:eastAsia="MS Mincho"/>
        </w:rPr>
        <w:t xml:space="preserve"> de la </w:t>
      </w:r>
      <w:r w:rsidRPr="00CC77D3">
        <w:rPr>
          <w:rFonts w:eastAsia="MS Mincho"/>
          <w:b/>
        </w:rPr>
        <w:t>Hongrie</w:t>
      </w:r>
      <w:r>
        <w:rPr>
          <w:rFonts w:eastAsia="MS Mincho"/>
        </w:rPr>
        <w:t xml:space="preserve"> a proposé de regrouper toutes les questions afin qu</w:t>
      </w:r>
      <w:r w:rsidR="00346F1B">
        <w:rPr>
          <w:rFonts w:eastAsia="MS Mincho"/>
        </w:rPr>
        <w:t>’</w:t>
      </w:r>
      <w:r>
        <w:rPr>
          <w:rFonts w:eastAsia="MS Mincho"/>
        </w:rPr>
        <w:t>elle puisse y répondre en une seule fois.</w:t>
      </w:r>
    </w:p>
    <w:p w14:paraId="1E00D872" w14:textId="34EDFB9C" w:rsidR="00CC77D3" w:rsidRPr="00CC77D3" w:rsidRDefault="00CC77D3" w:rsidP="00F24F73">
      <w:pPr>
        <w:pStyle w:val="Orateurengris"/>
        <w:ind w:left="709" w:hanging="709"/>
        <w:rPr>
          <w:rFonts w:eastAsia="MS Mincho"/>
        </w:rPr>
      </w:pPr>
      <w:r>
        <w:rPr>
          <w:rFonts w:eastAsia="MS Mincho"/>
        </w:rPr>
        <w:t xml:space="preserve">Le </w:t>
      </w:r>
      <w:r w:rsidRPr="00CC77D3">
        <w:rPr>
          <w:rFonts w:eastAsia="MS Mincho"/>
          <w:b/>
        </w:rPr>
        <w:t>Vice-Président</w:t>
      </w:r>
      <w:r>
        <w:rPr>
          <w:rFonts w:eastAsia="MS Mincho"/>
        </w:rPr>
        <w:t xml:space="preserve"> a pris note de la demande de la Hongrie qui souhaitait entendre les autres membres avant de répondre. Il a précisé que les intervenants inscrits sur la liste étaient : la Turquie, l</w:t>
      </w:r>
      <w:r w:rsidR="00346F1B">
        <w:rPr>
          <w:rFonts w:eastAsia="MS Mincho"/>
        </w:rPr>
        <w:t>’</w:t>
      </w:r>
      <w:r w:rsidRPr="00CC77D3">
        <w:rPr>
          <w:rFonts w:eastAsia="MS Mincho"/>
        </w:rPr>
        <w:t>Éthiopie</w:t>
      </w:r>
      <w:r>
        <w:rPr>
          <w:rFonts w:eastAsia="MS Mincho"/>
        </w:rPr>
        <w:t>, l</w:t>
      </w:r>
      <w:r w:rsidR="00346F1B">
        <w:rPr>
          <w:rFonts w:eastAsia="MS Mincho"/>
        </w:rPr>
        <w:t>’</w:t>
      </w:r>
      <w:r>
        <w:rPr>
          <w:rFonts w:eastAsia="MS Mincho"/>
        </w:rPr>
        <w:t>Inde, la Bulgarie, l</w:t>
      </w:r>
      <w:r w:rsidR="00346F1B">
        <w:rPr>
          <w:rFonts w:eastAsia="MS Mincho"/>
        </w:rPr>
        <w:t>’</w:t>
      </w:r>
      <w:r>
        <w:rPr>
          <w:rFonts w:eastAsia="MS Mincho"/>
        </w:rPr>
        <w:t>Algérie et l</w:t>
      </w:r>
      <w:r w:rsidR="00346F1B">
        <w:rPr>
          <w:rFonts w:eastAsia="MS Mincho"/>
        </w:rPr>
        <w:t>’</w:t>
      </w:r>
      <w:r>
        <w:rPr>
          <w:rFonts w:eastAsia="MS Mincho"/>
        </w:rPr>
        <w:t>Afghanis</w:t>
      </w:r>
      <w:r w:rsidR="001837D1">
        <w:rPr>
          <w:rFonts w:eastAsia="MS Mincho"/>
        </w:rPr>
        <w:t>tan.</w:t>
      </w:r>
    </w:p>
    <w:p w14:paraId="3AEA139F" w14:textId="5B7F35BF" w:rsidR="00CC77D3" w:rsidRPr="00CC77D3" w:rsidRDefault="00CC77D3" w:rsidP="00F24F73">
      <w:pPr>
        <w:pStyle w:val="Orateurengris"/>
        <w:ind w:left="709" w:hanging="709"/>
        <w:rPr>
          <w:rFonts w:eastAsia="MS Mincho"/>
        </w:rPr>
      </w:pPr>
      <w:r>
        <w:rPr>
          <w:rFonts w:eastAsia="MS Mincho"/>
        </w:rPr>
        <w:t xml:space="preserve">Le </w:t>
      </w:r>
      <w:r w:rsidRPr="00CC77D3">
        <w:rPr>
          <w:rFonts w:eastAsia="MS Mincho"/>
        </w:rPr>
        <w:t>représentant</w:t>
      </w:r>
      <w:r>
        <w:rPr>
          <w:rFonts w:eastAsia="MS Mincho"/>
        </w:rPr>
        <w:t xml:space="preserve"> de la </w:t>
      </w:r>
      <w:r w:rsidRPr="00CC77D3">
        <w:rPr>
          <w:rFonts w:eastAsia="MS Mincho"/>
        </w:rPr>
        <w:t>délégation</w:t>
      </w:r>
      <w:r>
        <w:rPr>
          <w:rFonts w:eastAsia="MS Mincho"/>
        </w:rPr>
        <w:t xml:space="preserve"> de la </w:t>
      </w:r>
      <w:r w:rsidRPr="00CC77D3">
        <w:rPr>
          <w:rFonts w:eastAsia="MS Mincho"/>
          <w:b/>
        </w:rPr>
        <w:t>Turquie</w:t>
      </w:r>
      <w:r>
        <w:rPr>
          <w:rFonts w:eastAsia="MS Mincho"/>
        </w:rPr>
        <w:t xml:space="preserve"> a évoqué son expérience personnelle d</w:t>
      </w:r>
      <w:r w:rsidR="00346F1B">
        <w:rPr>
          <w:rFonts w:eastAsia="MS Mincho"/>
        </w:rPr>
        <w:t>’</w:t>
      </w:r>
      <w:r>
        <w:rPr>
          <w:rFonts w:eastAsia="MS Mincho"/>
        </w:rPr>
        <w:t xml:space="preserve">anthropologue </w:t>
      </w:r>
      <w:r w:rsidRPr="00CC77D3">
        <w:rPr>
          <w:rFonts w:eastAsia="MS Mincho"/>
        </w:rPr>
        <w:t>culturel</w:t>
      </w:r>
      <w:r>
        <w:rPr>
          <w:rFonts w:eastAsia="MS Mincho"/>
        </w:rPr>
        <w:t xml:space="preserve"> et les liens entre le dossier de candidature, son propre domaine d</w:t>
      </w:r>
      <w:r w:rsidR="00346F1B">
        <w:rPr>
          <w:rFonts w:eastAsia="MS Mincho"/>
        </w:rPr>
        <w:t>’</w:t>
      </w:r>
      <w:r>
        <w:rPr>
          <w:rFonts w:eastAsia="MS Mincho"/>
        </w:rPr>
        <w:t xml:space="preserve">activité et les personnalités concernées par le sujet. La </w:t>
      </w:r>
      <w:r w:rsidRPr="00CC77D3">
        <w:rPr>
          <w:rFonts w:eastAsia="MS Mincho"/>
        </w:rPr>
        <w:t>délégation</w:t>
      </w:r>
      <w:r>
        <w:rPr>
          <w:rFonts w:eastAsia="MS Mincho"/>
        </w:rPr>
        <w:t xml:space="preserve"> était certaine que, en ce qui concerne le concept Kodály, il s</w:t>
      </w:r>
      <w:r w:rsidR="00346F1B">
        <w:rPr>
          <w:rFonts w:eastAsia="MS Mincho"/>
        </w:rPr>
        <w:t>’</w:t>
      </w:r>
      <w:r>
        <w:rPr>
          <w:rFonts w:eastAsia="MS Mincho"/>
        </w:rPr>
        <w:t>agissait bien d</w:t>
      </w:r>
      <w:r w:rsidR="00346F1B">
        <w:rPr>
          <w:rFonts w:eastAsia="MS Mincho"/>
        </w:rPr>
        <w:t>’</w:t>
      </w:r>
      <w:r>
        <w:rPr>
          <w:rFonts w:eastAsia="MS Mincho"/>
        </w:rPr>
        <w:t>une méthode destinée à préserver la tr</w:t>
      </w:r>
      <w:r w:rsidR="00EC7638">
        <w:rPr>
          <w:rFonts w:eastAsia="MS Mincho"/>
        </w:rPr>
        <w:t xml:space="preserve">adition de la musique populaire </w:t>
      </w:r>
      <w:r w:rsidR="009839BB">
        <w:rPr>
          <w:rFonts w:eastAsia="MS Mincho"/>
        </w:rPr>
        <w:t xml:space="preserve">qui, depuis plusieurs décennies, </w:t>
      </w:r>
      <w:r w:rsidR="00EC7638">
        <w:rPr>
          <w:rFonts w:eastAsia="MS Mincho"/>
        </w:rPr>
        <w:t xml:space="preserve">constituait une base de travail essentielle tant du point de vue </w:t>
      </w:r>
      <w:r w:rsidR="00EC7638" w:rsidRPr="00EC7638">
        <w:rPr>
          <w:rFonts w:eastAsia="MS Mincho"/>
        </w:rPr>
        <w:t>professionnel</w:t>
      </w:r>
      <w:r w:rsidR="009839BB">
        <w:rPr>
          <w:rFonts w:eastAsia="MS Mincho"/>
        </w:rPr>
        <w:t xml:space="preserve"> </w:t>
      </w:r>
      <w:r w:rsidR="00EC7638">
        <w:rPr>
          <w:rFonts w:eastAsia="MS Mincho"/>
        </w:rPr>
        <w:t>qu</w:t>
      </w:r>
      <w:r w:rsidR="00346F1B">
        <w:rPr>
          <w:rFonts w:eastAsia="MS Mincho"/>
        </w:rPr>
        <w:t>’</w:t>
      </w:r>
      <w:r w:rsidR="00EC7638">
        <w:rPr>
          <w:rFonts w:eastAsia="MS Mincho"/>
        </w:rPr>
        <w:t xml:space="preserve">institutionnel. </w:t>
      </w:r>
      <w:r w:rsidR="009839BB">
        <w:rPr>
          <w:rFonts w:eastAsia="MS Mincho"/>
        </w:rPr>
        <w:t>Comme tout le monde le savait, Zoltán Kodály, compositeur, ethnomusicologue et pédagogue spécialiste de la musique hongroise, avait été Président du Conseil international de la musique populaire de l</w:t>
      </w:r>
      <w:r w:rsidR="00346F1B">
        <w:rPr>
          <w:rFonts w:eastAsia="MS Mincho"/>
        </w:rPr>
        <w:t>’</w:t>
      </w:r>
      <w:r w:rsidR="009839BB">
        <w:rPr>
          <w:rFonts w:eastAsia="MS Mincho"/>
        </w:rPr>
        <w:t>UNESCO</w:t>
      </w:r>
      <w:r w:rsidR="00916843">
        <w:rPr>
          <w:rFonts w:eastAsia="MS Mincho"/>
        </w:rPr>
        <w:t xml:space="preserve"> dans les années 1960. Accompagné par</w:t>
      </w:r>
      <w:r w:rsidR="009839BB">
        <w:rPr>
          <w:rFonts w:eastAsia="MS Mincho"/>
        </w:rPr>
        <w:t xml:space="preserve"> Béla Bartok, son compagnon de travail, son partenaire spir</w:t>
      </w:r>
      <w:r w:rsidR="00916843">
        <w:rPr>
          <w:rFonts w:eastAsia="MS Mincho"/>
        </w:rPr>
        <w:t>ituel et son collaborateur, il avai</w:t>
      </w:r>
      <w:r w:rsidR="009839BB">
        <w:rPr>
          <w:rFonts w:eastAsia="MS Mincho"/>
        </w:rPr>
        <w:t>t conduit, avec l</w:t>
      </w:r>
      <w:r w:rsidR="00346F1B">
        <w:rPr>
          <w:rFonts w:eastAsia="MS Mincho"/>
        </w:rPr>
        <w:t>’</w:t>
      </w:r>
      <w:r w:rsidR="009839BB">
        <w:rPr>
          <w:rFonts w:eastAsia="MS Mincho"/>
        </w:rPr>
        <w:t xml:space="preserve">aide de disciples, </w:t>
      </w:r>
      <w:r w:rsidR="00916843">
        <w:rPr>
          <w:rFonts w:eastAsia="MS Mincho"/>
        </w:rPr>
        <w:t xml:space="preserve">des travaux de </w:t>
      </w:r>
      <w:r w:rsidR="009839BB" w:rsidRPr="009839BB">
        <w:rPr>
          <w:rFonts w:eastAsia="MS Mincho"/>
        </w:rPr>
        <w:t>recherche</w:t>
      </w:r>
      <w:r w:rsidR="009839BB">
        <w:rPr>
          <w:rFonts w:eastAsia="MS Mincho"/>
        </w:rPr>
        <w:t xml:space="preserve"> comparative </w:t>
      </w:r>
      <w:r w:rsidR="009839BB" w:rsidRPr="009839BB">
        <w:rPr>
          <w:rFonts w:eastAsia="MS Mincho"/>
        </w:rPr>
        <w:t xml:space="preserve">internationale </w:t>
      </w:r>
      <w:r w:rsidR="009839BB">
        <w:rPr>
          <w:rFonts w:eastAsia="MS Mincho"/>
        </w:rPr>
        <w:t>dans le domaine de la musique populaire</w:t>
      </w:r>
      <w:r w:rsidR="00916843">
        <w:rPr>
          <w:rFonts w:eastAsia="MS Mincho"/>
        </w:rPr>
        <w:t xml:space="preserve"> dans des pays comme la Turquie, afin de promouvoir son </w:t>
      </w:r>
      <w:r w:rsidR="00916843" w:rsidRPr="00916843">
        <w:rPr>
          <w:rFonts w:eastAsia="MS Mincho"/>
        </w:rPr>
        <w:t>développement</w:t>
      </w:r>
      <w:r w:rsidR="00916843">
        <w:rPr>
          <w:rFonts w:eastAsia="MS Mincho"/>
        </w:rPr>
        <w:t xml:space="preserve"> et son caractère international. La méthode Kodály était une méthode reconnue et pratiquée dans le monde entier dont le principal but était de préserver la tradition musicale populaire, avec la </w:t>
      </w:r>
      <w:r w:rsidR="00916843" w:rsidRPr="00916843">
        <w:rPr>
          <w:rFonts w:eastAsia="MS Mincho"/>
        </w:rPr>
        <w:t>participation</w:t>
      </w:r>
      <w:r w:rsidR="00916843">
        <w:rPr>
          <w:rFonts w:eastAsia="MS Mincho"/>
        </w:rPr>
        <w:t xml:space="preserve"> des communautés et des </w:t>
      </w:r>
      <w:r w:rsidR="00916843" w:rsidRPr="00916843">
        <w:rPr>
          <w:rFonts w:eastAsia="MS Mincho"/>
        </w:rPr>
        <w:t>détenteurs</w:t>
      </w:r>
      <w:r w:rsidR="00916843">
        <w:rPr>
          <w:rFonts w:eastAsia="MS Mincho"/>
        </w:rPr>
        <w:t>. En guise de conclusion, après avoir pris connaissance de l</w:t>
      </w:r>
      <w:r w:rsidR="00346F1B">
        <w:rPr>
          <w:rFonts w:eastAsia="MS Mincho"/>
        </w:rPr>
        <w:t>’</w:t>
      </w:r>
      <w:r w:rsidR="00916843">
        <w:rPr>
          <w:rFonts w:eastAsia="MS Mincho"/>
        </w:rPr>
        <w:t>avis de l</w:t>
      </w:r>
      <w:r w:rsidR="00346F1B">
        <w:rPr>
          <w:rFonts w:eastAsia="MS Mincho"/>
        </w:rPr>
        <w:t>’</w:t>
      </w:r>
      <w:r w:rsidR="00916843">
        <w:rPr>
          <w:rFonts w:eastAsia="MS Mincho"/>
        </w:rPr>
        <w:t>Organe d</w:t>
      </w:r>
      <w:r w:rsidR="00346F1B">
        <w:rPr>
          <w:rFonts w:eastAsia="MS Mincho"/>
        </w:rPr>
        <w:t>’</w:t>
      </w:r>
      <w:r w:rsidR="00916843">
        <w:rPr>
          <w:rFonts w:eastAsia="MS Mincho"/>
        </w:rPr>
        <w:t xml:space="preserve">évaluation, la </w:t>
      </w:r>
      <w:r w:rsidR="00916843" w:rsidRPr="00916843">
        <w:rPr>
          <w:rFonts w:eastAsia="MS Mincho"/>
        </w:rPr>
        <w:t>délégation</w:t>
      </w:r>
      <w:r w:rsidR="00916843">
        <w:rPr>
          <w:rFonts w:eastAsia="MS Mincho"/>
        </w:rPr>
        <w:t xml:space="preserve"> souhaitait demander à la Hongrie d</w:t>
      </w:r>
      <w:r w:rsidR="00346F1B">
        <w:rPr>
          <w:rFonts w:eastAsia="MS Mincho"/>
        </w:rPr>
        <w:t>’</w:t>
      </w:r>
      <w:r w:rsidR="00916843">
        <w:rPr>
          <w:rFonts w:eastAsia="MS Mincho"/>
        </w:rPr>
        <w:t xml:space="preserve">expliquer de quelle façon le concept Kodály avait favorisé la </w:t>
      </w:r>
      <w:r w:rsidR="00916843" w:rsidRPr="00916843">
        <w:rPr>
          <w:rFonts w:eastAsia="MS Mincho"/>
        </w:rPr>
        <w:t>coordination</w:t>
      </w:r>
      <w:r w:rsidR="00916843">
        <w:rPr>
          <w:rFonts w:eastAsia="MS Mincho"/>
        </w:rPr>
        <w:t xml:space="preserve"> des efforts de sauvegarde </w:t>
      </w:r>
      <w:r w:rsidR="001837D1">
        <w:rPr>
          <w:rFonts w:eastAsia="MS Mincho"/>
        </w:rPr>
        <w:t>du PCI au niveau international.</w:t>
      </w:r>
    </w:p>
    <w:p w14:paraId="46ADDBB1" w14:textId="3C295C9E" w:rsidR="00916843" w:rsidRPr="00860F2E" w:rsidRDefault="00860F2E" w:rsidP="00F24F73">
      <w:pPr>
        <w:pStyle w:val="Orateurengris"/>
        <w:ind w:left="709" w:hanging="709"/>
        <w:rPr>
          <w:rFonts w:eastAsia="MS Mincho"/>
        </w:rPr>
      </w:pPr>
      <w:r w:rsidRPr="00860F2E">
        <w:rPr>
          <w:rFonts w:eastAsia="MS Mincho"/>
        </w:rPr>
        <w:t xml:space="preserve">La délégation de </w:t>
      </w:r>
      <w:r>
        <w:rPr>
          <w:rFonts w:eastAsia="MS Mincho"/>
        </w:rPr>
        <w:t>l</w:t>
      </w:r>
      <w:r w:rsidR="00346F1B">
        <w:rPr>
          <w:rFonts w:eastAsia="MS Mincho"/>
        </w:rPr>
        <w:t>’</w:t>
      </w:r>
      <w:r w:rsidRPr="00860F2E">
        <w:rPr>
          <w:rFonts w:eastAsia="MS Mincho"/>
          <w:b/>
        </w:rPr>
        <w:t>Inde</w:t>
      </w:r>
      <w:r>
        <w:rPr>
          <w:rFonts w:eastAsia="MS Mincho"/>
        </w:rPr>
        <w:t xml:space="preserve"> a félicité la Hongrie pour la </w:t>
      </w:r>
      <w:r w:rsidRPr="00860F2E">
        <w:rPr>
          <w:rFonts w:eastAsia="MS Mincho"/>
        </w:rPr>
        <w:t>candidature</w:t>
      </w:r>
      <w:r>
        <w:rPr>
          <w:rFonts w:eastAsia="MS Mincho"/>
        </w:rPr>
        <w:t xml:space="preserve"> du concept Kodály. Elle avait noté qu</w:t>
      </w:r>
      <w:r w:rsidR="00346F1B">
        <w:rPr>
          <w:rFonts w:eastAsia="MS Mincho"/>
        </w:rPr>
        <w:t>’</w:t>
      </w:r>
      <w:r>
        <w:rPr>
          <w:rFonts w:eastAsia="MS Mincho"/>
        </w:rPr>
        <w:t xml:space="preserve">au titre du </w:t>
      </w:r>
      <w:r w:rsidRPr="00860F2E">
        <w:rPr>
          <w:rFonts w:eastAsia="MS Mincho"/>
        </w:rPr>
        <w:t>critère</w:t>
      </w:r>
      <w:r>
        <w:rPr>
          <w:rFonts w:eastAsia="MS Mincho"/>
        </w:rPr>
        <w:t xml:space="preserve"> P.8, l</w:t>
      </w:r>
      <w:r w:rsidR="00346F1B">
        <w:rPr>
          <w:rFonts w:eastAsia="MS Mincho"/>
        </w:rPr>
        <w:t>’</w:t>
      </w:r>
      <w:r>
        <w:rPr>
          <w:rFonts w:eastAsia="MS Mincho"/>
        </w:rPr>
        <w:t>Organe d</w:t>
      </w:r>
      <w:r w:rsidR="00346F1B">
        <w:rPr>
          <w:rFonts w:eastAsia="MS Mincho"/>
        </w:rPr>
        <w:t>’</w:t>
      </w:r>
      <w:r>
        <w:rPr>
          <w:rFonts w:eastAsia="MS Mincho"/>
        </w:rPr>
        <w:t xml:space="preserve">évaluation avait estimé que le dossier présentait des </w:t>
      </w:r>
      <w:r w:rsidRPr="00860F2E">
        <w:rPr>
          <w:rFonts w:eastAsia="MS Mincho"/>
        </w:rPr>
        <w:t>informations</w:t>
      </w:r>
      <w:r>
        <w:rPr>
          <w:rFonts w:eastAsia="MS Mincho"/>
        </w:rPr>
        <w:t xml:space="preserve"> quantitatives pour démontrer l</w:t>
      </w:r>
      <w:r w:rsidR="00346F1B">
        <w:rPr>
          <w:rFonts w:eastAsia="MS Mincho"/>
        </w:rPr>
        <w:t>’</w:t>
      </w:r>
      <w:r>
        <w:rPr>
          <w:rFonts w:eastAsia="MS Mincho"/>
        </w:rPr>
        <w:t>ampleur de la promotion et de l</w:t>
      </w:r>
      <w:r w:rsidR="00346F1B">
        <w:rPr>
          <w:rFonts w:eastAsia="MS Mincho"/>
        </w:rPr>
        <w:t>’</w:t>
      </w:r>
      <w:r>
        <w:rPr>
          <w:rFonts w:eastAsia="MS Mincho"/>
        </w:rPr>
        <w:t>application de la méthode. La seule remarque formulée par l</w:t>
      </w:r>
      <w:r w:rsidR="00346F1B">
        <w:rPr>
          <w:rFonts w:eastAsia="MS Mincho"/>
        </w:rPr>
        <w:t>’</w:t>
      </w:r>
      <w:r>
        <w:rPr>
          <w:rFonts w:eastAsia="MS Mincho"/>
        </w:rPr>
        <w:t>Organe d</w:t>
      </w:r>
      <w:r w:rsidR="00346F1B">
        <w:rPr>
          <w:rFonts w:eastAsia="MS Mincho"/>
        </w:rPr>
        <w:t>’</w:t>
      </w:r>
      <w:r>
        <w:rPr>
          <w:rFonts w:eastAsia="MS Mincho"/>
        </w:rPr>
        <w:t xml:space="preserve">évaluation était que des </w:t>
      </w:r>
      <w:r w:rsidRPr="00860F2E">
        <w:rPr>
          <w:rFonts w:eastAsia="MS Mincho"/>
        </w:rPr>
        <w:t>informations</w:t>
      </w:r>
      <w:r>
        <w:rPr>
          <w:rFonts w:eastAsia="MS Mincho"/>
        </w:rPr>
        <w:t xml:space="preserve"> complémentaires sur d</w:t>
      </w:r>
      <w:r w:rsidR="00346F1B">
        <w:rPr>
          <w:rFonts w:eastAsia="MS Mincho"/>
        </w:rPr>
        <w:t>’</w:t>
      </w:r>
      <w:r>
        <w:rPr>
          <w:rFonts w:eastAsia="MS Mincho"/>
        </w:rPr>
        <w:t xml:space="preserve">éventuelles </w:t>
      </w:r>
      <w:r w:rsidRPr="00860F2E">
        <w:rPr>
          <w:rFonts w:eastAsia="MS Mincho"/>
        </w:rPr>
        <w:t>évaluation</w:t>
      </w:r>
      <w:r>
        <w:rPr>
          <w:rFonts w:eastAsia="MS Mincho"/>
        </w:rPr>
        <w:t>s systématiques et évaluations d</w:t>
      </w:r>
      <w:r w:rsidR="00346F1B">
        <w:rPr>
          <w:rFonts w:eastAsia="MS Mincho"/>
        </w:rPr>
        <w:t>’</w:t>
      </w:r>
      <w:r>
        <w:rPr>
          <w:rFonts w:eastAsia="MS Mincho"/>
        </w:rPr>
        <w:t xml:space="preserve">impact auraient été souhaitables. À cet égard, la </w:t>
      </w:r>
      <w:r w:rsidRPr="00860F2E">
        <w:rPr>
          <w:rFonts w:eastAsia="MS Mincho"/>
        </w:rPr>
        <w:t>délégation</w:t>
      </w:r>
      <w:r>
        <w:rPr>
          <w:rFonts w:eastAsia="MS Mincho"/>
        </w:rPr>
        <w:t xml:space="preserve"> a demandé à la Hongrie d</w:t>
      </w:r>
      <w:r w:rsidR="00346F1B">
        <w:rPr>
          <w:rFonts w:eastAsia="MS Mincho"/>
        </w:rPr>
        <w:t>’</w:t>
      </w:r>
      <w:r>
        <w:rPr>
          <w:rFonts w:eastAsia="MS Mincho"/>
        </w:rPr>
        <w:t>apporter des éclaircissements sur les évaluations systématiques et les évaluations d</w:t>
      </w:r>
      <w:r w:rsidR="00346F1B">
        <w:rPr>
          <w:rFonts w:eastAsia="MS Mincho"/>
        </w:rPr>
        <w:t>’</w:t>
      </w:r>
      <w:r>
        <w:rPr>
          <w:rFonts w:eastAsia="MS Mincho"/>
        </w:rPr>
        <w:t>impact.</w:t>
      </w:r>
    </w:p>
    <w:p w14:paraId="448A7B39" w14:textId="4B1DF01A" w:rsidR="00F327E7" w:rsidRPr="00F327E7" w:rsidRDefault="00860F2E" w:rsidP="00F24F73">
      <w:pPr>
        <w:pStyle w:val="Orateurengris"/>
        <w:ind w:left="709" w:hanging="709"/>
        <w:rPr>
          <w:rFonts w:eastAsia="MS Mincho"/>
        </w:rPr>
      </w:pPr>
      <w:r>
        <w:rPr>
          <w:rFonts w:eastAsia="MS Mincho"/>
        </w:rPr>
        <w:t xml:space="preserve">La </w:t>
      </w:r>
      <w:r w:rsidRPr="00860F2E">
        <w:rPr>
          <w:rFonts w:eastAsia="MS Mincho"/>
        </w:rPr>
        <w:t>délégation</w:t>
      </w:r>
      <w:r>
        <w:rPr>
          <w:rFonts w:eastAsia="MS Mincho"/>
        </w:rPr>
        <w:t xml:space="preserve"> de l</w:t>
      </w:r>
      <w:r w:rsidR="00346F1B">
        <w:rPr>
          <w:rFonts w:eastAsia="MS Mincho"/>
        </w:rPr>
        <w:t>’</w:t>
      </w:r>
      <w:r w:rsidRPr="00860F2E">
        <w:rPr>
          <w:rFonts w:eastAsia="MS Mincho"/>
          <w:b/>
        </w:rPr>
        <w:t>Éthiopie</w:t>
      </w:r>
      <w:r>
        <w:rPr>
          <w:rFonts w:eastAsia="MS Mincho"/>
        </w:rPr>
        <w:t xml:space="preserve"> estimait que cette </w:t>
      </w:r>
      <w:r w:rsidRPr="00860F2E">
        <w:rPr>
          <w:rFonts w:eastAsia="MS Mincho"/>
        </w:rPr>
        <w:t>candidature</w:t>
      </w:r>
      <w:r>
        <w:rPr>
          <w:rFonts w:eastAsia="MS Mincho"/>
        </w:rPr>
        <w:t xml:space="preserve"> devrait être inscrite, car </w:t>
      </w:r>
      <w:r w:rsidR="00D65D07">
        <w:rPr>
          <w:rFonts w:eastAsia="MS Mincho"/>
        </w:rPr>
        <w:t>comme</w:t>
      </w:r>
      <w:r>
        <w:rPr>
          <w:rFonts w:eastAsia="MS Mincho"/>
        </w:rPr>
        <w:t xml:space="preserve"> cela avait été succinctement </w:t>
      </w:r>
      <w:r w:rsidR="00D65D07">
        <w:rPr>
          <w:rFonts w:eastAsia="MS Mincho"/>
        </w:rPr>
        <w:t xml:space="preserve">mentionné </w:t>
      </w:r>
      <w:r>
        <w:rPr>
          <w:rFonts w:eastAsia="MS Mincho"/>
        </w:rPr>
        <w:t xml:space="preserve">dans le dossier, </w:t>
      </w:r>
      <w:r w:rsidR="00D65D07">
        <w:rPr>
          <w:rFonts w:eastAsia="MS Mincho"/>
        </w:rPr>
        <w:t>l</w:t>
      </w:r>
      <w:r w:rsidR="00346F1B">
        <w:rPr>
          <w:rFonts w:eastAsia="MS Mincho"/>
        </w:rPr>
        <w:t>’</w:t>
      </w:r>
      <w:r w:rsidR="00D65D07" w:rsidRPr="00D65D07">
        <w:rPr>
          <w:rFonts w:eastAsia="MS Mincho"/>
        </w:rPr>
        <w:t>Éthiopie</w:t>
      </w:r>
      <w:r w:rsidR="00D65D07">
        <w:rPr>
          <w:rFonts w:eastAsia="MS Mincho"/>
        </w:rPr>
        <w:t xml:space="preserve"> avait expérimenté </w:t>
      </w:r>
      <w:r w:rsidR="00C97B54">
        <w:rPr>
          <w:rFonts w:eastAsia="MS Mincho"/>
        </w:rPr>
        <w:t xml:space="preserve">directement la méthode Kodály. </w:t>
      </w:r>
      <w:r w:rsidR="00D65D07">
        <w:rPr>
          <w:rFonts w:eastAsia="MS Mincho"/>
        </w:rPr>
        <w:t>Cet exercice s</w:t>
      </w:r>
      <w:r w:rsidR="00346F1B">
        <w:rPr>
          <w:rFonts w:eastAsia="MS Mincho"/>
        </w:rPr>
        <w:t>’</w:t>
      </w:r>
      <w:r w:rsidR="00D65D07">
        <w:rPr>
          <w:rFonts w:eastAsia="MS Mincho"/>
        </w:rPr>
        <w:t>était déroulé dans le cadre d</w:t>
      </w:r>
      <w:r w:rsidR="00346F1B">
        <w:rPr>
          <w:rFonts w:eastAsia="MS Mincho"/>
        </w:rPr>
        <w:t>’</w:t>
      </w:r>
      <w:r w:rsidR="00D65D07">
        <w:rPr>
          <w:rFonts w:eastAsia="MS Mincho"/>
        </w:rPr>
        <w:t xml:space="preserve">une </w:t>
      </w:r>
      <w:r w:rsidR="00B17465">
        <w:rPr>
          <w:rFonts w:eastAsia="MS Mincho"/>
        </w:rPr>
        <w:t xml:space="preserve">expédition à des fins </w:t>
      </w:r>
      <w:r w:rsidR="00D65D07">
        <w:rPr>
          <w:rFonts w:eastAsia="MS Mincho"/>
        </w:rPr>
        <w:t>documentaire</w:t>
      </w:r>
      <w:r w:rsidR="00B17465">
        <w:rPr>
          <w:rFonts w:eastAsia="MS Mincho"/>
        </w:rPr>
        <w:t>s</w:t>
      </w:r>
      <w:r w:rsidR="00D65D07">
        <w:rPr>
          <w:rFonts w:eastAsia="MS Mincho"/>
        </w:rPr>
        <w:t xml:space="preserve"> sur le </w:t>
      </w:r>
      <w:r w:rsidR="00D65D07" w:rsidRPr="00D65D07">
        <w:rPr>
          <w:rFonts w:eastAsia="MS Mincho"/>
        </w:rPr>
        <w:t>folklore</w:t>
      </w:r>
      <w:r w:rsidR="00D65D07">
        <w:rPr>
          <w:rFonts w:eastAsia="MS Mincho"/>
        </w:rPr>
        <w:t xml:space="preserve"> éthiopien </w:t>
      </w:r>
      <w:r w:rsidR="00B17465">
        <w:rPr>
          <w:rFonts w:eastAsia="MS Mincho"/>
        </w:rPr>
        <w:t>organisée en 1965 par des experts</w:t>
      </w:r>
      <w:r w:rsidR="00C97B54">
        <w:rPr>
          <w:rFonts w:eastAsia="MS Mincho"/>
        </w:rPr>
        <w:t xml:space="preserve"> hongrois</w:t>
      </w:r>
      <w:r w:rsidR="00E70168">
        <w:rPr>
          <w:rFonts w:eastAsia="MS Mincho"/>
        </w:rPr>
        <w:t>, sous l</w:t>
      </w:r>
      <w:r w:rsidR="00346F1B">
        <w:rPr>
          <w:rFonts w:eastAsia="MS Mincho"/>
        </w:rPr>
        <w:t>’</w:t>
      </w:r>
      <w:r w:rsidR="00E70168">
        <w:rPr>
          <w:rFonts w:eastAsia="MS Mincho"/>
        </w:rPr>
        <w:t xml:space="preserve">égide </w:t>
      </w:r>
      <w:r w:rsidR="00B17465">
        <w:rPr>
          <w:rFonts w:eastAsia="MS Mincho"/>
        </w:rPr>
        <w:t>d</w:t>
      </w:r>
      <w:r w:rsidR="00346F1B">
        <w:rPr>
          <w:rFonts w:eastAsia="MS Mincho"/>
        </w:rPr>
        <w:t>’</w:t>
      </w:r>
      <w:r w:rsidR="00B17465">
        <w:rPr>
          <w:rFonts w:eastAsia="MS Mincho"/>
        </w:rPr>
        <w:t>une ONG associée à l</w:t>
      </w:r>
      <w:r w:rsidR="00346F1B">
        <w:rPr>
          <w:rFonts w:eastAsia="MS Mincho"/>
        </w:rPr>
        <w:t>’</w:t>
      </w:r>
      <w:r w:rsidR="00B17465">
        <w:rPr>
          <w:rFonts w:eastAsia="MS Mincho"/>
        </w:rPr>
        <w:t>UNESCO par l</w:t>
      </w:r>
      <w:r w:rsidR="00346F1B">
        <w:rPr>
          <w:rFonts w:eastAsia="MS Mincho"/>
        </w:rPr>
        <w:t>’</w:t>
      </w:r>
      <w:r w:rsidR="00B17465">
        <w:rPr>
          <w:rFonts w:eastAsia="MS Mincho"/>
        </w:rPr>
        <w:t xml:space="preserve">intermédiaire du Conseil international de la musique </w:t>
      </w:r>
      <w:r w:rsidR="00E70168">
        <w:rPr>
          <w:rFonts w:eastAsia="MS Mincho"/>
        </w:rPr>
        <w:t>populaire (CIMP). L</w:t>
      </w:r>
      <w:r w:rsidR="00346F1B">
        <w:rPr>
          <w:rFonts w:eastAsia="MS Mincho"/>
        </w:rPr>
        <w:t>’</w:t>
      </w:r>
      <w:r w:rsidR="00E70168">
        <w:rPr>
          <w:rFonts w:eastAsia="MS Mincho"/>
        </w:rPr>
        <w:t>empereur Haïlé Sélassié</w:t>
      </w:r>
      <w:r w:rsidR="00B17465">
        <w:rPr>
          <w:rFonts w:eastAsia="MS Mincho"/>
        </w:rPr>
        <w:t xml:space="preserve"> I</w:t>
      </w:r>
      <w:r w:rsidR="00B17465" w:rsidRPr="00B17465">
        <w:rPr>
          <w:rFonts w:eastAsia="MS Mincho"/>
          <w:vertAlign w:val="superscript"/>
        </w:rPr>
        <w:t>er</w:t>
      </w:r>
      <w:r w:rsidR="00E70168">
        <w:rPr>
          <w:rFonts w:eastAsia="MS Mincho"/>
        </w:rPr>
        <w:t xml:space="preserve">, </w:t>
      </w:r>
      <w:r w:rsidR="00B17465">
        <w:rPr>
          <w:rFonts w:eastAsia="MS Mincho"/>
        </w:rPr>
        <w:t>à l</w:t>
      </w:r>
      <w:r w:rsidR="00346F1B">
        <w:rPr>
          <w:rFonts w:eastAsia="MS Mincho"/>
        </w:rPr>
        <w:t>’</w:t>
      </w:r>
      <w:r w:rsidR="00B17465" w:rsidRPr="00B17465">
        <w:rPr>
          <w:rFonts w:eastAsia="MS Mincho"/>
        </w:rPr>
        <w:t>initiative</w:t>
      </w:r>
      <w:r w:rsidR="00B17465">
        <w:rPr>
          <w:rFonts w:eastAsia="MS Mincho"/>
        </w:rPr>
        <w:t xml:space="preserve"> de cette expédition, avait demandé que Zoltán Kodály, à l</w:t>
      </w:r>
      <w:r w:rsidR="00346F1B">
        <w:rPr>
          <w:rFonts w:eastAsia="MS Mincho"/>
        </w:rPr>
        <w:t>’</w:t>
      </w:r>
      <w:r w:rsidR="00B17465">
        <w:rPr>
          <w:rFonts w:eastAsia="MS Mincho"/>
        </w:rPr>
        <w:t>époque Président du CIMP, aide l</w:t>
      </w:r>
      <w:r w:rsidR="00346F1B">
        <w:rPr>
          <w:rFonts w:eastAsia="MS Mincho"/>
        </w:rPr>
        <w:t>’</w:t>
      </w:r>
      <w:r w:rsidR="00B17465" w:rsidRPr="00B17465">
        <w:rPr>
          <w:rFonts w:eastAsia="MS Mincho"/>
        </w:rPr>
        <w:t>Éthiopie</w:t>
      </w:r>
      <w:r w:rsidR="00B17465">
        <w:rPr>
          <w:rFonts w:eastAsia="MS Mincho"/>
        </w:rPr>
        <w:t xml:space="preserve"> à identifier ses traditions musicales. Une quantité considérable de films, d</w:t>
      </w:r>
      <w:r w:rsidR="00346F1B">
        <w:rPr>
          <w:rFonts w:eastAsia="MS Mincho"/>
        </w:rPr>
        <w:t>’</w:t>
      </w:r>
      <w:r w:rsidR="00B17465">
        <w:rPr>
          <w:rFonts w:eastAsia="MS Mincho"/>
        </w:rPr>
        <w:t xml:space="preserve">enregistrements sonores, de photographies et de notes prises sur le terrain étaient désormais sauvegardées par les </w:t>
      </w:r>
      <w:r w:rsidR="00E70168">
        <w:rPr>
          <w:rFonts w:eastAsia="MS Mincho"/>
        </w:rPr>
        <w:t xml:space="preserve">sections des </w:t>
      </w:r>
      <w:r w:rsidR="00B17465">
        <w:rPr>
          <w:rFonts w:eastAsia="MS Mincho"/>
        </w:rPr>
        <w:t>archives consacrées à la musique populaire et à la danse populaire de l</w:t>
      </w:r>
      <w:r w:rsidR="00346F1B">
        <w:rPr>
          <w:rFonts w:eastAsia="MS Mincho"/>
        </w:rPr>
        <w:t>’</w:t>
      </w:r>
      <w:r w:rsidR="00B17465">
        <w:rPr>
          <w:rFonts w:eastAsia="MS Mincho"/>
        </w:rPr>
        <w:t xml:space="preserve">Institut de </w:t>
      </w:r>
      <w:r w:rsidR="00B17465" w:rsidRPr="00B17465">
        <w:rPr>
          <w:rFonts w:eastAsia="MS Mincho"/>
        </w:rPr>
        <w:t>musicologie</w:t>
      </w:r>
      <w:r w:rsidR="00B17465">
        <w:rPr>
          <w:rFonts w:eastAsia="MS Mincho"/>
        </w:rPr>
        <w:t xml:space="preserve"> de l</w:t>
      </w:r>
      <w:r w:rsidR="00346F1B">
        <w:rPr>
          <w:rFonts w:eastAsia="MS Mincho"/>
        </w:rPr>
        <w:t>’</w:t>
      </w:r>
      <w:r w:rsidR="00B17465">
        <w:rPr>
          <w:rFonts w:eastAsia="MS Mincho"/>
        </w:rPr>
        <w:t>Académie hongroise des sciences à Budapest. Une copie de la collection avait été remise à l</w:t>
      </w:r>
      <w:r w:rsidR="00346F1B">
        <w:rPr>
          <w:rFonts w:eastAsia="MS Mincho"/>
        </w:rPr>
        <w:t>’</w:t>
      </w:r>
      <w:r w:rsidR="00B17465" w:rsidRPr="00B17465">
        <w:rPr>
          <w:rFonts w:eastAsia="MS Mincho"/>
        </w:rPr>
        <w:t>Éthiopie</w:t>
      </w:r>
      <w:r w:rsidR="00B17465">
        <w:rPr>
          <w:rFonts w:eastAsia="MS Mincho"/>
        </w:rPr>
        <w:t>, sur la base de laquelle le pays avait établi</w:t>
      </w:r>
      <w:r w:rsidR="00E70168">
        <w:rPr>
          <w:rFonts w:eastAsia="MS Mincho"/>
        </w:rPr>
        <w:t>, dans les années 1960,</w:t>
      </w:r>
      <w:r w:rsidR="00B17465">
        <w:rPr>
          <w:rFonts w:eastAsia="MS Mincho"/>
        </w:rPr>
        <w:t xml:space="preserve"> un système d</w:t>
      </w:r>
      <w:r w:rsidR="00346F1B">
        <w:rPr>
          <w:rFonts w:eastAsia="MS Mincho"/>
        </w:rPr>
        <w:t>’</w:t>
      </w:r>
      <w:r w:rsidR="00B17465" w:rsidRPr="00B17465">
        <w:rPr>
          <w:rFonts w:eastAsia="MS Mincho"/>
        </w:rPr>
        <w:t>éducation</w:t>
      </w:r>
      <w:r w:rsidR="00B17465">
        <w:rPr>
          <w:rFonts w:eastAsia="MS Mincho"/>
        </w:rPr>
        <w:t xml:space="preserve"> musicale et chorégraphique </w:t>
      </w:r>
      <w:r w:rsidR="00F327E7">
        <w:rPr>
          <w:rFonts w:eastAsia="MS Mincho"/>
        </w:rPr>
        <w:t>pour l</w:t>
      </w:r>
      <w:r w:rsidR="00346F1B">
        <w:rPr>
          <w:rFonts w:eastAsia="MS Mincho"/>
        </w:rPr>
        <w:t>’</w:t>
      </w:r>
      <w:r w:rsidR="00F327E7" w:rsidRPr="00F327E7">
        <w:rPr>
          <w:rFonts w:eastAsia="MS Mincho"/>
        </w:rPr>
        <w:t>enseignement</w:t>
      </w:r>
      <w:r w:rsidR="00E70168">
        <w:rPr>
          <w:rFonts w:eastAsia="MS Mincho"/>
        </w:rPr>
        <w:t xml:space="preserve"> secondaire</w:t>
      </w:r>
      <w:r w:rsidR="00F327E7">
        <w:rPr>
          <w:rFonts w:eastAsia="MS Mincho"/>
        </w:rPr>
        <w:t xml:space="preserve">. Cette </w:t>
      </w:r>
      <w:r w:rsidR="00F327E7" w:rsidRPr="00F327E7">
        <w:rPr>
          <w:rFonts w:eastAsia="MS Mincho"/>
        </w:rPr>
        <w:t>documentation</w:t>
      </w:r>
      <w:r w:rsidR="00F327E7">
        <w:rPr>
          <w:rFonts w:eastAsia="MS Mincho"/>
        </w:rPr>
        <w:t xml:space="preserve"> et ce système d</w:t>
      </w:r>
      <w:r w:rsidR="00346F1B">
        <w:rPr>
          <w:rFonts w:eastAsia="MS Mincho"/>
        </w:rPr>
        <w:t>’</w:t>
      </w:r>
      <w:r w:rsidR="00F327E7">
        <w:rPr>
          <w:rFonts w:eastAsia="MS Mincho"/>
        </w:rPr>
        <w:t>éducation avaient malheureusement disparu. La Hongrie était en train de numériser cette collection afin de la mettre à nouveau à disposition de l</w:t>
      </w:r>
      <w:r w:rsidR="00346F1B">
        <w:rPr>
          <w:rFonts w:eastAsia="MS Mincho"/>
        </w:rPr>
        <w:t>’</w:t>
      </w:r>
      <w:r w:rsidR="00F327E7" w:rsidRPr="00F327E7">
        <w:rPr>
          <w:rFonts w:eastAsia="MS Mincho"/>
        </w:rPr>
        <w:t>Éthiopie</w:t>
      </w:r>
      <w:r w:rsidR="00E70168">
        <w:rPr>
          <w:rFonts w:eastAsia="MS Mincho"/>
        </w:rPr>
        <w:t xml:space="preserve">, et </w:t>
      </w:r>
      <w:r w:rsidR="00F327E7">
        <w:rPr>
          <w:rFonts w:eastAsia="MS Mincho"/>
        </w:rPr>
        <w:t>que le pays puisse baser ses programmes scolaires d</w:t>
      </w:r>
      <w:r w:rsidR="00346F1B">
        <w:rPr>
          <w:rFonts w:eastAsia="MS Mincho"/>
        </w:rPr>
        <w:t>’</w:t>
      </w:r>
      <w:r w:rsidR="00F327E7" w:rsidRPr="00F327E7">
        <w:rPr>
          <w:rFonts w:eastAsia="MS Mincho"/>
        </w:rPr>
        <w:t>éducation</w:t>
      </w:r>
      <w:r w:rsidR="00F327E7">
        <w:rPr>
          <w:rFonts w:eastAsia="MS Mincho"/>
        </w:rPr>
        <w:t xml:space="preserve"> musicale sur ce trésor de musique traditionnelle, qui faisait partie intégrante de l</w:t>
      </w:r>
      <w:r w:rsidR="00346F1B">
        <w:rPr>
          <w:rFonts w:eastAsia="MS Mincho"/>
        </w:rPr>
        <w:t>’</w:t>
      </w:r>
      <w:r w:rsidR="00F327E7">
        <w:rPr>
          <w:rFonts w:eastAsia="MS Mincho"/>
        </w:rPr>
        <w:t xml:space="preserve">identité éthiopienne. Les organes </w:t>
      </w:r>
      <w:r w:rsidR="00F327E7" w:rsidRPr="00F327E7">
        <w:rPr>
          <w:rFonts w:eastAsia="MS Mincho"/>
        </w:rPr>
        <w:t>gouvernement</w:t>
      </w:r>
      <w:r w:rsidR="00F327E7">
        <w:rPr>
          <w:rFonts w:eastAsia="MS Mincho"/>
        </w:rPr>
        <w:t xml:space="preserve">aux, les </w:t>
      </w:r>
      <w:r w:rsidR="00F327E7" w:rsidRPr="00F327E7">
        <w:rPr>
          <w:rFonts w:eastAsia="MS Mincho"/>
        </w:rPr>
        <w:t>institutions</w:t>
      </w:r>
      <w:r w:rsidR="00F327E7">
        <w:rPr>
          <w:rFonts w:eastAsia="MS Mincho"/>
        </w:rPr>
        <w:t xml:space="preserve"> culturelles, les universités, les ONG et les communautés locales, tant en </w:t>
      </w:r>
      <w:r w:rsidR="00F327E7" w:rsidRPr="00F327E7">
        <w:rPr>
          <w:rFonts w:eastAsia="MS Mincho"/>
        </w:rPr>
        <w:t>Éthiopie</w:t>
      </w:r>
      <w:r w:rsidR="00F327E7">
        <w:rPr>
          <w:rFonts w:eastAsia="MS Mincho"/>
        </w:rPr>
        <w:t xml:space="preserve"> qu</w:t>
      </w:r>
      <w:r w:rsidR="00346F1B">
        <w:rPr>
          <w:rFonts w:eastAsia="MS Mincho"/>
        </w:rPr>
        <w:t>’</w:t>
      </w:r>
      <w:r w:rsidR="00F327E7">
        <w:rPr>
          <w:rFonts w:eastAsia="MS Mincho"/>
        </w:rPr>
        <w:t>en Hongrie, étaient sur le point de créer un projet conjoint dans le domaine du PCI, destiné à présenter ce matériel inestimable, le rendre disponible auprès du plus grand nombre, et l</w:t>
      </w:r>
      <w:r w:rsidR="00346F1B">
        <w:rPr>
          <w:rFonts w:eastAsia="MS Mincho"/>
        </w:rPr>
        <w:t>’</w:t>
      </w:r>
      <w:r w:rsidR="00F327E7">
        <w:rPr>
          <w:rFonts w:eastAsia="MS Mincho"/>
        </w:rPr>
        <w:t xml:space="preserve">utiliser comme catalyseur des </w:t>
      </w:r>
      <w:r w:rsidR="00F327E7" w:rsidRPr="00F327E7">
        <w:rPr>
          <w:rFonts w:eastAsia="MS Mincho"/>
        </w:rPr>
        <w:t>activités</w:t>
      </w:r>
      <w:r w:rsidR="00F327E7">
        <w:rPr>
          <w:rFonts w:eastAsia="MS Mincho"/>
        </w:rPr>
        <w:t xml:space="preserve"> de </w:t>
      </w:r>
      <w:r w:rsidR="00F327E7" w:rsidRPr="00F327E7">
        <w:rPr>
          <w:rFonts w:eastAsia="MS Mincho"/>
        </w:rPr>
        <w:t>sauvegarde</w:t>
      </w:r>
      <w:r w:rsidR="00F327E7">
        <w:rPr>
          <w:rFonts w:eastAsia="MS Mincho"/>
        </w:rPr>
        <w:t xml:space="preserve"> dans le</w:t>
      </w:r>
      <w:r w:rsidR="00C97B54">
        <w:rPr>
          <w:rFonts w:eastAsia="MS Mincho"/>
        </w:rPr>
        <w:t>s deux pays. Cela pourrait agir comme un déclencheur des initiatives de l</w:t>
      </w:r>
      <w:r w:rsidR="00346F1B">
        <w:rPr>
          <w:rFonts w:eastAsia="MS Mincho"/>
        </w:rPr>
        <w:t>’</w:t>
      </w:r>
      <w:r w:rsidR="00C97B54">
        <w:rPr>
          <w:rFonts w:eastAsia="MS Mincho"/>
        </w:rPr>
        <w:t xml:space="preserve">UNESCO visant à améliorer et promouvoir en Afrique le renforcement des capacités et la </w:t>
      </w:r>
      <w:r w:rsidR="00C97B54" w:rsidRPr="00C97B54">
        <w:rPr>
          <w:rFonts w:eastAsia="MS Mincho"/>
        </w:rPr>
        <w:t xml:space="preserve">sensibilisation </w:t>
      </w:r>
      <w:r w:rsidR="00C97B54">
        <w:rPr>
          <w:rFonts w:eastAsia="MS Mincho"/>
        </w:rPr>
        <w:t xml:space="preserve">à la </w:t>
      </w:r>
      <w:r w:rsidR="00C97B54" w:rsidRPr="00C97B54">
        <w:rPr>
          <w:rFonts w:eastAsia="MS Mincho"/>
        </w:rPr>
        <w:t>sauvegarde</w:t>
      </w:r>
      <w:r w:rsidR="00C97B54">
        <w:rPr>
          <w:rFonts w:eastAsia="MS Mincho"/>
        </w:rPr>
        <w:t xml:space="preserve"> du PCI. La </w:t>
      </w:r>
      <w:r w:rsidR="00C97B54" w:rsidRPr="00C97B54">
        <w:rPr>
          <w:rFonts w:eastAsia="MS Mincho"/>
        </w:rPr>
        <w:t>délégation</w:t>
      </w:r>
      <w:r w:rsidR="00C97B54">
        <w:rPr>
          <w:rFonts w:eastAsia="MS Mincho"/>
        </w:rPr>
        <w:t xml:space="preserve"> croyait que le programme soumis à sélection, s</w:t>
      </w:r>
      <w:r w:rsidR="00346F1B">
        <w:rPr>
          <w:rFonts w:eastAsia="MS Mincho"/>
        </w:rPr>
        <w:t>’</w:t>
      </w:r>
      <w:r w:rsidR="00C97B54">
        <w:rPr>
          <w:rFonts w:eastAsia="MS Mincho"/>
        </w:rPr>
        <w:t xml:space="preserve">il était inscrit sur le Registre, attirerait sans aucun doute </w:t>
      </w:r>
      <w:r w:rsidR="00E70168">
        <w:rPr>
          <w:rFonts w:eastAsia="MS Mincho"/>
        </w:rPr>
        <w:t>l</w:t>
      </w:r>
      <w:r w:rsidR="00346F1B">
        <w:rPr>
          <w:rFonts w:eastAsia="MS Mincho"/>
        </w:rPr>
        <w:t>’</w:t>
      </w:r>
      <w:r w:rsidR="00C97B54">
        <w:rPr>
          <w:rFonts w:eastAsia="MS Mincho"/>
        </w:rPr>
        <w:t xml:space="preserve">attention sur le </w:t>
      </w:r>
      <w:r w:rsidR="00C97B54" w:rsidRPr="00C97B54">
        <w:rPr>
          <w:rFonts w:eastAsia="MS Mincho"/>
        </w:rPr>
        <w:t>patrimoine</w:t>
      </w:r>
      <w:r w:rsidR="00C97B54">
        <w:rPr>
          <w:rFonts w:eastAsia="MS Mincho"/>
        </w:rPr>
        <w:t xml:space="preserve"> musical populaire et </w:t>
      </w:r>
      <w:r w:rsidR="00C97B54" w:rsidRPr="00C97B54">
        <w:rPr>
          <w:rFonts w:eastAsia="MS Mincho"/>
        </w:rPr>
        <w:t>sensib</w:t>
      </w:r>
      <w:r w:rsidR="00C97B54">
        <w:rPr>
          <w:rFonts w:eastAsia="MS Mincho"/>
        </w:rPr>
        <w:t>iliserait à l</w:t>
      </w:r>
      <w:r w:rsidR="00346F1B">
        <w:rPr>
          <w:rFonts w:eastAsia="MS Mincho"/>
        </w:rPr>
        <w:t>’</w:t>
      </w:r>
      <w:r w:rsidR="00C97B54">
        <w:rPr>
          <w:rFonts w:eastAsia="MS Mincho"/>
        </w:rPr>
        <w:t xml:space="preserve">importance de la </w:t>
      </w:r>
      <w:r w:rsidR="00C97B54" w:rsidRPr="00C97B54">
        <w:rPr>
          <w:rFonts w:eastAsia="MS Mincho"/>
        </w:rPr>
        <w:t>sauvegarde</w:t>
      </w:r>
      <w:r w:rsidR="00C97B54">
        <w:rPr>
          <w:rFonts w:eastAsia="MS Mincho"/>
        </w:rPr>
        <w:t xml:space="preserve">, tout en contribuant au renforcement des capacités des partenaires. La </w:t>
      </w:r>
      <w:r w:rsidR="00C97B54" w:rsidRPr="00C97B54">
        <w:rPr>
          <w:rFonts w:eastAsia="MS Mincho"/>
        </w:rPr>
        <w:t>délégation</w:t>
      </w:r>
      <w:r w:rsidR="00C97B54">
        <w:rPr>
          <w:rFonts w:eastAsia="MS Mincho"/>
        </w:rPr>
        <w:t xml:space="preserve"> souhaitait demander à la Hongrie des </w:t>
      </w:r>
      <w:r w:rsidR="00C97B54" w:rsidRPr="00C97B54">
        <w:rPr>
          <w:rFonts w:eastAsia="MS Mincho"/>
        </w:rPr>
        <w:t>informations</w:t>
      </w:r>
      <w:r w:rsidR="00C97B54">
        <w:rPr>
          <w:rFonts w:eastAsia="MS Mincho"/>
        </w:rPr>
        <w:t xml:space="preserve"> complémentaires sur l</w:t>
      </w:r>
      <w:r w:rsidR="00346F1B">
        <w:rPr>
          <w:rFonts w:eastAsia="MS Mincho"/>
        </w:rPr>
        <w:t>’</w:t>
      </w:r>
      <w:r w:rsidR="00C97B54" w:rsidRPr="00C97B54">
        <w:rPr>
          <w:rFonts w:eastAsia="MS Mincho"/>
        </w:rPr>
        <w:t>amélioration</w:t>
      </w:r>
      <w:r w:rsidR="00C97B54">
        <w:rPr>
          <w:rFonts w:eastAsia="MS Mincho"/>
        </w:rPr>
        <w:t xml:space="preserve"> de la mise en œ</w:t>
      </w:r>
      <w:r w:rsidR="001837D1">
        <w:rPr>
          <w:rFonts w:eastAsia="MS Mincho"/>
        </w:rPr>
        <w:t>uvre des mesures de sauvegarde.</w:t>
      </w:r>
    </w:p>
    <w:p w14:paraId="5A4E3D2A" w14:textId="112FF595" w:rsidR="00E70168" w:rsidRPr="00E70168" w:rsidRDefault="00E70168" w:rsidP="00F24F73">
      <w:pPr>
        <w:pStyle w:val="Orateurengris"/>
        <w:ind w:left="709" w:hanging="709"/>
        <w:rPr>
          <w:rFonts w:eastAsia="MS Mincho"/>
        </w:rPr>
      </w:pPr>
      <w:r>
        <w:rPr>
          <w:rFonts w:eastAsia="MS Mincho"/>
        </w:rPr>
        <w:t>Compte tenu de l</w:t>
      </w:r>
      <w:r w:rsidR="00346F1B">
        <w:rPr>
          <w:rFonts w:eastAsia="MS Mincho"/>
        </w:rPr>
        <w:t>’</w:t>
      </w:r>
      <w:r>
        <w:rPr>
          <w:rFonts w:eastAsia="MS Mincho"/>
        </w:rPr>
        <w:t xml:space="preserve">heure avancée, le </w:t>
      </w:r>
      <w:r w:rsidRPr="00E70168">
        <w:rPr>
          <w:rFonts w:eastAsia="MS Mincho"/>
          <w:b/>
        </w:rPr>
        <w:t>Vice-Président</w:t>
      </w:r>
      <w:r>
        <w:rPr>
          <w:rFonts w:eastAsia="MS Mincho"/>
        </w:rPr>
        <w:t xml:space="preserve"> a demandé aux membres d</w:t>
      </w:r>
      <w:r w:rsidR="00346F1B">
        <w:rPr>
          <w:rFonts w:eastAsia="MS Mincho"/>
        </w:rPr>
        <w:t>’</w:t>
      </w:r>
      <w:r>
        <w:rPr>
          <w:rFonts w:eastAsia="MS Mincho"/>
        </w:rPr>
        <w:t>être bref</w:t>
      </w:r>
      <w:r w:rsidR="001837D1">
        <w:rPr>
          <w:rFonts w:eastAsia="MS Mincho"/>
        </w:rPr>
        <w:t>s.</w:t>
      </w:r>
    </w:p>
    <w:p w14:paraId="05FD6C96" w14:textId="5D38FF6B" w:rsidR="00E70168" w:rsidRPr="00E70168" w:rsidRDefault="00DA54E4" w:rsidP="00F24F73">
      <w:pPr>
        <w:pStyle w:val="Orateurengris"/>
        <w:ind w:left="709" w:hanging="709"/>
        <w:rPr>
          <w:bCs/>
        </w:rPr>
      </w:pPr>
      <w:r>
        <w:rPr>
          <w:bCs/>
        </w:rPr>
        <w:t xml:space="preserve">La </w:t>
      </w:r>
      <w:r w:rsidRPr="00DA54E4">
        <w:rPr>
          <w:bCs/>
        </w:rPr>
        <w:t>délégation</w:t>
      </w:r>
      <w:r>
        <w:rPr>
          <w:bCs/>
        </w:rPr>
        <w:t xml:space="preserve"> de </w:t>
      </w:r>
      <w:r w:rsidRPr="00DA54E4">
        <w:rPr>
          <w:bCs/>
        </w:rPr>
        <w:t>l</w:t>
      </w:r>
      <w:r w:rsidR="00346F1B">
        <w:rPr>
          <w:bCs/>
        </w:rPr>
        <w:t>’</w:t>
      </w:r>
      <w:r w:rsidRPr="00EF4CB7">
        <w:rPr>
          <w:b/>
          <w:bCs/>
        </w:rPr>
        <w:t>Afghanistan</w:t>
      </w:r>
      <w:r>
        <w:rPr>
          <w:bCs/>
        </w:rPr>
        <w:t xml:space="preserve"> s</w:t>
      </w:r>
      <w:r w:rsidR="00346F1B">
        <w:rPr>
          <w:bCs/>
        </w:rPr>
        <w:t>’</w:t>
      </w:r>
      <w:r>
        <w:rPr>
          <w:bCs/>
        </w:rPr>
        <w:t>est prononcée en faveur de l</w:t>
      </w:r>
      <w:r w:rsidR="00346F1B">
        <w:rPr>
          <w:bCs/>
        </w:rPr>
        <w:t>’</w:t>
      </w:r>
      <w:r w:rsidRPr="00DA54E4">
        <w:rPr>
          <w:bCs/>
        </w:rPr>
        <w:t>inscription</w:t>
      </w:r>
      <w:r>
        <w:rPr>
          <w:bCs/>
        </w:rPr>
        <w:t xml:space="preserve">, ajoutant que par </w:t>
      </w:r>
      <w:r w:rsidRPr="00DA54E4">
        <w:rPr>
          <w:bCs/>
        </w:rPr>
        <w:t>définition</w:t>
      </w:r>
      <w:r>
        <w:rPr>
          <w:bCs/>
        </w:rPr>
        <w:t xml:space="preserve"> et par nature, il s</w:t>
      </w:r>
      <w:r w:rsidR="00346F1B">
        <w:rPr>
          <w:bCs/>
        </w:rPr>
        <w:t>’</w:t>
      </w:r>
      <w:r>
        <w:rPr>
          <w:bCs/>
        </w:rPr>
        <w:t>agissait d</w:t>
      </w:r>
      <w:r w:rsidR="00346F1B">
        <w:rPr>
          <w:bCs/>
        </w:rPr>
        <w:t>’</w:t>
      </w:r>
      <w:r>
        <w:rPr>
          <w:bCs/>
        </w:rPr>
        <w:t>une méthode, d</w:t>
      </w:r>
      <w:r w:rsidR="00346F1B">
        <w:rPr>
          <w:bCs/>
        </w:rPr>
        <w:t>’</w:t>
      </w:r>
      <w:r>
        <w:rPr>
          <w:bCs/>
        </w:rPr>
        <w:t>une voix, d</w:t>
      </w:r>
      <w:r w:rsidR="00346F1B">
        <w:rPr>
          <w:bCs/>
        </w:rPr>
        <w:t>’</w:t>
      </w:r>
      <w:r>
        <w:rPr>
          <w:bCs/>
        </w:rPr>
        <w:t>un instrument. Dans l</w:t>
      </w:r>
      <w:r w:rsidR="00346F1B">
        <w:rPr>
          <w:bCs/>
        </w:rPr>
        <w:t>’</w:t>
      </w:r>
      <w:r>
        <w:rPr>
          <w:bCs/>
        </w:rPr>
        <w:t xml:space="preserve">annexe au document, la </w:t>
      </w:r>
      <w:r w:rsidRPr="00DA54E4">
        <w:rPr>
          <w:bCs/>
        </w:rPr>
        <w:t>délégation</w:t>
      </w:r>
      <w:r>
        <w:rPr>
          <w:bCs/>
        </w:rPr>
        <w:t xml:space="preserve"> avait noté le passage suivant : « Le</w:t>
      </w:r>
      <w:r w:rsidR="00EF4CB7">
        <w:rPr>
          <w:bCs/>
        </w:rPr>
        <w:t xml:space="preserve"> concept est flexible, il ne me</w:t>
      </w:r>
      <w:r>
        <w:rPr>
          <w:bCs/>
        </w:rPr>
        <w:t>t pas l</w:t>
      </w:r>
      <w:r w:rsidR="00346F1B">
        <w:rPr>
          <w:bCs/>
        </w:rPr>
        <w:t>’</w:t>
      </w:r>
      <w:r>
        <w:rPr>
          <w:bCs/>
        </w:rPr>
        <w:t xml:space="preserve">accent sur la </w:t>
      </w:r>
      <w:r w:rsidRPr="00DA54E4">
        <w:rPr>
          <w:bCs/>
        </w:rPr>
        <w:t>sauvegarde</w:t>
      </w:r>
      <w:r>
        <w:rPr>
          <w:bCs/>
        </w:rPr>
        <w:t xml:space="preserve"> du </w:t>
      </w:r>
      <w:r w:rsidRPr="00DA54E4">
        <w:rPr>
          <w:bCs/>
        </w:rPr>
        <w:t>patrimoine</w:t>
      </w:r>
      <w:r>
        <w:rPr>
          <w:bCs/>
        </w:rPr>
        <w:t xml:space="preserve"> d</w:t>
      </w:r>
      <w:r w:rsidR="00346F1B">
        <w:rPr>
          <w:bCs/>
        </w:rPr>
        <w:t>’</w:t>
      </w:r>
      <w:r>
        <w:rPr>
          <w:bCs/>
        </w:rPr>
        <w:t xml:space="preserve">une </w:t>
      </w:r>
      <w:r w:rsidRPr="00DA54E4">
        <w:rPr>
          <w:bCs/>
        </w:rPr>
        <w:t>communauté</w:t>
      </w:r>
      <w:r>
        <w:rPr>
          <w:bCs/>
        </w:rPr>
        <w:t xml:space="preserve"> en particulier […] ». Elle se demandait </w:t>
      </w:r>
      <w:r w:rsidR="00EF4CB7">
        <w:rPr>
          <w:bCs/>
        </w:rPr>
        <w:t xml:space="preserve">si ce système était néanmoins plus propice à la </w:t>
      </w:r>
      <w:r w:rsidR="00EF4CB7" w:rsidRPr="00EF4CB7">
        <w:rPr>
          <w:bCs/>
        </w:rPr>
        <w:t xml:space="preserve">transmission </w:t>
      </w:r>
      <w:r w:rsidR="00EF4CB7">
        <w:rPr>
          <w:bCs/>
        </w:rPr>
        <w:t>d</w:t>
      </w:r>
      <w:r w:rsidR="00346F1B">
        <w:rPr>
          <w:bCs/>
        </w:rPr>
        <w:t>’</w:t>
      </w:r>
      <w:r w:rsidR="001837D1">
        <w:rPr>
          <w:bCs/>
        </w:rPr>
        <w:t>un système particulier.</w:t>
      </w:r>
    </w:p>
    <w:p w14:paraId="473E16E0" w14:textId="44B12EBD" w:rsidR="00EF4CB7" w:rsidRPr="00EF4CB7" w:rsidRDefault="00EF4CB7" w:rsidP="00F24F73">
      <w:pPr>
        <w:pStyle w:val="Orateurengris"/>
        <w:ind w:left="709" w:hanging="709"/>
        <w:rPr>
          <w:bCs/>
        </w:rPr>
      </w:pPr>
      <w:r>
        <w:rPr>
          <w:bCs/>
        </w:rPr>
        <w:t xml:space="preserve">La </w:t>
      </w:r>
      <w:r w:rsidRPr="00EF4CB7">
        <w:rPr>
          <w:bCs/>
        </w:rPr>
        <w:t>délégation</w:t>
      </w:r>
      <w:r>
        <w:rPr>
          <w:bCs/>
        </w:rPr>
        <w:t xml:space="preserve"> de l</w:t>
      </w:r>
      <w:r w:rsidR="00346F1B">
        <w:rPr>
          <w:bCs/>
        </w:rPr>
        <w:t>’</w:t>
      </w:r>
      <w:r w:rsidRPr="00EF4CB7">
        <w:rPr>
          <w:b/>
          <w:bCs/>
        </w:rPr>
        <w:t>Algérie</w:t>
      </w:r>
      <w:r>
        <w:rPr>
          <w:bCs/>
        </w:rPr>
        <w:t xml:space="preserve"> souhaitait ajouter sa voix aux </w:t>
      </w:r>
      <w:r w:rsidRPr="00EF4CB7">
        <w:rPr>
          <w:bCs/>
        </w:rPr>
        <w:t>témoignage</w:t>
      </w:r>
      <w:r>
        <w:rPr>
          <w:bCs/>
        </w:rPr>
        <w:t>s de la Turquie et de l</w:t>
      </w:r>
      <w:r w:rsidR="00346F1B">
        <w:rPr>
          <w:bCs/>
        </w:rPr>
        <w:t>’</w:t>
      </w:r>
      <w:r w:rsidRPr="00EF4CB7">
        <w:rPr>
          <w:bCs/>
        </w:rPr>
        <w:t>Éthiopie</w:t>
      </w:r>
      <w:r>
        <w:rPr>
          <w:bCs/>
        </w:rPr>
        <w:t xml:space="preserve"> sur l</w:t>
      </w:r>
      <w:r w:rsidR="00346F1B">
        <w:rPr>
          <w:bCs/>
        </w:rPr>
        <w:t>’</w:t>
      </w:r>
      <w:r>
        <w:rPr>
          <w:bCs/>
        </w:rPr>
        <w:t xml:space="preserve">internationalisation de cette méthode et ses contributions. Comme on le savait, Béla Bartók était le </w:t>
      </w:r>
      <w:r w:rsidRPr="00EF4CB7">
        <w:rPr>
          <w:bCs/>
        </w:rPr>
        <w:t>contemporain</w:t>
      </w:r>
      <w:r>
        <w:rPr>
          <w:bCs/>
        </w:rPr>
        <w:t xml:space="preserve"> de Kodály, ainsi que son collaborateur et ami. Béla Bartók s</w:t>
      </w:r>
      <w:r w:rsidR="00346F1B">
        <w:rPr>
          <w:bCs/>
        </w:rPr>
        <w:t>’</w:t>
      </w:r>
      <w:r>
        <w:rPr>
          <w:bCs/>
        </w:rPr>
        <w:t>était rendu en Algérie en 1913, dans l</w:t>
      </w:r>
      <w:r w:rsidR="00346F1B">
        <w:rPr>
          <w:bCs/>
        </w:rPr>
        <w:t>’</w:t>
      </w:r>
      <w:r>
        <w:rPr>
          <w:bCs/>
        </w:rPr>
        <w:t>Atlas saharien, dans une ville appelée Biskra où il avait fait des enregistrements sur des cylindres de cire et transcrit de la musique et des chants de la région datant de la fin du XIX</w:t>
      </w:r>
      <w:r w:rsidRPr="00EF4CB7">
        <w:rPr>
          <w:bCs/>
          <w:vertAlign w:val="superscript"/>
        </w:rPr>
        <w:t>e</w:t>
      </w:r>
      <w:r>
        <w:rPr>
          <w:bCs/>
        </w:rPr>
        <w:t xml:space="preserve"> siècle. L</w:t>
      </w:r>
      <w:r w:rsidR="00346F1B">
        <w:rPr>
          <w:bCs/>
        </w:rPr>
        <w:t>’</w:t>
      </w:r>
      <w:r>
        <w:rPr>
          <w:bCs/>
        </w:rPr>
        <w:t xml:space="preserve">Algérie était </w:t>
      </w:r>
      <w:r w:rsidRPr="00EF4CB7">
        <w:rPr>
          <w:bCs/>
        </w:rPr>
        <w:t>désormais</w:t>
      </w:r>
      <w:r>
        <w:rPr>
          <w:bCs/>
        </w:rPr>
        <w:t xml:space="preserve"> tr</w:t>
      </w:r>
      <w:r w:rsidR="00992439">
        <w:rPr>
          <w:bCs/>
        </w:rPr>
        <w:t>ès heureuse de pouvoir disposer</w:t>
      </w:r>
      <w:r>
        <w:rPr>
          <w:bCs/>
        </w:rPr>
        <w:t xml:space="preserve"> des enregistrements, transcriptions et notes de ce </w:t>
      </w:r>
      <w:r w:rsidRPr="00EF4CB7">
        <w:rPr>
          <w:bCs/>
        </w:rPr>
        <w:t>patrimoine</w:t>
      </w:r>
      <w:r>
        <w:rPr>
          <w:bCs/>
        </w:rPr>
        <w:t xml:space="preserve">, qui aurait irrévocablement disparu sans les efforts déployés par ces pionniers de la </w:t>
      </w:r>
      <w:r w:rsidRPr="00EF4CB7">
        <w:rPr>
          <w:bCs/>
        </w:rPr>
        <w:t>sauvegarde</w:t>
      </w:r>
      <w:r w:rsidR="001837D1">
        <w:rPr>
          <w:bCs/>
        </w:rPr>
        <w:t>.</w:t>
      </w:r>
    </w:p>
    <w:p w14:paraId="044210CA" w14:textId="25489ED4" w:rsidR="00992439" w:rsidRPr="00992439" w:rsidRDefault="00992439" w:rsidP="00F24F73">
      <w:pPr>
        <w:pStyle w:val="Orateurengris"/>
        <w:ind w:left="709" w:hanging="709"/>
        <w:rPr>
          <w:bCs/>
        </w:rPr>
      </w:pPr>
      <w:r>
        <w:rPr>
          <w:bCs/>
        </w:rPr>
        <w:t xml:space="preserve">La </w:t>
      </w:r>
      <w:r w:rsidRPr="00992439">
        <w:rPr>
          <w:bCs/>
        </w:rPr>
        <w:t>délégation</w:t>
      </w:r>
      <w:r>
        <w:rPr>
          <w:bCs/>
        </w:rPr>
        <w:t xml:space="preserve"> de la </w:t>
      </w:r>
      <w:r w:rsidRPr="00992439">
        <w:rPr>
          <w:b/>
          <w:bCs/>
        </w:rPr>
        <w:t>Bulgarie</w:t>
      </w:r>
      <w:r>
        <w:rPr>
          <w:bCs/>
        </w:rPr>
        <w:t xml:space="preserve"> soutenait cette </w:t>
      </w:r>
      <w:r w:rsidRPr="00992439">
        <w:rPr>
          <w:bCs/>
        </w:rPr>
        <w:t>candidature</w:t>
      </w:r>
      <w:r>
        <w:rPr>
          <w:bCs/>
        </w:rPr>
        <w:t xml:space="preserve"> et était absolument convaincue que les critères pour l</w:t>
      </w:r>
      <w:r w:rsidR="00346F1B">
        <w:rPr>
          <w:bCs/>
        </w:rPr>
        <w:t>’</w:t>
      </w:r>
      <w:r w:rsidRPr="00992439">
        <w:rPr>
          <w:bCs/>
        </w:rPr>
        <w:t>inscription</w:t>
      </w:r>
      <w:r>
        <w:rPr>
          <w:bCs/>
        </w:rPr>
        <w:t xml:space="preserve"> du concept Kodály étaient pleinement satisfaits. Toutefois, afin d</w:t>
      </w:r>
      <w:r w:rsidR="00346F1B">
        <w:rPr>
          <w:bCs/>
        </w:rPr>
        <w:t>’</w:t>
      </w:r>
      <w:r w:rsidR="00D301C4">
        <w:rPr>
          <w:bCs/>
        </w:rPr>
        <w:t xml:space="preserve">éviter toute hésitation, elle souhaitait </w:t>
      </w:r>
      <w:r>
        <w:rPr>
          <w:bCs/>
        </w:rPr>
        <w:t>poser les deux questions suivantes à l</w:t>
      </w:r>
      <w:r w:rsidR="00346F1B">
        <w:rPr>
          <w:bCs/>
        </w:rPr>
        <w:t>’</w:t>
      </w:r>
      <w:r>
        <w:rPr>
          <w:bCs/>
        </w:rPr>
        <w:t xml:space="preserve">État soumissionnaire : i) à propos du </w:t>
      </w:r>
      <w:r w:rsidRPr="00992439">
        <w:rPr>
          <w:bCs/>
        </w:rPr>
        <w:t>critère</w:t>
      </w:r>
      <w:r>
        <w:rPr>
          <w:bCs/>
        </w:rPr>
        <w:t xml:space="preserve"> P.1 : comment le projet a</w:t>
      </w:r>
      <w:r w:rsidR="00453A8A">
        <w:rPr>
          <w:bCs/>
        </w:rPr>
        <w:t>vait</w:t>
      </w:r>
      <w:r>
        <w:rPr>
          <w:bCs/>
        </w:rPr>
        <w:t xml:space="preserve">-t-il contribué à la </w:t>
      </w:r>
      <w:r w:rsidRPr="00992439">
        <w:rPr>
          <w:bCs/>
        </w:rPr>
        <w:t>sauvegarde</w:t>
      </w:r>
      <w:r>
        <w:rPr>
          <w:bCs/>
        </w:rPr>
        <w:t xml:space="preserve"> du contexte de la musique populaire au sein des communautés détentrices, et assuré la transmission des connaissances et </w:t>
      </w:r>
      <w:r w:rsidRPr="00992439">
        <w:rPr>
          <w:bCs/>
        </w:rPr>
        <w:t>savoir-faire</w:t>
      </w:r>
      <w:r>
        <w:rPr>
          <w:bCs/>
        </w:rPr>
        <w:t xml:space="preserve"> au sein de ces mêmes communautés ? ; et ii) à propos du </w:t>
      </w:r>
      <w:r w:rsidRPr="00992439">
        <w:rPr>
          <w:bCs/>
        </w:rPr>
        <w:t>critère</w:t>
      </w:r>
      <w:r>
        <w:rPr>
          <w:bCs/>
        </w:rPr>
        <w:t xml:space="preserve"> P.3 : comment les communautés concernées avaient-elles participé à la </w:t>
      </w:r>
      <w:r w:rsidRPr="00992439">
        <w:rPr>
          <w:bCs/>
        </w:rPr>
        <w:t>candidature</w:t>
      </w:r>
      <w:r>
        <w:rPr>
          <w:bCs/>
        </w:rPr>
        <w:t xml:space="preserve"> du projet et à la </w:t>
      </w:r>
      <w:r w:rsidRPr="00992439">
        <w:rPr>
          <w:bCs/>
        </w:rPr>
        <w:t>préparation</w:t>
      </w:r>
      <w:r w:rsidR="001837D1">
        <w:rPr>
          <w:bCs/>
        </w:rPr>
        <w:t xml:space="preserve"> du dossier de candidature</w:t>
      </w:r>
      <w:r>
        <w:rPr>
          <w:bCs/>
        </w:rPr>
        <w:t>?</w:t>
      </w:r>
    </w:p>
    <w:p w14:paraId="5F45E8B7" w14:textId="5DAC60CD" w:rsidR="00992439" w:rsidRPr="00992439" w:rsidRDefault="00992439" w:rsidP="00F24F73">
      <w:pPr>
        <w:pStyle w:val="Orateurengris"/>
        <w:ind w:left="709" w:hanging="709"/>
        <w:rPr>
          <w:bCs/>
        </w:rPr>
      </w:pPr>
      <w:r>
        <w:rPr>
          <w:bCs/>
        </w:rPr>
        <w:t xml:space="preserve">La </w:t>
      </w:r>
      <w:r w:rsidRPr="00992439">
        <w:rPr>
          <w:bCs/>
        </w:rPr>
        <w:t>délégation</w:t>
      </w:r>
      <w:r>
        <w:rPr>
          <w:bCs/>
        </w:rPr>
        <w:t xml:space="preserve"> de la </w:t>
      </w:r>
      <w:r w:rsidRPr="00992439">
        <w:rPr>
          <w:b/>
          <w:bCs/>
        </w:rPr>
        <w:t>Colombie</w:t>
      </w:r>
      <w:r>
        <w:rPr>
          <w:bCs/>
        </w:rPr>
        <w:t xml:space="preserve"> a salué la </w:t>
      </w:r>
      <w:r w:rsidRPr="00992439">
        <w:rPr>
          <w:bCs/>
        </w:rPr>
        <w:t xml:space="preserve">proposition </w:t>
      </w:r>
      <w:r>
        <w:rPr>
          <w:bCs/>
        </w:rPr>
        <w:t xml:space="preserve">de la Hongrie en faveur de la </w:t>
      </w:r>
      <w:r w:rsidRPr="00992439">
        <w:rPr>
          <w:bCs/>
        </w:rPr>
        <w:t>sauvegarde</w:t>
      </w:r>
      <w:r>
        <w:rPr>
          <w:bCs/>
        </w:rPr>
        <w:t xml:space="preserve"> du </w:t>
      </w:r>
      <w:r w:rsidRPr="00992439">
        <w:rPr>
          <w:bCs/>
        </w:rPr>
        <w:t>patrimoine</w:t>
      </w:r>
      <w:r>
        <w:rPr>
          <w:bCs/>
        </w:rPr>
        <w:t xml:space="preserve"> musical populaire par le concept Kodály. </w:t>
      </w:r>
      <w:r w:rsidR="00F97F4B">
        <w:rPr>
          <w:bCs/>
        </w:rPr>
        <w:t>Le rapport établi par l</w:t>
      </w:r>
      <w:r w:rsidR="00346F1B">
        <w:rPr>
          <w:bCs/>
        </w:rPr>
        <w:t>’</w:t>
      </w:r>
      <w:r w:rsidR="00F97F4B">
        <w:rPr>
          <w:bCs/>
        </w:rPr>
        <w:t>Organe d</w:t>
      </w:r>
      <w:r w:rsidR="00346F1B">
        <w:rPr>
          <w:bCs/>
        </w:rPr>
        <w:t>’</w:t>
      </w:r>
      <w:r w:rsidR="00F97F4B">
        <w:rPr>
          <w:bCs/>
        </w:rPr>
        <w:t>évaluation soulignait le fort potentiel de réussite de cette proposition. En outre, la Hongrie avait soumis de très nombreuses données. Pour cette raison et pour beaucoup d</w:t>
      </w:r>
      <w:r w:rsidR="00346F1B">
        <w:rPr>
          <w:bCs/>
        </w:rPr>
        <w:t>’</w:t>
      </w:r>
      <w:r w:rsidR="00F97F4B">
        <w:rPr>
          <w:bCs/>
        </w:rPr>
        <w:t>autres, comme l</w:t>
      </w:r>
      <w:r w:rsidR="00346F1B">
        <w:rPr>
          <w:bCs/>
        </w:rPr>
        <w:t>’</w:t>
      </w:r>
      <w:r w:rsidR="00F97F4B">
        <w:rPr>
          <w:bCs/>
        </w:rPr>
        <w:t>avaient exprimé les précédents intervenants, la Colombie soutenait pleinement l</w:t>
      </w:r>
      <w:r w:rsidR="00346F1B">
        <w:rPr>
          <w:bCs/>
        </w:rPr>
        <w:t>’</w:t>
      </w:r>
      <w:r w:rsidR="00F97F4B" w:rsidRPr="00F97F4B">
        <w:rPr>
          <w:bCs/>
        </w:rPr>
        <w:t>inscription</w:t>
      </w:r>
      <w:r w:rsidR="00F97F4B">
        <w:rPr>
          <w:bCs/>
        </w:rPr>
        <w:t xml:space="preserve"> de cette meilleure pratique, car il était </w:t>
      </w:r>
      <w:r w:rsidR="00F97F4B" w:rsidRPr="00F97F4B">
        <w:rPr>
          <w:bCs/>
        </w:rPr>
        <w:t>également</w:t>
      </w:r>
      <w:r w:rsidR="00F97F4B">
        <w:rPr>
          <w:bCs/>
        </w:rPr>
        <w:t xml:space="preserve"> évident que cette pratique faisait partie de la culture d</w:t>
      </w:r>
      <w:r w:rsidR="00346F1B">
        <w:rPr>
          <w:bCs/>
        </w:rPr>
        <w:t>’</w:t>
      </w:r>
      <w:r w:rsidR="00F97F4B">
        <w:rPr>
          <w:bCs/>
        </w:rPr>
        <w:t>autres pays et qu</w:t>
      </w:r>
      <w:r w:rsidR="00346F1B">
        <w:rPr>
          <w:bCs/>
        </w:rPr>
        <w:t>’</w:t>
      </w:r>
      <w:r w:rsidR="00F97F4B">
        <w:rPr>
          <w:bCs/>
        </w:rPr>
        <w:t xml:space="preserve">elle </w:t>
      </w:r>
      <w:r w:rsidR="001837D1">
        <w:rPr>
          <w:bCs/>
        </w:rPr>
        <w:t>avait des effets très positifs.</w:t>
      </w:r>
    </w:p>
    <w:p w14:paraId="62AF82D3" w14:textId="60743CDF" w:rsidR="00F97F4B" w:rsidRPr="00F97F4B" w:rsidRDefault="00F97F4B" w:rsidP="00F24F73">
      <w:pPr>
        <w:pStyle w:val="Orateurengris"/>
        <w:ind w:left="709" w:hanging="709"/>
        <w:rPr>
          <w:bCs/>
        </w:rPr>
      </w:pPr>
      <w:r>
        <w:rPr>
          <w:bCs/>
        </w:rPr>
        <w:t xml:space="preserve">La </w:t>
      </w:r>
      <w:r w:rsidRPr="00F97F4B">
        <w:rPr>
          <w:bCs/>
        </w:rPr>
        <w:t>délégation</w:t>
      </w:r>
      <w:r>
        <w:rPr>
          <w:bCs/>
        </w:rPr>
        <w:t xml:space="preserve"> de </w:t>
      </w:r>
      <w:r w:rsidRPr="00F97F4B">
        <w:rPr>
          <w:b/>
          <w:bCs/>
        </w:rPr>
        <w:t>Cuba</w:t>
      </w:r>
      <w:r>
        <w:rPr>
          <w:bCs/>
        </w:rPr>
        <w:t xml:space="preserve"> était favorable à la </w:t>
      </w:r>
      <w:r w:rsidRPr="00F97F4B">
        <w:rPr>
          <w:bCs/>
        </w:rPr>
        <w:t>candidature</w:t>
      </w:r>
      <w:r>
        <w:rPr>
          <w:bCs/>
        </w:rPr>
        <w:t xml:space="preserve"> du concept Kodály. Toutefois, elle avait le sentiment qu</w:t>
      </w:r>
      <w:r w:rsidR="00346F1B">
        <w:rPr>
          <w:bCs/>
        </w:rPr>
        <w:t>’</w:t>
      </w:r>
      <w:r>
        <w:rPr>
          <w:bCs/>
        </w:rPr>
        <w:t>il était important que l</w:t>
      </w:r>
      <w:r w:rsidR="00346F1B">
        <w:rPr>
          <w:bCs/>
        </w:rPr>
        <w:t>’</w:t>
      </w:r>
      <w:r>
        <w:rPr>
          <w:bCs/>
        </w:rPr>
        <w:t>Organe d</w:t>
      </w:r>
      <w:r w:rsidR="00346F1B">
        <w:rPr>
          <w:bCs/>
        </w:rPr>
        <w:t>’</w:t>
      </w:r>
      <w:r>
        <w:rPr>
          <w:bCs/>
        </w:rPr>
        <w:t xml:space="preserve">évaluation améliore quelque peu ses recommandations sur les meilleures pratiques. En effet, </w:t>
      </w:r>
      <w:r w:rsidR="00BD1890">
        <w:rPr>
          <w:bCs/>
        </w:rPr>
        <w:t xml:space="preserve">lorsque </w:t>
      </w:r>
      <w:r>
        <w:rPr>
          <w:bCs/>
        </w:rPr>
        <w:t>le Comité</w:t>
      </w:r>
      <w:r w:rsidR="00BD1890">
        <w:rPr>
          <w:bCs/>
        </w:rPr>
        <w:t xml:space="preserve"> examinait les candidatures</w:t>
      </w:r>
      <w:r>
        <w:rPr>
          <w:bCs/>
        </w:rPr>
        <w:t xml:space="preserve">, il </w:t>
      </w:r>
      <w:r w:rsidR="00BD1890">
        <w:rPr>
          <w:bCs/>
        </w:rPr>
        <w:t xml:space="preserve">lui </w:t>
      </w:r>
      <w:r>
        <w:rPr>
          <w:bCs/>
        </w:rPr>
        <w:t>était difficile de comprendre les conclusions de l</w:t>
      </w:r>
      <w:r w:rsidR="00346F1B">
        <w:rPr>
          <w:bCs/>
        </w:rPr>
        <w:t>’</w:t>
      </w:r>
      <w:r>
        <w:rPr>
          <w:bCs/>
        </w:rPr>
        <w:t xml:space="preserve">Organe </w:t>
      </w:r>
      <w:r w:rsidR="00BD1890">
        <w:rPr>
          <w:bCs/>
        </w:rPr>
        <w:t xml:space="preserve">alors que tous les critères avaient été jugés positifs. Il fallait reconnaître que dans ce type de </w:t>
      </w:r>
      <w:r w:rsidR="00BD1890" w:rsidRPr="00BD1890">
        <w:rPr>
          <w:bCs/>
        </w:rPr>
        <w:t>candidature</w:t>
      </w:r>
      <w:r w:rsidR="00BD1890">
        <w:rPr>
          <w:bCs/>
        </w:rPr>
        <w:t>, la position de l</w:t>
      </w:r>
      <w:r w:rsidR="00346F1B">
        <w:rPr>
          <w:bCs/>
        </w:rPr>
        <w:t>’</w:t>
      </w:r>
      <w:r w:rsidR="00BD1890">
        <w:rPr>
          <w:bCs/>
        </w:rPr>
        <w:t xml:space="preserve">Organe était </w:t>
      </w:r>
      <w:r w:rsidR="00BD1890" w:rsidRPr="00BD1890">
        <w:rPr>
          <w:bCs/>
        </w:rPr>
        <w:t>particulièrement</w:t>
      </w:r>
      <w:r w:rsidR="00BD1890">
        <w:rPr>
          <w:bCs/>
        </w:rPr>
        <w:t xml:space="preserve"> difficile à saisir. En outre, la </w:t>
      </w:r>
      <w:r w:rsidR="00BD1890" w:rsidRPr="00BD1890">
        <w:rPr>
          <w:bCs/>
        </w:rPr>
        <w:t>délégation</w:t>
      </w:r>
      <w:r w:rsidR="00BD1890">
        <w:rPr>
          <w:bCs/>
        </w:rPr>
        <w:t xml:space="preserve"> avait relevé dans ce dossier le même libellé que celui utilisé dans la </w:t>
      </w:r>
      <w:r w:rsidR="00BD1890" w:rsidRPr="00BD1890">
        <w:rPr>
          <w:bCs/>
        </w:rPr>
        <w:t>recommandation</w:t>
      </w:r>
      <w:r w:rsidR="00BD1890">
        <w:rPr>
          <w:bCs/>
        </w:rPr>
        <w:t xml:space="preserve"> pour l</w:t>
      </w:r>
      <w:r w:rsidR="00346F1B">
        <w:rPr>
          <w:bCs/>
        </w:rPr>
        <w:t>’</w:t>
      </w:r>
      <w:r w:rsidR="00BD1890">
        <w:rPr>
          <w:bCs/>
        </w:rPr>
        <w:t>Argentine. Il était donc d</w:t>
      </w:r>
      <w:r w:rsidR="00346F1B">
        <w:rPr>
          <w:bCs/>
        </w:rPr>
        <w:t>’</w:t>
      </w:r>
      <w:r w:rsidR="00BD1890">
        <w:rPr>
          <w:bCs/>
        </w:rPr>
        <w:t>emblée évident que le conce</w:t>
      </w:r>
      <w:r w:rsidR="001837D1">
        <w:rPr>
          <w:bCs/>
        </w:rPr>
        <w:t>pt Kodály devrait être inscrit.</w:t>
      </w:r>
    </w:p>
    <w:p w14:paraId="634C0D50" w14:textId="6650212F" w:rsidR="00BD1890" w:rsidRDefault="00BD1890" w:rsidP="00F24F73">
      <w:pPr>
        <w:pStyle w:val="Orateurengris"/>
        <w:ind w:left="709" w:hanging="709"/>
      </w:pPr>
      <w:r>
        <w:t xml:space="preserve">La délégation de la </w:t>
      </w:r>
      <w:r w:rsidRPr="00BD1890">
        <w:rPr>
          <w:b/>
        </w:rPr>
        <w:t>Palestine</w:t>
      </w:r>
      <w:r w:rsidR="00450503">
        <w:t xml:space="preserve"> estimait </w:t>
      </w:r>
      <w:r>
        <w:t>que la Turquie, l</w:t>
      </w:r>
      <w:r w:rsidR="00346F1B">
        <w:t>’</w:t>
      </w:r>
      <w:r>
        <w:t>Éthiopie et l</w:t>
      </w:r>
      <w:r w:rsidR="00346F1B">
        <w:t>’</w:t>
      </w:r>
      <w:r>
        <w:t>Algérie avaient apporté une réponse partielle, voire complète, aux préoccupations exprimées par l</w:t>
      </w:r>
      <w:r w:rsidR="00346F1B">
        <w:t>’</w:t>
      </w:r>
      <w:r>
        <w:t>Organe d</w:t>
      </w:r>
      <w:r w:rsidR="00346F1B">
        <w:t>’</w:t>
      </w:r>
      <w:r>
        <w:t>évaluation. L</w:t>
      </w:r>
      <w:r w:rsidR="00346F1B">
        <w:t>’</w:t>
      </w:r>
      <w:r>
        <w:t>info</w:t>
      </w:r>
      <w:r w:rsidR="00A915E9">
        <w:t>rmation importante à retenir sur</w:t>
      </w:r>
      <w:r>
        <w:t xml:space="preserve"> le concept Kodály était qu</w:t>
      </w:r>
      <w:r w:rsidR="00346F1B">
        <w:t>’</w:t>
      </w:r>
      <w:r>
        <w:t>il n</w:t>
      </w:r>
      <w:r w:rsidR="00346F1B">
        <w:t>’</w:t>
      </w:r>
      <w:r>
        <w:t xml:space="preserve">était pas réservé uniquement à la Hongrie. En effet, des ONG du monde entier </w:t>
      </w:r>
      <w:r w:rsidR="00A915E9">
        <w:t>appliquaient cette méthode de sauvegarde et de transmission du PCI. À ce sujet, la délégation a fait référence à des ONG très actives au Liban et en Grande-Bretagne, mais également dans le monde entier, ce qui était important à prendre en considération. La délégation a rappelé que les membres qui s</w:t>
      </w:r>
      <w:r w:rsidR="00346F1B">
        <w:t>’</w:t>
      </w:r>
      <w:r w:rsidR="00A915E9">
        <w:t>étaient exprimés précédemment avaient répondu de façon très convaincante à la question de savoir comment ce concept contribuait à la sauvegarde et à la transmission.</w:t>
      </w:r>
    </w:p>
    <w:p w14:paraId="09D4393F" w14:textId="03BEE635" w:rsidR="00A915E9" w:rsidRPr="00A915E9" w:rsidRDefault="00A915E9" w:rsidP="00F24F73">
      <w:pPr>
        <w:pStyle w:val="Orateurengris"/>
        <w:ind w:left="709" w:hanging="709"/>
      </w:pPr>
      <w:r w:rsidRPr="00A915E9">
        <w:t xml:space="preserve">La délégation de la </w:t>
      </w:r>
      <w:r w:rsidRPr="00A915E9">
        <w:rPr>
          <w:b/>
        </w:rPr>
        <w:t>Turquie</w:t>
      </w:r>
      <w:r w:rsidRPr="00A915E9">
        <w:t xml:space="preserve"> </w:t>
      </w:r>
      <w:r>
        <w:t>souhaitait entendre la Hongrie sur la façon dont le système Kodály contribuerait à la v</w:t>
      </w:r>
      <w:r w:rsidR="001837D1">
        <w:t>iabilité du patrimoine musical.</w:t>
      </w:r>
    </w:p>
    <w:p w14:paraId="31B0AB78" w14:textId="7BB12D1D" w:rsidR="00A915E9" w:rsidRDefault="00A915E9" w:rsidP="00F24F73">
      <w:pPr>
        <w:pStyle w:val="Orateurengris"/>
        <w:ind w:left="709" w:hanging="709"/>
      </w:pPr>
      <w:r>
        <w:t xml:space="preserve">Le </w:t>
      </w:r>
      <w:r w:rsidRPr="00A915E9">
        <w:rPr>
          <w:b/>
        </w:rPr>
        <w:t>Vice-Président</w:t>
      </w:r>
      <w:r>
        <w:t xml:space="preserve"> a pris note des questions et des commentaires favorables adressés à l</w:t>
      </w:r>
      <w:r w:rsidR="00346F1B">
        <w:t>’</w:t>
      </w:r>
      <w:r>
        <w:t>État soumissionnaire, à qui il a dem</w:t>
      </w:r>
      <w:r w:rsidR="001837D1">
        <w:t>andé de répondre succinctement.</w:t>
      </w:r>
    </w:p>
    <w:p w14:paraId="0E0134D3" w14:textId="0F1708A7" w:rsidR="00BF76DB" w:rsidRPr="00BF76DB" w:rsidRDefault="00173B6A" w:rsidP="00F24F73">
      <w:pPr>
        <w:pStyle w:val="Orateurengris"/>
        <w:ind w:left="709" w:hanging="709"/>
        <w:rPr>
          <w:bCs/>
        </w:rPr>
      </w:pPr>
      <w:r>
        <w:rPr>
          <w:bCs/>
        </w:rPr>
        <w:t xml:space="preserve">La </w:t>
      </w:r>
      <w:r w:rsidRPr="00173B6A">
        <w:rPr>
          <w:bCs/>
        </w:rPr>
        <w:t>délégation</w:t>
      </w:r>
      <w:r>
        <w:rPr>
          <w:bCs/>
        </w:rPr>
        <w:t xml:space="preserve"> de la </w:t>
      </w:r>
      <w:r w:rsidRPr="00173B6A">
        <w:rPr>
          <w:b/>
          <w:bCs/>
        </w:rPr>
        <w:t>Hongrie</w:t>
      </w:r>
      <w:r>
        <w:rPr>
          <w:bCs/>
        </w:rPr>
        <w:t xml:space="preserve"> a remercié le Comité pour les nombreuses questions</w:t>
      </w:r>
      <w:r w:rsidR="005D759B">
        <w:rPr>
          <w:bCs/>
        </w:rPr>
        <w:t xml:space="preserve"> posées</w:t>
      </w:r>
      <w:r>
        <w:rPr>
          <w:bCs/>
        </w:rPr>
        <w:t>. Elle a expliqué que l</w:t>
      </w:r>
      <w:r w:rsidR="00346F1B">
        <w:rPr>
          <w:bCs/>
        </w:rPr>
        <w:t>’</w:t>
      </w:r>
      <w:r>
        <w:rPr>
          <w:bCs/>
        </w:rPr>
        <w:t xml:space="preserve">essence même du concept était basée sur le fait que, dans le domaine du </w:t>
      </w:r>
      <w:r w:rsidRPr="00173B6A">
        <w:rPr>
          <w:bCs/>
        </w:rPr>
        <w:t>patrimoine</w:t>
      </w:r>
      <w:r>
        <w:rPr>
          <w:bCs/>
        </w:rPr>
        <w:t xml:space="preserve"> musical, les formes traditionnelles de </w:t>
      </w:r>
      <w:r w:rsidRPr="00173B6A">
        <w:rPr>
          <w:bCs/>
        </w:rPr>
        <w:t xml:space="preserve">transmission </w:t>
      </w:r>
      <w:r w:rsidR="005D759B">
        <w:rPr>
          <w:bCs/>
        </w:rPr>
        <w:t>étaient moins efficac</w:t>
      </w:r>
      <w:r w:rsidR="000379B8">
        <w:rPr>
          <w:bCs/>
        </w:rPr>
        <w:t>es, elles avaient même disparu</w:t>
      </w:r>
      <w:r w:rsidR="005D759B">
        <w:rPr>
          <w:bCs/>
        </w:rPr>
        <w:t xml:space="preserve"> dans les sociétés modernes. Le concept </w:t>
      </w:r>
      <w:r w:rsidR="005D759B">
        <w:t>Kodály visait à renforcer la transmission de la musique traditionnelle en l</w:t>
      </w:r>
      <w:r w:rsidR="00346F1B">
        <w:t>’</w:t>
      </w:r>
      <w:r w:rsidR="005D759B">
        <w:t>intégrant au système éducatif, avec la participation de la communauté concernée. S</w:t>
      </w:r>
      <w:r w:rsidR="00346F1B">
        <w:t>’</w:t>
      </w:r>
      <w:r w:rsidR="005D759B">
        <w:t xml:space="preserve">agissant du critère </w:t>
      </w:r>
      <w:r w:rsidR="003E0BF5">
        <w:t xml:space="preserve">P.1, la question était la suivante : </w:t>
      </w:r>
      <w:r w:rsidR="000379B8">
        <w:t xml:space="preserve">en quoi </w:t>
      </w:r>
      <w:r w:rsidR="003E0BF5">
        <w:t>le processus de</w:t>
      </w:r>
      <w:r w:rsidR="005D759B">
        <w:t xml:space="preserve"> transmission </w:t>
      </w:r>
      <w:r w:rsidR="000379B8">
        <w:t>faisait-il partie de la sauvegarde et de</w:t>
      </w:r>
      <w:r w:rsidR="005D759B">
        <w:t xml:space="preserve"> la sauvegarde contextualisée </w:t>
      </w:r>
      <w:r w:rsidR="003E0BF5">
        <w:t>dans les communautés concernées ? La délégation a expliqué que des méthodes d</w:t>
      </w:r>
      <w:r w:rsidR="00346F1B">
        <w:t>’</w:t>
      </w:r>
      <w:r w:rsidR="003E0BF5">
        <w:t xml:space="preserve">enseignement existaient pour chaque école hongroise, y compris les écoles des communautés locales où les détenteurs de tradition musicale populaire vivaient. Il existait également des programmes scolaires locaux qui permettaient la diffusion auprès du plus grand nombre du patrimoine musical local, au </w:t>
      </w:r>
      <w:r w:rsidR="00B600B4">
        <w:t>côté</w:t>
      </w:r>
      <w:r w:rsidR="003E0BF5">
        <w:t xml:space="preserve"> du matériel pédagogique général. Ai</w:t>
      </w:r>
      <w:r w:rsidR="000379B8">
        <w:t>nsi, l</w:t>
      </w:r>
      <w:r w:rsidR="00346F1B">
        <w:t>’</w:t>
      </w:r>
      <w:r w:rsidR="000379B8">
        <w:t>enseignement des chants</w:t>
      </w:r>
      <w:r w:rsidR="003E0BF5">
        <w:t xml:space="preserve"> populaires dans le cadre du système éducatif revenait directement aux communautés ; il permettait de transmettre des formes musicales et renforçait la pratique active de la musique au sein des communautés. S</w:t>
      </w:r>
      <w:r w:rsidR="00346F1B">
        <w:t>’</w:t>
      </w:r>
      <w:r w:rsidR="003E0BF5">
        <w:t>agissant du critère P.3, les communautés concernées participaient au projet, y compris les musicologues professionnels, les professeurs de musique et les institutions. En ce qui concerne le concept, les éducateurs</w:t>
      </w:r>
      <w:r w:rsidR="00D060DA">
        <w:t xml:space="preserve"> et professeurs de musique issus des communautés locales participaient également à la mise en œuvre de la méthode, notamment à la conception de</w:t>
      </w:r>
      <w:r w:rsidR="000379B8">
        <w:t>s</w:t>
      </w:r>
      <w:r w:rsidR="00D060DA">
        <w:t xml:space="preserve"> programmes scolaires locaux et nationaux. Cela permettait un recyclage du patrimoine musical local. Les communautés concernées ne se limitaient toutefois pas aux détenteurs du patrimoine, elles accueillaient également ceux qui concevaient et mettaient en œuvre les programmes de sauvegarde, comme par exemple, les enfants des écoles maternelles, les élèves et enseignants des écoles, divers groupes de musique populaire, et les participants à des concours et des festivals de musique. En outre, de nombreuses </w:t>
      </w:r>
      <w:r w:rsidR="00D060DA" w:rsidRPr="00671110">
        <w:t>ONG locales, régionales et nationales œuvraient à la sauvegarde du patrimoine</w:t>
      </w:r>
      <w:r w:rsidR="00D060DA">
        <w:t xml:space="preserve"> musical populaire. En réponse à la question de la Turquie sur </w:t>
      </w:r>
      <w:r w:rsidR="00671110" w:rsidRPr="00DC5A29">
        <w:t xml:space="preserve">la </w:t>
      </w:r>
      <w:r w:rsidR="00D060DA" w:rsidRPr="00DC5A29">
        <w:t>coordination</w:t>
      </w:r>
      <w:r w:rsidR="00671110" w:rsidRPr="00DC5A29">
        <w:t xml:space="preserve"> des efforts</w:t>
      </w:r>
      <w:r w:rsidR="00D060DA" w:rsidRPr="00DC5A29">
        <w:t>, la délégation a expliqué que le concept Kodály y co</w:t>
      </w:r>
      <w:r w:rsidR="00D060DA">
        <w:t>ntribuait, et qu</w:t>
      </w:r>
      <w:r w:rsidR="00346F1B">
        <w:t>’</w:t>
      </w:r>
      <w:r w:rsidR="00D060DA">
        <w:t xml:space="preserve">une coopération particulièrement </w:t>
      </w:r>
      <w:r w:rsidR="000379B8">
        <w:t xml:space="preserve">solide </w:t>
      </w:r>
      <w:r w:rsidR="00D060DA">
        <w:t>s</w:t>
      </w:r>
      <w:r w:rsidR="00346F1B">
        <w:t>’</w:t>
      </w:r>
      <w:r w:rsidR="00D060DA">
        <w:t>était développée avec l</w:t>
      </w:r>
      <w:r w:rsidR="00346F1B">
        <w:t>’</w:t>
      </w:r>
      <w:r w:rsidR="00D060DA">
        <w:t>Australie, le Japon la République de Corée, la Chine, Singapour, d</w:t>
      </w:r>
      <w:r w:rsidR="00346F1B">
        <w:t>’</w:t>
      </w:r>
      <w:r w:rsidR="00D060DA">
        <w:t>autres pays d</w:t>
      </w:r>
      <w:r w:rsidR="00346F1B">
        <w:t>’</w:t>
      </w:r>
      <w:r w:rsidR="00D060DA">
        <w:t xml:space="preserve">Asie du sud-est, certaines universités des États-Unis dans le cadre </w:t>
      </w:r>
      <w:r w:rsidR="00A44FD8">
        <w:t>de l</w:t>
      </w:r>
      <w:r w:rsidR="00346F1B">
        <w:t>’</w:t>
      </w:r>
      <w:r w:rsidR="00A44FD8">
        <w:t>Organisation des enseignants</w:t>
      </w:r>
      <w:r w:rsidR="00D060DA">
        <w:t xml:space="preserve"> américains </w:t>
      </w:r>
      <w:r w:rsidR="00A44FD8">
        <w:t>de la méthode Kodály, ainsi qu</w:t>
      </w:r>
      <w:r w:rsidR="00346F1B">
        <w:t>’</w:t>
      </w:r>
      <w:r w:rsidR="00A44FD8">
        <w:t>avec la Grande-Bretagne, l</w:t>
      </w:r>
      <w:r w:rsidR="00346F1B">
        <w:t>’</w:t>
      </w:r>
      <w:r w:rsidR="00A44FD8">
        <w:t>Irlande et les pays scandinaves. Grace à cette coopération développée au cours des cinquante dernières années, le concept Kodály et sa méthode étaient devenus un modèle très répandu de sauvegarde du patrimoine musical. S</w:t>
      </w:r>
      <w:r w:rsidR="00346F1B">
        <w:t>’</w:t>
      </w:r>
      <w:r w:rsidR="00A44FD8">
        <w:t>agissant du point soulevé par l</w:t>
      </w:r>
      <w:r w:rsidR="00346F1B">
        <w:t>’</w:t>
      </w:r>
      <w:r w:rsidR="00A44FD8">
        <w:t>Éthiopie, la délégation pouvait attester le développement et la mise à jour efficaces du concept Kodály par l</w:t>
      </w:r>
      <w:r w:rsidR="00346F1B">
        <w:t>’</w:t>
      </w:r>
      <w:r w:rsidR="00A44FD8">
        <w:t>existence d</w:t>
      </w:r>
      <w:r w:rsidR="00346F1B">
        <w:t>’</w:t>
      </w:r>
      <w:r w:rsidR="00A44FD8">
        <w:t xml:space="preserve">activités telles que des concours annuels de </w:t>
      </w:r>
      <w:r w:rsidR="00361DC2">
        <w:t xml:space="preserve">chants </w:t>
      </w:r>
      <w:r w:rsidR="00A44FD8">
        <w:t>populaires organisés au</w:t>
      </w:r>
      <w:r w:rsidR="000379B8">
        <w:t>x</w:t>
      </w:r>
      <w:r w:rsidR="00A44FD8">
        <w:t xml:space="preserve"> niveau</w:t>
      </w:r>
      <w:r w:rsidR="000379B8">
        <w:t>x</w:t>
      </w:r>
      <w:r w:rsidR="00A44FD8">
        <w:t xml:space="preserve"> régional et national pour des groupes d</w:t>
      </w:r>
      <w:r w:rsidR="00346F1B">
        <w:t>’</w:t>
      </w:r>
      <w:r w:rsidR="00A44FD8">
        <w:t>enfants d</w:t>
      </w:r>
      <w:r w:rsidR="00346F1B">
        <w:t>’</w:t>
      </w:r>
      <w:r w:rsidR="00A44FD8">
        <w:t>âge scolaire, com</w:t>
      </w:r>
      <w:r w:rsidR="00361DC2">
        <w:t xml:space="preserve">me mentionné dans le dossier. Depuis les années 1970, des camps de vacances de musique populaire étaient également organisés. </w:t>
      </w:r>
      <w:r w:rsidR="009A1E03">
        <w:t>Depuis 2012, le titre de « Terre de ressources » avait été attribué à douze communautés locales. Une fois de plus, cela consistait</w:t>
      </w:r>
      <w:r w:rsidR="00E70846">
        <w:t xml:space="preserve"> à </w:t>
      </w:r>
      <w:r w:rsidR="00BF76DB">
        <w:t xml:space="preserve">documenter </w:t>
      </w:r>
      <w:r w:rsidR="00E70846">
        <w:t>le patrimoine musical, le faire revenir</w:t>
      </w:r>
      <w:r w:rsidR="00BF76DB">
        <w:t xml:space="preserve"> dans le système éducatif</w:t>
      </w:r>
      <w:r w:rsidR="00E70846" w:rsidRPr="00E70846">
        <w:t xml:space="preserve"> </w:t>
      </w:r>
      <w:r w:rsidR="00E70846">
        <w:t>et le rendre à la communauté locale</w:t>
      </w:r>
      <w:r w:rsidR="00BF76DB">
        <w:t xml:space="preserve">. </w:t>
      </w:r>
      <w:r w:rsidR="00361DC2">
        <w:t xml:space="preserve">En outre, </w:t>
      </w:r>
      <w:r w:rsidR="00671110">
        <w:t>il existait un autre registre pour la</w:t>
      </w:r>
      <w:r w:rsidR="00361DC2">
        <w:t xml:space="preserve"> musique populaire, le Catalogue des valeurs locales</w:t>
      </w:r>
      <w:r w:rsidR="00671110">
        <w:t xml:space="preserve">. </w:t>
      </w:r>
      <w:r w:rsidR="00BF76DB">
        <w:t>La délégation a évoqué le nombre croissant de lieux en Hongrie qui avaient utilisé les dispositions de la loi sur l</w:t>
      </w:r>
      <w:r w:rsidR="00346F1B">
        <w:t>’</w:t>
      </w:r>
      <w:r w:rsidR="00BF76DB">
        <w:t>éducation nationale pour créer des programmes scolaires locaux d</w:t>
      </w:r>
      <w:r w:rsidR="00346F1B">
        <w:t>’</w:t>
      </w:r>
      <w:r w:rsidR="00BF76DB">
        <w:t>éducation musicale. Enfin, s</w:t>
      </w:r>
      <w:r w:rsidR="00346F1B">
        <w:t>’</w:t>
      </w:r>
      <w:r w:rsidR="00BF76DB">
        <w:t>agissant de la question de l</w:t>
      </w:r>
      <w:r w:rsidR="00346F1B">
        <w:t>’</w:t>
      </w:r>
      <w:r w:rsidR="00BF76DB">
        <w:t>Inde sur le critère P.8, la délégation a fait référence aux informations du dossier sur les indicateurs de performance qui faisaient état d</w:t>
      </w:r>
      <w:r w:rsidR="00346F1B">
        <w:t>’</w:t>
      </w:r>
      <w:r w:rsidR="00BF76DB">
        <w:t xml:space="preserve">une augmentation considérable du nombre de communautés praticiennes, de </w:t>
      </w:r>
      <w:r w:rsidR="000379B8">
        <w:t>chanteurs, de chorales et de groupes musicaux et instrumentaux, ainsi que de l</w:t>
      </w:r>
      <w:r w:rsidR="00346F1B">
        <w:t>’</w:t>
      </w:r>
      <w:r w:rsidR="000379B8">
        <w:t xml:space="preserve">intérêt accru du public pour la musique populaire. Cela </w:t>
      </w:r>
      <w:r w:rsidR="00A75DE4">
        <w:t xml:space="preserve">prouvait </w:t>
      </w:r>
      <w:r w:rsidR="000379B8">
        <w:t>qu</w:t>
      </w:r>
      <w:r w:rsidR="00346F1B">
        <w:t>’</w:t>
      </w:r>
      <w:r w:rsidR="000379B8">
        <w:t>il y avait des expériences dont les résultats éta</w:t>
      </w:r>
      <w:r w:rsidR="00E70846">
        <w:t>ient susceptibles d</w:t>
      </w:r>
      <w:r w:rsidR="00346F1B">
        <w:t>’</w:t>
      </w:r>
      <w:r w:rsidR="00E70846">
        <w:t xml:space="preserve">être évalués, comme exigé par le critère </w:t>
      </w:r>
      <w:r w:rsidR="001837D1">
        <w:t>qui était donc satisfait.</w:t>
      </w:r>
    </w:p>
    <w:p w14:paraId="17A7598F" w14:textId="5582FD74" w:rsidR="00E70846" w:rsidRPr="00E70846" w:rsidRDefault="00E70846" w:rsidP="00F24F73">
      <w:pPr>
        <w:pStyle w:val="Orateurengris"/>
        <w:ind w:left="709" w:hanging="709"/>
        <w:rPr>
          <w:bCs/>
        </w:rPr>
      </w:pPr>
      <w:r>
        <w:rPr>
          <w:bCs/>
        </w:rPr>
        <w:t xml:space="preserve">Le </w:t>
      </w:r>
      <w:r w:rsidRPr="00E70846">
        <w:rPr>
          <w:b/>
          <w:bCs/>
        </w:rPr>
        <w:t>Vice-Président</w:t>
      </w:r>
      <w:r>
        <w:rPr>
          <w:bCs/>
        </w:rPr>
        <w:t xml:space="preserve"> a remercié la Hongrie pour ses explications claires et concises, espérant que le Comité serait pleinement </w:t>
      </w:r>
      <w:r w:rsidR="001837D1">
        <w:rPr>
          <w:bCs/>
        </w:rPr>
        <w:t>satisfait des réponses données.</w:t>
      </w:r>
    </w:p>
    <w:p w14:paraId="07098F2B" w14:textId="0ECAD4C3" w:rsidR="00E70846" w:rsidRPr="00E70846" w:rsidRDefault="00E70846" w:rsidP="00F24F73">
      <w:pPr>
        <w:pStyle w:val="Orateurengris"/>
        <w:ind w:left="709" w:hanging="709"/>
        <w:rPr>
          <w:bCs/>
        </w:rPr>
      </w:pPr>
      <w:r>
        <w:rPr>
          <w:bCs/>
        </w:rPr>
        <w:t xml:space="preserve">Suite aux éclaircissements apportés, la </w:t>
      </w:r>
      <w:r w:rsidRPr="00E70846">
        <w:rPr>
          <w:bCs/>
        </w:rPr>
        <w:t>délégation</w:t>
      </w:r>
      <w:r>
        <w:rPr>
          <w:bCs/>
        </w:rPr>
        <w:t xml:space="preserve"> de </w:t>
      </w:r>
      <w:r w:rsidRPr="00E70846">
        <w:rPr>
          <w:b/>
          <w:bCs/>
        </w:rPr>
        <w:t>Chypre</w:t>
      </w:r>
      <w:r>
        <w:rPr>
          <w:bCs/>
        </w:rPr>
        <w:t xml:space="preserve"> soutenait fermement l</w:t>
      </w:r>
      <w:r w:rsidR="00346F1B">
        <w:rPr>
          <w:bCs/>
        </w:rPr>
        <w:t>’</w:t>
      </w:r>
      <w:r w:rsidRPr="00E70846">
        <w:rPr>
          <w:bCs/>
        </w:rPr>
        <w:t>inscription</w:t>
      </w:r>
      <w:r w:rsidR="001837D1">
        <w:rPr>
          <w:bCs/>
        </w:rPr>
        <w:t xml:space="preserve"> du concept.</w:t>
      </w:r>
    </w:p>
    <w:p w14:paraId="4FD69A78" w14:textId="3BBB329B" w:rsidR="00E70846" w:rsidRPr="00E70846" w:rsidRDefault="00E70846" w:rsidP="00F24F73">
      <w:pPr>
        <w:pStyle w:val="Orateurengris"/>
        <w:ind w:left="709" w:hanging="709"/>
        <w:rPr>
          <w:bCs/>
        </w:rPr>
      </w:pPr>
      <w:r>
        <w:rPr>
          <w:bCs/>
        </w:rPr>
        <w:t xml:space="preserve">Le </w:t>
      </w:r>
      <w:r w:rsidRPr="00E70846">
        <w:rPr>
          <w:b/>
          <w:bCs/>
        </w:rPr>
        <w:t>Vice-Président</w:t>
      </w:r>
      <w:r>
        <w:rPr>
          <w:bCs/>
        </w:rPr>
        <w:t xml:space="preserve"> a procédé à l</w:t>
      </w:r>
      <w:r w:rsidR="00346F1B">
        <w:rPr>
          <w:bCs/>
        </w:rPr>
        <w:t>’</w:t>
      </w:r>
      <w:r>
        <w:rPr>
          <w:bCs/>
        </w:rPr>
        <w:t xml:space="preserve">adoption du projet de décision </w:t>
      </w:r>
      <w:r w:rsidRPr="00E70846">
        <w:rPr>
          <w:bCs/>
        </w:rPr>
        <w:t>paragraphe</w:t>
      </w:r>
      <w:r>
        <w:rPr>
          <w:bCs/>
        </w:rPr>
        <w:t xml:space="preserve"> par </w:t>
      </w:r>
      <w:r w:rsidRPr="00E70846">
        <w:rPr>
          <w:bCs/>
        </w:rPr>
        <w:t>paragraphe</w:t>
      </w:r>
      <w:r>
        <w:rPr>
          <w:bCs/>
        </w:rPr>
        <w:t xml:space="preserve">. </w:t>
      </w:r>
      <w:r w:rsidRPr="00E70846">
        <w:rPr>
          <w:bCs/>
        </w:rPr>
        <w:t>En l</w:t>
      </w:r>
      <w:r w:rsidR="00346F1B">
        <w:rPr>
          <w:bCs/>
        </w:rPr>
        <w:t>’</w:t>
      </w:r>
      <w:r w:rsidRPr="00E70846">
        <w:rPr>
          <w:bCs/>
        </w:rPr>
        <w:t>absence d</w:t>
      </w:r>
      <w:r w:rsidR="00346F1B">
        <w:rPr>
          <w:bCs/>
        </w:rPr>
        <w:t>’</w:t>
      </w:r>
      <w:r>
        <w:rPr>
          <w:bCs/>
        </w:rPr>
        <w:t>objections, l</w:t>
      </w:r>
      <w:r w:rsidRPr="00E70846">
        <w:rPr>
          <w:bCs/>
        </w:rPr>
        <w:t xml:space="preserve">e paragraphe 1 a été </w:t>
      </w:r>
      <w:r w:rsidR="008052AC">
        <w:rPr>
          <w:bCs/>
        </w:rPr>
        <w:t>dûment</w:t>
      </w:r>
      <w:r>
        <w:rPr>
          <w:bCs/>
        </w:rPr>
        <w:t xml:space="preserve"> adopté. Dans le </w:t>
      </w:r>
      <w:r w:rsidRPr="00E70846">
        <w:rPr>
          <w:bCs/>
        </w:rPr>
        <w:t>paragraphe</w:t>
      </w:r>
      <w:r>
        <w:rPr>
          <w:bCs/>
        </w:rPr>
        <w:t xml:space="preserve"> 2, le </w:t>
      </w:r>
      <w:r w:rsidRPr="00E70846">
        <w:rPr>
          <w:bCs/>
        </w:rPr>
        <w:t>paragraphe</w:t>
      </w:r>
      <w:r>
        <w:rPr>
          <w:bCs/>
        </w:rPr>
        <w:t xml:space="preserve"> sur le </w:t>
      </w:r>
      <w:r w:rsidRPr="00E70846">
        <w:rPr>
          <w:bCs/>
        </w:rPr>
        <w:t>critère</w:t>
      </w:r>
      <w:r>
        <w:rPr>
          <w:bCs/>
        </w:rPr>
        <w:t xml:space="preserve"> P.1 a été adopté tel qu</w:t>
      </w:r>
      <w:r w:rsidR="00346F1B">
        <w:rPr>
          <w:bCs/>
        </w:rPr>
        <w:t>’</w:t>
      </w:r>
      <w:r>
        <w:rPr>
          <w:bCs/>
        </w:rPr>
        <w:t xml:space="preserve">amendé par la Bulgarie. Le </w:t>
      </w:r>
      <w:r w:rsidRPr="00E70846">
        <w:rPr>
          <w:bCs/>
        </w:rPr>
        <w:t>paragraphe</w:t>
      </w:r>
      <w:r>
        <w:rPr>
          <w:bCs/>
        </w:rPr>
        <w:t xml:space="preserve"> sur le </w:t>
      </w:r>
      <w:r w:rsidRPr="00E70846">
        <w:rPr>
          <w:bCs/>
        </w:rPr>
        <w:t>critère</w:t>
      </w:r>
      <w:r>
        <w:rPr>
          <w:bCs/>
        </w:rPr>
        <w:t xml:space="preserve"> P.2 a été adopté tel qu</w:t>
      </w:r>
      <w:r w:rsidR="00346F1B">
        <w:rPr>
          <w:bCs/>
        </w:rPr>
        <w:t>’</w:t>
      </w:r>
      <w:r>
        <w:rPr>
          <w:bCs/>
        </w:rPr>
        <w:t xml:space="preserve">amendé par la Turquie. Le </w:t>
      </w:r>
      <w:r w:rsidRPr="00E70846">
        <w:rPr>
          <w:bCs/>
        </w:rPr>
        <w:t>paragraphe</w:t>
      </w:r>
      <w:r>
        <w:rPr>
          <w:bCs/>
        </w:rPr>
        <w:t xml:space="preserve"> sur le </w:t>
      </w:r>
      <w:r w:rsidRPr="00E70846">
        <w:rPr>
          <w:bCs/>
        </w:rPr>
        <w:t>critère</w:t>
      </w:r>
      <w:r>
        <w:rPr>
          <w:bCs/>
        </w:rPr>
        <w:t xml:space="preserve"> P.3 a été adopté tel qu</w:t>
      </w:r>
      <w:r w:rsidR="00346F1B">
        <w:rPr>
          <w:bCs/>
        </w:rPr>
        <w:t>’</w:t>
      </w:r>
      <w:r w:rsidR="001837D1">
        <w:rPr>
          <w:bCs/>
        </w:rPr>
        <w:t>amendé par la Bulgarie.</w:t>
      </w:r>
    </w:p>
    <w:p w14:paraId="71095E12" w14:textId="65333B0C" w:rsidR="00E70846" w:rsidRPr="00E70846" w:rsidRDefault="00E70846" w:rsidP="00F24F73">
      <w:pPr>
        <w:pStyle w:val="Orateurengris"/>
        <w:ind w:left="709" w:hanging="709"/>
        <w:rPr>
          <w:bCs/>
        </w:rPr>
      </w:pPr>
      <w:r>
        <w:rPr>
          <w:bCs/>
        </w:rPr>
        <w:t xml:space="preserve">La </w:t>
      </w:r>
      <w:r w:rsidRPr="00E70846">
        <w:rPr>
          <w:bCs/>
        </w:rPr>
        <w:t>délégation</w:t>
      </w:r>
      <w:r>
        <w:rPr>
          <w:bCs/>
        </w:rPr>
        <w:t xml:space="preserve"> de la </w:t>
      </w:r>
      <w:r w:rsidRPr="00E70846">
        <w:rPr>
          <w:b/>
          <w:bCs/>
        </w:rPr>
        <w:t>Palestine</w:t>
      </w:r>
      <w:r>
        <w:rPr>
          <w:bCs/>
        </w:rPr>
        <w:t xml:space="preserve"> a proposé un </w:t>
      </w:r>
      <w:r w:rsidRPr="00E70846">
        <w:rPr>
          <w:bCs/>
        </w:rPr>
        <w:t>amendement</w:t>
      </w:r>
      <w:r>
        <w:rPr>
          <w:bCs/>
        </w:rPr>
        <w:t xml:space="preserve"> au </w:t>
      </w:r>
      <w:r w:rsidRPr="00E70846">
        <w:rPr>
          <w:bCs/>
        </w:rPr>
        <w:t>paragraphe</w:t>
      </w:r>
      <w:r>
        <w:rPr>
          <w:bCs/>
        </w:rPr>
        <w:t xml:space="preserve"> sur le </w:t>
      </w:r>
      <w:r w:rsidRPr="00E70846">
        <w:rPr>
          <w:bCs/>
        </w:rPr>
        <w:t>critère</w:t>
      </w:r>
      <w:r>
        <w:rPr>
          <w:bCs/>
        </w:rPr>
        <w:t xml:space="preserve"> P.4</w:t>
      </w:r>
      <w:r w:rsidR="00A75DE4">
        <w:rPr>
          <w:bCs/>
        </w:rPr>
        <w:t xml:space="preserve"> afin de supprimer la dernière phrase : « Toutefois, des </w:t>
      </w:r>
      <w:r w:rsidR="00A75DE4" w:rsidRPr="00A75DE4">
        <w:rPr>
          <w:bCs/>
        </w:rPr>
        <w:t>informations</w:t>
      </w:r>
      <w:r w:rsidR="00A75DE4">
        <w:rPr>
          <w:bCs/>
        </w:rPr>
        <w:t xml:space="preserve"> plus détaillées auraient été souhaitables pour mieux démontrer l</w:t>
      </w:r>
      <w:r w:rsidR="00346F1B">
        <w:rPr>
          <w:bCs/>
        </w:rPr>
        <w:t>’</w:t>
      </w:r>
      <w:r w:rsidR="00A75DE4" w:rsidRPr="00A75DE4">
        <w:rPr>
          <w:bCs/>
        </w:rPr>
        <w:t>efficacité</w:t>
      </w:r>
      <w:r w:rsidR="00A75DE4">
        <w:rPr>
          <w:bCs/>
        </w:rPr>
        <w:t xml:space="preserve"> […] ».</w:t>
      </w:r>
    </w:p>
    <w:p w14:paraId="5685AD7A" w14:textId="538C11DE" w:rsidR="00A75DE4" w:rsidRDefault="00A75DE4" w:rsidP="00F24F73">
      <w:pPr>
        <w:pStyle w:val="Orateurengris"/>
        <w:ind w:left="709" w:hanging="709"/>
      </w:pPr>
      <w:r>
        <w:t>La délégation de l</w:t>
      </w:r>
      <w:r w:rsidR="00346F1B">
        <w:t>’</w:t>
      </w:r>
      <w:r w:rsidRPr="00A75DE4">
        <w:rPr>
          <w:b/>
        </w:rPr>
        <w:t>Éthiopie</w:t>
      </w:r>
      <w:r>
        <w:t xml:space="preserve"> a proposé une phrase pour remplacer la phrase supprimée. La nouvelle phrase serait ainsi rédigée : « Ceci témoigne du grand intérêt suscité auprès du public et des professionnels par la musique traditionnelle ; il y a suffisamment d</w:t>
      </w:r>
      <w:r w:rsidR="00346F1B">
        <w:t>’</w:t>
      </w:r>
      <w:r>
        <w:t>informations sur l</w:t>
      </w:r>
      <w:r w:rsidR="00346F1B">
        <w:t>’</w:t>
      </w:r>
      <w:r>
        <w:t>efficacité d</w:t>
      </w:r>
      <w:r w:rsidR="00346F1B">
        <w:t>’</w:t>
      </w:r>
      <w:r>
        <w:t>une adoption accrue des mesures d</w:t>
      </w:r>
      <w:r w:rsidR="001837D1">
        <w:t>e sauvegarde su concept Kodály</w:t>
      </w:r>
      <w:r>
        <w:t>»</w:t>
      </w:r>
      <w:r w:rsidR="00A31001">
        <w:t>.</w:t>
      </w:r>
    </w:p>
    <w:p w14:paraId="7427E7A9" w14:textId="4FF34B9D" w:rsidR="00A75DE4" w:rsidRDefault="00A75DE4" w:rsidP="00F24F73">
      <w:pPr>
        <w:pStyle w:val="Orateurengris"/>
        <w:ind w:left="709" w:hanging="709"/>
      </w:pPr>
      <w:r>
        <w:t xml:space="preserve">Le </w:t>
      </w:r>
      <w:r w:rsidRPr="00A75DE4">
        <w:rPr>
          <w:b/>
        </w:rPr>
        <w:t>Vice-Président</w:t>
      </w:r>
      <w:r>
        <w:t xml:space="preserve"> a signalé qu</w:t>
      </w:r>
      <w:r w:rsidR="00346F1B">
        <w:t>’</w:t>
      </w:r>
      <w:r>
        <w:t>il n</w:t>
      </w:r>
      <w:r w:rsidR="00346F1B">
        <w:t>’</w:t>
      </w:r>
      <w:r>
        <w:t>y avait pas d</w:t>
      </w:r>
      <w:r w:rsidR="00346F1B">
        <w:t>’</w:t>
      </w:r>
      <w:r>
        <w:t>objections au paragraphe sur le critère P.4 tel qu</w:t>
      </w:r>
      <w:r w:rsidR="00346F1B">
        <w:t>’</w:t>
      </w:r>
      <w:r>
        <w:t xml:space="preserve">amendé, qui a été </w:t>
      </w:r>
      <w:r w:rsidR="008052AC">
        <w:t>dûment</w:t>
      </w:r>
      <w:r>
        <w:t xml:space="preserve"> adopté. Les paragraphes sur les critères P.5, P.6 et P.7 ont été adoptés tel</w:t>
      </w:r>
      <w:r w:rsidR="008B61D4">
        <w:t>s</w:t>
      </w:r>
      <w:r>
        <w:t xml:space="preserve"> que proposés. Le paragraphe sur le critère P.8 a été adopté tel qu</w:t>
      </w:r>
      <w:r w:rsidR="00346F1B">
        <w:t>’</w:t>
      </w:r>
      <w:r>
        <w:t>amendé par l</w:t>
      </w:r>
      <w:r w:rsidR="00346F1B">
        <w:t>’</w:t>
      </w:r>
      <w:r>
        <w:t xml:space="preserve">Inde. Le paragraphe sur le critère P.9 a été adopté tel que proposé. </w:t>
      </w:r>
      <w:r w:rsidR="00BF7A74">
        <w:t>Le paragraphe 3 « Sélectionne » a été adopté tel qu</w:t>
      </w:r>
      <w:r w:rsidR="00346F1B">
        <w:t>’</w:t>
      </w:r>
      <w:r w:rsidR="00BF7A74">
        <w:t>amendé par l</w:t>
      </w:r>
      <w:r w:rsidR="00346F1B">
        <w:t>’</w:t>
      </w:r>
      <w:r w:rsidR="00BF7A74">
        <w:t>Inde. En l</w:t>
      </w:r>
      <w:r w:rsidR="00346F1B">
        <w:t>’</w:t>
      </w:r>
      <w:r w:rsidR="00BF7A74">
        <w:t>absence d</w:t>
      </w:r>
      <w:r w:rsidR="00346F1B">
        <w:t>’</w:t>
      </w:r>
      <w:r w:rsidR="00BF7A74">
        <w:t xml:space="preserve">objections, le paragraphe standard 4 inséré dans la décision, a été </w:t>
      </w:r>
      <w:r w:rsidR="008052AC">
        <w:t>dûment</w:t>
      </w:r>
      <w:r w:rsidR="00BF7A74">
        <w:t xml:space="preserve"> adopté. Le Vice-Président est passé à l</w:t>
      </w:r>
      <w:r w:rsidR="00346F1B">
        <w:t>’</w:t>
      </w:r>
      <w:r w:rsidR="00BF7A74">
        <w:t>adoption de la décision dans son ensemble. En l</w:t>
      </w:r>
      <w:r w:rsidR="00346F1B">
        <w:t>’</w:t>
      </w:r>
      <w:r w:rsidR="00BF7A74">
        <w:t>absence de commentaires ou d</w:t>
      </w:r>
      <w:r w:rsidR="00346F1B">
        <w:t>’</w:t>
      </w:r>
      <w:r w:rsidR="00BF7A74">
        <w:t xml:space="preserve">objections, le </w:t>
      </w:r>
      <w:r w:rsidR="00BF7A74" w:rsidRPr="00BF7A74">
        <w:rPr>
          <w:b/>
        </w:rPr>
        <w:t>Vice-Président a déclaré adoptée la décision 11.COM 10.c.6 de sélectionner le concept Kodály, sauvegarde du patrimoine musical traditionnel pour le Registre des meilleures pratiques de sauvegarde</w:t>
      </w:r>
      <w:r w:rsidR="001837D1">
        <w:t>.</w:t>
      </w:r>
    </w:p>
    <w:p w14:paraId="4F634ADC" w14:textId="37FE7B0E" w:rsidR="00691230" w:rsidRDefault="00BF7A74" w:rsidP="00F24F73">
      <w:pPr>
        <w:pStyle w:val="Orateurengris"/>
        <w:ind w:left="709" w:hanging="709"/>
      </w:pPr>
      <w:r>
        <w:t xml:space="preserve">La délégation de la </w:t>
      </w:r>
      <w:r w:rsidRPr="00BF7A74">
        <w:rPr>
          <w:b/>
        </w:rPr>
        <w:t>Hongrie</w:t>
      </w:r>
      <w:r>
        <w:t xml:space="preserve"> a adressé ses </w:t>
      </w:r>
      <w:r w:rsidR="00691230">
        <w:t xml:space="preserve">très grands </w:t>
      </w:r>
      <w:r>
        <w:t>remerciements et s</w:t>
      </w:r>
      <w:r w:rsidR="00346F1B">
        <w:t>’</w:t>
      </w:r>
      <w:r>
        <w:t>est dite très émue que la méthode Kodály soit désormais inscrite au Registre des meilleures pratiques de sauvegarde. Un grand travail avait été accompli pour cette seconde soumission et la délégation souhaitait mentionner tous ceux qui y avaient activement participé, notamment l</w:t>
      </w:r>
      <w:r w:rsidR="00346F1B">
        <w:t>’</w:t>
      </w:r>
      <w:r>
        <w:t>Institut de musicologie de l</w:t>
      </w:r>
      <w:r w:rsidR="00346F1B">
        <w:t>’</w:t>
      </w:r>
      <w:r>
        <w:t>Académie hongroise de</w:t>
      </w:r>
      <w:r w:rsidR="00691230">
        <w:t>s sciences, l</w:t>
      </w:r>
      <w:r w:rsidR="00346F1B">
        <w:t>’</w:t>
      </w:r>
      <w:r w:rsidR="00691230">
        <w:t>Institut Kodály de</w:t>
      </w:r>
      <w:r>
        <w:t xml:space="preserve"> Hongrie, la Société Kodály de Hongrie, les écoles primaires de Hongrie dans lesquelles la méthode était appliquée, l</w:t>
      </w:r>
      <w:r w:rsidR="00346F1B">
        <w:t>’</w:t>
      </w:r>
      <w:r>
        <w:t xml:space="preserve">Académie hongroise de musique, </w:t>
      </w:r>
      <w:r w:rsidR="00691230">
        <w:t>l</w:t>
      </w:r>
      <w:r w:rsidR="00346F1B">
        <w:t>’</w:t>
      </w:r>
      <w:r w:rsidR="00691230">
        <w:t>Alliance hongroise des chanteurs de chorales, la Mais</w:t>
      </w:r>
      <w:r w:rsidR="00F42D92">
        <w:t>on du patrimoine hongrois et l</w:t>
      </w:r>
      <w:r w:rsidR="00346F1B">
        <w:t>’</w:t>
      </w:r>
      <w:r w:rsidR="00F42D92">
        <w:t>A</w:t>
      </w:r>
      <w:r w:rsidR="00691230">
        <w:t xml:space="preserve">ssociation de musique populaire hongroise. Elle a </w:t>
      </w:r>
      <w:r w:rsidR="00F42D92">
        <w:t xml:space="preserve">tout particulièrement remercié </w:t>
      </w:r>
      <w:r w:rsidR="00691230">
        <w:t xml:space="preserve">la veuve de Zoltán Kodály pour son soutien </w:t>
      </w:r>
      <w:r w:rsidR="00F42D92">
        <w:t xml:space="preserve">véritable </w:t>
      </w:r>
      <w:r w:rsidR="00691230">
        <w:t>tout au long de ce processus de sélection. L</w:t>
      </w:r>
      <w:r w:rsidR="00346F1B">
        <w:t>’</w:t>
      </w:r>
      <w:r w:rsidR="00691230">
        <w:t>idée qui sous-tendait cette candidature était le partage d</w:t>
      </w:r>
      <w:r w:rsidR="00346F1B">
        <w:t>’</w:t>
      </w:r>
      <w:r w:rsidR="00691230">
        <w:t>expériences avec d</w:t>
      </w:r>
      <w:r w:rsidR="00346F1B">
        <w:t>’</w:t>
      </w:r>
      <w:r w:rsidR="00691230">
        <w:t>autres États parties, et la délégation était convaincue que la méthode Kodály lorsqu</w:t>
      </w:r>
      <w:r w:rsidR="00346F1B">
        <w:t>’</w:t>
      </w:r>
      <w:r w:rsidR="00691230">
        <w:t>elle était adaptée à d</w:t>
      </w:r>
      <w:r w:rsidR="00346F1B">
        <w:t>’</w:t>
      </w:r>
      <w:r w:rsidR="00691230">
        <w:t>autres pays et des contextes sociaux différents, s</w:t>
      </w:r>
      <w:r w:rsidR="00346F1B">
        <w:t>’</w:t>
      </w:r>
      <w:r w:rsidR="00691230">
        <w:t>enrichissait elle-même. C</w:t>
      </w:r>
      <w:r w:rsidR="00346F1B">
        <w:t>’</w:t>
      </w:r>
      <w:r w:rsidR="00691230">
        <w:t>était une situation gagnant-gagnant grâce à laquelle le patrimoine culturel traditionnel serait mieux sauvegardé, et la méthode se développerait. La délégation a souligné qu</w:t>
      </w:r>
      <w:r w:rsidR="00346F1B">
        <w:t>’</w:t>
      </w:r>
      <w:r w:rsidR="00691230">
        <w:t>en 2017, l</w:t>
      </w:r>
      <w:r w:rsidR="00346F1B">
        <w:t>’</w:t>
      </w:r>
      <w:r w:rsidR="00691230">
        <w:t>UNESCO avait accepté d</w:t>
      </w:r>
      <w:r w:rsidR="00346F1B">
        <w:t>’</w:t>
      </w:r>
      <w:r w:rsidR="00691230">
        <w:t>inclure l</w:t>
      </w:r>
      <w:r w:rsidR="00346F1B">
        <w:t>’</w:t>
      </w:r>
      <w:r w:rsidR="00691230">
        <w:t>anniversaire de la mort du compositeur Zoltán Kodály sur la liste des anniversaires à célébrer. Les informations sur Kodály qui attendaient les délégués au Siège de l</w:t>
      </w:r>
      <w:r w:rsidR="00346F1B">
        <w:t>’</w:t>
      </w:r>
      <w:r w:rsidR="00691230">
        <w:t>UNESCO seraient donc encore plus nombreuses. La délégation espérait que la méthode Kodály continuerait à être une méthode efficace et fructueuse de sauvegarde du patrimoine musical traditionnel des co</w:t>
      </w:r>
      <w:r w:rsidR="001837D1">
        <w:t>mmunautés dans le monde entier.</w:t>
      </w:r>
    </w:p>
    <w:p w14:paraId="05F6C6B4" w14:textId="4355FC36" w:rsidR="00F42D92" w:rsidRPr="00F42D92" w:rsidRDefault="00F42D92" w:rsidP="00F24F73">
      <w:pPr>
        <w:pStyle w:val="Orateurengris"/>
        <w:ind w:left="709" w:hanging="709"/>
      </w:pPr>
      <w:r>
        <w:t xml:space="preserve">Le </w:t>
      </w:r>
      <w:r w:rsidRPr="00F42D92">
        <w:rPr>
          <w:b/>
        </w:rPr>
        <w:t>Vice-Président</w:t>
      </w:r>
      <w:r w:rsidRPr="00F42D92">
        <w:t xml:space="preserve"> a remercié la Hongrie de ses aimables paroles </w:t>
      </w:r>
      <w:r>
        <w:t>et de l</w:t>
      </w:r>
      <w:r w:rsidR="00346F1B">
        <w:t>’</w:t>
      </w:r>
      <w:r>
        <w:t>esprit dont elle avait fait preuve au cours de l</w:t>
      </w:r>
      <w:r w:rsidR="00346F1B">
        <w:t>’</w:t>
      </w:r>
      <w:r>
        <w:t>examen du dossier. Passant à la proposition suivante, soumise par la Norvège. il a informé le Comité qu</w:t>
      </w:r>
      <w:r w:rsidR="00346F1B">
        <w:t>’</w:t>
      </w:r>
      <w:r>
        <w:t>un membre de l</w:t>
      </w:r>
      <w:r w:rsidR="00346F1B">
        <w:t>’</w:t>
      </w:r>
      <w:r>
        <w:t>Organe, M. Eivind Falk, n</w:t>
      </w:r>
      <w:r w:rsidR="00346F1B">
        <w:t>’</w:t>
      </w:r>
      <w:r>
        <w:t>avait pas participé à l</w:t>
      </w:r>
      <w:r w:rsidR="00346F1B">
        <w:t>’</w:t>
      </w:r>
      <w:r>
        <w:t>évaluation de ce dossier car, d</w:t>
      </w:r>
      <w:r w:rsidR="00346F1B">
        <w:t>’</w:t>
      </w:r>
      <w:r>
        <w:t>une part, l</w:t>
      </w:r>
      <w:r w:rsidR="00346F1B">
        <w:t>’</w:t>
      </w:r>
      <w:r>
        <w:t>ONG qu</w:t>
      </w:r>
      <w:r w:rsidR="00346F1B">
        <w:t>’</w:t>
      </w:r>
      <w:r>
        <w:t>il représentait était basée en Norvège et, d</w:t>
      </w:r>
      <w:r w:rsidR="00346F1B">
        <w:t>’</w:t>
      </w:r>
      <w:r>
        <w:t>autre part, il éta</w:t>
      </w:r>
      <w:r w:rsidR="001837D1">
        <w:t>it de nationalité norvégienne.</w:t>
      </w:r>
    </w:p>
    <w:p w14:paraId="3754E01C" w14:textId="6A14AE6D" w:rsidR="00F42D92" w:rsidRPr="00F42D92" w:rsidRDefault="00145ED6" w:rsidP="00F24F73">
      <w:pPr>
        <w:pStyle w:val="Orateurengris"/>
        <w:ind w:left="709" w:hanging="709"/>
        <w:rPr>
          <w:rFonts w:eastAsia="MS Mincho"/>
        </w:rPr>
      </w:pPr>
      <w:r>
        <w:rPr>
          <w:rFonts w:eastAsia="MS Mincho"/>
        </w:rPr>
        <w:t xml:space="preserve">Le </w:t>
      </w:r>
      <w:r w:rsidRPr="00145ED6">
        <w:rPr>
          <w:rFonts w:eastAsia="MS Mincho"/>
          <w:b/>
        </w:rPr>
        <w:t>Rapporteur de l</w:t>
      </w:r>
      <w:r w:rsidR="00346F1B">
        <w:rPr>
          <w:rFonts w:eastAsia="MS Mincho"/>
          <w:b/>
        </w:rPr>
        <w:t>’</w:t>
      </w:r>
      <w:r w:rsidRPr="00145ED6">
        <w:rPr>
          <w:rFonts w:eastAsia="MS Mincho"/>
          <w:b/>
        </w:rPr>
        <w:t>Organe d</w:t>
      </w:r>
      <w:r w:rsidR="00346F1B">
        <w:rPr>
          <w:rFonts w:eastAsia="MS Mincho"/>
          <w:b/>
        </w:rPr>
        <w:t>’</w:t>
      </w:r>
      <w:r w:rsidRPr="00145ED6">
        <w:rPr>
          <w:rFonts w:eastAsia="MS Mincho"/>
          <w:b/>
        </w:rPr>
        <w:t>évaluation</w:t>
      </w:r>
      <w:r>
        <w:rPr>
          <w:rFonts w:eastAsia="MS Mincho"/>
        </w:rPr>
        <w:t xml:space="preserve"> est passé à la </w:t>
      </w:r>
      <w:r w:rsidRPr="00145ED6">
        <w:rPr>
          <w:rFonts w:eastAsia="MS Mincho"/>
        </w:rPr>
        <w:t xml:space="preserve">proposition </w:t>
      </w:r>
      <w:r>
        <w:rPr>
          <w:rFonts w:eastAsia="MS Mincho"/>
        </w:rPr>
        <w:t xml:space="preserve">suivante, </w:t>
      </w:r>
      <w:bookmarkStart w:id="61" w:name="Decision10c7"/>
      <w:r w:rsidRPr="00145ED6">
        <w:rPr>
          <w:rFonts w:eastAsia="MS Mincho"/>
          <w:b/>
        </w:rPr>
        <w:t>le bateau Oselvar, adaptation du processus d</w:t>
      </w:r>
      <w:r w:rsidR="00346F1B">
        <w:rPr>
          <w:rFonts w:eastAsia="MS Mincho"/>
          <w:b/>
        </w:rPr>
        <w:t>’</w:t>
      </w:r>
      <w:r w:rsidRPr="00145ED6">
        <w:rPr>
          <w:rFonts w:eastAsia="MS Mincho"/>
          <w:b/>
        </w:rPr>
        <w:t>enseignement traditionnel de sa construction et de son utilisation dans un contexte moderne</w:t>
      </w:r>
      <w:bookmarkEnd w:id="61"/>
      <w:r>
        <w:rPr>
          <w:rFonts w:eastAsia="MS Mincho"/>
        </w:rPr>
        <w:t xml:space="preserve"> [projet de décision 11.COM 10.c.7], soumise par la Norvège. Autrefois, principal mode de trans</w:t>
      </w:r>
      <w:r w:rsidR="0043383A">
        <w:rPr>
          <w:rFonts w:eastAsia="MS Mincho"/>
        </w:rPr>
        <w:t>p</w:t>
      </w:r>
      <w:r w:rsidR="00966864">
        <w:rPr>
          <w:rFonts w:eastAsia="MS Mincho"/>
        </w:rPr>
        <w:t>ort dans l</w:t>
      </w:r>
      <w:r w:rsidR="00346F1B">
        <w:rPr>
          <w:rFonts w:eastAsia="MS Mincho"/>
        </w:rPr>
        <w:t>’</w:t>
      </w:r>
      <w:r w:rsidR="00966864">
        <w:rPr>
          <w:rFonts w:eastAsia="MS Mincho"/>
        </w:rPr>
        <w:t xml:space="preserve">ouest de la Norvège </w:t>
      </w:r>
      <w:r w:rsidR="0043383A">
        <w:rPr>
          <w:rFonts w:eastAsia="MS Mincho"/>
        </w:rPr>
        <w:t xml:space="preserve">et </w:t>
      </w:r>
      <w:r w:rsidR="0043383A" w:rsidRPr="0043383A">
        <w:rPr>
          <w:rFonts w:eastAsia="MS Mincho"/>
        </w:rPr>
        <w:t>également</w:t>
      </w:r>
      <w:r w:rsidR="0043383A">
        <w:rPr>
          <w:rFonts w:eastAsia="MS Mincho"/>
        </w:rPr>
        <w:t xml:space="preserve"> utilisé pour les loisirs, le bateau en bois Oselvar était devenu presque obsolète avec l</w:t>
      </w:r>
      <w:r w:rsidR="00346F1B">
        <w:rPr>
          <w:rFonts w:eastAsia="MS Mincho"/>
        </w:rPr>
        <w:t>’</w:t>
      </w:r>
      <w:r w:rsidR="0043383A">
        <w:rPr>
          <w:rFonts w:eastAsia="MS Mincho"/>
        </w:rPr>
        <w:t xml:space="preserve">arrivée des bateaux modernes dans les années 1940, les restrictions de prix imposées par le </w:t>
      </w:r>
      <w:r w:rsidR="0043383A" w:rsidRPr="0043383A">
        <w:rPr>
          <w:rFonts w:eastAsia="MS Mincho"/>
        </w:rPr>
        <w:t>gouvernement</w:t>
      </w:r>
      <w:r w:rsidR="0043383A">
        <w:rPr>
          <w:rFonts w:eastAsia="MS Mincho"/>
        </w:rPr>
        <w:t xml:space="preserve"> et le </w:t>
      </w:r>
      <w:r w:rsidR="0043383A" w:rsidRPr="0043383A">
        <w:rPr>
          <w:rFonts w:eastAsia="MS Mincho"/>
        </w:rPr>
        <w:t>développement</w:t>
      </w:r>
      <w:r w:rsidR="0043383A">
        <w:rPr>
          <w:rFonts w:eastAsia="MS Mincho"/>
        </w:rPr>
        <w:t xml:space="preserve"> du transport routier. Afin de sauvegarder cette pratique, le chantier naval et l</w:t>
      </w:r>
      <w:r w:rsidR="00346F1B">
        <w:rPr>
          <w:rFonts w:eastAsia="MS Mincho"/>
        </w:rPr>
        <w:t>’</w:t>
      </w:r>
      <w:r w:rsidR="0043383A">
        <w:rPr>
          <w:rFonts w:eastAsia="MS Mincho"/>
        </w:rPr>
        <w:t xml:space="preserve">atelier de la fondation à but non lucratif Oselvarverkstaden avaient été créés en 1997. Ils recrutaient des apprentis constructeurs de bateaux, facilitaient la transmission des </w:t>
      </w:r>
      <w:r w:rsidR="0043383A" w:rsidRPr="0043383A">
        <w:rPr>
          <w:rFonts w:eastAsia="MS Mincho"/>
        </w:rPr>
        <w:t>savoir-faire</w:t>
      </w:r>
      <w:r w:rsidR="0043383A">
        <w:rPr>
          <w:rFonts w:eastAsia="MS Mincho"/>
        </w:rPr>
        <w:t xml:space="preserve"> associés aux techniques de construction et attiraient des constructeurs en activité en mettant des infrastructures à leur disposition. Jusqu</w:t>
      </w:r>
      <w:r w:rsidR="00346F1B">
        <w:rPr>
          <w:rFonts w:eastAsia="MS Mincho"/>
        </w:rPr>
        <w:t>’</w:t>
      </w:r>
      <w:r w:rsidR="0043383A">
        <w:rPr>
          <w:rFonts w:eastAsia="MS Mincho"/>
        </w:rPr>
        <w:t xml:space="preserve">alors, 85 bateaux avaient été construits et 40 réparés. Ce </w:t>
      </w:r>
      <w:r w:rsidR="0043383A" w:rsidRPr="0043383A">
        <w:rPr>
          <w:rFonts w:eastAsia="MS Mincho"/>
        </w:rPr>
        <w:t>programme</w:t>
      </w:r>
      <w:r w:rsidR="00C51EA2">
        <w:rPr>
          <w:rFonts w:eastAsia="MS Mincho"/>
        </w:rPr>
        <w:t xml:space="preserve"> visait à adapter au contexte actuel les processus </w:t>
      </w:r>
      <w:r w:rsidR="00C51EA2" w:rsidRPr="00C51EA2">
        <w:rPr>
          <w:rFonts w:eastAsia="MS Mincho"/>
        </w:rPr>
        <w:t>traditionnels</w:t>
      </w:r>
      <w:r w:rsidR="00C51EA2">
        <w:rPr>
          <w:rFonts w:eastAsia="MS Mincho"/>
        </w:rPr>
        <w:t xml:space="preserve"> de </w:t>
      </w:r>
      <w:r w:rsidR="00C51EA2" w:rsidRPr="00C51EA2">
        <w:rPr>
          <w:rFonts w:eastAsia="MS Mincho"/>
        </w:rPr>
        <w:t>construction</w:t>
      </w:r>
      <w:r w:rsidR="00C51EA2">
        <w:rPr>
          <w:rFonts w:eastAsia="MS Mincho"/>
        </w:rPr>
        <w:t xml:space="preserve"> et d</w:t>
      </w:r>
      <w:r w:rsidR="00346F1B">
        <w:rPr>
          <w:rFonts w:eastAsia="MS Mincho"/>
        </w:rPr>
        <w:t>’</w:t>
      </w:r>
      <w:r w:rsidR="00C51EA2" w:rsidRPr="00C51EA2">
        <w:rPr>
          <w:rFonts w:eastAsia="MS Mincho"/>
        </w:rPr>
        <w:t>utilisation</w:t>
      </w:r>
      <w:r w:rsidR="00C51EA2">
        <w:rPr>
          <w:rFonts w:eastAsia="MS Mincho"/>
        </w:rPr>
        <w:t xml:space="preserve"> des bateaux en recrutant des apprentis constructeurs de bateaux et en les regroupant avec des artisans plus expérimentés. </w:t>
      </w:r>
      <w:r w:rsidR="00966864">
        <w:rPr>
          <w:rFonts w:eastAsia="MS Mincho"/>
        </w:rPr>
        <w:t>Les d</w:t>
      </w:r>
      <w:r w:rsidR="00C51EA2">
        <w:rPr>
          <w:rFonts w:eastAsia="MS Mincho"/>
        </w:rPr>
        <w:t xml:space="preserve">ifférents groupes, communautés et </w:t>
      </w:r>
      <w:r w:rsidR="00C51EA2" w:rsidRPr="00C51EA2">
        <w:rPr>
          <w:rFonts w:eastAsia="MS Mincho"/>
        </w:rPr>
        <w:t>individus</w:t>
      </w:r>
      <w:r w:rsidR="00C51EA2">
        <w:rPr>
          <w:rFonts w:eastAsia="MS Mincho"/>
        </w:rPr>
        <w:t xml:space="preserve"> concernés par Oselvar</w:t>
      </w:r>
      <w:r w:rsidR="00966864">
        <w:rPr>
          <w:rFonts w:eastAsia="MS Mincho"/>
        </w:rPr>
        <w:t xml:space="preserve"> </w:t>
      </w:r>
      <w:r w:rsidR="00C51EA2">
        <w:rPr>
          <w:rFonts w:eastAsia="MS Mincho"/>
        </w:rPr>
        <w:t xml:space="preserve">avaient </w:t>
      </w:r>
      <w:r w:rsidR="00966864">
        <w:rPr>
          <w:rFonts w:eastAsia="MS Mincho"/>
        </w:rPr>
        <w:t xml:space="preserve">pleinement </w:t>
      </w:r>
      <w:r w:rsidR="00CC2269">
        <w:rPr>
          <w:rFonts w:eastAsia="MS Mincho"/>
        </w:rPr>
        <w:t xml:space="preserve">participé </w:t>
      </w:r>
      <w:r w:rsidR="00966864">
        <w:rPr>
          <w:rFonts w:eastAsia="MS Mincho"/>
        </w:rPr>
        <w:t xml:space="preserve">à toutes les étapes du programme, de sa </w:t>
      </w:r>
      <w:r w:rsidR="00966864" w:rsidRPr="00966864">
        <w:rPr>
          <w:rFonts w:eastAsia="MS Mincho"/>
        </w:rPr>
        <w:t>planification</w:t>
      </w:r>
      <w:r w:rsidR="00966864">
        <w:rPr>
          <w:rFonts w:eastAsia="MS Mincho"/>
        </w:rPr>
        <w:t xml:space="preserve"> à sa mise en œuvre. À l</w:t>
      </w:r>
      <w:r w:rsidR="00346F1B">
        <w:rPr>
          <w:rFonts w:eastAsia="MS Mincho"/>
        </w:rPr>
        <w:t>’</w:t>
      </w:r>
      <w:r w:rsidR="00966864">
        <w:rPr>
          <w:rFonts w:eastAsia="MS Mincho"/>
        </w:rPr>
        <w:t xml:space="preserve">examen des </w:t>
      </w:r>
      <w:r w:rsidR="00966864" w:rsidRPr="00966864">
        <w:rPr>
          <w:rFonts w:eastAsia="MS Mincho"/>
        </w:rPr>
        <w:t>informations</w:t>
      </w:r>
      <w:r w:rsidR="00966864">
        <w:rPr>
          <w:rFonts w:eastAsia="MS Mincho"/>
        </w:rPr>
        <w:t xml:space="preserve"> contenues dans le dossier, l</w:t>
      </w:r>
      <w:r w:rsidR="00346F1B">
        <w:rPr>
          <w:rFonts w:eastAsia="MS Mincho"/>
        </w:rPr>
        <w:t>’</w:t>
      </w:r>
      <w:r w:rsidR="00966864">
        <w:rPr>
          <w:rFonts w:eastAsia="MS Mincho"/>
        </w:rPr>
        <w:t>Organe d</w:t>
      </w:r>
      <w:r w:rsidR="00346F1B">
        <w:rPr>
          <w:rFonts w:eastAsia="MS Mincho"/>
        </w:rPr>
        <w:t>’</w:t>
      </w:r>
      <w:r w:rsidR="00966864">
        <w:rPr>
          <w:rFonts w:eastAsia="MS Mincho"/>
        </w:rPr>
        <w:t xml:space="preserve">évaluation avait décidé que le programme satisfaisait tous les critères de sélection en tant que meilleure pratique de </w:t>
      </w:r>
      <w:r w:rsidR="00966864" w:rsidRPr="00966864">
        <w:rPr>
          <w:rFonts w:eastAsia="MS Mincho"/>
        </w:rPr>
        <w:t>sauvegarde</w:t>
      </w:r>
      <w:r w:rsidR="00966864">
        <w:rPr>
          <w:rFonts w:eastAsia="MS Mincho"/>
        </w:rPr>
        <w:t>. L</w:t>
      </w:r>
      <w:r w:rsidR="00346F1B">
        <w:rPr>
          <w:rFonts w:eastAsia="MS Mincho"/>
        </w:rPr>
        <w:t>’</w:t>
      </w:r>
      <w:r w:rsidR="00966864">
        <w:rPr>
          <w:rFonts w:eastAsia="MS Mincho"/>
        </w:rPr>
        <w:t>Organe d</w:t>
      </w:r>
      <w:r w:rsidR="00346F1B">
        <w:rPr>
          <w:rFonts w:eastAsia="MS Mincho"/>
        </w:rPr>
        <w:t>’</w:t>
      </w:r>
      <w:r w:rsidR="00966864">
        <w:rPr>
          <w:rFonts w:eastAsia="MS Mincho"/>
        </w:rPr>
        <w:t>évaluation avait décidé de recommander la sélection du bateau Oselvar, adaptation du processus d</w:t>
      </w:r>
      <w:r w:rsidR="00346F1B">
        <w:rPr>
          <w:rFonts w:eastAsia="MS Mincho"/>
        </w:rPr>
        <w:t>’</w:t>
      </w:r>
      <w:r w:rsidR="00966864" w:rsidRPr="00966864">
        <w:rPr>
          <w:rFonts w:eastAsia="MS Mincho"/>
        </w:rPr>
        <w:t>enseignement</w:t>
      </w:r>
      <w:r w:rsidR="00966864">
        <w:rPr>
          <w:rFonts w:eastAsia="MS Mincho"/>
        </w:rPr>
        <w:t xml:space="preserve"> traditionnel de sa </w:t>
      </w:r>
      <w:r w:rsidR="00966864" w:rsidRPr="00966864">
        <w:rPr>
          <w:rFonts w:eastAsia="MS Mincho"/>
        </w:rPr>
        <w:t>construction</w:t>
      </w:r>
      <w:r w:rsidR="00966864">
        <w:rPr>
          <w:rFonts w:eastAsia="MS Mincho"/>
        </w:rPr>
        <w:t xml:space="preserve"> et de son </w:t>
      </w:r>
      <w:r w:rsidR="00966864" w:rsidRPr="00966864">
        <w:rPr>
          <w:rFonts w:eastAsia="MS Mincho"/>
        </w:rPr>
        <w:t>utilisation</w:t>
      </w:r>
      <w:r w:rsidR="00966864">
        <w:rPr>
          <w:rFonts w:eastAsia="MS Mincho"/>
        </w:rPr>
        <w:t xml:space="preserve"> dans un con</w:t>
      </w:r>
      <w:r w:rsidR="001837D1">
        <w:rPr>
          <w:rFonts w:eastAsia="MS Mincho"/>
        </w:rPr>
        <w:t>texte moderne pour le Registre.</w:t>
      </w:r>
    </w:p>
    <w:p w14:paraId="488A4210" w14:textId="56EAF49D" w:rsidR="00CC2269" w:rsidRPr="00CC2269" w:rsidRDefault="00CC2269" w:rsidP="00F24F73">
      <w:pPr>
        <w:pStyle w:val="Orateurengris"/>
        <w:ind w:left="709" w:hanging="709"/>
        <w:rPr>
          <w:bCs/>
        </w:rPr>
      </w:pPr>
      <w:r>
        <w:rPr>
          <w:bCs/>
        </w:rPr>
        <w:t xml:space="preserve">Après avoir remercié le </w:t>
      </w:r>
      <w:r w:rsidRPr="00CC2269">
        <w:rPr>
          <w:bCs/>
        </w:rPr>
        <w:t>Rapporteur</w:t>
      </w:r>
      <w:r>
        <w:rPr>
          <w:bCs/>
        </w:rPr>
        <w:t xml:space="preserve"> de l</w:t>
      </w:r>
      <w:r w:rsidR="00346F1B">
        <w:rPr>
          <w:bCs/>
        </w:rPr>
        <w:t>’</w:t>
      </w:r>
      <w:r>
        <w:rPr>
          <w:bCs/>
        </w:rPr>
        <w:t>Organe d</w:t>
      </w:r>
      <w:r w:rsidR="00346F1B">
        <w:rPr>
          <w:bCs/>
        </w:rPr>
        <w:t>’</w:t>
      </w:r>
      <w:r>
        <w:rPr>
          <w:bCs/>
        </w:rPr>
        <w:t xml:space="preserve">évaluation, le </w:t>
      </w:r>
      <w:r w:rsidRPr="00CC2269">
        <w:rPr>
          <w:b/>
          <w:bCs/>
        </w:rPr>
        <w:t>Vice-Président</w:t>
      </w:r>
      <w:r>
        <w:rPr>
          <w:bCs/>
        </w:rPr>
        <w:t xml:space="preserve"> a signalé qu</w:t>
      </w:r>
      <w:r w:rsidR="00346F1B">
        <w:rPr>
          <w:bCs/>
        </w:rPr>
        <w:t>’</w:t>
      </w:r>
      <w:r>
        <w:rPr>
          <w:bCs/>
        </w:rPr>
        <w:t xml:space="preserve">aucun </w:t>
      </w:r>
      <w:r w:rsidRPr="00CC2269">
        <w:rPr>
          <w:bCs/>
        </w:rPr>
        <w:t>amendement</w:t>
      </w:r>
      <w:r>
        <w:rPr>
          <w:bCs/>
        </w:rPr>
        <w:t xml:space="preserve"> n</w:t>
      </w:r>
      <w:r w:rsidR="00346F1B">
        <w:rPr>
          <w:bCs/>
        </w:rPr>
        <w:t>’</w:t>
      </w:r>
      <w:r>
        <w:rPr>
          <w:bCs/>
        </w:rPr>
        <w:t>avait été déposé et a donc proposé d</w:t>
      </w:r>
      <w:r w:rsidR="00346F1B">
        <w:rPr>
          <w:bCs/>
        </w:rPr>
        <w:t>’</w:t>
      </w:r>
      <w:r>
        <w:rPr>
          <w:bCs/>
        </w:rPr>
        <w:t xml:space="preserve">adopter la </w:t>
      </w:r>
      <w:r w:rsidRPr="00CC2269">
        <w:rPr>
          <w:bCs/>
        </w:rPr>
        <w:t>décision</w:t>
      </w:r>
      <w:r>
        <w:rPr>
          <w:bCs/>
        </w:rPr>
        <w:t xml:space="preserve"> dans son ensemble. En l</w:t>
      </w:r>
      <w:r w:rsidR="00346F1B">
        <w:rPr>
          <w:bCs/>
        </w:rPr>
        <w:t>’</w:t>
      </w:r>
      <w:r>
        <w:rPr>
          <w:bCs/>
        </w:rPr>
        <w:t>absence de commentaires ou d</w:t>
      </w:r>
      <w:r w:rsidR="00346F1B">
        <w:rPr>
          <w:bCs/>
        </w:rPr>
        <w:t>’</w:t>
      </w:r>
      <w:r>
        <w:rPr>
          <w:bCs/>
        </w:rPr>
        <w:t xml:space="preserve">objections, le </w:t>
      </w:r>
      <w:r w:rsidRPr="00CC2269">
        <w:rPr>
          <w:b/>
          <w:bCs/>
        </w:rPr>
        <w:t xml:space="preserve">Vice-Président a déclaré adoptée la décision 11.COM 10.c.7 de sélectionner le </w:t>
      </w:r>
      <w:r w:rsidRPr="00CC2269">
        <w:rPr>
          <w:rFonts w:eastAsia="MS Mincho"/>
          <w:b/>
        </w:rPr>
        <w:t>bateau Oselvar, adaptation du processus d</w:t>
      </w:r>
      <w:r w:rsidR="00346F1B">
        <w:rPr>
          <w:rFonts w:eastAsia="MS Mincho"/>
          <w:b/>
        </w:rPr>
        <w:t>’</w:t>
      </w:r>
      <w:r w:rsidRPr="00CC2269">
        <w:rPr>
          <w:rFonts w:eastAsia="MS Mincho"/>
          <w:b/>
        </w:rPr>
        <w:t>enseignement traditionnel de sa construction et de son utilisation dans un contexte moderne pour le Registre des meilleures pratiques de sauvegarde</w:t>
      </w:r>
      <w:r>
        <w:rPr>
          <w:rFonts w:eastAsia="MS Mincho"/>
        </w:rPr>
        <w:t>.</w:t>
      </w:r>
    </w:p>
    <w:p w14:paraId="28C46A56" w14:textId="2C4FD53F" w:rsidR="00CC2269" w:rsidRPr="002D151D" w:rsidRDefault="00CC2269" w:rsidP="00F24F73">
      <w:pPr>
        <w:pStyle w:val="Orateurengris"/>
        <w:ind w:left="709" w:hanging="709"/>
        <w:rPr>
          <w:rFonts w:eastAsia="MS Mincho"/>
        </w:rPr>
      </w:pPr>
      <w:r>
        <w:rPr>
          <w:rFonts w:eastAsia="MS Mincho"/>
        </w:rPr>
        <w:t xml:space="preserve">La </w:t>
      </w:r>
      <w:r w:rsidRPr="00CC2269">
        <w:rPr>
          <w:rFonts w:eastAsia="MS Mincho"/>
        </w:rPr>
        <w:t>délégation</w:t>
      </w:r>
      <w:r>
        <w:rPr>
          <w:rFonts w:eastAsia="MS Mincho"/>
        </w:rPr>
        <w:t xml:space="preserve"> de la </w:t>
      </w:r>
      <w:r w:rsidRPr="00CC2269">
        <w:rPr>
          <w:rFonts w:eastAsia="MS Mincho"/>
          <w:b/>
        </w:rPr>
        <w:t>Norvège</w:t>
      </w:r>
      <w:r>
        <w:rPr>
          <w:rFonts w:eastAsia="MS Mincho"/>
        </w:rPr>
        <w:t xml:space="preserve"> a remercié l</w:t>
      </w:r>
      <w:r w:rsidR="00346F1B">
        <w:rPr>
          <w:rFonts w:eastAsia="MS Mincho"/>
        </w:rPr>
        <w:t>’</w:t>
      </w:r>
      <w:r w:rsidRPr="00CC2269">
        <w:rPr>
          <w:rFonts w:eastAsia="MS Mincho"/>
        </w:rPr>
        <w:t>Éthiopie</w:t>
      </w:r>
      <w:r>
        <w:rPr>
          <w:rFonts w:eastAsia="MS Mincho"/>
        </w:rPr>
        <w:t xml:space="preserve"> pour son accueil chaleureux et a précisé qu</w:t>
      </w:r>
      <w:r w:rsidR="00346F1B">
        <w:rPr>
          <w:rFonts w:eastAsia="MS Mincho"/>
        </w:rPr>
        <w:t>’</w:t>
      </w:r>
      <w:r>
        <w:rPr>
          <w:rFonts w:eastAsia="MS Mincho"/>
        </w:rPr>
        <w:t>un Oselvar avait été donné par l</w:t>
      </w:r>
      <w:r w:rsidR="00346F1B">
        <w:rPr>
          <w:rFonts w:eastAsia="MS Mincho"/>
        </w:rPr>
        <w:t>’</w:t>
      </w:r>
      <w:r>
        <w:rPr>
          <w:rFonts w:eastAsia="MS Mincho"/>
        </w:rPr>
        <w:t>État norvégien à l</w:t>
      </w:r>
      <w:r w:rsidR="00346F1B">
        <w:rPr>
          <w:rFonts w:eastAsia="MS Mincho"/>
        </w:rPr>
        <w:t>’</w:t>
      </w:r>
      <w:r w:rsidRPr="00CC2269">
        <w:rPr>
          <w:rFonts w:eastAsia="MS Mincho"/>
        </w:rPr>
        <w:t>Éthiopie</w:t>
      </w:r>
      <w:r>
        <w:rPr>
          <w:rFonts w:eastAsia="MS Mincho"/>
        </w:rPr>
        <w:t xml:space="preserve"> dans les années 1950. Elle a exprimé sa sincère </w:t>
      </w:r>
      <w:r w:rsidRPr="00CC2269">
        <w:rPr>
          <w:rFonts w:eastAsia="MS Mincho"/>
        </w:rPr>
        <w:t>reconnaissance</w:t>
      </w:r>
      <w:r>
        <w:rPr>
          <w:rFonts w:eastAsia="MS Mincho"/>
        </w:rPr>
        <w:t xml:space="preserve"> au Comité et à l</w:t>
      </w:r>
      <w:r w:rsidR="00346F1B">
        <w:rPr>
          <w:rFonts w:eastAsia="MS Mincho"/>
        </w:rPr>
        <w:t>’</w:t>
      </w:r>
      <w:r>
        <w:rPr>
          <w:rFonts w:eastAsia="MS Mincho"/>
        </w:rPr>
        <w:t>Organe d</w:t>
      </w:r>
      <w:r w:rsidR="00346F1B">
        <w:rPr>
          <w:rFonts w:eastAsia="MS Mincho"/>
        </w:rPr>
        <w:t>’</w:t>
      </w:r>
      <w:r>
        <w:rPr>
          <w:rFonts w:eastAsia="MS Mincho"/>
        </w:rPr>
        <w:t xml:space="preserve">évaluation pour la sélection </w:t>
      </w:r>
      <w:r w:rsidR="002D151D">
        <w:rPr>
          <w:rFonts w:eastAsia="MS Mincho"/>
        </w:rPr>
        <w:t>et l</w:t>
      </w:r>
      <w:r w:rsidR="00346F1B">
        <w:rPr>
          <w:rFonts w:eastAsia="MS Mincho"/>
        </w:rPr>
        <w:t>’</w:t>
      </w:r>
      <w:r w:rsidR="002D151D">
        <w:rPr>
          <w:rFonts w:eastAsia="MS Mincho"/>
        </w:rPr>
        <w:t>inc</w:t>
      </w:r>
      <w:r w:rsidR="009555FB">
        <w:rPr>
          <w:rFonts w:eastAsia="MS Mincho"/>
        </w:rPr>
        <w:t>lusion du bateau Oselvar au</w:t>
      </w:r>
      <w:r w:rsidR="002D151D">
        <w:rPr>
          <w:rFonts w:eastAsia="MS Mincho"/>
        </w:rPr>
        <w:t xml:space="preserve"> Registre des meilleures pratiques de sauvegarde, ce qui était un grand honneur. La </w:t>
      </w:r>
      <w:r w:rsidR="002D151D" w:rsidRPr="002D151D">
        <w:rPr>
          <w:rFonts w:eastAsia="MS Mincho"/>
        </w:rPr>
        <w:t>délégation</w:t>
      </w:r>
      <w:r w:rsidR="002D151D">
        <w:rPr>
          <w:rFonts w:eastAsia="MS Mincho"/>
        </w:rPr>
        <w:t xml:space="preserve"> était très reconnaissante car elle estimait que le Registre était </w:t>
      </w:r>
      <w:r w:rsidR="009555FB">
        <w:rPr>
          <w:rFonts w:eastAsia="MS Mincho"/>
        </w:rPr>
        <w:t xml:space="preserve">un </w:t>
      </w:r>
      <w:r w:rsidR="002D151D">
        <w:rPr>
          <w:rFonts w:eastAsia="MS Mincho"/>
        </w:rPr>
        <w:t xml:space="preserve">instrument </w:t>
      </w:r>
      <w:r w:rsidR="002D151D" w:rsidRPr="002D151D">
        <w:rPr>
          <w:rFonts w:eastAsia="MS Mincho"/>
        </w:rPr>
        <w:t>particulièrement</w:t>
      </w:r>
      <w:r w:rsidR="002D151D">
        <w:rPr>
          <w:rFonts w:eastAsia="MS Mincho"/>
        </w:rPr>
        <w:t xml:space="preserve"> important, voire essentiel, pour sauvegarder le PCI dans le monde entier. Cette </w:t>
      </w:r>
      <w:r w:rsidR="002D151D" w:rsidRPr="002D151D">
        <w:rPr>
          <w:rFonts w:eastAsia="MS Mincho"/>
        </w:rPr>
        <w:t>reconnaissance</w:t>
      </w:r>
      <w:r w:rsidR="002D151D">
        <w:rPr>
          <w:rFonts w:eastAsia="MS Mincho"/>
        </w:rPr>
        <w:t xml:space="preserve"> était égale</w:t>
      </w:r>
      <w:r w:rsidR="009555FB">
        <w:rPr>
          <w:rFonts w:eastAsia="MS Mincho"/>
        </w:rPr>
        <w:t>ment</w:t>
      </w:r>
      <w:r w:rsidR="002D151D">
        <w:rPr>
          <w:rFonts w:eastAsia="MS Mincho"/>
        </w:rPr>
        <w:t xml:space="preserve"> d</w:t>
      </w:r>
      <w:r w:rsidR="00346F1B">
        <w:rPr>
          <w:rFonts w:eastAsia="MS Mincho"/>
        </w:rPr>
        <w:t>’</w:t>
      </w:r>
      <w:r w:rsidR="002D151D">
        <w:rPr>
          <w:rFonts w:eastAsia="MS Mincho"/>
        </w:rPr>
        <w:t xml:space="preserve">une très grande importance pour la communauté qui se tenait derrière la </w:t>
      </w:r>
      <w:r w:rsidR="002D151D" w:rsidRPr="002D151D">
        <w:rPr>
          <w:rFonts w:eastAsia="MS Mincho"/>
        </w:rPr>
        <w:t>candidature</w:t>
      </w:r>
      <w:r w:rsidR="002D151D">
        <w:rPr>
          <w:rFonts w:eastAsia="MS Mincho"/>
        </w:rPr>
        <w:t>, qui avait travaillé d</w:t>
      </w:r>
      <w:r w:rsidR="00346F1B">
        <w:rPr>
          <w:rFonts w:eastAsia="MS Mincho"/>
        </w:rPr>
        <w:t>’</w:t>
      </w:r>
      <w:r w:rsidR="002D151D">
        <w:rPr>
          <w:rFonts w:eastAsia="MS Mincho"/>
        </w:rPr>
        <w:t xml:space="preserve">arrache-pied </w:t>
      </w:r>
      <w:r w:rsidR="009555FB">
        <w:rPr>
          <w:rFonts w:eastAsia="MS Mincho"/>
        </w:rPr>
        <w:t xml:space="preserve">afin de </w:t>
      </w:r>
      <w:r w:rsidR="002D151D">
        <w:rPr>
          <w:rFonts w:eastAsia="MS Mincho"/>
        </w:rPr>
        <w:t xml:space="preserve">sauvegarder et développer les connaissances liées à la </w:t>
      </w:r>
      <w:r w:rsidR="002D151D" w:rsidRPr="002D151D">
        <w:rPr>
          <w:rFonts w:eastAsia="MS Mincho"/>
        </w:rPr>
        <w:t>construction</w:t>
      </w:r>
      <w:r w:rsidR="002D151D">
        <w:rPr>
          <w:rFonts w:eastAsia="MS Mincho"/>
        </w:rPr>
        <w:t xml:space="preserve"> des bateaux en général et à la </w:t>
      </w:r>
      <w:r w:rsidR="009555FB">
        <w:rPr>
          <w:rFonts w:eastAsia="MS Mincho"/>
        </w:rPr>
        <w:t xml:space="preserve">celle </w:t>
      </w:r>
      <w:r w:rsidR="002D151D">
        <w:rPr>
          <w:rFonts w:eastAsia="MS Mincho"/>
        </w:rPr>
        <w:t xml:space="preserve">du bateau Oselvar </w:t>
      </w:r>
      <w:r w:rsidR="002D151D" w:rsidRPr="002D151D">
        <w:rPr>
          <w:rFonts w:eastAsia="MS Mincho"/>
        </w:rPr>
        <w:t>en particulier</w:t>
      </w:r>
      <w:r w:rsidR="002D151D">
        <w:rPr>
          <w:rFonts w:eastAsia="MS Mincho"/>
        </w:rPr>
        <w:t>. L</w:t>
      </w:r>
      <w:r w:rsidR="00346F1B">
        <w:rPr>
          <w:rFonts w:eastAsia="MS Mincho"/>
        </w:rPr>
        <w:t>’</w:t>
      </w:r>
      <w:r w:rsidR="002D151D" w:rsidRPr="002D151D">
        <w:rPr>
          <w:rFonts w:eastAsia="MS Mincho"/>
        </w:rPr>
        <w:t>inscription</w:t>
      </w:r>
      <w:r w:rsidR="002D151D">
        <w:rPr>
          <w:rFonts w:eastAsia="MS Mincho"/>
        </w:rPr>
        <w:t xml:space="preserve"> reconnaissait le mérite de la </w:t>
      </w:r>
      <w:r w:rsidR="002D151D" w:rsidRPr="002D151D">
        <w:rPr>
          <w:rFonts w:eastAsia="MS Mincho"/>
        </w:rPr>
        <w:t>communauté</w:t>
      </w:r>
      <w:r w:rsidR="002D151D">
        <w:rPr>
          <w:rFonts w:eastAsia="MS Mincho"/>
        </w:rPr>
        <w:t xml:space="preserve"> locale et du pays qui avai</w:t>
      </w:r>
      <w:r w:rsidR="009555FB">
        <w:rPr>
          <w:rFonts w:eastAsia="MS Mincho"/>
        </w:rPr>
        <w:t>en</w:t>
      </w:r>
      <w:r w:rsidR="002D151D">
        <w:rPr>
          <w:rFonts w:eastAsia="MS Mincho"/>
        </w:rPr>
        <w:t xml:space="preserve">t activement soutenu et fait connaître ce travail. Cette </w:t>
      </w:r>
      <w:r w:rsidR="002D151D" w:rsidRPr="002D151D">
        <w:rPr>
          <w:rFonts w:eastAsia="MS Mincho"/>
        </w:rPr>
        <w:t>inscription</w:t>
      </w:r>
      <w:r w:rsidR="002D151D">
        <w:rPr>
          <w:rFonts w:eastAsia="MS Mincho"/>
        </w:rPr>
        <w:t xml:space="preserve"> constituait également une </w:t>
      </w:r>
      <w:r w:rsidR="002D151D" w:rsidRPr="002D151D">
        <w:rPr>
          <w:rFonts w:eastAsia="MS Mincho"/>
        </w:rPr>
        <w:t>reconnaissance</w:t>
      </w:r>
      <w:r w:rsidR="002D151D">
        <w:rPr>
          <w:rFonts w:eastAsia="MS Mincho"/>
        </w:rPr>
        <w:t xml:space="preserve"> considérable pour tous ceux qui travaillaient dans les domaines de l</w:t>
      </w:r>
      <w:r w:rsidR="00346F1B">
        <w:rPr>
          <w:rFonts w:eastAsia="MS Mincho"/>
        </w:rPr>
        <w:t>’</w:t>
      </w:r>
      <w:r w:rsidR="002D151D">
        <w:rPr>
          <w:rFonts w:eastAsia="MS Mincho"/>
        </w:rPr>
        <w:t xml:space="preserve">artisanat traditionnel et du </w:t>
      </w:r>
      <w:r w:rsidR="002D151D" w:rsidRPr="002D151D">
        <w:rPr>
          <w:rFonts w:eastAsia="MS Mincho"/>
        </w:rPr>
        <w:t>patrimoine</w:t>
      </w:r>
      <w:r w:rsidR="002D151D">
        <w:rPr>
          <w:rFonts w:eastAsia="MS Mincho"/>
        </w:rPr>
        <w:t xml:space="preserve"> </w:t>
      </w:r>
      <w:r w:rsidR="002D151D" w:rsidRPr="002D151D">
        <w:rPr>
          <w:rFonts w:eastAsia="MS Mincho"/>
        </w:rPr>
        <w:t>culturel</w:t>
      </w:r>
      <w:r w:rsidR="002D151D">
        <w:rPr>
          <w:rFonts w:eastAsia="MS Mincho"/>
        </w:rPr>
        <w:t xml:space="preserve"> en Norvège. Par son travail, la </w:t>
      </w:r>
      <w:r w:rsidR="002D151D" w:rsidRPr="002D151D">
        <w:rPr>
          <w:rFonts w:eastAsia="MS Mincho"/>
        </w:rPr>
        <w:t>communauté</w:t>
      </w:r>
      <w:r w:rsidR="002D151D">
        <w:rPr>
          <w:rFonts w:eastAsia="MS Mincho"/>
        </w:rPr>
        <w:t xml:space="preserve"> Oselvarverkstaden n</w:t>
      </w:r>
      <w:r w:rsidR="00346F1B">
        <w:rPr>
          <w:rFonts w:eastAsia="MS Mincho"/>
        </w:rPr>
        <w:t>’</w:t>
      </w:r>
      <w:r w:rsidR="002D151D">
        <w:rPr>
          <w:rFonts w:eastAsia="MS Mincho"/>
        </w:rPr>
        <w:t xml:space="preserve">avait pas seulement mis en place de bonnes méthodes de travail pour </w:t>
      </w:r>
      <w:r w:rsidR="002D151D" w:rsidRPr="002D151D">
        <w:rPr>
          <w:rFonts w:eastAsia="MS Mincho"/>
        </w:rPr>
        <w:t>sauvegarde</w:t>
      </w:r>
      <w:r w:rsidR="002D151D">
        <w:rPr>
          <w:rFonts w:eastAsia="MS Mincho"/>
        </w:rPr>
        <w:t>r les connaissances liées à la fabrication de bateaux</w:t>
      </w:r>
      <w:r w:rsidR="009555FB">
        <w:rPr>
          <w:rFonts w:eastAsia="MS Mincho"/>
        </w:rPr>
        <w:t xml:space="preserve">, mais elle avait </w:t>
      </w:r>
      <w:r w:rsidR="009555FB" w:rsidRPr="009555FB">
        <w:rPr>
          <w:rFonts w:eastAsia="MS Mincho"/>
        </w:rPr>
        <w:t>également</w:t>
      </w:r>
      <w:r w:rsidR="00A775AB">
        <w:rPr>
          <w:rFonts w:eastAsia="MS Mincho"/>
        </w:rPr>
        <w:t xml:space="preserve"> conduit</w:t>
      </w:r>
      <w:r w:rsidR="009555FB">
        <w:rPr>
          <w:rFonts w:eastAsia="MS Mincho"/>
        </w:rPr>
        <w:t>, grâce aux ef</w:t>
      </w:r>
      <w:r w:rsidR="00A775AB">
        <w:rPr>
          <w:rFonts w:eastAsia="MS Mincho"/>
        </w:rPr>
        <w:t>forts qu</w:t>
      </w:r>
      <w:r w:rsidR="00346F1B">
        <w:rPr>
          <w:rFonts w:eastAsia="MS Mincho"/>
        </w:rPr>
        <w:t>’</w:t>
      </w:r>
      <w:r w:rsidR="00A775AB">
        <w:rPr>
          <w:rFonts w:eastAsia="MS Mincho"/>
        </w:rPr>
        <w:t xml:space="preserve">elle avait déployés, à </w:t>
      </w:r>
      <w:r w:rsidR="009555FB">
        <w:rPr>
          <w:rFonts w:eastAsia="MS Mincho"/>
        </w:rPr>
        <w:t>une prise de conscience accrue de l</w:t>
      </w:r>
      <w:r w:rsidR="00346F1B">
        <w:rPr>
          <w:rFonts w:eastAsia="MS Mincho"/>
        </w:rPr>
        <w:t>’</w:t>
      </w:r>
      <w:r w:rsidR="009555FB">
        <w:rPr>
          <w:rFonts w:eastAsia="MS Mincho"/>
        </w:rPr>
        <w:t xml:space="preserve">importance de la </w:t>
      </w:r>
      <w:r w:rsidR="009555FB" w:rsidRPr="009555FB">
        <w:rPr>
          <w:rFonts w:eastAsia="MS Mincho"/>
        </w:rPr>
        <w:t>participation</w:t>
      </w:r>
      <w:r w:rsidR="009555FB">
        <w:rPr>
          <w:rFonts w:eastAsia="MS Mincho"/>
        </w:rPr>
        <w:t xml:space="preserve"> des communautés locales, et de l</w:t>
      </w:r>
      <w:r w:rsidR="00346F1B">
        <w:rPr>
          <w:rFonts w:eastAsia="MS Mincho"/>
        </w:rPr>
        <w:t>’</w:t>
      </w:r>
      <w:r w:rsidR="009555FB" w:rsidRPr="009555FB">
        <w:rPr>
          <w:rFonts w:eastAsia="MS Mincho"/>
        </w:rPr>
        <w:t>environnement</w:t>
      </w:r>
      <w:r w:rsidR="009555FB">
        <w:rPr>
          <w:rFonts w:eastAsia="MS Mincho"/>
        </w:rPr>
        <w:t xml:space="preserve"> autour de l</w:t>
      </w:r>
      <w:r w:rsidR="00346F1B">
        <w:rPr>
          <w:rFonts w:eastAsia="MS Mincho"/>
        </w:rPr>
        <w:t>’</w:t>
      </w:r>
      <w:r w:rsidR="009555FB">
        <w:rPr>
          <w:rFonts w:eastAsia="MS Mincho"/>
        </w:rPr>
        <w:t>atelier Oselvar, permettant ainsi d</w:t>
      </w:r>
      <w:r w:rsidR="00346F1B">
        <w:rPr>
          <w:rFonts w:eastAsia="MS Mincho"/>
        </w:rPr>
        <w:t>’</w:t>
      </w:r>
      <w:r w:rsidR="009555FB">
        <w:rPr>
          <w:rFonts w:eastAsia="MS Mincho"/>
        </w:rPr>
        <w:t xml:space="preserve">assurer que cette tradition vivante, son histoire et son </w:t>
      </w:r>
      <w:r w:rsidR="009555FB" w:rsidRPr="009555FB">
        <w:rPr>
          <w:rFonts w:eastAsia="MS Mincho"/>
        </w:rPr>
        <w:t>patrimoine</w:t>
      </w:r>
      <w:r w:rsidR="009555FB">
        <w:rPr>
          <w:rFonts w:eastAsia="MS Mincho"/>
        </w:rPr>
        <w:t xml:space="preserve"> étaient maintenus vivants. La </w:t>
      </w:r>
      <w:r w:rsidR="009555FB" w:rsidRPr="009555FB">
        <w:rPr>
          <w:rFonts w:eastAsia="MS Mincho"/>
        </w:rPr>
        <w:t>délégation</w:t>
      </w:r>
      <w:r w:rsidR="009555FB">
        <w:rPr>
          <w:rFonts w:eastAsia="MS Mincho"/>
        </w:rPr>
        <w:t xml:space="preserve"> était honorée d</w:t>
      </w:r>
      <w:r w:rsidR="00346F1B">
        <w:rPr>
          <w:rFonts w:eastAsia="MS Mincho"/>
        </w:rPr>
        <w:t>’</w:t>
      </w:r>
      <w:r w:rsidR="009555FB">
        <w:rPr>
          <w:rFonts w:eastAsia="MS Mincho"/>
        </w:rPr>
        <w:t xml:space="preserve">avoir reçu cette </w:t>
      </w:r>
      <w:r w:rsidR="009555FB" w:rsidRPr="009555FB">
        <w:rPr>
          <w:rFonts w:eastAsia="MS Mincho"/>
        </w:rPr>
        <w:t>reconnaissance</w:t>
      </w:r>
      <w:r w:rsidR="009555FB">
        <w:rPr>
          <w:rFonts w:eastAsia="MS Mincho"/>
        </w:rPr>
        <w:t>, et elle espérait sincèrement et croyait que cela inciterait les</w:t>
      </w:r>
      <w:r w:rsidR="00A775AB">
        <w:rPr>
          <w:rFonts w:eastAsia="MS Mincho"/>
        </w:rPr>
        <w:t xml:space="preserve"> populations</w:t>
      </w:r>
      <w:r w:rsidR="009555FB">
        <w:rPr>
          <w:rFonts w:eastAsia="MS Mincho"/>
        </w:rPr>
        <w:t>, les praticiens, les communautés et les gouv</w:t>
      </w:r>
      <w:r w:rsidR="001837D1">
        <w:rPr>
          <w:rFonts w:eastAsia="MS Mincho"/>
        </w:rPr>
        <w:t>ernements à sauvegarder le PCI.</w:t>
      </w:r>
    </w:p>
    <w:p w14:paraId="316F7E09" w14:textId="3F965D78" w:rsidR="00E639FE" w:rsidRPr="00F42D92" w:rsidRDefault="00A775AB" w:rsidP="00F24F73">
      <w:pPr>
        <w:pStyle w:val="Orateurengris"/>
        <w:numPr>
          <w:ilvl w:val="0"/>
          <w:numId w:val="0"/>
        </w:numPr>
        <w:ind w:left="709" w:hanging="709"/>
        <w:jc w:val="center"/>
        <w:rPr>
          <w:rFonts w:eastAsia="MS Mincho"/>
          <w:i/>
        </w:rPr>
      </w:pPr>
      <w:r>
        <w:rPr>
          <w:rFonts w:eastAsia="MS Mincho"/>
          <w:i/>
        </w:rPr>
        <w:t>[Un film sur le bateau Oselvar a été projeté</w:t>
      </w:r>
      <w:r w:rsidR="00D168D2" w:rsidRPr="00F42D92">
        <w:rPr>
          <w:rFonts w:eastAsia="MS Mincho"/>
          <w:i/>
        </w:rPr>
        <w:t>]</w:t>
      </w:r>
    </w:p>
    <w:p w14:paraId="65AEE872" w14:textId="000ACEB3" w:rsidR="00A775AB" w:rsidRPr="00A775AB" w:rsidRDefault="00A775AB" w:rsidP="00F24F73">
      <w:pPr>
        <w:pStyle w:val="Orateurengris"/>
        <w:ind w:left="709" w:hanging="709"/>
      </w:pPr>
      <w:r>
        <w:t xml:space="preserve">Le </w:t>
      </w:r>
      <w:r w:rsidRPr="00A775AB">
        <w:rPr>
          <w:b/>
        </w:rPr>
        <w:t>Vice-Président</w:t>
      </w:r>
      <w:r>
        <w:t xml:space="preserve"> a remercié le Comité pour l</w:t>
      </w:r>
      <w:r w:rsidR="00346F1B">
        <w:t>’</w:t>
      </w:r>
      <w:r>
        <w:t xml:space="preserve">esprit de consensus qui avait prévalu au cours de cette séance, </w:t>
      </w:r>
      <w:r w:rsidR="009B4CC3">
        <w:t xml:space="preserve">ainsi que les interprètes, </w:t>
      </w:r>
      <w:r>
        <w:t xml:space="preserve">le personnel </w:t>
      </w:r>
      <w:r w:rsidR="009B4CC3">
        <w:t xml:space="preserve">et </w:t>
      </w:r>
      <w:r>
        <w:t>le Secrétariat</w:t>
      </w:r>
      <w:r w:rsidR="009B4CC3">
        <w:t xml:space="preserve"> pour son travail acharné</w:t>
      </w:r>
      <w:r w:rsidR="001837D1">
        <w:t xml:space="preserve"> au cours du mois précédent.</w:t>
      </w:r>
    </w:p>
    <w:p w14:paraId="4251BDE1" w14:textId="30AA8187" w:rsidR="00A775AB" w:rsidRPr="00A775AB" w:rsidRDefault="00A775AB" w:rsidP="00F24F73">
      <w:pPr>
        <w:pStyle w:val="Orateurengris"/>
        <w:ind w:left="709" w:hanging="709"/>
      </w:pPr>
      <w:r>
        <w:t xml:space="preserve">Le </w:t>
      </w:r>
      <w:r w:rsidRPr="00A775AB">
        <w:rPr>
          <w:b/>
        </w:rPr>
        <w:t>Secrétaire</w:t>
      </w:r>
      <w:r>
        <w:t xml:space="preserve"> a informé le Comité que la dernière réunion du Bureau se tiendrait le lendemain matin et – afin de gagner du temps et compte tenu des points critiques qui restaient à aborder le lendemain – il a, à nouveau, rappelé aux membres </w:t>
      </w:r>
      <w:r w:rsidR="009B4CC3">
        <w:t>qu</w:t>
      </w:r>
      <w:r w:rsidR="00346F1B">
        <w:t>’</w:t>
      </w:r>
      <w:r w:rsidR="009B4CC3">
        <w:t xml:space="preserve">ils devaient </w:t>
      </w:r>
      <w:r>
        <w:t>d</w:t>
      </w:r>
      <w:r w:rsidR="00346F1B">
        <w:t>’</w:t>
      </w:r>
      <w:r>
        <w:t>identifier un nouveau membre du Bureau au sein de leur groupe électoral et un nouveau Rapporteur.</w:t>
      </w:r>
    </w:p>
    <w:p w14:paraId="1EE53A4A" w14:textId="64FC4975" w:rsidR="009B4CC3" w:rsidRDefault="009B4CC3" w:rsidP="00F24F73">
      <w:pPr>
        <w:pStyle w:val="Orateurengris"/>
        <w:spacing w:after="0"/>
        <w:ind w:left="709" w:hanging="709"/>
      </w:pPr>
      <w:r>
        <w:t xml:space="preserve">Le </w:t>
      </w:r>
      <w:r w:rsidRPr="009B4CC3">
        <w:rPr>
          <w:b/>
        </w:rPr>
        <w:t>Vice-Président</w:t>
      </w:r>
      <w:r w:rsidR="001837D1">
        <w:t xml:space="preserve"> a ajourné la session.</w:t>
      </w:r>
    </w:p>
    <w:p w14:paraId="7DC9772C" w14:textId="068CAD0C" w:rsidR="007C2CCD" w:rsidRPr="00EB7583" w:rsidRDefault="00EB7583" w:rsidP="002B4948">
      <w:pPr>
        <w:pStyle w:val="Orateurengris"/>
        <w:numPr>
          <w:ilvl w:val="0"/>
          <w:numId w:val="0"/>
        </w:numPr>
        <w:spacing w:before="120"/>
        <w:ind w:left="709" w:hanging="709"/>
        <w:jc w:val="center"/>
        <w:outlineLvl w:val="0"/>
        <w:rPr>
          <w:i/>
        </w:rPr>
      </w:pPr>
      <w:r w:rsidRPr="00EB7583">
        <w:rPr>
          <w:rFonts w:eastAsia="Cambria"/>
          <w:i/>
        </w:rPr>
        <w:t>[Vendredi 2 décembre, séance du matin</w:t>
      </w:r>
      <w:r w:rsidR="007C2CCD" w:rsidRPr="00EB7583">
        <w:rPr>
          <w:i/>
        </w:rPr>
        <w:t>]</w:t>
      </w:r>
    </w:p>
    <w:p w14:paraId="1CCAC888" w14:textId="09EB0720" w:rsidR="00EB7583" w:rsidRPr="00EB7583" w:rsidRDefault="00EB7583" w:rsidP="005C5B9B">
      <w:pPr>
        <w:pStyle w:val="Orateurengris"/>
        <w:numPr>
          <w:ilvl w:val="0"/>
          <w:numId w:val="0"/>
        </w:numPr>
        <w:spacing w:before="360" w:after="60"/>
        <w:outlineLvl w:val="0"/>
        <w:rPr>
          <w:b/>
          <w:u w:val="single"/>
        </w:rPr>
      </w:pPr>
      <w:bookmarkStart w:id="62" w:name="Item10bis"/>
      <w:r>
        <w:rPr>
          <w:b/>
          <w:u w:val="single"/>
        </w:rPr>
        <w:t>POINT 10 DE L</w:t>
      </w:r>
      <w:r w:rsidR="00346F1B">
        <w:rPr>
          <w:b/>
          <w:u w:val="single"/>
        </w:rPr>
        <w:t>’</w:t>
      </w:r>
      <w:r w:rsidRPr="00EB7583">
        <w:rPr>
          <w:b/>
          <w:u w:val="single"/>
        </w:rPr>
        <w:t>ORDRE DU JOUR</w:t>
      </w:r>
      <w:r w:rsidR="005C5B9B">
        <w:rPr>
          <w:b/>
          <w:u w:val="single"/>
        </w:rPr>
        <w:t xml:space="preserve"> (SUITE)</w:t>
      </w:r>
      <w:r>
        <w:rPr>
          <w:b/>
          <w:u w:val="single"/>
        </w:rPr>
        <w:t>:</w:t>
      </w:r>
    </w:p>
    <w:bookmarkEnd w:id="62"/>
    <w:p w14:paraId="05E22B04" w14:textId="55C29EF4" w:rsidR="007C2CCD" w:rsidRPr="00EB7583" w:rsidRDefault="00EB7583" w:rsidP="005C5B9B">
      <w:pPr>
        <w:pStyle w:val="Orateurengris"/>
        <w:numPr>
          <w:ilvl w:val="0"/>
          <w:numId w:val="0"/>
        </w:numPr>
        <w:outlineLvl w:val="0"/>
        <w:rPr>
          <w:rFonts w:eastAsiaTheme="minorEastAsia"/>
          <w:b/>
        </w:rPr>
      </w:pPr>
      <w:r>
        <w:rPr>
          <w:rFonts w:eastAsiaTheme="minorEastAsia"/>
          <w:b/>
        </w:rPr>
        <w:t>RAPPORT DE L</w:t>
      </w:r>
      <w:r w:rsidR="00346F1B">
        <w:rPr>
          <w:rFonts w:eastAsiaTheme="minorEastAsia"/>
          <w:b/>
        </w:rPr>
        <w:t>’</w:t>
      </w:r>
      <w:r>
        <w:rPr>
          <w:rFonts w:eastAsiaTheme="minorEastAsia"/>
          <w:b/>
        </w:rPr>
        <w:t>ORGANE D</w:t>
      </w:r>
      <w:r w:rsidR="00346F1B">
        <w:rPr>
          <w:rFonts w:eastAsiaTheme="minorEastAsia"/>
          <w:b/>
        </w:rPr>
        <w:t>’</w:t>
      </w:r>
      <w:r>
        <w:rPr>
          <w:rFonts w:eastAsiaTheme="minorEastAsia"/>
          <w:b/>
        </w:rPr>
        <w:t>ÉVALUATION SUR SON TRAVAIL EN 2016</w:t>
      </w:r>
    </w:p>
    <w:p w14:paraId="7743FFC1" w14:textId="7847A238" w:rsidR="00EB7583" w:rsidRPr="00EB7583" w:rsidRDefault="00EB7583" w:rsidP="005C5B9B">
      <w:pPr>
        <w:pStyle w:val="Orateurengris"/>
        <w:spacing w:before="120"/>
        <w:ind w:left="709" w:hanging="709"/>
      </w:pPr>
      <w:r>
        <w:t xml:space="preserve">Le </w:t>
      </w:r>
      <w:r w:rsidRPr="00EB7583">
        <w:rPr>
          <w:b/>
        </w:rPr>
        <w:t>Président</w:t>
      </w:r>
      <w:r>
        <w:t xml:space="preserve"> a salué les délégués en ce dernier jour, et a remercié la Turquie et l</w:t>
      </w:r>
      <w:r w:rsidR="00346F1B">
        <w:t>’</w:t>
      </w:r>
      <w:r>
        <w:t>Algérie d</w:t>
      </w:r>
      <w:r w:rsidR="00346F1B">
        <w:t>’</w:t>
      </w:r>
      <w:r>
        <w:t>avoir assuré la présidence le soir précédent. Il a informé le Comité des discussions qui s</w:t>
      </w:r>
      <w:r w:rsidR="00346F1B">
        <w:t>’</w:t>
      </w:r>
      <w:r>
        <w:t>étaient déroulées lors de la réunion du Bureau, et a évoqué les progrès réalisés p</w:t>
      </w:r>
      <w:r w:rsidR="00ED6238">
        <w:t>endant les séances prolongées en</w:t>
      </w:r>
      <w:r>
        <w:t xml:space="preserve"> soirée qui avaient permis d</w:t>
      </w:r>
      <w:r w:rsidR="00346F1B">
        <w:t>’</w:t>
      </w:r>
      <w:r>
        <w:t>achever l</w:t>
      </w:r>
      <w:r w:rsidR="00346F1B">
        <w:t>’</w:t>
      </w:r>
      <w:r>
        <w:t>examen de tous les dossiers de candidature. Toutefois, le Comité était toujours très en r</w:t>
      </w:r>
      <w:r w:rsidR="00ED6238">
        <w:t>etard et certains point</w:t>
      </w:r>
      <w:r>
        <w:t>s</w:t>
      </w:r>
      <w:r w:rsidR="00ED6238">
        <w:t xml:space="preserve"> urgents restaient à aborder conformément à l</w:t>
      </w:r>
      <w:r w:rsidR="00346F1B">
        <w:t>’</w:t>
      </w:r>
      <w:r w:rsidR="00ED6238">
        <w:t>ordre du jour révisé : l</w:t>
      </w:r>
      <w:r w:rsidR="00346F1B">
        <w:t>’</w:t>
      </w:r>
      <w:r w:rsidR="00ED6238">
        <w:t>établissement de l</w:t>
      </w:r>
      <w:r w:rsidR="00346F1B">
        <w:t>’</w:t>
      </w:r>
      <w:r w:rsidR="00ED6238">
        <w:t>Organe d</w:t>
      </w:r>
      <w:r w:rsidR="00346F1B">
        <w:t>’</w:t>
      </w:r>
      <w:r w:rsidR="00ED6238">
        <w:t>évaluation pour le cycle 2017 ; le nombre de dossiers soumis pour le cycle 2017 et le nombre de dossiers pouvant être traités pour les cycles 2018 et 2019 ; la date et le lieu de la douzième session du Comité ; l</w:t>
      </w:r>
      <w:r w:rsidR="00346F1B">
        <w:t>’</w:t>
      </w:r>
      <w:r w:rsidR="00ED6238">
        <w:t>élection des membres du Bureau ; et l</w:t>
      </w:r>
      <w:r w:rsidR="00346F1B">
        <w:t>’</w:t>
      </w:r>
      <w:r w:rsidR="00ED6238">
        <w:t>adoption de la liste des décisions. Il a informé le Comité que les points 13, 14 et 15 ne seraient pas traités si le Comité n</w:t>
      </w:r>
      <w:r w:rsidR="00346F1B">
        <w:t>’</w:t>
      </w:r>
      <w:r w:rsidR="00ED6238">
        <w:t>avait pa</w:t>
      </w:r>
      <w:r w:rsidR="005C5B9B">
        <w:t>s suffisamment de temps.</w:t>
      </w:r>
    </w:p>
    <w:p w14:paraId="7911EF31" w14:textId="4CE291D9" w:rsidR="00ED6238" w:rsidRDefault="00ED6238" w:rsidP="005C5B9B">
      <w:pPr>
        <w:pStyle w:val="Orateurengris"/>
        <w:spacing w:before="120"/>
        <w:ind w:left="709" w:hanging="709"/>
        <w:rPr>
          <w:rFonts w:eastAsia="MS Mincho"/>
        </w:rPr>
      </w:pPr>
      <w:r>
        <w:rPr>
          <w:rFonts w:eastAsia="MS Mincho"/>
        </w:rPr>
        <w:t>Compte tenu de l</w:t>
      </w:r>
      <w:r w:rsidR="00346F1B">
        <w:rPr>
          <w:rFonts w:eastAsia="MS Mincho"/>
        </w:rPr>
        <w:t>’</w:t>
      </w:r>
      <w:r w:rsidRPr="00ED6238">
        <w:rPr>
          <w:rFonts w:eastAsia="MS Mincho"/>
        </w:rPr>
        <w:t>ordre du jour</w:t>
      </w:r>
      <w:r>
        <w:rPr>
          <w:rFonts w:eastAsia="MS Mincho"/>
        </w:rPr>
        <w:t xml:space="preserve"> révisé, le </w:t>
      </w:r>
      <w:r w:rsidRPr="00ED6238">
        <w:rPr>
          <w:rFonts w:eastAsia="MS Mincho"/>
          <w:b/>
        </w:rPr>
        <w:t>Secrétaire</w:t>
      </w:r>
      <w:r>
        <w:rPr>
          <w:rFonts w:eastAsia="MS Mincho"/>
        </w:rPr>
        <w:t xml:space="preserve"> a informé le Comité que la session débuterait par un débat général et l</w:t>
      </w:r>
      <w:r w:rsidR="00346F1B">
        <w:rPr>
          <w:rFonts w:eastAsia="MS Mincho"/>
        </w:rPr>
        <w:t>’</w:t>
      </w:r>
      <w:r>
        <w:rPr>
          <w:rFonts w:eastAsia="MS Mincho"/>
        </w:rPr>
        <w:t xml:space="preserve">adoption de la </w:t>
      </w:r>
      <w:r w:rsidRPr="00ED6238">
        <w:rPr>
          <w:rFonts w:eastAsia="MS Mincho"/>
        </w:rPr>
        <w:t>décision</w:t>
      </w:r>
      <w:r>
        <w:rPr>
          <w:rFonts w:eastAsia="MS Mincho"/>
        </w:rPr>
        <w:t xml:space="preserve"> au titre du point 10, suivis par les points 11, 12, 16 et 17 qui étaient essentiels pour la prochaine session du Comité. Après la pause déjeuner, le </w:t>
      </w:r>
      <w:r w:rsidR="008749EB">
        <w:rPr>
          <w:rFonts w:eastAsia="MS Mincho"/>
        </w:rPr>
        <w:t>Secrétariat</w:t>
      </w:r>
      <w:r>
        <w:rPr>
          <w:rFonts w:eastAsia="MS Mincho"/>
        </w:rPr>
        <w:t xml:space="preserve"> préparerait la liste de toutes les décisions, en anglais et en français. Dans l</w:t>
      </w:r>
      <w:r w:rsidR="00346F1B">
        <w:rPr>
          <w:rFonts w:eastAsia="MS Mincho"/>
        </w:rPr>
        <w:t>’</w:t>
      </w:r>
      <w:r>
        <w:rPr>
          <w:rFonts w:eastAsia="MS Mincho"/>
        </w:rPr>
        <w:t xml:space="preserve">après-midi, le Comité serait invité à </w:t>
      </w:r>
      <w:r w:rsidR="008749EB">
        <w:rPr>
          <w:rFonts w:eastAsia="MS Mincho"/>
        </w:rPr>
        <w:t>traiter le point 19. Il a précisé qu</w:t>
      </w:r>
      <w:r w:rsidR="00346F1B">
        <w:rPr>
          <w:rFonts w:eastAsia="MS Mincho"/>
        </w:rPr>
        <w:t>’</w:t>
      </w:r>
      <w:r w:rsidR="008749EB">
        <w:rPr>
          <w:rFonts w:eastAsia="MS Mincho"/>
        </w:rPr>
        <w:t xml:space="preserve">il pourrait être demandé au </w:t>
      </w:r>
      <w:r w:rsidR="008749EB" w:rsidRPr="008749EB">
        <w:rPr>
          <w:rFonts w:eastAsia="MS Mincho"/>
        </w:rPr>
        <w:t>Rapporteur</w:t>
      </w:r>
      <w:r w:rsidR="008749EB">
        <w:rPr>
          <w:rFonts w:eastAsia="MS Mincho"/>
        </w:rPr>
        <w:t xml:space="preserve"> de valider toutes les décisions restantes. Selon l</w:t>
      </w:r>
      <w:r w:rsidR="00346F1B">
        <w:rPr>
          <w:rFonts w:eastAsia="MS Mincho"/>
        </w:rPr>
        <w:t>’</w:t>
      </w:r>
      <w:r w:rsidR="008749EB">
        <w:rPr>
          <w:rFonts w:eastAsia="MS Mincho"/>
        </w:rPr>
        <w:t>heure, la session se terminerait avec, dans l</w:t>
      </w:r>
      <w:r w:rsidR="00346F1B">
        <w:rPr>
          <w:rFonts w:eastAsia="MS Mincho"/>
        </w:rPr>
        <w:t>’</w:t>
      </w:r>
      <w:r w:rsidR="005C5B9B">
        <w:rPr>
          <w:rFonts w:eastAsia="MS Mincho"/>
        </w:rPr>
        <w:t>ordre, les points 14, 15 et 13.</w:t>
      </w:r>
    </w:p>
    <w:p w14:paraId="2758639C" w14:textId="262C40C3" w:rsidR="008749EB" w:rsidRPr="008749EB" w:rsidRDefault="008749EB" w:rsidP="005C5B9B">
      <w:pPr>
        <w:pStyle w:val="Orateurengris"/>
        <w:spacing w:before="120"/>
        <w:ind w:left="709" w:hanging="709"/>
        <w:rPr>
          <w:rFonts w:eastAsia="MS Mincho"/>
        </w:rPr>
      </w:pPr>
      <w:r>
        <w:rPr>
          <w:rFonts w:eastAsia="MS Mincho"/>
        </w:rPr>
        <w:t xml:space="preserve">Le </w:t>
      </w:r>
      <w:r w:rsidRPr="008749EB">
        <w:rPr>
          <w:rFonts w:eastAsia="MS Mincho"/>
          <w:b/>
        </w:rPr>
        <w:t>Président</w:t>
      </w:r>
      <w:r>
        <w:rPr>
          <w:rFonts w:eastAsia="MS Mincho"/>
        </w:rPr>
        <w:t xml:space="preserve"> a rappelé que le Comité avait achevé l</w:t>
      </w:r>
      <w:r w:rsidR="00346F1B">
        <w:rPr>
          <w:rFonts w:eastAsia="MS Mincho"/>
        </w:rPr>
        <w:t>’</w:t>
      </w:r>
      <w:r>
        <w:rPr>
          <w:rFonts w:eastAsia="MS Mincho"/>
        </w:rPr>
        <w:t>examen des dossiers individuels au titre des points 10.a, 10.b et 10.c, et qu</w:t>
      </w:r>
      <w:r w:rsidR="00346F1B">
        <w:rPr>
          <w:rFonts w:eastAsia="MS Mincho"/>
        </w:rPr>
        <w:t>’</w:t>
      </w:r>
      <w:r>
        <w:rPr>
          <w:rFonts w:eastAsia="MS Mincho"/>
        </w:rPr>
        <w:t xml:space="preserve">il ouvrait </w:t>
      </w:r>
      <w:r w:rsidRPr="008749EB">
        <w:rPr>
          <w:rFonts w:eastAsia="MS Mincho"/>
        </w:rPr>
        <w:t>désormais</w:t>
      </w:r>
      <w:r>
        <w:rPr>
          <w:rFonts w:eastAsia="MS Mincho"/>
        </w:rPr>
        <w:t xml:space="preserve"> le débat général sur le point 10.</w:t>
      </w:r>
    </w:p>
    <w:p w14:paraId="4505E33F" w14:textId="0E10AF1B" w:rsidR="00FC46E4" w:rsidRPr="00FC46E4" w:rsidRDefault="008D3AF1" w:rsidP="005C5B9B">
      <w:pPr>
        <w:pStyle w:val="Orateurengris"/>
        <w:spacing w:before="120"/>
        <w:ind w:left="709" w:hanging="709"/>
        <w:rPr>
          <w:rFonts w:eastAsia="MS Mincho"/>
        </w:rPr>
      </w:pPr>
      <w:r>
        <w:rPr>
          <w:rFonts w:eastAsia="MS Mincho"/>
        </w:rPr>
        <w:t xml:space="preserve">La </w:t>
      </w:r>
      <w:r w:rsidRPr="008D3AF1">
        <w:rPr>
          <w:rFonts w:eastAsia="MS Mincho"/>
        </w:rPr>
        <w:t>délégation</w:t>
      </w:r>
      <w:r>
        <w:rPr>
          <w:rFonts w:eastAsia="MS Mincho"/>
        </w:rPr>
        <w:t xml:space="preserve"> de l</w:t>
      </w:r>
      <w:r w:rsidR="00346F1B">
        <w:rPr>
          <w:rFonts w:eastAsia="MS Mincho"/>
        </w:rPr>
        <w:t>’</w:t>
      </w:r>
      <w:r w:rsidRPr="008D3AF1">
        <w:rPr>
          <w:rFonts w:eastAsia="MS Mincho"/>
          <w:b/>
        </w:rPr>
        <w:t>Inde</w:t>
      </w:r>
      <w:r w:rsidR="00A17D5D">
        <w:rPr>
          <w:rFonts w:eastAsia="MS Mincho"/>
        </w:rPr>
        <w:t xml:space="preserve"> a évoqué l</w:t>
      </w:r>
      <w:r w:rsidR="00346F1B">
        <w:rPr>
          <w:rFonts w:eastAsia="MS Mincho"/>
        </w:rPr>
        <w:t>’</w:t>
      </w:r>
      <w:r>
        <w:rPr>
          <w:rFonts w:eastAsia="MS Mincho"/>
        </w:rPr>
        <w:t xml:space="preserve">importance </w:t>
      </w:r>
      <w:r w:rsidR="00A17D5D">
        <w:rPr>
          <w:rFonts w:eastAsia="MS Mincho"/>
        </w:rPr>
        <w:t xml:space="preserve">capitale </w:t>
      </w:r>
      <w:r>
        <w:rPr>
          <w:rFonts w:eastAsia="MS Mincho"/>
        </w:rPr>
        <w:t xml:space="preserve">de ce point car il abordait des questions substantielles qui concernaient tout le monde. </w:t>
      </w:r>
      <w:r w:rsidR="00FC46E4">
        <w:rPr>
          <w:rFonts w:eastAsia="MS Mincho"/>
        </w:rPr>
        <w:t>Premièrement, malgré le travail du Secrétariat et de l</w:t>
      </w:r>
      <w:r w:rsidR="00346F1B">
        <w:rPr>
          <w:rFonts w:eastAsia="MS Mincho"/>
        </w:rPr>
        <w:t>’</w:t>
      </w:r>
      <w:r w:rsidR="00FC46E4">
        <w:rPr>
          <w:rFonts w:eastAsia="MS Mincho"/>
        </w:rPr>
        <w:t>Organe d</w:t>
      </w:r>
      <w:r w:rsidR="00346F1B">
        <w:rPr>
          <w:rFonts w:eastAsia="MS Mincho"/>
        </w:rPr>
        <w:t>’</w:t>
      </w:r>
      <w:r w:rsidR="00FC46E4">
        <w:rPr>
          <w:rFonts w:eastAsia="MS Mincho"/>
        </w:rPr>
        <w:t>évaluation qu</w:t>
      </w:r>
      <w:r w:rsidR="00346F1B">
        <w:rPr>
          <w:rFonts w:eastAsia="MS Mincho"/>
        </w:rPr>
        <w:t>’</w:t>
      </w:r>
      <w:r w:rsidR="00FC46E4">
        <w:rPr>
          <w:rFonts w:eastAsia="MS Mincho"/>
        </w:rPr>
        <w:t xml:space="preserve">elle appréciait, le cycle dans son ensemble devait être amélioré. La </w:t>
      </w:r>
      <w:r w:rsidR="00FC46E4" w:rsidRPr="00FC46E4">
        <w:rPr>
          <w:rFonts w:eastAsia="MS Mincho"/>
        </w:rPr>
        <w:t>délégation</w:t>
      </w:r>
      <w:r w:rsidR="00FC46E4">
        <w:rPr>
          <w:rFonts w:eastAsia="MS Mincho"/>
        </w:rPr>
        <w:t xml:space="preserve"> avait le sentiment que le cycle de 18 mois devait bénéficier d</w:t>
      </w:r>
      <w:r w:rsidR="00346F1B">
        <w:rPr>
          <w:rFonts w:eastAsia="MS Mincho"/>
        </w:rPr>
        <w:t>’</w:t>
      </w:r>
      <w:r w:rsidR="00FC46E4">
        <w:rPr>
          <w:rFonts w:eastAsia="MS Mincho"/>
        </w:rPr>
        <w:t>au moins un créneau pendant lequel le Secrétariat ou l</w:t>
      </w:r>
      <w:r w:rsidR="00346F1B">
        <w:rPr>
          <w:rFonts w:eastAsia="MS Mincho"/>
        </w:rPr>
        <w:t>’</w:t>
      </w:r>
      <w:r w:rsidR="00FC46E4">
        <w:rPr>
          <w:rFonts w:eastAsia="MS Mincho"/>
        </w:rPr>
        <w:t>Organe d</w:t>
      </w:r>
      <w:r w:rsidR="00346F1B">
        <w:rPr>
          <w:rFonts w:eastAsia="MS Mincho"/>
        </w:rPr>
        <w:t>’</w:t>
      </w:r>
      <w:r w:rsidR="00FC46E4">
        <w:rPr>
          <w:rFonts w:eastAsia="MS Mincho"/>
        </w:rPr>
        <w:t>évaluation pourrait s</w:t>
      </w:r>
      <w:r w:rsidR="00346F1B">
        <w:rPr>
          <w:rFonts w:eastAsia="MS Mincho"/>
        </w:rPr>
        <w:t>’</w:t>
      </w:r>
      <w:r w:rsidR="00FC46E4">
        <w:rPr>
          <w:rFonts w:eastAsia="MS Mincho"/>
        </w:rPr>
        <w:t>adresser au</w:t>
      </w:r>
      <w:r w:rsidR="00A17D5D">
        <w:rPr>
          <w:rFonts w:eastAsia="MS Mincho"/>
        </w:rPr>
        <w:t>x États soumissionnaires et leur demander d</w:t>
      </w:r>
      <w:r w:rsidR="00346F1B">
        <w:rPr>
          <w:rFonts w:eastAsia="MS Mincho"/>
        </w:rPr>
        <w:t>’</w:t>
      </w:r>
      <w:r w:rsidR="00A17D5D">
        <w:rPr>
          <w:rFonts w:eastAsia="MS Mincho"/>
        </w:rPr>
        <w:t xml:space="preserve">éventuelles </w:t>
      </w:r>
      <w:r w:rsidR="00FC46E4" w:rsidRPr="00FC46E4">
        <w:rPr>
          <w:rFonts w:eastAsia="MS Mincho"/>
        </w:rPr>
        <w:t>informations</w:t>
      </w:r>
      <w:r w:rsidR="00FC46E4">
        <w:rPr>
          <w:rFonts w:eastAsia="MS Mincho"/>
        </w:rPr>
        <w:t xml:space="preserve"> complémentaires </w:t>
      </w:r>
      <w:r w:rsidR="00A17D5D">
        <w:rPr>
          <w:rFonts w:eastAsia="MS Mincho"/>
        </w:rPr>
        <w:t xml:space="preserve">pour </w:t>
      </w:r>
      <w:r w:rsidR="00FC46E4">
        <w:rPr>
          <w:rFonts w:eastAsia="MS Mincho"/>
        </w:rPr>
        <w:t xml:space="preserve">le dossier de candidature, ce qui conduirait à un système permettant à </w:t>
      </w:r>
      <w:r w:rsidR="00FC46E4" w:rsidRPr="00FC46E4">
        <w:rPr>
          <w:rFonts w:eastAsia="MS Mincho"/>
        </w:rPr>
        <w:t>la plupart des</w:t>
      </w:r>
      <w:r w:rsidR="00FC46E4">
        <w:rPr>
          <w:rFonts w:eastAsia="MS Mincho"/>
        </w:rPr>
        <w:t xml:space="preserve"> États de voir leurs </w:t>
      </w:r>
      <w:r w:rsidR="00FC46E4" w:rsidRPr="00FC46E4">
        <w:rPr>
          <w:rFonts w:eastAsia="MS Mincho"/>
        </w:rPr>
        <w:t>candidature</w:t>
      </w:r>
      <w:r w:rsidR="00FC46E4">
        <w:rPr>
          <w:rFonts w:eastAsia="MS Mincho"/>
        </w:rPr>
        <w:t>s couronnées de succès. Il était évident que les candidatures étaient très im</w:t>
      </w:r>
      <w:r w:rsidR="004B75C0">
        <w:rPr>
          <w:rFonts w:eastAsia="MS Mincho"/>
        </w:rPr>
        <w:t>p</w:t>
      </w:r>
      <w:r w:rsidR="00FC46E4">
        <w:rPr>
          <w:rFonts w:eastAsia="MS Mincho"/>
        </w:rPr>
        <w:t xml:space="preserve">ortantes pour les États parties, et la </w:t>
      </w:r>
      <w:r w:rsidR="00FC46E4" w:rsidRPr="00FC46E4">
        <w:rPr>
          <w:rFonts w:eastAsia="MS Mincho"/>
        </w:rPr>
        <w:t>délégation</w:t>
      </w:r>
      <w:r w:rsidR="00FC46E4">
        <w:rPr>
          <w:rFonts w:eastAsia="MS Mincho"/>
        </w:rPr>
        <w:t xml:space="preserve"> </w:t>
      </w:r>
      <w:r w:rsidR="004B75C0">
        <w:rPr>
          <w:rFonts w:eastAsia="MS Mincho"/>
        </w:rPr>
        <w:t>pensait qu</w:t>
      </w:r>
      <w:r w:rsidR="00346F1B">
        <w:rPr>
          <w:rFonts w:eastAsia="MS Mincho"/>
        </w:rPr>
        <w:t>’</w:t>
      </w:r>
      <w:r w:rsidR="004B75C0">
        <w:rPr>
          <w:rFonts w:eastAsia="MS Mincho"/>
        </w:rPr>
        <w:t xml:space="preserve">un consensus était établi sur ce point. Deuxièmement, et ce point était en lien avec le point précédemment évoqué, la </w:t>
      </w:r>
      <w:r w:rsidR="004B75C0" w:rsidRPr="004B75C0">
        <w:rPr>
          <w:rFonts w:eastAsia="MS Mincho"/>
        </w:rPr>
        <w:t>délégation</w:t>
      </w:r>
      <w:r w:rsidR="004B75C0">
        <w:rPr>
          <w:rFonts w:eastAsia="MS Mincho"/>
        </w:rPr>
        <w:t xml:space="preserve"> avait remarqué que le processus de prise de décision</w:t>
      </w:r>
      <w:r w:rsidR="00D53CBD">
        <w:rPr>
          <w:rFonts w:eastAsia="MS Mincho"/>
        </w:rPr>
        <w:t>s</w:t>
      </w:r>
      <w:r w:rsidR="004B75C0">
        <w:rPr>
          <w:rFonts w:eastAsia="MS Mincho"/>
        </w:rPr>
        <w:t xml:space="preserve"> dans cette session avait été modifié le premier jour, ajoutant que d</w:t>
      </w:r>
      <w:r w:rsidR="00346F1B">
        <w:rPr>
          <w:rFonts w:eastAsia="MS Mincho"/>
        </w:rPr>
        <w:t>’</w:t>
      </w:r>
      <w:r w:rsidR="004B75C0">
        <w:rPr>
          <w:rFonts w:eastAsia="MS Mincho"/>
        </w:rPr>
        <w:t>autres améliorations étaient encore possibles. Elle a reconnu que le système mis en p</w:t>
      </w:r>
      <w:r w:rsidR="00942B31">
        <w:rPr>
          <w:rFonts w:eastAsia="MS Mincho"/>
        </w:rPr>
        <w:t>l</w:t>
      </w:r>
      <w:r w:rsidR="004B75C0">
        <w:rPr>
          <w:rFonts w:eastAsia="MS Mincho"/>
        </w:rPr>
        <w:t>ace pour cette session, ainsi que celui hérité des années précédentes, n</w:t>
      </w:r>
      <w:r w:rsidR="00346F1B">
        <w:rPr>
          <w:rFonts w:eastAsia="MS Mincho"/>
        </w:rPr>
        <w:t>’</w:t>
      </w:r>
      <w:r w:rsidR="004B75C0">
        <w:rPr>
          <w:rFonts w:eastAsia="MS Mincho"/>
        </w:rPr>
        <w:t xml:space="preserve">était pas parfait. La </w:t>
      </w:r>
      <w:r w:rsidR="004B75C0" w:rsidRPr="004B75C0">
        <w:rPr>
          <w:rFonts w:eastAsia="MS Mincho"/>
        </w:rPr>
        <w:t>délégation</w:t>
      </w:r>
      <w:r w:rsidR="004B75C0">
        <w:rPr>
          <w:rFonts w:eastAsia="MS Mincho"/>
        </w:rPr>
        <w:t xml:space="preserve"> a réaffirmé qu</w:t>
      </w:r>
      <w:r w:rsidR="00346F1B">
        <w:rPr>
          <w:rFonts w:eastAsia="MS Mincho"/>
        </w:rPr>
        <w:t>’</w:t>
      </w:r>
      <w:r w:rsidR="004B75C0">
        <w:rPr>
          <w:rFonts w:eastAsia="MS Mincho"/>
        </w:rPr>
        <w:t>il y avait un besoin de dialogue et de consultation pour parvenir à un processus de prise de décision</w:t>
      </w:r>
      <w:r w:rsidR="00D53CBD">
        <w:rPr>
          <w:rFonts w:eastAsia="MS Mincho"/>
        </w:rPr>
        <w:t>s</w:t>
      </w:r>
      <w:r w:rsidR="004B75C0">
        <w:rPr>
          <w:rFonts w:eastAsia="MS Mincho"/>
        </w:rPr>
        <w:t xml:space="preserve"> optimal qui conduirait à des inscriptions. La </w:t>
      </w:r>
      <w:r w:rsidR="004B75C0" w:rsidRPr="004B75C0">
        <w:rPr>
          <w:rFonts w:eastAsia="MS Mincho"/>
        </w:rPr>
        <w:t>délégation</w:t>
      </w:r>
      <w:r w:rsidR="004B75C0">
        <w:rPr>
          <w:rFonts w:eastAsia="MS Mincho"/>
        </w:rPr>
        <w:t xml:space="preserve"> a </w:t>
      </w:r>
      <w:r w:rsidR="00360CDD">
        <w:rPr>
          <w:rFonts w:eastAsia="MS Mincho"/>
        </w:rPr>
        <w:t xml:space="preserve">rappelé </w:t>
      </w:r>
      <w:r w:rsidR="004B75C0">
        <w:rPr>
          <w:rFonts w:eastAsia="MS Mincho"/>
        </w:rPr>
        <w:t>ce qu</w:t>
      </w:r>
      <w:r w:rsidR="00346F1B">
        <w:rPr>
          <w:rFonts w:eastAsia="MS Mincho"/>
        </w:rPr>
        <w:t>’</w:t>
      </w:r>
      <w:r w:rsidR="004B75C0">
        <w:rPr>
          <w:rFonts w:eastAsia="MS Mincho"/>
        </w:rPr>
        <w:t>elle avait déclaré le premier jour, à savoir, le Comité devrait s</w:t>
      </w:r>
      <w:r w:rsidR="00346F1B">
        <w:rPr>
          <w:rFonts w:eastAsia="MS Mincho"/>
        </w:rPr>
        <w:t>’</w:t>
      </w:r>
      <w:r w:rsidR="004B75C0">
        <w:rPr>
          <w:rFonts w:eastAsia="MS Mincho"/>
        </w:rPr>
        <w:t>engager dans une discussion approfondie</w:t>
      </w:r>
      <w:r w:rsidR="00360CDD">
        <w:rPr>
          <w:rFonts w:eastAsia="MS Mincho"/>
        </w:rPr>
        <w:t>,</w:t>
      </w:r>
      <w:r w:rsidR="004B75C0">
        <w:rPr>
          <w:rFonts w:eastAsia="MS Mincho"/>
        </w:rPr>
        <w:t xml:space="preserve"> dans le cadre d</w:t>
      </w:r>
      <w:r w:rsidR="00346F1B">
        <w:rPr>
          <w:rFonts w:eastAsia="MS Mincho"/>
        </w:rPr>
        <w:t>’</w:t>
      </w:r>
      <w:r w:rsidR="004B75C0">
        <w:rPr>
          <w:rFonts w:eastAsia="MS Mincho"/>
        </w:rPr>
        <w:t xml:space="preserve">un </w:t>
      </w:r>
      <w:r w:rsidR="004B75C0" w:rsidRPr="004B75C0">
        <w:rPr>
          <w:rFonts w:eastAsia="MS Mincho"/>
        </w:rPr>
        <w:t>groupe de travail</w:t>
      </w:r>
      <w:r w:rsidR="004B75C0">
        <w:rPr>
          <w:rFonts w:eastAsia="MS Mincho"/>
        </w:rPr>
        <w:t xml:space="preserve"> </w:t>
      </w:r>
      <w:r w:rsidR="004B75C0" w:rsidRPr="00360CDD">
        <w:rPr>
          <w:rFonts w:eastAsia="MS Mincho"/>
          <w:i/>
        </w:rPr>
        <w:t>ad hoc</w:t>
      </w:r>
      <w:r w:rsidR="004B75C0">
        <w:rPr>
          <w:rFonts w:eastAsia="MS Mincho"/>
        </w:rPr>
        <w:t xml:space="preserve"> à composition non limitée</w:t>
      </w:r>
      <w:r w:rsidR="00360CDD">
        <w:rPr>
          <w:rFonts w:eastAsia="MS Mincho"/>
        </w:rPr>
        <w:t xml:space="preserve">, ouvert à tous les États membres et organisé entre les sessions, afin de réfléchir </w:t>
      </w:r>
      <w:r w:rsidR="00A17D5D">
        <w:rPr>
          <w:rFonts w:eastAsia="MS Mincho"/>
        </w:rPr>
        <w:t xml:space="preserve">à </w:t>
      </w:r>
      <w:r w:rsidR="00360CDD">
        <w:rPr>
          <w:rFonts w:eastAsia="MS Mincho"/>
        </w:rPr>
        <w:t>ces questions et d</w:t>
      </w:r>
      <w:r w:rsidR="00346F1B">
        <w:rPr>
          <w:rFonts w:eastAsia="MS Mincho"/>
        </w:rPr>
        <w:t>’</w:t>
      </w:r>
      <w:r w:rsidR="00360CDD">
        <w:rPr>
          <w:rFonts w:eastAsia="MS Mincho"/>
        </w:rPr>
        <w:t xml:space="preserve">en débattre, et de parvenir à établir un système qui puisse, </w:t>
      </w:r>
      <w:r w:rsidR="00360CDD" w:rsidRPr="00360CDD">
        <w:rPr>
          <w:rFonts w:eastAsia="MS Mincho"/>
        </w:rPr>
        <w:t>conformément</w:t>
      </w:r>
      <w:r w:rsidR="00360CDD">
        <w:rPr>
          <w:rFonts w:eastAsia="MS Mincho"/>
        </w:rPr>
        <w:t xml:space="preserve"> à la procédure, être présenté au Comité puis à l</w:t>
      </w:r>
      <w:r w:rsidR="00346F1B">
        <w:rPr>
          <w:rFonts w:eastAsia="MS Mincho"/>
        </w:rPr>
        <w:t>’</w:t>
      </w:r>
      <w:r w:rsidR="00360CDD">
        <w:rPr>
          <w:rFonts w:eastAsia="MS Mincho"/>
        </w:rPr>
        <w:t>Assemblée générale. Elle était heureuse de constater que la République de Corée</w:t>
      </w:r>
      <w:r w:rsidR="00A17D5D">
        <w:rPr>
          <w:rFonts w:eastAsia="MS Mincho"/>
        </w:rPr>
        <w:t xml:space="preserve"> avait accepté de présider c</w:t>
      </w:r>
      <w:r w:rsidR="00360CDD">
        <w:rPr>
          <w:rFonts w:eastAsia="MS Mincho"/>
        </w:rPr>
        <w:t xml:space="preserve">e </w:t>
      </w:r>
      <w:r w:rsidR="00360CDD" w:rsidRPr="00360CDD">
        <w:rPr>
          <w:rFonts w:eastAsia="MS Mincho"/>
        </w:rPr>
        <w:t>groupe de travail</w:t>
      </w:r>
      <w:r w:rsidR="00360CDD">
        <w:rPr>
          <w:rFonts w:eastAsia="MS Mincho"/>
        </w:rPr>
        <w:t xml:space="preserve">, ajoutant que cet </w:t>
      </w:r>
      <w:r w:rsidR="00360CDD" w:rsidRPr="00360CDD">
        <w:rPr>
          <w:rFonts w:eastAsia="MS Mincho"/>
        </w:rPr>
        <w:t>État partie</w:t>
      </w:r>
      <w:r w:rsidR="00360CDD">
        <w:rPr>
          <w:rFonts w:eastAsia="MS Mincho"/>
        </w:rPr>
        <w:t xml:space="preserve"> ferait </w:t>
      </w:r>
      <w:r w:rsidR="00360CDD" w:rsidRPr="00360CDD">
        <w:rPr>
          <w:rFonts w:eastAsia="MS Mincho"/>
        </w:rPr>
        <w:t>certainement</w:t>
      </w:r>
      <w:r w:rsidR="00360CDD">
        <w:rPr>
          <w:rFonts w:eastAsia="MS Mincho"/>
        </w:rPr>
        <w:t xml:space="preserve"> un excellent travail et que tous les États membres travailleraient très dur pour perfectionner le système et en p</w:t>
      </w:r>
      <w:r w:rsidR="005C5B9B">
        <w:rPr>
          <w:rFonts w:eastAsia="MS Mincho"/>
        </w:rPr>
        <w:t>résenter une version améliorée.</w:t>
      </w:r>
    </w:p>
    <w:p w14:paraId="3763E479" w14:textId="5B437BA3" w:rsidR="00A17D5D" w:rsidRPr="00A17D5D" w:rsidRDefault="00A17D5D" w:rsidP="005C5B9B">
      <w:pPr>
        <w:pStyle w:val="Orateurengris"/>
        <w:spacing w:before="120"/>
        <w:ind w:left="709" w:hanging="709"/>
        <w:rPr>
          <w:rFonts w:eastAsia="MS Mincho"/>
        </w:rPr>
      </w:pPr>
      <w:r>
        <w:rPr>
          <w:rFonts w:eastAsia="MS Mincho"/>
        </w:rPr>
        <w:t xml:space="preserve">La </w:t>
      </w:r>
      <w:r w:rsidRPr="00A17D5D">
        <w:rPr>
          <w:rFonts w:eastAsia="MS Mincho"/>
        </w:rPr>
        <w:t>délégation</w:t>
      </w:r>
      <w:r>
        <w:rPr>
          <w:rFonts w:eastAsia="MS Mincho"/>
        </w:rPr>
        <w:t xml:space="preserve"> de l</w:t>
      </w:r>
      <w:r w:rsidR="00346F1B">
        <w:rPr>
          <w:rFonts w:eastAsia="MS Mincho"/>
        </w:rPr>
        <w:t>’</w:t>
      </w:r>
      <w:r w:rsidRPr="00A17D5D">
        <w:rPr>
          <w:rFonts w:eastAsia="MS Mincho"/>
          <w:b/>
        </w:rPr>
        <w:t>Algérie</w:t>
      </w:r>
      <w:r>
        <w:rPr>
          <w:rFonts w:eastAsia="MS Mincho"/>
        </w:rPr>
        <w:t xml:space="preserve"> a évoqué l</w:t>
      </w:r>
      <w:r w:rsidR="00346F1B">
        <w:rPr>
          <w:rFonts w:eastAsia="MS Mincho"/>
        </w:rPr>
        <w:t>’</w:t>
      </w:r>
      <w:r>
        <w:rPr>
          <w:rFonts w:eastAsia="MS Mincho"/>
        </w:rPr>
        <w:t>exceptionnelle conduite des travaux de la session</w:t>
      </w:r>
      <w:r w:rsidR="007C7429">
        <w:rPr>
          <w:rFonts w:eastAsia="MS Mincho"/>
        </w:rPr>
        <w:t>,</w:t>
      </w:r>
      <w:r>
        <w:rPr>
          <w:rFonts w:eastAsia="MS Mincho"/>
        </w:rPr>
        <w:t xml:space="preserve"> grâce à la sagacité et au dynamisme du Président, ainsi qu</w:t>
      </w:r>
      <w:r w:rsidR="00346F1B">
        <w:rPr>
          <w:rFonts w:eastAsia="MS Mincho"/>
        </w:rPr>
        <w:t>’</w:t>
      </w:r>
      <w:r>
        <w:rPr>
          <w:rFonts w:eastAsia="MS Mincho"/>
        </w:rPr>
        <w:t>à la compétence du Secrétariat. Elle a souligné que c</w:t>
      </w:r>
      <w:r w:rsidR="00346F1B">
        <w:rPr>
          <w:rFonts w:eastAsia="MS Mincho"/>
        </w:rPr>
        <w:t>’</w:t>
      </w:r>
      <w:r>
        <w:rPr>
          <w:rFonts w:eastAsia="MS Mincho"/>
        </w:rPr>
        <w:t>était la première fois que tant d</w:t>
      </w:r>
      <w:r w:rsidR="00346F1B">
        <w:rPr>
          <w:rFonts w:eastAsia="MS Mincho"/>
        </w:rPr>
        <w:t>’</w:t>
      </w:r>
      <w:r>
        <w:rPr>
          <w:rFonts w:eastAsia="MS Mincho"/>
        </w:rPr>
        <w:t>éléments étaien</w:t>
      </w:r>
      <w:r w:rsidR="001433F2">
        <w:rPr>
          <w:rFonts w:eastAsia="MS Mincho"/>
        </w:rPr>
        <w:t>t inscrits sur les différentes L</w:t>
      </w:r>
      <w:r>
        <w:rPr>
          <w:rFonts w:eastAsia="MS Mincho"/>
        </w:rPr>
        <w:t>istes, ce qui était conforme à l</w:t>
      </w:r>
      <w:r w:rsidR="00346F1B">
        <w:rPr>
          <w:rFonts w:eastAsia="MS Mincho"/>
        </w:rPr>
        <w:t>’</w:t>
      </w:r>
      <w:r>
        <w:rPr>
          <w:rFonts w:eastAsia="MS Mincho"/>
        </w:rPr>
        <w:t xml:space="preserve">esprit de la </w:t>
      </w:r>
      <w:r w:rsidRPr="00A17D5D">
        <w:rPr>
          <w:rFonts w:eastAsia="MS Mincho"/>
        </w:rPr>
        <w:t>Convention</w:t>
      </w:r>
      <w:r>
        <w:rPr>
          <w:rFonts w:eastAsia="MS Mincho"/>
        </w:rPr>
        <w:t xml:space="preserve"> et de l</w:t>
      </w:r>
      <w:r w:rsidR="00346F1B">
        <w:rPr>
          <w:rFonts w:eastAsia="MS Mincho"/>
        </w:rPr>
        <w:t>’</w:t>
      </w:r>
      <w:r>
        <w:rPr>
          <w:rFonts w:eastAsia="MS Mincho"/>
        </w:rPr>
        <w:t>UNESCO, c.-à-d. reconnaître l</w:t>
      </w:r>
      <w:r w:rsidR="00346F1B">
        <w:rPr>
          <w:rFonts w:eastAsia="MS Mincho"/>
        </w:rPr>
        <w:t>’</w:t>
      </w:r>
      <w:r>
        <w:rPr>
          <w:rFonts w:eastAsia="MS Mincho"/>
        </w:rPr>
        <w:t xml:space="preserve">humanité des différentes formes de </w:t>
      </w:r>
      <w:r w:rsidRPr="00A17D5D">
        <w:rPr>
          <w:rFonts w:eastAsia="MS Mincho"/>
        </w:rPr>
        <w:t>patrimoine</w:t>
      </w:r>
      <w:r>
        <w:rPr>
          <w:rFonts w:eastAsia="MS Mincho"/>
        </w:rPr>
        <w:t xml:space="preserve"> en inscrivant le plus grand nombre d</w:t>
      </w:r>
      <w:r w:rsidR="00346F1B">
        <w:rPr>
          <w:rFonts w:eastAsia="MS Mincho"/>
        </w:rPr>
        <w:t>’</w:t>
      </w:r>
      <w:r>
        <w:rPr>
          <w:rFonts w:eastAsia="MS Mincho"/>
        </w:rPr>
        <w:t xml:space="preserve">éléments et en </w:t>
      </w:r>
      <w:r w:rsidR="00D41FC1">
        <w:rPr>
          <w:rFonts w:eastAsia="MS Mincho"/>
        </w:rPr>
        <w:t>en renvoyant le moins possible. L</w:t>
      </w:r>
      <w:r w:rsidR="00346F1B">
        <w:rPr>
          <w:rFonts w:eastAsia="MS Mincho"/>
        </w:rPr>
        <w:t>’</w:t>
      </w:r>
      <w:r w:rsidR="00D41FC1">
        <w:rPr>
          <w:rFonts w:eastAsia="MS Mincho"/>
        </w:rPr>
        <w:t>excellence de la session résidait dans le fait d</w:t>
      </w:r>
      <w:r w:rsidR="00346F1B">
        <w:rPr>
          <w:rFonts w:eastAsia="MS Mincho"/>
        </w:rPr>
        <w:t>’</w:t>
      </w:r>
      <w:r w:rsidR="00D41FC1">
        <w:rPr>
          <w:rFonts w:eastAsia="MS Mincho"/>
        </w:rPr>
        <w:t>avoir trouvé le moyen de distinguer le dossier de candidature de l</w:t>
      </w:r>
      <w:r w:rsidR="00346F1B">
        <w:rPr>
          <w:rFonts w:eastAsia="MS Mincho"/>
        </w:rPr>
        <w:t>’</w:t>
      </w:r>
      <w:r w:rsidR="00D41FC1" w:rsidRPr="00D41FC1">
        <w:rPr>
          <w:rFonts w:eastAsia="MS Mincho"/>
        </w:rPr>
        <w:t>élément</w:t>
      </w:r>
      <w:r w:rsidR="00D41FC1">
        <w:rPr>
          <w:rFonts w:eastAsia="MS Mincho"/>
        </w:rPr>
        <w:t xml:space="preserve">. La </w:t>
      </w:r>
      <w:r w:rsidR="00D41FC1" w:rsidRPr="00D41FC1">
        <w:rPr>
          <w:rFonts w:eastAsia="MS Mincho"/>
        </w:rPr>
        <w:t>délégation</w:t>
      </w:r>
      <w:r w:rsidR="00D41FC1">
        <w:rPr>
          <w:rFonts w:eastAsia="MS Mincho"/>
        </w:rPr>
        <w:t xml:space="preserve"> a rappelé que les textes reconnaissaient que tous les éléments culturels méritaient </w:t>
      </w:r>
      <w:r w:rsidR="00D41FC1" w:rsidRPr="00D41FC1">
        <w:rPr>
          <w:rFonts w:eastAsia="MS Mincho"/>
        </w:rPr>
        <w:t>reconnaissance</w:t>
      </w:r>
      <w:r w:rsidR="00D41FC1">
        <w:rPr>
          <w:rFonts w:eastAsia="MS Mincho"/>
        </w:rPr>
        <w:t>, respect, amitié, admiration et déférence. Elle a reconnu que l</w:t>
      </w:r>
      <w:r w:rsidR="00346F1B">
        <w:rPr>
          <w:rFonts w:eastAsia="MS Mincho"/>
        </w:rPr>
        <w:t>’</w:t>
      </w:r>
      <w:r w:rsidR="00D41FC1">
        <w:rPr>
          <w:rFonts w:eastAsia="MS Mincho"/>
        </w:rPr>
        <w:t>analyse rigoureuse de l</w:t>
      </w:r>
      <w:r w:rsidR="00346F1B">
        <w:rPr>
          <w:rFonts w:eastAsia="MS Mincho"/>
        </w:rPr>
        <w:t>’</w:t>
      </w:r>
      <w:r w:rsidR="00D41FC1">
        <w:rPr>
          <w:rFonts w:eastAsia="MS Mincho"/>
        </w:rPr>
        <w:t>Organe d</w:t>
      </w:r>
      <w:r w:rsidR="00346F1B">
        <w:rPr>
          <w:rFonts w:eastAsia="MS Mincho"/>
        </w:rPr>
        <w:t>’</w:t>
      </w:r>
      <w:r w:rsidR="00D41FC1">
        <w:rPr>
          <w:rFonts w:eastAsia="MS Mincho"/>
        </w:rPr>
        <w:t>évaluation avait permis au Comité d</w:t>
      </w:r>
      <w:r w:rsidR="00346F1B">
        <w:rPr>
          <w:rFonts w:eastAsia="MS Mincho"/>
        </w:rPr>
        <w:t>’</w:t>
      </w:r>
      <w:r w:rsidR="00D41FC1">
        <w:rPr>
          <w:rFonts w:eastAsia="MS Mincho"/>
        </w:rPr>
        <w:t>appréhender différemment le dossier et l</w:t>
      </w:r>
      <w:r w:rsidR="00346F1B">
        <w:rPr>
          <w:rFonts w:eastAsia="MS Mincho"/>
        </w:rPr>
        <w:t>’</w:t>
      </w:r>
      <w:r w:rsidR="00D41FC1" w:rsidRPr="00D41FC1">
        <w:rPr>
          <w:rFonts w:eastAsia="MS Mincho"/>
        </w:rPr>
        <w:t>élément</w:t>
      </w:r>
      <w:r w:rsidR="00D41FC1">
        <w:rPr>
          <w:rFonts w:eastAsia="MS Mincho"/>
        </w:rPr>
        <w:t xml:space="preserve">, autorisant ainsi la dissociation </w:t>
      </w:r>
      <w:r w:rsidR="007C7429">
        <w:rPr>
          <w:rFonts w:eastAsia="MS Mincho"/>
        </w:rPr>
        <w:t>entre, d</w:t>
      </w:r>
      <w:r w:rsidR="00346F1B">
        <w:rPr>
          <w:rFonts w:eastAsia="MS Mincho"/>
        </w:rPr>
        <w:t>’</w:t>
      </w:r>
      <w:r w:rsidR="007C7429">
        <w:rPr>
          <w:rFonts w:eastAsia="MS Mincho"/>
        </w:rPr>
        <w:t xml:space="preserve">une part, le travail des </w:t>
      </w:r>
      <w:r w:rsidR="00D41FC1">
        <w:rPr>
          <w:rFonts w:eastAsia="MS Mincho"/>
        </w:rPr>
        <w:t>experts des États et, d</w:t>
      </w:r>
      <w:r w:rsidR="00346F1B">
        <w:rPr>
          <w:rFonts w:eastAsia="MS Mincho"/>
        </w:rPr>
        <w:t>’</w:t>
      </w:r>
      <w:r w:rsidR="00D41FC1">
        <w:rPr>
          <w:rFonts w:eastAsia="MS Mincho"/>
        </w:rPr>
        <w:t>autre part, l</w:t>
      </w:r>
      <w:r w:rsidR="00346F1B">
        <w:rPr>
          <w:rFonts w:eastAsia="MS Mincho"/>
        </w:rPr>
        <w:t>’</w:t>
      </w:r>
      <w:r w:rsidR="00D41FC1">
        <w:rPr>
          <w:rFonts w:eastAsia="MS Mincho"/>
        </w:rPr>
        <w:t>élément culturel</w:t>
      </w:r>
      <w:r w:rsidR="007C7429">
        <w:rPr>
          <w:rFonts w:eastAsia="MS Mincho"/>
        </w:rPr>
        <w:t xml:space="preserve"> en soi</w:t>
      </w:r>
      <w:r w:rsidR="00D41FC1">
        <w:rPr>
          <w:rFonts w:eastAsia="MS Mincho"/>
        </w:rPr>
        <w:t>. Cela s</w:t>
      </w:r>
      <w:r w:rsidR="00346F1B">
        <w:rPr>
          <w:rFonts w:eastAsia="MS Mincho"/>
        </w:rPr>
        <w:t>’</w:t>
      </w:r>
      <w:r w:rsidR="00D41FC1">
        <w:rPr>
          <w:rFonts w:eastAsia="MS Mincho"/>
        </w:rPr>
        <w:t xml:space="preserve">était reflété dans les décisions où un </w:t>
      </w:r>
      <w:r w:rsidR="00D41FC1" w:rsidRPr="00D41FC1">
        <w:rPr>
          <w:rFonts w:eastAsia="MS Mincho"/>
        </w:rPr>
        <w:t>paragraphe</w:t>
      </w:r>
      <w:r w:rsidR="00D41FC1">
        <w:rPr>
          <w:rFonts w:eastAsia="MS Mincho"/>
        </w:rPr>
        <w:t xml:space="preserve"> standard avait été inséré pour préciser que les dossiers avaient été jugés insatisfaisants par l</w:t>
      </w:r>
      <w:r w:rsidR="00346F1B">
        <w:rPr>
          <w:rFonts w:eastAsia="MS Mincho"/>
        </w:rPr>
        <w:t>’</w:t>
      </w:r>
      <w:r w:rsidR="00D41FC1">
        <w:rPr>
          <w:rFonts w:eastAsia="MS Mincho"/>
        </w:rPr>
        <w:t>Organe d</w:t>
      </w:r>
      <w:r w:rsidR="00346F1B">
        <w:rPr>
          <w:rFonts w:eastAsia="MS Mincho"/>
        </w:rPr>
        <w:t>’</w:t>
      </w:r>
      <w:r w:rsidR="00D41FC1">
        <w:rPr>
          <w:rFonts w:eastAsia="MS Mincho"/>
        </w:rPr>
        <w:t xml:space="preserve">évaluation. </w:t>
      </w:r>
      <w:r w:rsidR="007C7429">
        <w:rPr>
          <w:rFonts w:eastAsia="MS Mincho"/>
        </w:rPr>
        <w:t>La différence était que l</w:t>
      </w:r>
      <w:r w:rsidR="00346F1B">
        <w:rPr>
          <w:rFonts w:eastAsia="MS Mincho"/>
        </w:rPr>
        <w:t>’</w:t>
      </w:r>
      <w:r w:rsidR="007C7429" w:rsidRPr="007C7429">
        <w:rPr>
          <w:rFonts w:eastAsia="MS Mincho"/>
        </w:rPr>
        <w:t>élément</w:t>
      </w:r>
      <w:r w:rsidR="007C7429">
        <w:rPr>
          <w:rFonts w:eastAsia="MS Mincho"/>
        </w:rPr>
        <w:t xml:space="preserve"> existait alors que le dossier de candidature avait été créé. Consciente de ce fait, la </w:t>
      </w:r>
      <w:r w:rsidR="007C7429" w:rsidRPr="007C7429">
        <w:rPr>
          <w:rFonts w:eastAsia="MS Mincho"/>
        </w:rPr>
        <w:t>délégation</w:t>
      </w:r>
      <w:r w:rsidR="007C7429">
        <w:rPr>
          <w:rFonts w:eastAsia="MS Mincho"/>
        </w:rPr>
        <w:t xml:space="preserve"> croyait que cette expérience méritait d</w:t>
      </w:r>
      <w:r w:rsidR="00346F1B">
        <w:rPr>
          <w:rFonts w:eastAsia="MS Mincho"/>
        </w:rPr>
        <w:t>’</w:t>
      </w:r>
      <w:r w:rsidR="007C7429">
        <w:rPr>
          <w:rFonts w:eastAsia="MS Mincho"/>
        </w:rPr>
        <w:t>être améliorée par l</w:t>
      </w:r>
      <w:r w:rsidR="00346F1B">
        <w:rPr>
          <w:rFonts w:eastAsia="MS Mincho"/>
        </w:rPr>
        <w:t>’</w:t>
      </w:r>
      <w:r w:rsidR="007C7429">
        <w:rPr>
          <w:rFonts w:eastAsia="MS Mincho"/>
        </w:rPr>
        <w:t>introduction d</w:t>
      </w:r>
      <w:r w:rsidR="00346F1B">
        <w:rPr>
          <w:rFonts w:eastAsia="MS Mincho"/>
        </w:rPr>
        <w:t>’</w:t>
      </w:r>
      <w:r w:rsidR="007C7429">
        <w:rPr>
          <w:rFonts w:eastAsia="MS Mincho"/>
        </w:rPr>
        <w:t>une phase d</w:t>
      </w:r>
      <w:r w:rsidR="00346F1B">
        <w:rPr>
          <w:rFonts w:eastAsia="MS Mincho"/>
        </w:rPr>
        <w:t>’</w:t>
      </w:r>
      <w:r w:rsidR="007C7429">
        <w:rPr>
          <w:rFonts w:eastAsia="MS Mincho"/>
        </w:rPr>
        <w:t>échange et de communication entre l</w:t>
      </w:r>
      <w:r w:rsidR="00346F1B">
        <w:rPr>
          <w:rFonts w:eastAsia="MS Mincho"/>
        </w:rPr>
        <w:t>’</w:t>
      </w:r>
      <w:r w:rsidR="007C7429">
        <w:rPr>
          <w:rFonts w:eastAsia="MS Mincho"/>
        </w:rPr>
        <w:t>Organe d</w:t>
      </w:r>
      <w:r w:rsidR="00346F1B">
        <w:rPr>
          <w:rFonts w:eastAsia="MS Mincho"/>
        </w:rPr>
        <w:t>’</w:t>
      </w:r>
      <w:r w:rsidR="007C7429">
        <w:rPr>
          <w:rFonts w:eastAsia="MS Mincho"/>
        </w:rPr>
        <w:t>évaluation et l</w:t>
      </w:r>
      <w:r w:rsidR="00346F1B">
        <w:rPr>
          <w:rFonts w:eastAsia="MS Mincho"/>
        </w:rPr>
        <w:t>’</w:t>
      </w:r>
      <w:r w:rsidR="007C7429">
        <w:rPr>
          <w:rFonts w:eastAsia="MS Mincho"/>
        </w:rPr>
        <w:t>État soumissionnaire avant la publication du rapport de l</w:t>
      </w:r>
      <w:r w:rsidR="00346F1B">
        <w:rPr>
          <w:rFonts w:eastAsia="MS Mincho"/>
        </w:rPr>
        <w:t>’</w:t>
      </w:r>
      <w:r w:rsidR="007C7429">
        <w:rPr>
          <w:rFonts w:eastAsia="MS Mincho"/>
        </w:rPr>
        <w:t>Organe. Cela permettrait de réduire le nombre de demandes d</w:t>
      </w:r>
      <w:r w:rsidR="00346F1B">
        <w:rPr>
          <w:rFonts w:eastAsia="MS Mincho"/>
        </w:rPr>
        <w:t>’</w:t>
      </w:r>
      <w:r w:rsidR="005C5B9B">
        <w:rPr>
          <w:rFonts w:eastAsia="MS Mincho"/>
        </w:rPr>
        <w:t>éclaircissements.</w:t>
      </w:r>
    </w:p>
    <w:p w14:paraId="71FC93BB" w14:textId="467792E7" w:rsidR="007C7429" w:rsidRPr="007C7429" w:rsidRDefault="007C7429" w:rsidP="005C5B9B">
      <w:pPr>
        <w:pStyle w:val="Orateurengris"/>
        <w:spacing w:before="120"/>
        <w:ind w:left="709" w:hanging="709"/>
        <w:rPr>
          <w:rFonts w:eastAsia="MS Mincho"/>
        </w:rPr>
      </w:pPr>
      <w:r>
        <w:rPr>
          <w:rFonts w:eastAsia="MS Mincho"/>
        </w:rPr>
        <w:t xml:space="preserve">La </w:t>
      </w:r>
      <w:r w:rsidRPr="007C7429">
        <w:rPr>
          <w:rFonts w:eastAsia="MS Mincho"/>
        </w:rPr>
        <w:t>délégation</w:t>
      </w:r>
      <w:r>
        <w:rPr>
          <w:rFonts w:eastAsia="MS Mincho"/>
        </w:rPr>
        <w:t xml:space="preserve"> de </w:t>
      </w:r>
      <w:r w:rsidRPr="007C7429">
        <w:rPr>
          <w:rFonts w:eastAsia="MS Mincho"/>
          <w:b/>
        </w:rPr>
        <w:t>Cuba</w:t>
      </w:r>
      <w:r>
        <w:rPr>
          <w:rFonts w:eastAsia="MS Mincho"/>
        </w:rPr>
        <w:t xml:space="preserve"> souscrivait à la </w:t>
      </w:r>
      <w:r w:rsidRPr="007C7429">
        <w:rPr>
          <w:rFonts w:eastAsia="MS Mincho"/>
        </w:rPr>
        <w:t xml:space="preserve">proposition </w:t>
      </w:r>
      <w:r>
        <w:rPr>
          <w:rFonts w:eastAsia="MS Mincho"/>
        </w:rPr>
        <w:t xml:space="preserve">de créer un </w:t>
      </w:r>
      <w:r w:rsidRPr="007C7429">
        <w:rPr>
          <w:rFonts w:eastAsia="MS Mincho"/>
        </w:rPr>
        <w:t>groupe de travail</w:t>
      </w:r>
      <w:r>
        <w:rPr>
          <w:rFonts w:eastAsia="MS Mincho"/>
        </w:rPr>
        <w:t xml:space="preserve"> informel destiné à poursuivre</w:t>
      </w:r>
      <w:r w:rsidR="00BE25D1">
        <w:rPr>
          <w:rFonts w:eastAsia="MS Mincho"/>
        </w:rPr>
        <w:t xml:space="preserve"> le travail entre les sessions. Elle a </w:t>
      </w:r>
      <w:r w:rsidR="00BE25D1" w:rsidRPr="00BE25D1">
        <w:rPr>
          <w:rFonts w:eastAsia="MS Mincho"/>
        </w:rPr>
        <w:t>par ailleurs</w:t>
      </w:r>
      <w:r w:rsidR="00BE25D1">
        <w:rPr>
          <w:rFonts w:eastAsia="MS Mincho"/>
        </w:rPr>
        <w:t xml:space="preserve"> suggéré d</w:t>
      </w:r>
      <w:r w:rsidR="00346F1B">
        <w:rPr>
          <w:rFonts w:eastAsia="MS Mincho"/>
        </w:rPr>
        <w:t>’</w:t>
      </w:r>
      <w:r w:rsidR="00BE25D1">
        <w:rPr>
          <w:rFonts w:eastAsia="MS Mincho"/>
        </w:rPr>
        <w:t xml:space="preserve">organiser </w:t>
      </w:r>
      <w:r>
        <w:rPr>
          <w:rFonts w:eastAsia="MS Mincho"/>
        </w:rPr>
        <w:t>des sessions parallèles au cours desquelles le</w:t>
      </w:r>
      <w:r w:rsidR="00891F9A">
        <w:rPr>
          <w:rFonts w:eastAsia="MS Mincho"/>
        </w:rPr>
        <w:t xml:space="preserve"> travail pourrait être </w:t>
      </w:r>
      <w:r w:rsidR="002072C6">
        <w:rPr>
          <w:rFonts w:eastAsia="MS Mincho"/>
        </w:rPr>
        <w:t xml:space="preserve">réalisé </w:t>
      </w:r>
      <w:r w:rsidR="00891F9A">
        <w:rPr>
          <w:rFonts w:eastAsia="MS Mincho"/>
        </w:rPr>
        <w:t>de façon formelle</w:t>
      </w:r>
      <w:r w:rsidR="002072C6">
        <w:rPr>
          <w:rFonts w:eastAsia="MS Mincho"/>
        </w:rPr>
        <w:t>,</w:t>
      </w:r>
      <w:r w:rsidR="00891F9A">
        <w:rPr>
          <w:rFonts w:eastAsia="MS Mincho"/>
        </w:rPr>
        <w:t xml:space="preserve"> permettant ainsi à des propositions correctement formulées d</w:t>
      </w:r>
      <w:r w:rsidR="00346F1B">
        <w:rPr>
          <w:rFonts w:eastAsia="MS Mincho"/>
        </w:rPr>
        <w:t>’</w:t>
      </w:r>
      <w:r w:rsidR="00891F9A">
        <w:rPr>
          <w:rFonts w:eastAsia="MS Mincho"/>
        </w:rPr>
        <w:t>être soumise</w:t>
      </w:r>
      <w:r w:rsidR="00BE25D1">
        <w:rPr>
          <w:rFonts w:eastAsia="MS Mincho"/>
        </w:rPr>
        <w:t>s</w:t>
      </w:r>
      <w:r w:rsidR="00891F9A">
        <w:rPr>
          <w:rFonts w:eastAsia="MS Mincho"/>
        </w:rPr>
        <w:t xml:space="preserve"> lors des sessions</w:t>
      </w:r>
      <w:r w:rsidR="00BE25D1">
        <w:rPr>
          <w:rFonts w:eastAsia="MS Mincho"/>
        </w:rPr>
        <w:t xml:space="preserve"> à venir</w:t>
      </w:r>
      <w:r w:rsidR="00891F9A">
        <w:rPr>
          <w:rFonts w:eastAsia="MS Mincho"/>
        </w:rPr>
        <w:t xml:space="preserve">. La </w:t>
      </w:r>
      <w:r w:rsidR="00891F9A" w:rsidRPr="00891F9A">
        <w:rPr>
          <w:rFonts w:eastAsia="MS Mincho"/>
        </w:rPr>
        <w:t>délégation</w:t>
      </w:r>
      <w:r w:rsidR="00891F9A">
        <w:rPr>
          <w:rFonts w:eastAsia="MS Mincho"/>
        </w:rPr>
        <w:t xml:space="preserve"> a reconnu que cette session avait été très particulière, et a convenu que le Comité devait revoir la façon dont les dossiers étaient évalués. Il n</w:t>
      </w:r>
      <w:r w:rsidR="00346F1B">
        <w:rPr>
          <w:rFonts w:eastAsia="MS Mincho"/>
        </w:rPr>
        <w:t>’</w:t>
      </w:r>
      <w:r w:rsidR="00891F9A">
        <w:rPr>
          <w:rFonts w:eastAsia="MS Mincho"/>
        </w:rPr>
        <w:t>était pas seulement nécessaire de prévoir une communication entre l</w:t>
      </w:r>
      <w:r w:rsidR="00346F1B">
        <w:rPr>
          <w:rFonts w:eastAsia="MS Mincho"/>
        </w:rPr>
        <w:t>’</w:t>
      </w:r>
      <w:r w:rsidR="00891F9A">
        <w:rPr>
          <w:rFonts w:eastAsia="MS Mincho"/>
        </w:rPr>
        <w:t>Organe d</w:t>
      </w:r>
      <w:r w:rsidR="00346F1B">
        <w:rPr>
          <w:rFonts w:eastAsia="MS Mincho"/>
        </w:rPr>
        <w:t>’</w:t>
      </w:r>
      <w:r w:rsidR="00891F9A">
        <w:rPr>
          <w:rFonts w:eastAsia="MS Mincho"/>
        </w:rPr>
        <w:t xml:space="preserve">évaluation et les États soumissionnaires, il convenait </w:t>
      </w:r>
      <w:r w:rsidR="00891F9A" w:rsidRPr="00891F9A">
        <w:rPr>
          <w:rFonts w:eastAsia="MS Mincho"/>
        </w:rPr>
        <w:t>également</w:t>
      </w:r>
      <w:r w:rsidR="00891F9A">
        <w:rPr>
          <w:rFonts w:eastAsia="MS Mincho"/>
        </w:rPr>
        <w:t xml:space="preserve"> de réexaminer ou de souligner certains points qui allaient </w:t>
      </w:r>
      <w:r w:rsidR="00B600B4">
        <w:rPr>
          <w:rFonts w:eastAsia="MS Mincho"/>
        </w:rPr>
        <w:t>au-delà</w:t>
      </w:r>
      <w:r w:rsidR="00891F9A">
        <w:rPr>
          <w:rFonts w:eastAsia="MS Mincho"/>
        </w:rPr>
        <w:t xml:space="preserve"> du simple problème de communication. La </w:t>
      </w:r>
      <w:r w:rsidR="00891F9A" w:rsidRPr="00891F9A">
        <w:rPr>
          <w:rFonts w:eastAsia="MS Mincho"/>
        </w:rPr>
        <w:t>délégation</w:t>
      </w:r>
      <w:r w:rsidR="00891F9A">
        <w:rPr>
          <w:rFonts w:eastAsia="MS Mincho"/>
        </w:rPr>
        <w:t xml:space="preserve"> pensait que le travail technique accompli par le Secrétariat dans la première phase de la soumission des dossiers pourrait être renforcé car certains dossiers, en raison de problèmes de méthodo</w:t>
      </w:r>
      <w:r w:rsidR="00124F65">
        <w:rPr>
          <w:rFonts w:eastAsia="MS Mincho"/>
        </w:rPr>
        <w:t>logie, ne satisfaisaient pas les</w:t>
      </w:r>
      <w:r w:rsidR="00891F9A">
        <w:rPr>
          <w:rFonts w:eastAsia="MS Mincho"/>
        </w:rPr>
        <w:t xml:space="preserve"> exigences. La </w:t>
      </w:r>
      <w:r w:rsidR="00891F9A" w:rsidRPr="00891F9A">
        <w:rPr>
          <w:rFonts w:eastAsia="MS Mincho"/>
        </w:rPr>
        <w:t>délégation</w:t>
      </w:r>
      <w:r w:rsidR="00891F9A">
        <w:rPr>
          <w:rFonts w:eastAsia="MS Mincho"/>
        </w:rPr>
        <w:t xml:space="preserve"> avait </w:t>
      </w:r>
      <w:r w:rsidR="00891F9A" w:rsidRPr="00891F9A">
        <w:rPr>
          <w:rFonts w:eastAsia="MS Mincho"/>
        </w:rPr>
        <w:t>également</w:t>
      </w:r>
      <w:r w:rsidR="00891F9A">
        <w:rPr>
          <w:rFonts w:eastAsia="MS Mincho"/>
        </w:rPr>
        <w:t xml:space="preserve"> le sentiment que la composition de l</w:t>
      </w:r>
      <w:r w:rsidR="00346F1B">
        <w:rPr>
          <w:rFonts w:eastAsia="MS Mincho"/>
        </w:rPr>
        <w:t>’</w:t>
      </w:r>
      <w:r w:rsidR="00891F9A">
        <w:rPr>
          <w:rFonts w:eastAsia="MS Mincho"/>
        </w:rPr>
        <w:t>Organe d</w:t>
      </w:r>
      <w:r w:rsidR="00346F1B">
        <w:rPr>
          <w:rFonts w:eastAsia="MS Mincho"/>
        </w:rPr>
        <w:t>’</w:t>
      </w:r>
      <w:r w:rsidR="00891F9A">
        <w:rPr>
          <w:rFonts w:eastAsia="MS Mincho"/>
        </w:rPr>
        <w:t>évaluation devait faire l</w:t>
      </w:r>
      <w:r w:rsidR="00346F1B">
        <w:rPr>
          <w:rFonts w:eastAsia="MS Mincho"/>
        </w:rPr>
        <w:t>’</w:t>
      </w:r>
      <w:r w:rsidR="00891F9A">
        <w:rPr>
          <w:rFonts w:eastAsia="MS Mincho"/>
        </w:rPr>
        <w:t>objet d</w:t>
      </w:r>
      <w:r w:rsidR="00346F1B">
        <w:rPr>
          <w:rFonts w:eastAsia="MS Mincho"/>
        </w:rPr>
        <w:t>’</w:t>
      </w:r>
      <w:r w:rsidR="00891F9A">
        <w:rPr>
          <w:rFonts w:eastAsia="MS Mincho"/>
        </w:rPr>
        <w:t>un débat. </w:t>
      </w:r>
      <w:r w:rsidR="00BE25D1">
        <w:rPr>
          <w:rFonts w:eastAsia="MS Mincho"/>
        </w:rPr>
        <w:t>La composition de l</w:t>
      </w:r>
      <w:r w:rsidR="00346F1B">
        <w:rPr>
          <w:rFonts w:eastAsia="MS Mincho"/>
        </w:rPr>
        <w:t>’</w:t>
      </w:r>
      <w:r w:rsidR="00BE25D1">
        <w:rPr>
          <w:rFonts w:eastAsia="MS Mincho"/>
        </w:rPr>
        <w:t>Organe, six ONG et six représentants des États, n</w:t>
      </w:r>
      <w:r w:rsidR="00346F1B">
        <w:rPr>
          <w:rFonts w:eastAsia="MS Mincho"/>
        </w:rPr>
        <w:t>’</w:t>
      </w:r>
      <w:r w:rsidR="00BE25D1">
        <w:rPr>
          <w:rFonts w:eastAsia="MS Mincho"/>
        </w:rPr>
        <w:t xml:space="preserve">était pas représentative du caractère </w:t>
      </w:r>
      <w:r w:rsidR="00BE25D1" w:rsidRPr="00BE25D1">
        <w:rPr>
          <w:rFonts w:eastAsia="MS Mincho"/>
        </w:rPr>
        <w:t>intergouvernemental</w:t>
      </w:r>
      <w:r w:rsidR="00BE25D1">
        <w:rPr>
          <w:rFonts w:eastAsia="MS Mincho"/>
        </w:rPr>
        <w:t xml:space="preserve"> du Comité, car les ONG et les États parties, bien qu</w:t>
      </w:r>
      <w:r w:rsidR="00346F1B">
        <w:rPr>
          <w:rFonts w:eastAsia="MS Mincho"/>
        </w:rPr>
        <w:t>’</w:t>
      </w:r>
      <w:r w:rsidR="00BE25D1">
        <w:rPr>
          <w:rFonts w:eastAsia="MS Mincho"/>
        </w:rPr>
        <w:t xml:space="preserve">ayant le même statut, ne pouvaient pas parler </w:t>
      </w:r>
      <w:r w:rsidR="002072C6">
        <w:rPr>
          <w:rFonts w:eastAsia="MS Mincho"/>
        </w:rPr>
        <w:t xml:space="preserve">avec </w:t>
      </w:r>
      <w:r w:rsidR="00BE25D1">
        <w:rPr>
          <w:rFonts w:eastAsia="MS Mincho"/>
        </w:rPr>
        <w:t xml:space="preserve">la même voix. Elle </w:t>
      </w:r>
      <w:r w:rsidR="002072C6">
        <w:rPr>
          <w:rFonts w:eastAsia="MS Mincho"/>
        </w:rPr>
        <w:t xml:space="preserve">imaginait </w:t>
      </w:r>
      <w:r w:rsidR="00BE25D1">
        <w:rPr>
          <w:rFonts w:eastAsia="MS Mincho"/>
        </w:rPr>
        <w:t>que d</w:t>
      </w:r>
      <w:r w:rsidR="00346F1B">
        <w:rPr>
          <w:rFonts w:eastAsia="MS Mincho"/>
        </w:rPr>
        <w:t>’</w:t>
      </w:r>
      <w:r w:rsidR="00BE25D1">
        <w:rPr>
          <w:rFonts w:eastAsia="MS Mincho"/>
        </w:rPr>
        <w:t>autres types d</w:t>
      </w:r>
      <w:r w:rsidR="00346F1B">
        <w:rPr>
          <w:rFonts w:eastAsia="MS Mincho"/>
        </w:rPr>
        <w:t>’</w:t>
      </w:r>
      <w:r w:rsidR="00BE25D1">
        <w:rPr>
          <w:rFonts w:eastAsia="MS Mincho"/>
        </w:rPr>
        <w:t xml:space="preserve">acteurs ou de </w:t>
      </w:r>
      <w:r w:rsidR="00BE25D1" w:rsidRPr="00BE25D1">
        <w:rPr>
          <w:rFonts w:eastAsia="MS Mincho"/>
        </w:rPr>
        <w:t>parties prenantes</w:t>
      </w:r>
      <w:r w:rsidR="002072C6">
        <w:rPr>
          <w:rFonts w:eastAsia="MS Mincho"/>
        </w:rPr>
        <w:t>, comme d</w:t>
      </w:r>
      <w:r w:rsidR="00BE25D1">
        <w:rPr>
          <w:rFonts w:eastAsia="MS Mincho"/>
        </w:rPr>
        <w:t xml:space="preserve">es centres de </w:t>
      </w:r>
      <w:r w:rsidR="00BE25D1" w:rsidRPr="00BE25D1">
        <w:rPr>
          <w:rFonts w:eastAsia="MS Mincho"/>
        </w:rPr>
        <w:t>recherche</w:t>
      </w:r>
      <w:r w:rsidR="00BE25D1">
        <w:rPr>
          <w:rFonts w:eastAsia="MS Mincho"/>
        </w:rPr>
        <w:t xml:space="preserve"> ou d</w:t>
      </w:r>
      <w:r w:rsidR="00346F1B">
        <w:rPr>
          <w:rFonts w:eastAsia="MS Mincho"/>
        </w:rPr>
        <w:t>’</w:t>
      </w:r>
      <w:r w:rsidR="00BE25D1">
        <w:rPr>
          <w:rFonts w:eastAsia="MS Mincho"/>
        </w:rPr>
        <w:t>autres experts du PCI, pourraient y participer, ajoutant que ces questions pourraient faire l</w:t>
      </w:r>
      <w:r w:rsidR="00346F1B">
        <w:rPr>
          <w:rFonts w:eastAsia="MS Mincho"/>
        </w:rPr>
        <w:t>’</w:t>
      </w:r>
      <w:r w:rsidR="00BE25D1">
        <w:rPr>
          <w:rFonts w:eastAsia="MS Mincho"/>
        </w:rPr>
        <w:t xml:space="preserve">objet de discussions dans le cadre du </w:t>
      </w:r>
      <w:r w:rsidR="00BE25D1" w:rsidRPr="00BE25D1">
        <w:rPr>
          <w:rFonts w:eastAsia="MS Mincho"/>
        </w:rPr>
        <w:t>groupe de travail</w:t>
      </w:r>
      <w:r w:rsidR="00BE25D1">
        <w:rPr>
          <w:rFonts w:eastAsia="MS Mincho"/>
        </w:rPr>
        <w:t xml:space="preserve">. </w:t>
      </w:r>
      <w:r w:rsidR="002072C6">
        <w:rPr>
          <w:rFonts w:eastAsia="MS Mincho"/>
        </w:rPr>
        <w:t>P</w:t>
      </w:r>
      <w:r w:rsidR="002072C6" w:rsidRPr="002072C6">
        <w:rPr>
          <w:rFonts w:eastAsia="MS Mincho"/>
        </w:rPr>
        <w:t>ar ailleurs</w:t>
      </w:r>
      <w:r w:rsidR="002072C6">
        <w:rPr>
          <w:rFonts w:eastAsia="MS Mincho"/>
        </w:rPr>
        <w:t>, l</w:t>
      </w:r>
      <w:r w:rsidR="00BE25D1">
        <w:rPr>
          <w:rFonts w:eastAsia="MS Mincho"/>
        </w:rPr>
        <w:t xml:space="preserve">a </w:t>
      </w:r>
      <w:r w:rsidR="00BE25D1" w:rsidRPr="00BE25D1">
        <w:rPr>
          <w:rFonts w:eastAsia="MS Mincho"/>
        </w:rPr>
        <w:t>délégation</w:t>
      </w:r>
      <w:r w:rsidR="00BE25D1">
        <w:rPr>
          <w:rFonts w:eastAsia="MS Mincho"/>
        </w:rPr>
        <w:t xml:space="preserve"> </w:t>
      </w:r>
      <w:r w:rsidR="002072C6">
        <w:rPr>
          <w:rFonts w:eastAsia="MS Mincho"/>
        </w:rPr>
        <w:t xml:space="preserve">avait remarqué </w:t>
      </w:r>
      <w:r w:rsidR="00BE25D1">
        <w:rPr>
          <w:rFonts w:eastAsia="MS Mincho"/>
        </w:rPr>
        <w:t>que certains groupes régionaux éprouvaient des difficultés à identifier un expert ou une ONG dans leur région. On devrait envisager des listes avec des candidats présélectionnés parmi lesquels les membres de l</w:t>
      </w:r>
      <w:r w:rsidR="00346F1B">
        <w:rPr>
          <w:rFonts w:eastAsia="MS Mincho"/>
        </w:rPr>
        <w:t>’</w:t>
      </w:r>
      <w:r w:rsidR="00BE25D1">
        <w:rPr>
          <w:rFonts w:eastAsia="MS Mincho"/>
        </w:rPr>
        <w:t xml:space="preserve">Organe pourraient être choisis. Elle a remercié le Secrétariat pour le travail accompli qui permettait de faire avancer la </w:t>
      </w:r>
      <w:r w:rsidR="00BE25D1" w:rsidRPr="00BE25D1">
        <w:rPr>
          <w:rFonts w:eastAsia="MS Mincho"/>
        </w:rPr>
        <w:t>Convention</w:t>
      </w:r>
      <w:r w:rsidR="00BE25D1">
        <w:rPr>
          <w:rFonts w:eastAsia="MS Mincho"/>
        </w:rPr>
        <w:t>, et l</w:t>
      </w:r>
      <w:r w:rsidR="00346F1B">
        <w:rPr>
          <w:rFonts w:eastAsia="MS Mincho"/>
        </w:rPr>
        <w:t>’</w:t>
      </w:r>
      <w:r w:rsidR="00BE25D1">
        <w:rPr>
          <w:rFonts w:eastAsia="MS Mincho"/>
        </w:rPr>
        <w:t>Organe d</w:t>
      </w:r>
      <w:r w:rsidR="00346F1B">
        <w:rPr>
          <w:rFonts w:eastAsia="MS Mincho"/>
        </w:rPr>
        <w:t>’</w:t>
      </w:r>
      <w:r w:rsidR="00BE25D1">
        <w:rPr>
          <w:rFonts w:eastAsia="MS Mincho"/>
        </w:rPr>
        <w:t>évaluation qui, bien sûr, répondait aux besoins du Comité. N</w:t>
      </w:r>
      <w:r w:rsidR="00BE25D1" w:rsidRPr="00BE25D1">
        <w:rPr>
          <w:rFonts w:eastAsia="MS Mincho"/>
        </w:rPr>
        <w:t>éanmoins</w:t>
      </w:r>
      <w:r w:rsidR="00BE25D1">
        <w:rPr>
          <w:rFonts w:eastAsia="MS Mincho"/>
        </w:rPr>
        <w:t xml:space="preserve">, il était essentiel de prendre en </w:t>
      </w:r>
      <w:r w:rsidR="00BE25D1" w:rsidRPr="00BE25D1">
        <w:rPr>
          <w:rFonts w:eastAsia="MS Mincho"/>
        </w:rPr>
        <w:t>considération</w:t>
      </w:r>
      <w:r w:rsidR="00BE25D1">
        <w:rPr>
          <w:rFonts w:eastAsia="MS Mincho"/>
        </w:rPr>
        <w:t xml:space="preserve"> ces différents problèmes car il était plus urgent que jamais de changer ce processus, </w:t>
      </w:r>
      <w:r w:rsidR="00BE25D1" w:rsidRPr="00BE25D1">
        <w:rPr>
          <w:rFonts w:eastAsia="MS Mincho"/>
        </w:rPr>
        <w:t>en particulier</w:t>
      </w:r>
      <w:r w:rsidR="00BE25D1">
        <w:rPr>
          <w:rFonts w:eastAsia="MS Mincho"/>
        </w:rPr>
        <w:t xml:space="preserve"> s</w:t>
      </w:r>
      <w:r w:rsidR="00346F1B">
        <w:rPr>
          <w:rFonts w:eastAsia="MS Mincho"/>
        </w:rPr>
        <w:t>’</w:t>
      </w:r>
      <w:r w:rsidR="00BE25D1">
        <w:rPr>
          <w:rFonts w:eastAsia="MS Mincho"/>
        </w:rPr>
        <w:t xml:space="preserve">agissant du </w:t>
      </w:r>
      <w:r w:rsidR="00BE25D1" w:rsidRPr="00BE25D1">
        <w:rPr>
          <w:rFonts w:eastAsia="MS Mincho"/>
        </w:rPr>
        <w:t>critère</w:t>
      </w:r>
      <w:r w:rsidR="00BE25D1">
        <w:rPr>
          <w:rFonts w:eastAsia="MS Mincho"/>
        </w:rPr>
        <w:t xml:space="preserve"> R.5, mais </w:t>
      </w:r>
      <w:r w:rsidR="00BE25D1" w:rsidRPr="00BE25D1">
        <w:rPr>
          <w:rFonts w:eastAsia="MS Mincho"/>
        </w:rPr>
        <w:t>également</w:t>
      </w:r>
      <w:r w:rsidR="00BE25D1">
        <w:rPr>
          <w:rFonts w:eastAsia="MS Mincho"/>
        </w:rPr>
        <w:t xml:space="preserve"> du </w:t>
      </w:r>
      <w:r w:rsidR="00BE25D1" w:rsidRPr="00BE25D1">
        <w:rPr>
          <w:rFonts w:eastAsia="MS Mincho"/>
        </w:rPr>
        <w:t>critère</w:t>
      </w:r>
      <w:r w:rsidR="00BE25D1">
        <w:rPr>
          <w:rFonts w:eastAsia="MS Mincho"/>
        </w:rPr>
        <w:t xml:space="preserve"> R.1 pour lequel les experts décidaient qu</w:t>
      </w:r>
      <w:r w:rsidR="00346F1B">
        <w:rPr>
          <w:rFonts w:eastAsia="MS Mincho"/>
        </w:rPr>
        <w:t>’</w:t>
      </w:r>
      <w:r w:rsidR="00BE25D1">
        <w:rPr>
          <w:rFonts w:eastAsia="MS Mincho"/>
        </w:rPr>
        <w:t>il n</w:t>
      </w:r>
      <w:r w:rsidR="00346F1B">
        <w:rPr>
          <w:rFonts w:eastAsia="MS Mincho"/>
        </w:rPr>
        <w:t>’</w:t>
      </w:r>
      <w:r w:rsidR="00BE25D1">
        <w:rPr>
          <w:rFonts w:eastAsia="MS Mincho"/>
        </w:rPr>
        <w:t xml:space="preserve">était pas satisfait, et se voyaient contredits plus tard. La </w:t>
      </w:r>
      <w:r w:rsidR="00BE25D1" w:rsidRPr="00BE25D1">
        <w:rPr>
          <w:rFonts w:eastAsia="MS Mincho"/>
        </w:rPr>
        <w:t>délégation</w:t>
      </w:r>
      <w:r w:rsidR="00BE25D1">
        <w:rPr>
          <w:rFonts w:eastAsia="MS Mincho"/>
        </w:rPr>
        <w:t xml:space="preserve"> a conclu son </w:t>
      </w:r>
      <w:r w:rsidR="00BE25D1" w:rsidRPr="00BE25D1">
        <w:rPr>
          <w:rFonts w:eastAsia="MS Mincho"/>
        </w:rPr>
        <w:t>intervention</w:t>
      </w:r>
      <w:r w:rsidR="00BE25D1">
        <w:rPr>
          <w:rFonts w:eastAsia="MS Mincho"/>
        </w:rPr>
        <w:t xml:space="preserve"> en affirmant qu</w:t>
      </w:r>
      <w:r w:rsidR="00346F1B">
        <w:rPr>
          <w:rFonts w:eastAsia="MS Mincho"/>
        </w:rPr>
        <w:t>’</w:t>
      </w:r>
      <w:r w:rsidR="00BE25D1">
        <w:rPr>
          <w:rFonts w:eastAsia="MS Mincho"/>
        </w:rPr>
        <w:t xml:space="preserve">elle participerait activement au </w:t>
      </w:r>
      <w:r w:rsidR="00BE25D1" w:rsidRPr="00BE25D1">
        <w:rPr>
          <w:rFonts w:eastAsia="MS Mincho"/>
        </w:rPr>
        <w:t>groupe de travail</w:t>
      </w:r>
      <w:r w:rsidR="00BE25D1">
        <w:rPr>
          <w:rFonts w:eastAsia="MS Mincho"/>
        </w:rPr>
        <w:t xml:space="preserve"> destiné à améliorer les</w:t>
      </w:r>
      <w:r w:rsidR="005C5B9B">
        <w:rPr>
          <w:rFonts w:eastAsia="MS Mincho"/>
        </w:rPr>
        <w:t xml:space="preserve"> méthodes de travail du Comité.</w:t>
      </w:r>
    </w:p>
    <w:p w14:paraId="44CD2D76" w14:textId="50E7329C" w:rsidR="002072C6" w:rsidRPr="002072C6" w:rsidRDefault="002072C6" w:rsidP="005C5B9B">
      <w:pPr>
        <w:pStyle w:val="Orateurengris"/>
        <w:spacing w:before="120"/>
        <w:ind w:left="709" w:hanging="709"/>
        <w:rPr>
          <w:bCs/>
        </w:rPr>
      </w:pPr>
      <w:r>
        <w:rPr>
          <w:bCs/>
        </w:rPr>
        <w:t xml:space="preserve">La </w:t>
      </w:r>
      <w:r w:rsidRPr="002072C6">
        <w:rPr>
          <w:bCs/>
        </w:rPr>
        <w:t>délégation</w:t>
      </w:r>
      <w:r>
        <w:rPr>
          <w:bCs/>
        </w:rPr>
        <w:t xml:space="preserve"> de la </w:t>
      </w:r>
      <w:r w:rsidRPr="002072C6">
        <w:rPr>
          <w:b/>
          <w:bCs/>
        </w:rPr>
        <w:t>Palestine</w:t>
      </w:r>
      <w:r>
        <w:rPr>
          <w:bCs/>
        </w:rPr>
        <w:t xml:space="preserve"> souscrivait aux remarques formulées par l</w:t>
      </w:r>
      <w:r w:rsidR="00346F1B">
        <w:rPr>
          <w:bCs/>
        </w:rPr>
        <w:t>’</w:t>
      </w:r>
      <w:r>
        <w:rPr>
          <w:bCs/>
        </w:rPr>
        <w:t>Inde, l</w:t>
      </w:r>
      <w:r w:rsidR="00346F1B">
        <w:rPr>
          <w:bCs/>
        </w:rPr>
        <w:t>’</w:t>
      </w:r>
      <w:r>
        <w:rPr>
          <w:bCs/>
        </w:rPr>
        <w:t>Algérie et Cuba, ajoutant qu</w:t>
      </w:r>
      <w:r w:rsidR="00346F1B">
        <w:rPr>
          <w:bCs/>
        </w:rPr>
        <w:t>’</w:t>
      </w:r>
      <w:r>
        <w:rPr>
          <w:bCs/>
        </w:rPr>
        <w:t>un consensus général était établi autour de la création d</w:t>
      </w:r>
      <w:r w:rsidR="00346F1B">
        <w:rPr>
          <w:bCs/>
        </w:rPr>
        <w:t>’</w:t>
      </w:r>
      <w:r>
        <w:rPr>
          <w:bCs/>
        </w:rPr>
        <w:t xml:space="preserve">un </w:t>
      </w:r>
      <w:r w:rsidRPr="002072C6">
        <w:rPr>
          <w:bCs/>
        </w:rPr>
        <w:t>groupe de travail</w:t>
      </w:r>
      <w:r>
        <w:rPr>
          <w:bCs/>
        </w:rPr>
        <w:t xml:space="preserve"> </w:t>
      </w:r>
      <w:r w:rsidRPr="002072C6">
        <w:rPr>
          <w:bCs/>
          <w:i/>
        </w:rPr>
        <w:t>ad hoc</w:t>
      </w:r>
      <w:r>
        <w:rPr>
          <w:bCs/>
        </w:rPr>
        <w:t>.</w:t>
      </w:r>
      <w:r w:rsidR="001F3F46">
        <w:rPr>
          <w:bCs/>
        </w:rPr>
        <w:t xml:space="preserve"> Il n</w:t>
      </w:r>
      <w:r w:rsidR="00346F1B">
        <w:rPr>
          <w:bCs/>
        </w:rPr>
        <w:t>’</w:t>
      </w:r>
      <w:r w:rsidR="001F3F46">
        <w:rPr>
          <w:bCs/>
        </w:rPr>
        <w:t xml:space="preserve">était </w:t>
      </w:r>
      <w:r w:rsidR="001F3F46" w:rsidRPr="001F3F46">
        <w:rPr>
          <w:bCs/>
        </w:rPr>
        <w:t>toutefois</w:t>
      </w:r>
      <w:r w:rsidR="001F3F46">
        <w:rPr>
          <w:bCs/>
        </w:rPr>
        <w:t xml:space="preserve"> pas nécessaire, à ce stade, d</w:t>
      </w:r>
      <w:r w:rsidR="00346F1B">
        <w:rPr>
          <w:bCs/>
        </w:rPr>
        <w:t>’</w:t>
      </w:r>
      <w:r w:rsidR="001F3F46">
        <w:rPr>
          <w:bCs/>
        </w:rPr>
        <w:t xml:space="preserve">entrer dans les détails du mandat de ce </w:t>
      </w:r>
      <w:r w:rsidR="001F3F46" w:rsidRPr="001F3F46">
        <w:rPr>
          <w:bCs/>
        </w:rPr>
        <w:t>groupe de travail</w:t>
      </w:r>
      <w:r w:rsidR="001F3F46">
        <w:rPr>
          <w:bCs/>
        </w:rPr>
        <w:t>, car le Comité était conscient des questions auxquelles on devait s</w:t>
      </w:r>
      <w:r w:rsidR="00346F1B">
        <w:rPr>
          <w:bCs/>
        </w:rPr>
        <w:t>’</w:t>
      </w:r>
      <w:r w:rsidR="001F3F46">
        <w:rPr>
          <w:bCs/>
        </w:rPr>
        <w:t xml:space="preserve">intéresser. Afin de gagner du temps, la </w:t>
      </w:r>
      <w:r w:rsidR="001F3F46" w:rsidRPr="001F3F46">
        <w:rPr>
          <w:bCs/>
        </w:rPr>
        <w:t>délégation</w:t>
      </w:r>
      <w:r w:rsidR="001F3F46">
        <w:rPr>
          <w:bCs/>
        </w:rPr>
        <w:t xml:space="preserve"> a proposé d</w:t>
      </w:r>
      <w:r w:rsidR="005C5B9B">
        <w:rPr>
          <w:bCs/>
        </w:rPr>
        <w:t>e passer au projet de décision.</w:t>
      </w:r>
    </w:p>
    <w:p w14:paraId="5E8C295D" w14:textId="5DD3EA8D" w:rsidR="001F3F46" w:rsidRPr="001F3F46" w:rsidRDefault="001F3F46" w:rsidP="005C5B9B">
      <w:pPr>
        <w:pStyle w:val="Orateurengris"/>
        <w:spacing w:before="120"/>
        <w:ind w:left="709" w:hanging="709"/>
        <w:rPr>
          <w:bCs/>
        </w:rPr>
      </w:pPr>
      <w:r>
        <w:rPr>
          <w:bCs/>
        </w:rPr>
        <w:t xml:space="preserve">Le </w:t>
      </w:r>
      <w:r w:rsidRPr="001F3F46">
        <w:rPr>
          <w:b/>
          <w:bCs/>
        </w:rPr>
        <w:t>Président</w:t>
      </w:r>
      <w:r>
        <w:rPr>
          <w:bCs/>
        </w:rPr>
        <w:t xml:space="preserve"> a signalé une motion d</w:t>
      </w:r>
      <w:r w:rsidR="00346F1B">
        <w:rPr>
          <w:bCs/>
        </w:rPr>
        <w:t>’</w:t>
      </w:r>
      <w:r>
        <w:rPr>
          <w:bCs/>
        </w:rPr>
        <w:t>ordre de l</w:t>
      </w:r>
      <w:r w:rsidR="00346F1B">
        <w:rPr>
          <w:bCs/>
        </w:rPr>
        <w:t>’</w:t>
      </w:r>
      <w:r w:rsidR="005C5B9B">
        <w:rPr>
          <w:bCs/>
        </w:rPr>
        <w:t>Autriche.</w:t>
      </w:r>
    </w:p>
    <w:p w14:paraId="2690DB32" w14:textId="379D172C" w:rsidR="001F3F46" w:rsidRPr="001F3F46" w:rsidRDefault="001F3F46" w:rsidP="005C5B9B">
      <w:pPr>
        <w:pStyle w:val="Orateurengris"/>
        <w:spacing w:before="120"/>
        <w:ind w:left="709" w:hanging="709"/>
        <w:rPr>
          <w:bCs/>
        </w:rPr>
      </w:pPr>
      <w:r w:rsidRPr="001F3F46">
        <w:rPr>
          <w:bCs/>
        </w:rPr>
        <w:t>La délégation de l</w:t>
      </w:r>
      <w:r w:rsidR="00346F1B">
        <w:rPr>
          <w:bCs/>
        </w:rPr>
        <w:t>’</w:t>
      </w:r>
      <w:r w:rsidRPr="001F3F46">
        <w:rPr>
          <w:b/>
          <w:bCs/>
        </w:rPr>
        <w:t>Autriche</w:t>
      </w:r>
      <w:r w:rsidRPr="001F3F46">
        <w:rPr>
          <w:bCs/>
        </w:rPr>
        <w:t xml:space="preserve"> souhaitait poursuivre </w:t>
      </w:r>
      <w:r>
        <w:rPr>
          <w:bCs/>
        </w:rPr>
        <w:t>le débat et entendre les observateurs avant d</w:t>
      </w:r>
      <w:r w:rsidR="005C5B9B">
        <w:rPr>
          <w:bCs/>
        </w:rPr>
        <w:t>e passer au projet de décision.</w:t>
      </w:r>
    </w:p>
    <w:p w14:paraId="3525C493" w14:textId="22CA3B84" w:rsidR="001F3F46" w:rsidRPr="00D00872" w:rsidRDefault="001F3F46" w:rsidP="005C5B9B">
      <w:pPr>
        <w:pStyle w:val="Orateurengris"/>
        <w:spacing w:before="120"/>
        <w:ind w:left="709" w:hanging="709"/>
        <w:rPr>
          <w:b/>
          <w:bCs/>
        </w:rPr>
      </w:pPr>
      <w:r w:rsidRPr="001F3F46">
        <w:rPr>
          <w:bCs/>
        </w:rPr>
        <w:t>La délégation de</w:t>
      </w:r>
      <w:r w:rsidRPr="001F3F46">
        <w:rPr>
          <w:b/>
          <w:bCs/>
        </w:rPr>
        <w:t xml:space="preserve"> Chypre </w:t>
      </w:r>
      <w:r>
        <w:rPr>
          <w:bCs/>
        </w:rPr>
        <w:t>a convenu qu</w:t>
      </w:r>
      <w:r w:rsidR="00346F1B">
        <w:rPr>
          <w:bCs/>
        </w:rPr>
        <w:t>’</w:t>
      </w:r>
      <w:r>
        <w:rPr>
          <w:bCs/>
        </w:rPr>
        <w:t>il y avait un accord général entre les Membres du Comité pour que, dans le but d</w:t>
      </w:r>
      <w:r w:rsidR="00346F1B">
        <w:rPr>
          <w:bCs/>
        </w:rPr>
        <w:t>’</w:t>
      </w:r>
      <w:r>
        <w:rPr>
          <w:bCs/>
        </w:rPr>
        <w:t>éviter certains des problèmes rencontrés lor</w:t>
      </w:r>
      <w:r w:rsidR="00D00872">
        <w:rPr>
          <w:bCs/>
        </w:rPr>
        <w:t>s de cette session, le processus</w:t>
      </w:r>
      <w:r>
        <w:rPr>
          <w:bCs/>
        </w:rPr>
        <w:t xml:space="preserve"> d</w:t>
      </w:r>
      <w:r w:rsidR="00346F1B">
        <w:rPr>
          <w:bCs/>
        </w:rPr>
        <w:t>’</w:t>
      </w:r>
      <w:r w:rsidRPr="001F3F46">
        <w:rPr>
          <w:bCs/>
        </w:rPr>
        <w:t>évaluation</w:t>
      </w:r>
      <w:r>
        <w:rPr>
          <w:bCs/>
        </w:rPr>
        <w:t xml:space="preserve"> des c</w:t>
      </w:r>
      <w:r w:rsidR="00D00872">
        <w:rPr>
          <w:bCs/>
        </w:rPr>
        <w:t>andidatures puisse être modifié</w:t>
      </w:r>
      <w:r>
        <w:rPr>
          <w:bCs/>
        </w:rPr>
        <w:t xml:space="preserve"> afin de permettre un dialogue entre les États soumissionnaires et l</w:t>
      </w:r>
      <w:r w:rsidR="00346F1B">
        <w:rPr>
          <w:bCs/>
        </w:rPr>
        <w:t>’</w:t>
      </w:r>
      <w:r>
        <w:rPr>
          <w:bCs/>
        </w:rPr>
        <w:t>Organe d</w:t>
      </w:r>
      <w:r w:rsidR="00346F1B">
        <w:rPr>
          <w:bCs/>
        </w:rPr>
        <w:t>’</w:t>
      </w:r>
      <w:r>
        <w:rPr>
          <w:bCs/>
        </w:rPr>
        <w:t>évaluation. Le Secrétariat pour</w:t>
      </w:r>
      <w:r w:rsidR="00D00872">
        <w:rPr>
          <w:bCs/>
        </w:rPr>
        <w:t>rait</w:t>
      </w:r>
      <w:r>
        <w:rPr>
          <w:bCs/>
        </w:rPr>
        <w:t xml:space="preserve"> apporter son aide à cette démarche </w:t>
      </w:r>
      <w:r w:rsidR="00D00872">
        <w:rPr>
          <w:bCs/>
        </w:rPr>
        <w:t>en prévoyant d</w:t>
      </w:r>
      <w:r>
        <w:rPr>
          <w:bCs/>
        </w:rPr>
        <w:t xml:space="preserve">es dates </w:t>
      </w:r>
      <w:r w:rsidR="00D00872">
        <w:rPr>
          <w:bCs/>
        </w:rPr>
        <w:t>de réunions de l</w:t>
      </w:r>
      <w:r w:rsidR="00346F1B">
        <w:rPr>
          <w:bCs/>
        </w:rPr>
        <w:t>’</w:t>
      </w:r>
      <w:r w:rsidR="00D00872">
        <w:rPr>
          <w:bCs/>
        </w:rPr>
        <w:t>Organe d</w:t>
      </w:r>
      <w:r w:rsidR="00346F1B">
        <w:rPr>
          <w:bCs/>
        </w:rPr>
        <w:t>’</w:t>
      </w:r>
      <w:r w:rsidR="00D00872">
        <w:rPr>
          <w:bCs/>
        </w:rPr>
        <w:t xml:space="preserve">évaluation qui permettent à ce dialogue de se mettre en place. Le </w:t>
      </w:r>
      <w:r w:rsidR="00D00872" w:rsidRPr="00D00872">
        <w:rPr>
          <w:bCs/>
        </w:rPr>
        <w:t>groupe de travail</w:t>
      </w:r>
      <w:r w:rsidR="00D00872">
        <w:rPr>
          <w:bCs/>
        </w:rPr>
        <w:t xml:space="preserve"> pourrait </w:t>
      </w:r>
      <w:r w:rsidR="00D00872" w:rsidRPr="00D00872">
        <w:rPr>
          <w:bCs/>
        </w:rPr>
        <w:t xml:space="preserve">examiner les conditions dans lesquelles un dossier </w:t>
      </w:r>
      <w:r w:rsidR="00D00872">
        <w:rPr>
          <w:bCs/>
        </w:rPr>
        <w:t xml:space="preserve">était </w:t>
      </w:r>
      <w:r w:rsidR="00D00872" w:rsidRPr="00D00872">
        <w:rPr>
          <w:bCs/>
        </w:rPr>
        <w:t>soumis à l</w:t>
      </w:r>
      <w:r w:rsidR="00346F1B">
        <w:rPr>
          <w:bCs/>
        </w:rPr>
        <w:t>’</w:t>
      </w:r>
      <w:r w:rsidR="00D00872" w:rsidRPr="00D00872">
        <w:rPr>
          <w:bCs/>
        </w:rPr>
        <w:t>examen du Comité et pourrait, par exemple</w:t>
      </w:r>
      <w:r w:rsidR="00D00872">
        <w:rPr>
          <w:bCs/>
        </w:rPr>
        <w:t>, envisager</w:t>
      </w:r>
      <w:r w:rsidR="00D00872" w:rsidRPr="00D00872">
        <w:rPr>
          <w:bCs/>
        </w:rPr>
        <w:t xml:space="preserve"> l</w:t>
      </w:r>
      <w:r w:rsidR="00346F1B">
        <w:rPr>
          <w:bCs/>
        </w:rPr>
        <w:t>’</w:t>
      </w:r>
      <w:r w:rsidR="00D00872" w:rsidRPr="00D00872">
        <w:rPr>
          <w:bCs/>
        </w:rPr>
        <w:t>impossibilité de soumettre au Comité un do</w:t>
      </w:r>
      <w:r w:rsidR="00124F65">
        <w:rPr>
          <w:bCs/>
        </w:rPr>
        <w:t>ssier qui ne satisfaisait pas le</w:t>
      </w:r>
      <w:r w:rsidR="00D00872" w:rsidRPr="00D00872">
        <w:rPr>
          <w:bCs/>
        </w:rPr>
        <w:t xml:space="preserve"> critère R.1. La délégation ne pensait pas qu</w:t>
      </w:r>
      <w:r w:rsidR="00346F1B">
        <w:rPr>
          <w:bCs/>
        </w:rPr>
        <w:t>’</w:t>
      </w:r>
      <w:r w:rsidR="00D00872" w:rsidRPr="00D00872">
        <w:rPr>
          <w:bCs/>
        </w:rPr>
        <w:t xml:space="preserve">il y avait </w:t>
      </w:r>
      <w:r w:rsidR="00EF1799">
        <w:rPr>
          <w:bCs/>
        </w:rPr>
        <w:t xml:space="preserve">un </w:t>
      </w:r>
      <w:r w:rsidR="00D00872" w:rsidRPr="00D00872">
        <w:rPr>
          <w:bCs/>
        </w:rPr>
        <w:t>problème avec l</w:t>
      </w:r>
      <w:r w:rsidR="00346F1B">
        <w:rPr>
          <w:bCs/>
        </w:rPr>
        <w:t>’</w:t>
      </w:r>
      <w:r w:rsidR="00D00872" w:rsidRPr="00D00872">
        <w:rPr>
          <w:bCs/>
        </w:rPr>
        <w:t>Organe d</w:t>
      </w:r>
      <w:r w:rsidR="00346F1B">
        <w:rPr>
          <w:bCs/>
        </w:rPr>
        <w:t>’</w:t>
      </w:r>
      <w:r w:rsidR="00D00872" w:rsidRPr="00D00872">
        <w:rPr>
          <w:bCs/>
        </w:rPr>
        <w:t xml:space="preserve">évaluation mais plutôt </w:t>
      </w:r>
      <w:r w:rsidR="00D00872">
        <w:rPr>
          <w:bCs/>
        </w:rPr>
        <w:t xml:space="preserve">avec sa méthode </w:t>
      </w:r>
      <w:r w:rsidR="005C5B9B">
        <w:rPr>
          <w:bCs/>
        </w:rPr>
        <w:t>de travail.</w:t>
      </w:r>
    </w:p>
    <w:p w14:paraId="449A8BBA" w14:textId="6BA5CE14" w:rsidR="004F0AB6" w:rsidRPr="004F0AB6" w:rsidRDefault="00C15DA7" w:rsidP="005C5B9B">
      <w:pPr>
        <w:pStyle w:val="Orateurengris"/>
        <w:spacing w:before="120"/>
        <w:ind w:left="709" w:hanging="709"/>
      </w:pPr>
      <w:r>
        <w:t>La</w:t>
      </w:r>
      <w:r w:rsidR="00EF1799" w:rsidRPr="00EF1799">
        <w:t xml:space="preserve"> délégation de la </w:t>
      </w:r>
      <w:r w:rsidR="00EF1799" w:rsidRPr="00C15DA7">
        <w:rPr>
          <w:b/>
        </w:rPr>
        <w:t>République de Corée</w:t>
      </w:r>
      <w:r w:rsidR="00EF1799">
        <w:t xml:space="preserve"> a exprimé sa profonde </w:t>
      </w:r>
      <w:r w:rsidR="00EF1799" w:rsidRPr="00EF1799">
        <w:t>reconnaissance</w:t>
      </w:r>
      <w:r w:rsidR="00EF1799">
        <w:t xml:space="preserve"> à l</w:t>
      </w:r>
      <w:r w:rsidR="00346F1B">
        <w:t>’</w:t>
      </w:r>
      <w:r w:rsidR="00EF1799" w:rsidRPr="00EF1799">
        <w:t>Éthiopie</w:t>
      </w:r>
      <w:r w:rsidR="00EF1799">
        <w:t xml:space="preserve"> pour l</w:t>
      </w:r>
      <w:r w:rsidR="00346F1B">
        <w:t>’</w:t>
      </w:r>
      <w:r w:rsidR="00EF1799">
        <w:t xml:space="preserve">accueil de cette session, et au Président pour </w:t>
      </w:r>
      <w:r>
        <w:t>sa conduite avisée des débats. Il a été précisé que le Comité avait examiné cinquante dossiers, et que sur les dix-neuf renvois recommandés par l</w:t>
      </w:r>
      <w:r w:rsidR="00346F1B">
        <w:t>’</w:t>
      </w:r>
      <w:r>
        <w:t>Organe d</w:t>
      </w:r>
      <w:r w:rsidR="00346F1B">
        <w:t>’</w:t>
      </w:r>
      <w:r>
        <w:t>évaluation, quinze avaient été rejetés. En comparaison, l</w:t>
      </w:r>
      <w:r w:rsidR="00346F1B">
        <w:t>’</w:t>
      </w:r>
      <w:r>
        <w:t xml:space="preserve">année précédente, le Comité avait modifié quatre des quinze renvois de </w:t>
      </w:r>
      <w:r w:rsidRPr="00C15DA7">
        <w:t>candidature</w:t>
      </w:r>
      <w:r>
        <w:t xml:space="preserve"> à </w:t>
      </w:r>
      <w:r w:rsidRPr="00C15DA7">
        <w:t>inscription</w:t>
      </w:r>
      <w:r>
        <w:t xml:space="preserve"> sur la Liste représentative. La </w:t>
      </w:r>
      <w:r w:rsidRPr="00C15DA7">
        <w:t>délégation</w:t>
      </w:r>
      <w:r>
        <w:t xml:space="preserve"> a félicité tous les États dont les </w:t>
      </w:r>
      <w:r w:rsidRPr="00C15DA7">
        <w:t>candidature</w:t>
      </w:r>
      <w:r>
        <w:t>s avaient été inscrites, mais en même temps, elle ne pouvait s</w:t>
      </w:r>
      <w:r w:rsidR="00346F1B">
        <w:t>’</w:t>
      </w:r>
      <w:r>
        <w:t>empêcher d</w:t>
      </w:r>
      <w:r w:rsidR="00346F1B">
        <w:t>’</w:t>
      </w:r>
      <w:r>
        <w:t xml:space="preserve">être très préoccupée par ces résultats. Elle était notamment très perplexe face aux rejets des recommandations de renvoi des </w:t>
      </w:r>
      <w:r w:rsidRPr="00C15DA7">
        <w:t>inscription</w:t>
      </w:r>
      <w:r w:rsidR="00553B38">
        <w:t>s sur la base des critères R.1, R.3 et R.4, critères qu</w:t>
      </w:r>
      <w:r w:rsidR="00346F1B">
        <w:t>’</w:t>
      </w:r>
      <w:r w:rsidR="00553B38">
        <w:t>elle jugeait essentiels. Que la recommandation ait été rejetée en raison de l</w:t>
      </w:r>
      <w:r w:rsidR="00346F1B">
        <w:t>’</w:t>
      </w:r>
      <w:r w:rsidR="00553B38" w:rsidRPr="00553B38">
        <w:t>évaluation</w:t>
      </w:r>
      <w:r w:rsidR="00553B38">
        <w:t xml:space="preserve"> stricte de l</w:t>
      </w:r>
      <w:r w:rsidR="00346F1B">
        <w:t>’</w:t>
      </w:r>
      <w:r w:rsidR="00553B38">
        <w:t>Organe d</w:t>
      </w:r>
      <w:r w:rsidR="00346F1B">
        <w:t>’</w:t>
      </w:r>
      <w:r w:rsidR="00553B38">
        <w:t>évaluation ou de l</w:t>
      </w:r>
      <w:r w:rsidR="00346F1B">
        <w:t>’</w:t>
      </w:r>
      <w:r w:rsidR="00553B38">
        <w:t>indulgence des Membres du Comité, la situation n</w:t>
      </w:r>
      <w:r w:rsidR="00346F1B">
        <w:t>’</w:t>
      </w:r>
      <w:r w:rsidR="00553B38">
        <w:t>était ni idéale, ni durable, et sapait gravement non seulement l</w:t>
      </w:r>
      <w:r w:rsidR="00346F1B">
        <w:t>’</w:t>
      </w:r>
      <w:r w:rsidR="00553B38">
        <w:t>autorité de l</w:t>
      </w:r>
      <w:r w:rsidR="00346F1B">
        <w:t>’</w:t>
      </w:r>
      <w:r w:rsidR="00553B38">
        <w:t>Organe d</w:t>
      </w:r>
      <w:r w:rsidR="00346F1B">
        <w:t>’</w:t>
      </w:r>
      <w:r w:rsidR="00553B38">
        <w:t xml:space="preserve">évaluation mais </w:t>
      </w:r>
      <w:r w:rsidR="00553B38" w:rsidRPr="00553B38">
        <w:t>également</w:t>
      </w:r>
      <w:r w:rsidR="00553B38">
        <w:t xml:space="preserve"> les principes fondamentaux de la </w:t>
      </w:r>
      <w:r w:rsidR="00553B38" w:rsidRPr="00553B38">
        <w:t>Convention</w:t>
      </w:r>
      <w:r w:rsidR="00553B38">
        <w:t xml:space="preserve">. </w:t>
      </w:r>
      <w:r w:rsidR="004F0AB6">
        <w:t>En outre, l</w:t>
      </w:r>
      <w:r w:rsidR="00553B38">
        <w:t xml:space="preserve">a </w:t>
      </w:r>
      <w:r w:rsidR="00553B38" w:rsidRPr="00553B38">
        <w:t>délégation</w:t>
      </w:r>
      <w:r w:rsidR="00553B38">
        <w:t xml:space="preserve"> avait</w:t>
      </w:r>
      <w:r w:rsidR="004F0AB6">
        <w:t xml:space="preserve"> remarqué que certains membres se référaient à la </w:t>
      </w:r>
      <w:r w:rsidR="004F0AB6" w:rsidRPr="004F0AB6">
        <w:t>Convention</w:t>
      </w:r>
      <w:r w:rsidR="004F0AB6">
        <w:t xml:space="preserve"> du </w:t>
      </w:r>
      <w:r w:rsidR="004F0AB6" w:rsidRPr="004F0AB6">
        <w:t>patrimoine</w:t>
      </w:r>
      <w:r w:rsidR="004F0AB6">
        <w:t xml:space="preserve"> mondial. Elle estimait qu</w:t>
      </w:r>
      <w:r w:rsidR="00346F1B">
        <w:t>’</w:t>
      </w:r>
      <w:r w:rsidR="004F0AB6">
        <w:t xml:space="preserve">il y a avait de bonnes raisons de distinguer la </w:t>
      </w:r>
      <w:r w:rsidR="004F0AB6" w:rsidRPr="004F0AB6">
        <w:t>Convention</w:t>
      </w:r>
      <w:r w:rsidR="004F0AB6">
        <w:t xml:space="preserve"> de 2003 de celle de 1972, même s</w:t>
      </w:r>
      <w:r w:rsidR="00346F1B">
        <w:t>’</w:t>
      </w:r>
      <w:r w:rsidR="004F0AB6">
        <w:t xml:space="preserve">il y avait certains enseignements, positifs et négatifs, à tirer de la mise en œuvre de la </w:t>
      </w:r>
      <w:r w:rsidR="004F0AB6" w:rsidRPr="004F0AB6">
        <w:t>Convention</w:t>
      </w:r>
      <w:r w:rsidR="004F0AB6">
        <w:t xml:space="preserve"> du patrimoine mondial. Parmi ces enseignements, on pouvait par exemple citer un processus de prise de décision</w:t>
      </w:r>
      <w:r w:rsidR="00D53CBD">
        <w:t>s</w:t>
      </w:r>
      <w:r w:rsidR="004F0AB6">
        <w:t xml:space="preserve"> long et complexe basé sur des considérations politiques et une inflation de la </w:t>
      </w:r>
      <w:r w:rsidR="004F0AB6" w:rsidRPr="004F0AB6">
        <w:t>Liste du patrimoine mondial</w:t>
      </w:r>
      <w:r w:rsidR="004F0AB6">
        <w:t>. Afin d</w:t>
      </w:r>
      <w:r w:rsidR="00346F1B">
        <w:t>’</w:t>
      </w:r>
      <w:r w:rsidR="004F0AB6">
        <w:t xml:space="preserve">empêcher la Convention de 2003 de suivre la même voie, la délégation </w:t>
      </w:r>
      <w:r w:rsidR="00112DEF">
        <w:t xml:space="preserve">a prié </w:t>
      </w:r>
      <w:r w:rsidR="004F0AB6">
        <w:t>instamment les délégués de se réunir et, grâce à leur grande sagesse, de trouver une solution à laque</w:t>
      </w:r>
      <w:r w:rsidR="005C5B9B">
        <w:t>lle tout le monde consentirait.</w:t>
      </w:r>
    </w:p>
    <w:p w14:paraId="69979197" w14:textId="6E528241" w:rsidR="008B7856" w:rsidRPr="008B7856" w:rsidRDefault="00112DEF" w:rsidP="005C5B9B">
      <w:pPr>
        <w:pStyle w:val="Orateurengris"/>
        <w:tabs>
          <w:tab w:val="left" w:pos="5812"/>
        </w:tabs>
        <w:spacing w:before="120"/>
        <w:ind w:left="709" w:hanging="709"/>
        <w:rPr>
          <w:b/>
          <w:bCs/>
        </w:rPr>
      </w:pPr>
      <w:r w:rsidRPr="00112DEF">
        <w:rPr>
          <w:bCs/>
        </w:rPr>
        <w:t>La délégation de la</w:t>
      </w:r>
      <w:r w:rsidRPr="00112DEF">
        <w:rPr>
          <w:b/>
          <w:bCs/>
        </w:rPr>
        <w:t xml:space="preserve"> </w:t>
      </w:r>
      <w:r>
        <w:rPr>
          <w:b/>
          <w:bCs/>
        </w:rPr>
        <w:t xml:space="preserve">Turquie </w:t>
      </w:r>
      <w:r>
        <w:rPr>
          <w:bCs/>
        </w:rPr>
        <w:t>a félicité l</w:t>
      </w:r>
      <w:r w:rsidR="00346F1B">
        <w:rPr>
          <w:bCs/>
        </w:rPr>
        <w:t>’</w:t>
      </w:r>
      <w:r>
        <w:rPr>
          <w:bCs/>
        </w:rPr>
        <w:t>Organe d</w:t>
      </w:r>
      <w:r w:rsidR="00346F1B">
        <w:rPr>
          <w:bCs/>
        </w:rPr>
        <w:t>’</w:t>
      </w:r>
      <w:r>
        <w:rPr>
          <w:bCs/>
        </w:rPr>
        <w:t>évaluation pour son rapport exhaustif et bien construit, qui expliquait les principes d</w:t>
      </w:r>
      <w:r w:rsidR="00346F1B">
        <w:rPr>
          <w:bCs/>
        </w:rPr>
        <w:t>’</w:t>
      </w:r>
      <w:r w:rsidRPr="00112DEF">
        <w:rPr>
          <w:bCs/>
        </w:rPr>
        <w:t>évaluation</w:t>
      </w:r>
      <w:r>
        <w:rPr>
          <w:bCs/>
        </w:rPr>
        <w:t xml:space="preserve"> et abordait les bonnes pratiques et les problèmes observés dans les dossiers de candidature. À cet égard, le rapport pourrait servir d</w:t>
      </w:r>
      <w:r w:rsidR="00346F1B">
        <w:rPr>
          <w:bCs/>
        </w:rPr>
        <w:t>’</w:t>
      </w:r>
      <w:r w:rsidRPr="00112DEF">
        <w:rPr>
          <w:bCs/>
        </w:rPr>
        <w:t>orientations</w:t>
      </w:r>
      <w:r>
        <w:rPr>
          <w:bCs/>
        </w:rPr>
        <w:t xml:space="preserve"> pour les mesures destinées à aider les États parties à soumettre des candidatures plus complètes. Elle avait </w:t>
      </w:r>
      <w:r w:rsidRPr="00112DEF">
        <w:rPr>
          <w:bCs/>
        </w:rPr>
        <w:t>également</w:t>
      </w:r>
      <w:r>
        <w:rPr>
          <w:bCs/>
        </w:rPr>
        <w:t xml:space="preserve"> apprécié le</w:t>
      </w:r>
      <w:r w:rsidR="002E6F9C">
        <w:rPr>
          <w:bCs/>
        </w:rPr>
        <w:t xml:space="preserve"> soutien du Secrétariat à</w:t>
      </w:r>
      <w:r>
        <w:rPr>
          <w:bCs/>
        </w:rPr>
        <w:t xml:space="preserve"> l</w:t>
      </w:r>
      <w:r w:rsidR="00346F1B">
        <w:rPr>
          <w:bCs/>
        </w:rPr>
        <w:t>’</w:t>
      </w:r>
      <w:r>
        <w:rPr>
          <w:bCs/>
        </w:rPr>
        <w:t>Organe d</w:t>
      </w:r>
      <w:r w:rsidR="00346F1B">
        <w:rPr>
          <w:bCs/>
        </w:rPr>
        <w:t>’</w:t>
      </w:r>
      <w:r>
        <w:rPr>
          <w:bCs/>
        </w:rPr>
        <w:t xml:space="preserve">évaluation </w:t>
      </w:r>
      <w:r w:rsidR="002E6F9C">
        <w:rPr>
          <w:bCs/>
        </w:rPr>
        <w:t>afin qu</w:t>
      </w:r>
      <w:r w:rsidR="00346F1B">
        <w:rPr>
          <w:bCs/>
        </w:rPr>
        <w:t>’</w:t>
      </w:r>
      <w:r w:rsidR="002E6F9C">
        <w:rPr>
          <w:bCs/>
        </w:rPr>
        <w:t xml:space="preserve">il </w:t>
      </w:r>
      <w:r>
        <w:rPr>
          <w:bCs/>
        </w:rPr>
        <w:t xml:space="preserve">puisse travailler sans heurts, et </w:t>
      </w:r>
      <w:r w:rsidR="002E6F9C">
        <w:rPr>
          <w:bCs/>
        </w:rPr>
        <w:t xml:space="preserve">elle </w:t>
      </w:r>
      <w:r>
        <w:rPr>
          <w:bCs/>
        </w:rPr>
        <w:t>saluait les conclusions de l</w:t>
      </w:r>
      <w:r w:rsidR="00346F1B">
        <w:rPr>
          <w:bCs/>
        </w:rPr>
        <w:t>’</w:t>
      </w:r>
      <w:r>
        <w:rPr>
          <w:bCs/>
        </w:rPr>
        <w:t>Organe, à savoir, la qualité générale des dossiers s</w:t>
      </w:r>
      <w:r w:rsidR="00346F1B">
        <w:rPr>
          <w:bCs/>
        </w:rPr>
        <w:t>’</w:t>
      </w:r>
      <w:r>
        <w:rPr>
          <w:bCs/>
        </w:rPr>
        <w:t xml:space="preserve">était améliorée par rapport aux cycles précédents, et le nombre </w:t>
      </w:r>
      <w:r w:rsidR="00AE190B">
        <w:rPr>
          <w:bCs/>
        </w:rPr>
        <w:t>de dossiers mu</w:t>
      </w:r>
      <w:r w:rsidR="00407BDA">
        <w:rPr>
          <w:bCs/>
        </w:rPr>
        <w:t xml:space="preserve">ltinationaux et de </w:t>
      </w:r>
      <w:r>
        <w:rPr>
          <w:bCs/>
        </w:rPr>
        <w:t xml:space="preserve">propositions pour le Registre des meilleures pratiques de sauvegarde avait augmenté. </w:t>
      </w:r>
      <w:r w:rsidR="00AE190B">
        <w:rPr>
          <w:bCs/>
        </w:rPr>
        <w:t xml:space="preserve">Il y avait </w:t>
      </w:r>
      <w:r w:rsidR="00AE190B" w:rsidRPr="00AE190B">
        <w:rPr>
          <w:bCs/>
        </w:rPr>
        <w:t>également</w:t>
      </w:r>
      <w:r w:rsidR="00AE190B">
        <w:rPr>
          <w:bCs/>
        </w:rPr>
        <w:t xml:space="preserve"> des évolutions encourageante</w:t>
      </w:r>
      <w:r w:rsidR="001433F2">
        <w:rPr>
          <w:bCs/>
        </w:rPr>
        <w:t>s. Le rapport montrait que les L</w:t>
      </w:r>
      <w:r w:rsidR="00AE190B">
        <w:rPr>
          <w:bCs/>
        </w:rPr>
        <w:t xml:space="preserve">istes seraient enrichies de dossiers de candidature qui apportaient de nouvelles perspectives </w:t>
      </w:r>
      <w:r w:rsidR="00407BDA">
        <w:rPr>
          <w:bCs/>
        </w:rPr>
        <w:t xml:space="preserve">en ce qui concerne </w:t>
      </w:r>
      <w:r w:rsidR="00AE190B">
        <w:rPr>
          <w:bCs/>
        </w:rPr>
        <w:t>l</w:t>
      </w:r>
      <w:r w:rsidR="00346F1B">
        <w:rPr>
          <w:bCs/>
        </w:rPr>
        <w:t>’</w:t>
      </w:r>
      <w:r w:rsidR="00AE190B" w:rsidRPr="00AE190B">
        <w:rPr>
          <w:bCs/>
        </w:rPr>
        <w:t>organisation</w:t>
      </w:r>
      <w:r w:rsidR="00AE190B">
        <w:rPr>
          <w:bCs/>
        </w:rPr>
        <w:t xml:space="preserve"> sociale, </w:t>
      </w:r>
      <w:r w:rsidR="00407BDA">
        <w:rPr>
          <w:bCs/>
        </w:rPr>
        <w:t>les systèmes de gouvernance socio-politique, l</w:t>
      </w:r>
      <w:r w:rsidR="00AE190B">
        <w:rPr>
          <w:bCs/>
        </w:rPr>
        <w:t xml:space="preserve">es formes anciennes de </w:t>
      </w:r>
      <w:r w:rsidR="00AE190B" w:rsidRPr="00AE190B">
        <w:rPr>
          <w:bCs/>
        </w:rPr>
        <w:t>patrimoine</w:t>
      </w:r>
      <w:r w:rsidR="00AE190B">
        <w:rPr>
          <w:bCs/>
        </w:rPr>
        <w:t xml:space="preserve"> </w:t>
      </w:r>
      <w:r w:rsidR="00AE190B" w:rsidRPr="00AE190B">
        <w:rPr>
          <w:bCs/>
        </w:rPr>
        <w:t>culturel</w:t>
      </w:r>
      <w:r w:rsidR="00407BDA">
        <w:rPr>
          <w:bCs/>
        </w:rPr>
        <w:t>, et l</w:t>
      </w:r>
      <w:r w:rsidR="00AE190B">
        <w:rPr>
          <w:bCs/>
        </w:rPr>
        <w:t xml:space="preserve">es formes récentes de </w:t>
      </w:r>
      <w:r w:rsidR="00AE190B" w:rsidRPr="00AE190B">
        <w:rPr>
          <w:bCs/>
        </w:rPr>
        <w:t>patrimoine</w:t>
      </w:r>
      <w:r w:rsidR="00AE190B">
        <w:rPr>
          <w:bCs/>
        </w:rPr>
        <w:t xml:space="preserve"> culturel </w:t>
      </w:r>
      <w:r w:rsidR="00407BDA">
        <w:rPr>
          <w:bCs/>
        </w:rPr>
        <w:t xml:space="preserve">ancrées </w:t>
      </w:r>
      <w:r w:rsidR="00AE190B">
        <w:rPr>
          <w:bCs/>
        </w:rPr>
        <w:t>dans les établissements d</w:t>
      </w:r>
      <w:r w:rsidR="00346F1B">
        <w:rPr>
          <w:bCs/>
        </w:rPr>
        <w:t>’</w:t>
      </w:r>
      <w:r w:rsidR="00AE190B" w:rsidRPr="00AE190B">
        <w:rPr>
          <w:bCs/>
        </w:rPr>
        <w:t>enseignement</w:t>
      </w:r>
      <w:r w:rsidR="00AE190B">
        <w:rPr>
          <w:bCs/>
        </w:rPr>
        <w:t xml:space="preserve">. Cela </w:t>
      </w:r>
      <w:r w:rsidR="00407BDA">
        <w:rPr>
          <w:bCs/>
        </w:rPr>
        <w:t xml:space="preserve">renforcerait </w:t>
      </w:r>
      <w:r w:rsidR="00AE190B">
        <w:rPr>
          <w:bCs/>
        </w:rPr>
        <w:t xml:space="preserve">la </w:t>
      </w:r>
      <w:r w:rsidR="00AE190B" w:rsidRPr="00AE190B">
        <w:rPr>
          <w:bCs/>
        </w:rPr>
        <w:t>diversité</w:t>
      </w:r>
      <w:r w:rsidR="00AE190B">
        <w:rPr>
          <w:bCs/>
        </w:rPr>
        <w:t xml:space="preserve"> des éléments et mettrait encore plus l</w:t>
      </w:r>
      <w:r w:rsidR="00346F1B">
        <w:rPr>
          <w:bCs/>
        </w:rPr>
        <w:t>’</w:t>
      </w:r>
      <w:r w:rsidR="00AE190B">
        <w:rPr>
          <w:bCs/>
        </w:rPr>
        <w:t xml:space="preserve">accent sur la nature vivante du PCI. La </w:t>
      </w:r>
      <w:r w:rsidR="00AE190B" w:rsidRPr="00AE190B">
        <w:rPr>
          <w:bCs/>
        </w:rPr>
        <w:t>délégation</w:t>
      </w:r>
      <w:r w:rsidR="00AE190B">
        <w:rPr>
          <w:bCs/>
        </w:rPr>
        <w:t xml:space="preserve"> a félicité le Cambodg</w:t>
      </w:r>
      <w:r w:rsidR="003227D4">
        <w:rPr>
          <w:bCs/>
        </w:rPr>
        <w:t>e d</w:t>
      </w:r>
      <w:r w:rsidR="00346F1B">
        <w:rPr>
          <w:bCs/>
        </w:rPr>
        <w:t>’</w:t>
      </w:r>
      <w:r w:rsidR="003227D4">
        <w:rPr>
          <w:bCs/>
        </w:rPr>
        <w:t xml:space="preserve">avoir soumis un dossier dans le cadre du </w:t>
      </w:r>
      <w:r w:rsidR="00AE190B">
        <w:rPr>
          <w:bCs/>
        </w:rPr>
        <w:t xml:space="preserve">mécanisme combiné de </w:t>
      </w:r>
      <w:r w:rsidR="00AE190B" w:rsidRPr="00AE190B">
        <w:rPr>
          <w:bCs/>
        </w:rPr>
        <w:t>candidature</w:t>
      </w:r>
      <w:r w:rsidR="00AE190B">
        <w:rPr>
          <w:bCs/>
        </w:rPr>
        <w:t xml:space="preserve"> à la Liste de sauvegarde urgente et de demande d</w:t>
      </w:r>
      <w:r w:rsidR="00346F1B">
        <w:rPr>
          <w:bCs/>
        </w:rPr>
        <w:t>’</w:t>
      </w:r>
      <w:r w:rsidR="00AE190B">
        <w:rPr>
          <w:bCs/>
        </w:rPr>
        <w:t xml:space="preserve">assistance internationale. </w:t>
      </w:r>
      <w:r w:rsidR="003227D4">
        <w:rPr>
          <w:bCs/>
        </w:rPr>
        <w:t xml:space="preserve">Étant le premier de ce type, il pourrait encourageait la soumission de nouvelles candidatures, contribuant ainsi à une mise en œuvre améliorée des mesures de sauvegarde urgentes et à une meilleure </w:t>
      </w:r>
      <w:r w:rsidR="003227D4" w:rsidRPr="003227D4">
        <w:rPr>
          <w:bCs/>
        </w:rPr>
        <w:t>utilisation</w:t>
      </w:r>
      <w:r w:rsidR="003227D4">
        <w:rPr>
          <w:bCs/>
        </w:rPr>
        <w:t xml:space="preserve"> du Fonds du patrimoine culturel immatériel. À la lecture du rapport de l</w:t>
      </w:r>
      <w:r w:rsidR="00346F1B">
        <w:rPr>
          <w:bCs/>
        </w:rPr>
        <w:t>’</w:t>
      </w:r>
      <w:r w:rsidR="003227D4">
        <w:rPr>
          <w:bCs/>
        </w:rPr>
        <w:t>Organe d</w:t>
      </w:r>
      <w:r w:rsidR="00346F1B">
        <w:rPr>
          <w:bCs/>
        </w:rPr>
        <w:t>’</w:t>
      </w:r>
      <w:r w:rsidR="003227D4">
        <w:rPr>
          <w:bCs/>
        </w:rPr>
        <w:t xml:space="preserve">évaluation, la </w:t>
      </w:r>
      <w:r w:rsidR="003227D4" w:rsidRPr="003227D4">
        <w:rPr>
          <w:bCs/>
        </w:rPr>
        <w:t>délégation</w:t>
      </w:r>
      <w:r w:rsidR="003227D4">
        <w:rPr>
          <w:bCs/>
        </w:rPr>
        <w:t xml:space="preserve"> avait </w:t>
      </w:r>
      <w:r w:rsidR="00407BDA">
        <w:rPr>
          <w:bCs/>
        </w:rPr>
        <w:t>cru comprendre</w:t>
      </w:r>
      <w:r w:rsidR="003227D4">
        <w:rPr>
          <w:bCs/>
        </w:rPr>
        <w:t xml:space="preserve"> que ce </w:t>
      </w:r>
      <w:r w:rsidR="003227D4" w:rsidRPr="003227D4">
        <w:rPr>
          <w:bCs/>
        </w:rPr>
        <w:t>mécanisme</w:t>
      </w:r>
      <w:r w:rsidR="003227D4">
        <w:rPr>
          <w:bCs/>
        </w:rPr>
        <w:t xml:space="preserve"> éta</w:t>
      </w:r>
      <w:r w:rsidR="00407BDA">
        <w:rPr>
          <w:bCs/>
        </w:rPr>
        <w:t>it appelé à s</w:t>
      </w:r>
      <w:r w:rsidR="00346F1B">
        <w:rPr>
          <w:bCs/>
        </w:rPr>
        <w:t>’</w:t>
      </w:r>
      <w:r w:rsidR="00407BDA">
        <w:rPr>
          <w:bCs/>
        </w:rPr>
        <w:t>améliorer dans les</w:t>
      </w:r>
      <w:r w:rsidR="003227D4">
        <w:rPr>
          <w:bCs/>
        </w:rPr>
        <w:t xml:space="preserve"> cycles à venir. À ce stade, la révision du formulaire ICH-01bis par le Secrétariat permett</w:t>
      </w:r>
      <w:r w:rsidR="000F4370">
        <w:rPr>
          <w:bCs/>
        </w:rPr>
        <w:t>r</w:t>
      </w:r>
      <w:r w:rsidR="003227D4">
        <w:rPr>
          <w:bCs/>
        </w:rPr>
        <w:t>ait d</w:t>
      </w:r>
      <w:r w:rsidR="00346F1B">
        <w:rPr>
          <w:bCs/>
        </w:rPr>
        <w:t>’</w:t>
      </w:r>
      <w:r w:rsidR="003227D4">
        <w:rPr>
          <w:bCs/>
        </w:rPr>
        <w:t xml:space="preserve">éliminer les </w:t>
      </w:r>
      <w:r w:rsidR="000F4370">
        <w:rPr>
          <w:bCs/>
        </w:rPr>
        <w:t>incohérences identifiées par l</w:t>
      </w:r>
      <w:r w:rsidR="00346F1B">
        <w:rPr>
          <w:bCs/>
        </w:rPr>
        <w:t>’</w:t>
      </w:r>
      <w:r w:rsidR="000F4370">
        <w:rPr>
          <w:bCs/>
        </w:rPr>
        <w:t>Organe d</w:t>
      </w:r>
      <w:r w:rsidR="00346F1B">
        <w:rPr>
          <w:bCs/>
        </w:rPr>
        <w:t>’</w:t>
      </w:r>
      <w:r w:rsidR="000F4370">
        <w:rPr>
          <w:bCs/>
        </w:rPr>
        <w:t xml:space="preserve">évaluation, et à ce sujet, la </w:t>
      </w:r>
      <w:r w:rsidR="000F4370" w:rsidRPr="000F4370">
        <w:rPr>
          <w:bCs/>
        </w:rPr>
        <w:t>délégation</w:t>
      </w:r>
      <w:r w:rsidR="00407BDA">
        <w:rPr>
          <w:bCs/>
        </w:rPr>
        <w:t xml:space="preserve"> souhaitait</w:t>
      </w:r>
      <w:r w:rsidR="000F4370">
        <w:rPr>
          <w:bCs/>
        </w:rPr>
        <w:t xml:space="preserve"> demander à l</w:t>
      </w:r>
      <w:r w:rsidR="00346F1B">
        <w:rPr>
          <w:bCs/>
        </w:rPr>
        <w:t>’</w:t>
      </w:r>
      <w:r w:rsidR="000F4370">
        <w:rPr>
          <w:bCs/>
        </w:rPr>
        <w:t>Organe d</w:t>
      </w:r>
      <w:r w:rsidR="00346F1B">
        <w:rPr>
          <w:bCs/>
        </w:rPr>
        <w:t>’</w:t>
      </w:r>
      <w:r w:rsidR="000F4370">
        <w:rPr>
          <w:bCs/>
        </w:rPr>
        <w:t xml:space="preserve">évaluation à quelles « incohérences » elle faisait référence. La </w:t>
      </w:r>
      <w:r w:rsidR="000F4370" w:rsidRPr="000F4370">
        <w:rPr>
          <w:bCs/>
        </w:rPr>
        <w:t>délégation</w:t>
      </w:r>
      <w:r w:rsidR="000F4370">
        <w:rPr>
          <w:bCs/>
        </w:rPr>
        <w:t xml:space="preserve"> a </w:t>
      </w:r>
      <w:r w:rsidR="000F4370" w:rsidRPr="000F4370">
        <w:rPr>
          <w:bCs/>
        </w:rPr>
        <w:t>également</w:t>
      </w:r>
      <w:r w:rsidR="000F4370">
        <w:rPr>
          <w:bCs/>
        </w:rPr>
        <w:t xml:space="preserve"> salué la soumission de deux dossiers de candidature, par le Kenya et l</w:t>
      </w:r>
      <w:r w:rsidR="00346F1B">
        <w:rPr>
          <w:bCs/>
        </w:rPr>
        <w:t>’</w:t>
      </w:r>
      <w:r w:rsidR="000F4370">
        <w:rPr>
          <w:bCs/>
        </w:rPr>
        <w:t>Ouganda, à la Liste de sauvegarde urgente suite à l</w:t>
      </w:r>
      <w:r w:rsidR="00346F1B">
        <w:rPr>
          <w:bCs/>
        </w:rPr>
        <w:t>’</w:t>
      </w:r>
      <w:r w:rsidR="000F4370">
        <w:rPr>
          <w:bCs/>
        </w:rPr>
        <w:t>attribution d</w:t>
      </w:r>
      <w:r w:rsidR="00346F1B">
        <w:rPr>
          <w:bCs/>
        </w:rPr>
        <w:t>’</w:t>
      </w:r>
      <w:r w:rsidR="000F4370">
        <w:rPr>
          <w:bCs/>
        </w:rPr>
        <w:t xml:space="preserve">une </w:t>
      </w:r>
      <w:r w:rsidR="000F4370" w:rsidRPr="000F4370">
        <w:rPr>
          <w:bCs/>
        </w:rPr>
        <w:t>assistance</w:t>
      </w:r>
      <w:r w:rsidR="000F4370">
        <w:rPr>
          <w:bCs/>
        </w:rPr>
        <w:t xml:space="preserve"> préparatoire, ce qui illustrait une fois de plus la contribution </w:t>
      </w:r>
      <w:r w:rsidR="001D038E">
        <w:rPr>
          <w:bCs/>
        </w:rPr>
        <w:t>des projets d</w:t>
      </w:r>
      <w:r w:rsidR="00346F1B">
        <w:rPr>
          <w:bCs/>
        </w:rPr>
        <w:t>’</w:t>
      </w:r>
      <w:r w:rsidR="001D038E">
        <w:rPr>
          <w:bCs/>
        </w:rPr>
        <w:t>assistance technique au titre du Fonds du patrimoine culturel immatériel</w:t>
      </w:r>
      <w:r w:rsidR="00407BDA">
        <w:rPr>
          <w:bCs/>
        </w:rPr>
        <w:t>,</w:t>
      </w:r>
      <w:r w:rsidR="001D038E">
        <w:rPr>
          <w:bCs/>
        </w:rPr>
        <w:t xml:space="preserve"> et</w:t>
      </w:r>
      <w:r w:rsidR="00331DF7">
        <w:rPr>
          <w:bCs/>
        </w:rPr>
        <w:t xml:space="preserve"> l</w:t>
      </w:r>
      <w:r w:rsidR="00346F1B">
        <w:rPr>
          <w:bCs/>
        </w:rPr>
        <w:t>’</w:t>
      </w:r>
      <w:r w:rsidR="00331DF7">
        <w:rPr>
          <w:bCs/>
        </w:rPr>
        <w:t>importance de renforcer ce mécanisme</w:t>
      </w:r>
      <w:r w:rsidR="001D038E">
        <w:rPr>
          <w:bCs/>
        </w:rPr>
        <w:t xml:space="preserve">. La délégation soutenait la </w:t>
      </w:r>
      <w:r w:rsidR="001D038E" w:rsidRPr="001D038E">
        <w:rPr>
          <w:bCs/>
        </w:rPr>
        <w:t>recommandation</w:t>
      </w:r>
      <w:r w:rsidR="001D038E">
        <w:rPr>
          <w:bCs/>
        </w:rPr>
        <w:t xml:space="preserve"> de l</w:t>
      </w:r>
      <w:r w:rsidR="00346F1B">
        <w:rPr>
          <w:bCs/>
        </w:rPr>
        <w:t>’</w:t>
      </w:r>
      <w:r w:rsidR="001D038E">
        <w:rPr>
          <w:bCs/>
        </w:rPr>
        <w:t>Organe d</w:t>
      </w:r>
      <w:r w:rsidR="00346F1B">
        <w:rPr>
          <w:bCs/>
        </w:rPr>
        <w:t>’</w:t>
      </w:r>
      <w:r w:rsidR="001D038E">
        <w:rPr>
          <w:bCs/>
        </w:rPr>
        <w:t>évaluation de modifier le nom du Registre des meilleures pratiques de sauvegarde afin qu</w:t>
      </w:r>
      <w:r w:rsidR="00346F1B">
        <w:rPr>
          <w:bCs/>
        </w:rPr>
        <w:t>’</w:t>
      </w:r>
      <w:r w:rsidR="001D038E">
        <w:rPr>
          <w:bCs/>
        </w:rPr>
        <w:t xml:space="preserve">il devienne le « Registre des bonnes pratiques de sauvegarde », ce qui refléterait mieux son objectif, tel que défini par la </w:t>
      </w:r>
      <w:r w:rsidR="001D038E" w:rsidRPr="001D038E">
        <w:rPr>
          <w:bCs/>
        </w:rPr>
        <w:t>Convention</w:t>
      </w:r>
      <w:r w:rsidR="001D038E">
        <w:rPr>
          <w:bCs/>
        </w:rPr>
        <w:t xml:space="preserve">, tout en modifiant le caractère très restrictif du terme « meilleures » et </w:t>
      </w:r>
      <w:r w:rsidR="00407BDA">
        <w:rPr>
          <w:bCs/>
        </w:rPr>
        <w:t xml:space="preserve">en </w:t>
      </w:r>
      <w:r w:rsidR="001D038E">
        <w:rPr>
          <w:bCs/>
        </w:rPr>
        <w:t xml:space="preserve">encourageant </w:t>
      </w:r>
      <w:r w:rsidR="00407BDA" w:rsidRPr="00407BDA">
        <w:rPr>
          <w:bCs/>
        </w:rPr>
        <w:t>vraisemblablement</w:t>
      </w:r>
      <w:r w:rsidR="001D038E">
        <w:rPr>
          <w:bCs/>
        </w:rPr>
        <w:t xml:space="preserve"> plus de soumissions. La Turquie saluait les efforts que le Secrétariat déployait pour rédiger une note d</w:t>
      </w:r>
      <w:r w:rsidR="00346F1B">
        <w:rPr>
          <w:bCs/>
        </w:rPr>
        <w:t>’</w:t>
      </w:r>
      <w:r w:rsidR="001D038E">
        <w:rPr>
          <w:bCs/>
        </w:rPr>
        <w:t xml:space="preserve">orientation conforme au </w:t>
      </w:r>
      <w:r w:rsidR="001D038E" w:rsidRPr="001D038E">
        <w:rPr>
          <w:bCs/>
        </w:rPr>
        <w:t>paragraphe</w:t>
      </w:r>
      <w:r w:rsidR="001D038E">
        <w:rPr>
          <w:bCs/>
        </w:rPr>
        <w:t xml:space="preserve"> 20 de la </w:t>
      </w:r>
      <w:r w:rsidR="001D038E" w:rsidRPr="001D038E">
        <w:rPr>
          <w:bCs/>
        </w:rPr>
        <w:t>décision</w:t>
      </w:r>
      <w:r w:rsidR="001D038E">
        <w:rPr>
          <w:bCs/>
        </w:rPr>
        <w:t xml:space="preserve"> 10.COM 10 relative aux inventaires et à leur </w:t>
      </w:r>
      <w:r w:rsidR="001D038E" w:rsidRPr="001D038E">
        <w:rPr>
          <w:bCs/>
        </w:rPr>
        <w:t>mécanisme</w:t>
      </w:r>
      <w:r w:rsidR="001D038E">
        <w:rPr>
          <w:bCs/>
        </w:rPr>
        <w:t xml:space="preserve"> de mise à jour, ajoutant que cela pourrait aider les États à préparer des dossiers de candidature plus complets, satisfaisant ainsi les critères R .5 et U.5. Elle a </w:t>
      </w:r>
      <w:r w:rsidR="001D038E" w:rsidRPr="001D038E">
        <w:rPr>
          <w:bCs/>
        </w:rPr>
        <w:t>également</w:t>
      </w:r>
      <w:r w:rsidR="001D038E">
        <w:rPr>
          <w:bCs/>
        </w:rPr>
        <w:t xml:space="preserve"> souligné que sur les cinquante dossiers soumis, seuls vingt-cinq avaient reçu des recommandations positives, ajoutant que cela avait encouragé </w:t>
      </w:r>
      <w:r w:rsidR="00331DF7">
        <w:rPr>
          <w:bCs/>
        </w:rPr>
        <w:t>le Comité à poursuivre la même</w:t>
      </w:r>
      <w:r w:rsidR="001D038E">
        <w:rPr>
          <w:bCs/>
        </w:rPr>
        <w:t xml:space="preserve"> pratique </w:t>
      </w:r>
      <w:r w:rsidR="00331DF7">
        <w:rPr>
          <w:bCs/>
        </w:rPr>
        <w:t>qu</w:t>
      </w:r>
      <w:r w:rsidR="00346F1B">
        <w:rPr>
          <w:bCs/>
        </w:rPr>
        <w:t>’</w:t>
      </w:r>
      <w:r w:rsidR="00331DF7">
        <w:rPr>
          <w:bCs/>
        </w:rPr>
        <w:t xml:space="preserve">auparavant </w:t>
      </w:r>
      <w:r w:rsidR="00407BDA">
        <w:rPr>
          <w:bCs/>
        </w:rPr>
        <w:t>e</w:t>
      </w:r>
      <w:r w:rsidR="00407BDA" w:rsidRPr="00407BDA">
        <w:rPr>
          <w:bCs/>
        </w:rPr>
        <w:t>n ce qui concerne</w:t>
      </w:r>
      <w:r w:rsidR="00407BDA">
        <w:rPr>
          <w:bCs/>
        </w:rPr>
        <w:t xml:space="preserve"> la</w:t>
      </w:r>
      <w:r w:rsidR="001D038E">
        <w:rPr>
          <w:bCs/>
        </w:rPr>
        <w:t xml:space="preserve"> prise de décision</w:t>
      </w:r>
      <w:r w:rsidR="00576A61">
        <w:rPr>
          <w:bCs/>
        </w:rPr>
        <w:t>s</w:t>
      </w:r>
      <w:r w:rsidR="001D038E">
        <w:rPr>
          <w:bCs/>
        </w:rPr>
        <w:t>, com</w:t>
      </w:r>
      <w:r w:rsidR="00331DF7">
        <w:rPr>
          <w:bCs/>
        </w:rPr>
        <w:t>m</w:t>
      </w:r>
      <w:r w:rsidR="001D038E">
        <w:rPr>
          <w:bCs/>
        </w:rPr>
        <w:t>e précédemment mentionné au titre du point 8 de l</w:t>
      </w:r>
      <w:r w:rsidR="00346F1B">
        <w:rPr>
          <w:bCs/>
        </w:rPr>
        <w:t>’</w:t>
      </w:r>
      <w:r w:rsidR="001D038E" w:rsidRPr="001D038E">
        <w:rPr>
          <w:bCs/>
        </w:rPr>
        <w:t>ordre du jour</w:t>
      </w:r>
      <w:r w:rsidR="001D038E">
        <w:rPr>
          <w:bCs/>
        </w:rPr>
        <w:t>.</w:t>
      </w:r>
      <w:r w:rsidR="00331DF7">
        <w:rPr>
          <w:bCs/>
        </w:rPr>
        <w:t xml:space="preserve"> Parallèlement, le Comité avait encouragé l</w:t>
      </w:r>
      <w:r w:rsidR="00346F1B">
        <w:rPr>
          <w:bCs/>
        </w:rPr>
        <w:t>’</w:t>
      </w:r>
      <w:r w:rsidR="00331DF7" w:rsidRPr="00331DF7">
        <w:rPr>
          <w:bCs/>
        </w:rPr>
        <w:t>établissement</w:t>
      </w:r>
      <w:r w:rsidR="00331DF7">
        <w:rPr>
          <w:bCs/>
        </w:rPr>
        <w:t xml:space="preserve"> d</w:t>
      </w:r>
      <w:r w:rsidR="00346F1B">
        <w:rPr>
          <w:bCs/>
        </w:rPr>
        <w:t>’</w:t>
      </w:r>
      <w:r w:rsidR="00331DF7">
        <w:rPr>
          <w:bCs/>
        </w:rPr>
        <w:t>un dialogue entre l</w:t>
      </w:r>
      <w:r w:rsidR="00346F1B">
        <w:rPr>
          <w:bCs/>
        </w:rPr>
        <w:t>’</w:t>
      </w:r>
      <w:r w:rsidR="00331DF7">
        <w:rPr>
          <w:bCs/>
        </w:rPr>
        <w:t>Organe d</w:t>
      </w:r>
      <w:r w:rsidR="00346F1B">
        <w:rPr>
          <w:bCs/>
        </w:rPr>
        <w:t>’</w:t>
      </w:r>
      <w:r w:rsidR="00331DF7">
        <w:rPr>
          <w:bCs/>
        </w:rPr>
        <w:t xml:space="preserve">évaluation et </w:t>
      </w:r>
      <w:r w:rsidR="00331DF7" w:rsidRPr="00331DF7">
        <w:rPr>
          <w:bCs/>
        </w:rPr>
        <w:t>l</w:t>
      </w:r>
      <w:r w:rsidR="00346F1B">
        <w:rPr>
          <w:bCs/>
        </w:rPr>
        <w:t>’</w:t>
      </w:r>
      <w:r w:rsidR="00331DF7" w:rsidRPr="00331DF7">
        <w:rPr>
          <w:bCs/>
        </w:rPr>
        <w:t>État partie</w:t>
      </w:r>
      <w:r w:rsidR="00331DF7">
        <w:rPr>
          <w:bCs/>
        </w:rPr>
        <w:t xml:space="preserve">, </w:t>
      </w:r>
      <w:r w:rsidR="00331DF7" w:rsidRPr="00331DF7">
        <w:rPr>
          <w:bCs/>
        </w:rPr>
        <w:t>vraisemblablement</w:t>
      </w:r>
      <w:r w:rsidR="00331DF7">
        <w:rPr>
          <w:bCs/>
        </w:rPr>
        <w:t xml:space="preserve"> par l</w:t>
      </w:r>
      <w:r w:rsidR="00346F1B">
        <w:rPr>
          <w:bCs/>
        </w:rPr>
        <w:t>’</w:t>
      </w:r>
      <w:r w:rsidR="00331DF7">
        <w:rPr>
          <w:bCs/>
        </w:rPr>
        <w:t xml:space="preserve">intermédiaire du Secrétariat. Toutefois, constatant les évolutions dans le système de prise de </w:t>
      </w:r>
      <w:r w:rsidR="00331DF7" w:rsidRPr="00331DF7">
        <w:rPr>
          <w:bCs/>
        </w:rPr>
        <w:t>décision</w:t>
      </w:r>
      <w:r w:rsidR="00576A61">
        <w:rPr>
          <w:bCs/>
        </w:rPr>
        <w:t>s</w:t>
      </w:r>
      <w:r w:rsidR="00331DF7">
        <w:rPr>
          <w:bCs/>
        </w:rPr>
        <w:t xml:space="preserve"> du Comité et la conduite de ses travaux, la </w:t>
      </w:r>
      <w:r w:rsidR="00331DF7" w:rsidRPr="00331DF7">
        <w:rPr>
          <w:bCs/>
        </w:rPr>
        <w:t>délégation</w:t>
      </w:r>
      <w:r w:rsidR="00331DF7">
        <w:rPr>
          <w:bCs/>
        </w:rPr>
        <w:t xml:space="preserve"> </w:t>
      </w:r>
      <w:r w:rsidR="00407BDA">
        <w:rPr>
          <w:bCs/>
        </w:rPr>
        <w:t xml:space="preserve">était favorable à </w:t>
      </w:r>
      <w:r w:rsidR="00BE6C93">
        <w:rPr>
          <w:bCs/>
        </w:rPr>
        <w:t>la création d</w:t>
      </w:r>
      <w:r w:rsidR="00346F1B">
        <w:rPr>
          <w:bCs/>
        </w:rPr>
        <w:t>’</w:t>
      </w:r>
      <w:r w:rsidR="00BE6C93">
        <w:rPr>
          <w:bCs/>
        </w:rPr>
        <w:t xml:space="preserve">un </w:t>
      </w:r>
      <w:r w:rsidR="00BE6C93" w:rsidRPr="00BE6C93">
        <w:rPr>
          <w:bCs/>
        </w:rPr>
        <w:t>groupe de travail</w:t>
      </w:r>
      <w:r w:rsidR="00BE6C93">
        <w:rPr>
          <w:bCs/>
        </w:rPr>
        <w:t xml:space="preserve"> </w:t>
      </w:r>
      <w:r w:rsidR="00BE6C93" w:rsidRPr="00BE6C93">
        <w:rPr>
          <w:bCs/>
          <w:i/>
        </w:rPr>
        <w:t>ad hoc</w:t>
      </w:r>
      <w:r w:rsidR="00BE6C93">
        <w:rPr>
          <w:bCs/>
        </w:rPr>
        <w:t xml:space="preserve"> destiné à trouver des moyens d</w:t>
      </w:r>
      <w:r w:rsidR="00346F1B">
        <w:rPr>
          <w:bCs/>
        </w:rPr>
        <w:t>’</w:t>
      </w:r>
      <w:r w:rsidR="00BE6C93">
        <w:rPr>
          <w:bCs/>
        </w:rPr>
        <w:t xml:space="preserve">apaiser les inquiétudes suscitées par les méthodes de travail du Comité. Un </w:t>
      </w:r>
      <w:r w:rsidR="00BE6C93" w:rsidRPr="00BE6C93">
        <w:rPr>
          <w:b/>
          <w:bCs/>
        </w:rPr>
        <w:t>expert de la délégation</w:t>
      </w:r>
      <w:r w:rsidR="00BE6C93">
        <w:rPr>
          <w:bCs/>
        </w:rPr>
        <w:t xml:space="preserve"> a </w:t>
      </w:r>
      <w:r w:rsidR="00BE6C93" w:rsidRPr="00BE6C93">
        <w:rPr>
          <w:bCs/>
        </w:rPr>
        <w:t>également</w:t>
      </w:r>
      <w:r w:rsidR="00BE6C93">
        <w:rPr>
          <w:bCs/>
        </w:rPr>
        <w:t xml:space="preserve"> remercié le Secrétariat, l</w:t>
      </w:r>
      <w:r w:rsidR="00346F1B">
        <w:rPr>
          <w:bCs/>
        </w:rPr>
        <w:t>’</w:t>
      </w:r>
      <w:r w:rsidR="00BE6C93">
        <w:rPr>
          <w:bCs/>
        </w:rPr>
        <w:t>Organe d</w:t>
      </w:r>
      <w:r w:rsidR="00346F1B">
        <w:rPr>
          <w:bCs/>
        </w:rPr>
        <w:t>’</w:t>
      </w:r>
      <w:r w:rsidR="00BE6C93">
        <w:rPr>
          <w:bCs/>
        </w:rPr>
        <w:t>évaluation, et le Comité pour son travail méticuleux. En tant qu</w:t>
      </w:r>
      <w:r w:rsidR="00346F1B">
        <w:rPr>
          <w:bCs/>
        </w:rPr>
        <w:t>’</w:t>
      </w:r>
      <w:r w:rsidR="00BE6C93">
        <w:rPr>
          <w:bCs/>
        </w:rPr>
        <w:t xml:space="preserve">expert travaillant avec la </w:t>
      </w:r>
      <w:r w:rsidR="00BE6C93" w:rsidRPr="00BE6C93">
        <w:rPr>
          <w:bCs/>
        </w:rPr>
        <w:t>Convention</w:t>
      </w:r>
      <w:r w:rsidR="00BE6C93">
        <w:rPr>
          <w:bCs/>
        </w:rPr>
        <w:t xml:space="preserve"> depuis quatorze ans, il était convaincu que l</w:t>
      </w:r>
      <w:r w:rsidR="00346F1B">
        <w:rPr>
          <w:bCs/>
        </w:rPr>
        <w:t>’</w:t>
      </w:r>
      <w:r w:rsidR="00BE6C93">
        <w:rPr>
          <w:bCs/>
        </w:rPr>
        <w:t>option de renvoi, présente dans tous les mécanismes, aurait un e</w:t>
      </w:r>
      <w:r w:rsidR="001433F2">
        <w:rPr>
          <w:bCs/>
        </w:rPr>
        <w:t>ffet positif sur la valeur des L</w:t>
      </w:r>
      <w:r w:rsidR="00BE6C93">
        <w:rPr>
          <w:bCs/>
        </w:rPr>
        <w:t xml:space="preserve">istes et de la </w:t>
      </w:r>
      <w:r w:rsidR="00BE6C93" w:rsidRPr="00BE6C93">
        <w:rPr>
          <w:bCs/>
        </w:rPr>
        <w:t>Convention</w:t>
      </w:r>
      <w:r w:rsidR="00BE6C93">
        <w:rPr>
          <w:bCs/>
        </w:rPr>
        <w:t>. Il était important de tenir compte des recommandations de l</w:t>
      </w:r>
      <w:r w:rsidR="00346F1B">
        <w:rPr>
          <w:bCs/>
        </w:rPr>
        <w:t>’</w:t>
      </w:r>
      <w:r w:rsidR="00BE6C93">
        <w:rPr>
          <w:bCs/>
        </w:rPr>
        <w:t>Organe d</w:t>
      </w:r>
      <w:r w:rsidR="00346F1B">
        <w:rPr>
          <w:bCs/>
        </w:rPr>
        <w:t>’</w:t>
      </w:r>
      <w:r w:rsidR="00BE6C93">
        <w:rPr>
          <w:bCs/>
        </w:rPr>
        <w:t xml:space="preserve">évaluation, qui était composé de six experts dans le domaine du PCI et de six experts accrédités par des ONG. La </w:t>
      </w:r>
      <w:r w:rsidR="00BE6C93" w:rsidRPr="00BE6C93">
        <w:rPr>
          <w:bCs/>
        </w:rPr>
        <w:t>délégation</w:t>
      </w:r>
      <w:r w:rsidR="00BE6C93">
        <w:rPr>
          <w:bCs/>
        </w:rPr>
        <w:t xml:space="preserve"> estimait que les recommandations de l</w:t>
      </w:r>
      <w:r w:rsidR="00346F1B">
        <w:rPr>
          <w:bCs/>
        </w:rPr>
        <w:t>’</w:t>
      </w:r>
      <w:r w:rsidR="00BE6C93">
        <w:rPr>
          <w:bCs/>
        </w:rPr>
        <w:t>Organe d</w:t>
      </w:r>
      <w:r w:rsidR="00346F1B">
        <w:rPr>
          <w:bCs/>
        </w:rPr>
        <w:t>’</w:t>
      </w:r>
      <w:r w:rsidR="00BE6C93">
        <w:rPr>
          <w:bCs/>
        </w:rPr>
        <w:t xml:space="preserve">évaluation étaient </w:t>
      </w:r>
      <w:r w:rsidR="00BE6C93" w:rsidRPr="00BE6C93">
        <w:rPr>
          <w:bCs/>
        </w:rPr>
        <w:t>particulièrement</w:t>
      </w:r>
      <w:r w:rsidR="00BE6C93">
        <w:rPr>
          <w:bCs/>
        </w:rPr>
        <w:t xml:space="preserve"> importantes car elles étaient le résultat de multiples réunions et d</w:t>
      </w:r>
      <w:r w:rsidR="00346F1B">
        <w:rPr>
          <w:bCs/>
        </w:rPr>
        <w:t>’</w:t>
      </w:r>
      <w:r w:rsidR="00BE6C93">
        <w:rPr>
          <w:bCs/>
        </w:rPr>
        <w:t xml:space="preserve">un consensus, </w:t>
      </w:r>
      <w:r w:rsidR="001433F2">
        <w:rPr>
          <w:bCs/>
        </w:rPr>
        <w:t>et que pour la crédibilité des L</w:t>
      </w:r>
      <w:r w:rsidR="00BE6C93">
        <w:rPr>
          <w:bCs/>
        </w:rPr>
        <w:t xml:space="preserve">istes, le discrédit ne devait pas être porté sur ces recommandations. En outre, il conviendrait de déterminer si les experts élus </w:t>
      </w:r>
      <w:r w:rsidR="009C49C3">
        <w:rPr>
          <w:bCs/>
        </w:rPr>
        <w:t>étaient confrontés à un problème de</w:t>
      </w:r>
      <w:r w:rsidR="00BE6C93">
        <w:rPr>
          <w:bCs/>
        </w:rPr>
        <w:t xml:space="preserve"> capacité de travail</w:t>
      </w:r>
      <w:r w:rsidR="009C49C3">
        <w:rPr>
          <w:bCs/>
        </w:rPr>
        <w:t xml:space="preserve"> de l</w:t>
      </w:r>
      <w:r w:rsidR="00346F1B">
        <w:rPr>
          <w:bCs/>
        </w:rPr>
        <w:t>’</w:t>
      </w:r>
      <w:r w:rsidR="009C49C3">
        <w:rPr>
          <w:bCs/>
        </w:rPr>
        <w:t>Organe</w:t>
      </w:r>
      <w:r w:rsidR="00BE6C93">
        <w:rPr>
          <w:bCs/>
        </w:rPr>
        <w:t xml:space="preserve">. La </w:t>
      </w:r>
      <w:r w:rsidR="00BE6C93" w:rsidRPr="00BE6C93">
        <w:rPr>
          <w:bCs/>
        </w:rPr>
        <w:t>délégation</w:t>
      </w:r>
      <w:r w:rsidR="00BE6C93">
        <w:rPr>
          <w:bCs/>
        </w:rPr>
        <w:t xml:space="preserve"> a rappelé que l</w:t>
      </w:r>
      <w:r w:rsidR="00346F1B">
        <w:rPr>
          <w:bCs/>
        </w:rPr>
        <w:t>’</w:t>
      </w:r>
      <w:r w:rsidR="00BE6C93">
        <w:rPr>
          <w:bCs/>
        </w:rPr>
        <w:t>Organe d</w:t>
      </w:r>
      <w:r w:rsidR="00346F1B">
        <w:rPr>
          <w:bCs/>
        </w:rPr>
        <w:t>’</w:t>
      </w:r>
      <w:r w:rsidR="00BE6C93">
        <w:rPr>
          <w:bCs/>
        </w:rPr>
        <w:t>évaluation n</w:t>
      </w:r>
      <w:r w:rsidR="00346F1B">
        <w:rPr>
          <w:bCs/>
        </w:rPr>
        <w:t>’</w:t>
      </w:r>
      <w:r w:rsidR="00BE6C93">
        <w:rPr>
          <w:bCs/>
        </w:rPr>
        <w:t>examinait pas l</w:t>
      </w:r>
      <w:r w:rsidR="00346F1B">
        <w:rPr>
          <w:bCs/>
        </w:rPr>
        <w:t>’</w:t>
      </w:r>
      <w:r w:rsidR="00BE6C93" w:rsidRPr="00BE6C93">
        <w:rPr>
          <w:bCs/>
        </w:rPr>
        <w:t>élément</w:t>
      </w:r>
      <w:r w:rsidR="00BE6C93">
        <w:rPr>
          <w:bCs/>
        </w:rPr>
        <w:t xml:space="preserve"> en soi mais le dossier de </w:t>
      </w:r>
      <w:r w:rsidR="00BE6C93" w:rsidRPr="00BE6C93">
        <w:rPr>
          <w:bCs/>
        </w:rPr>
        <w:t>candidature</w:t>
      </w:r>
      <w:r w:rsidR="00BE6C93">
        <w:rPr>
          <w:bCs/>
        </w:rPr>
        <w:t>. Elle</w:t>
      </w:r>
      <w:r w:rsidR="00864D4E">
        <w:rPr>
          <w:bCs/>
        </w:rPr>
        <w:t xml:space="preserve"> </w:t>
      </w:r>
      <w:r w:rsidR="00BE6C93">
        <w:rPr>
          <w:bCs/>
        </w:rPr>
        <w:t xml:space="preserve">a félicité </w:t>
      </w:r>
      <w:r w:rsidR="00864D4E">
        <w:rPr>
          <w:bCs/>
        </w:rPr>
        <w:t xml:space="preserve">les États soumissionnaires pour leurs efforts visant à réduire les </w:t>
      </w:r>
      <w:r w:rsidR="00F304E4">
        <w:rPr>
          <w:bCs/>
        </w:rPr>
        <w:t xml:space="preserve">termes </w:t>
      </w:r>
      <w:r w:rsidR="00864D4E">
        <w:rPr>
          <w:bCs/>
        </w:rPr>
        <w:t>inappropriés dans certaines candidatures, comme souligné dans les recommandations de l</w:t>
      </w:r>
      <w:r w:rsidR="00346F1B">
        <w:rPr>
          <w:bCs/>
        </w:rPr>
        <w:t>’</w:t>
      </w:r>
      <w:r w:rsidR="00864D4E">
        <w:rPr>
          <w:bCs/>
        </w:rPr>
        <w:t>Organe d</w:t>
      </w:r>
      <w:r w:rsidR="00346F1B">
        <w:rPr>
          <w:bCs/>
        </w:rPr>
        <w:t>’</w:t>
      </w:r>
      <w:r w:rsidR="00864D4E">
        <w:rPr>
          <w:bCs/>
        </w:rPr>
        <w:t xml:space="preserve">évaluation. </w:t>
      </w:r>
      <w:r w:rsidR="00F304E4">
        <w:rPr>
          <w:bCs/>
        </w:rPr>
        <w:t>Le Comité pourrait donc lancer un nouveau processus destiné à éliminer ces mots des dossiers. Les éléments du PCI étaient variés et leur portée était très grande, ils ne suivaient donc pas les frontières des États ou des communautés. Parmi les exemples, on pouvait citer la fauconnerie, Nowruz et la diète méditerranéenne. Les États parties dev</w:t>
      </w:r>
      <w:r w:rsidR="009C49C3">
        <w:rPr>
          <w:bCs/>
        </w:rPr>
        <w:t>r</w:t>
      </w:r>
      <w:r w:rsidR="00F304E4">
        <w:rPr>
          <w:bCs/>
        </w:rPr>
        <w:t xml:space="preserve">aient donc être encouragés à soumettre des dossiers multinationaux. La </w:t>
      </w:r>
      <w:r w:rsidR="00F304E4" w:rsidRPr="00F304E4">
        <w:rPr>
          <w:bCs/>
        </w:rPr>
        <w:t>délégation</w:t>
      </w:r>
      <w:r w:rsidR="00F304E4">
        <w:rPr>
          <w:bCs/>
        </w:rPr>
        <w:t xml:space="preserve"> se réjouissait de la croissance notable du nombre de demandes d</w:t>
      </w:r>
      <w:r w:rsidR="00346F1B">
        <w:rPr>
          <w:bCs/>
        </w:rPr>
        <w:t>’</w:t>
      </w:r>
      <w:r w:rsidR="00F304E4">
        <w:rPr>
          <w:bCs/>
        </w:rPr>
        <w:t xml:space="preserve">assistance internationale, de candidatures à la Liste de sauvegarde urgente et de dossiers multinationaux. Ces derniers étaient </w:t>
      </w:r>
      <w:r w:rsidR="00F304E4" w:rsidRPr="00F304E4">
        <w:rPr>
          <w:bCs/>
        </w:rPr>
        <w:t>particulièrement</w:t>
      </w:r>
      <w:r w:rsidR="00F304E4">
        <w:rPr>
          <w:bCs/>
        </w:rPr>
        <w:t xml:space="preserve"> </w:t>
      </w:r>
      <w:proofErr w:type="gramStart"/>
      <w:r w:rsidR="00F304E4">
        <w:rPr>
          <w:bCs/>
        </w:rPr>
        <w:t>important</w:t>
      </w:r>
      <w:proofErr w:type="gramEnd"/>
      <w:r w:rsidR="00F304E4">
        <w:rPr>
          <w:bCs/>
        </w:rPr>
        <w:t xml:space="preserve"> pour atteindre les principaux objectifs de l</w:t>
      </w:r>
      <w:r w:rsidR="00346F1B">
        <w:rPr>
          <w:bCs/>
        </w:rPr>
        <w:t>’</w:t>
      </w:r>
      <w:r w:rsidR="00F304E4">
        <w:rPr>
          <w:bCs/>
        </w:rPr>
        <w:t xml:space="preserve">UNESCO : construire et maintenir la paix et renforcer le dialogue interculturel et le rapprochement culturel. </w:t>
      </w:r>
      <w:r w:rsidR="008B7856">
        <w:rPr>
          <w:bCs/>
        </w:rPr>
        <w:t>Il a été signalé que la grande majorité des renvois ava</w:t>
      </w:r>
      <w:r w:rsidR="00B35E23">
        <w:rPr>
          <w:bCs/>
        </w:rPr>
        <w:t>i</w:t>
      </w:r>
      <w:r w:rsidR="008B7856">
        <w:rPr>
          <w:bCs/>
        </w:rPr>
        <w:t>t pour origine le problème récurrent des critères U.5 et R.5 liés aux inventaires. Cela soulignait l</w:t>
      </w:r>
      <w:r w:rsidR="00346F1B">
        <w:rPr>
          <w:bCs/>
        </w:rPr>
        <w:t>’</w:t>
      </w:r>
      <w:r w:rsidR="008B7856">
        <w:rPr>
          <w:bCs/>
        </w:rPr>
        <w:t>importance d</w:t>
      </w:r>
      <w:r w:rsidR="00346F1B">
        <w:rPr>
          <w:bCs/>
        </w:rPr>
        <w:t>’</w:t>
      </w:r>
      <w:r w:rsidR="008B7856">
        <w:rPr>
          <w:bCs/>
        </w:rPr>
        <w:t xml:space="preserve">apporter une réponse aux incompréhensions relatives aux inventaires en introduisant des articles à ce sujet dans les Directives opérationnelles. La </w:t>
      </w:r>
      <w:r w:rsidR="008B7856" w:rsidRPr="008B7856">
        <w:rPr>
          <w:bCs/>
        </w:rPr>
        <w:t>délégation</w:t>
      </w:r>
      <w:r w:rsidR="008B7856">
        <w:rPr>
          <w:bCs/>
        </w:rPr>
        <w:t xml:space="preserve"> a proposé que, dans un premier temps, le Secrétariat puisse proposer des notes explicatives sur ce sujet. La </w:t>
      </w:r>
      <w:r w:rsidR="008B7856" w:rsidRPr="008B7856">
        <w:rPr>
          <w:bCs/>
        </w:rPr>
        <w:t>délégation</w:t>
      </w:r>
      <w:r w:rsidR="008B7856">
        <w:rPr>
          <w:bCs/>
        </w:rPr>
        <w:t xml:space="preserve"> a conclu son </w:t>
      </w:r>
      <w:r w:rsidR="008B7856" w:rsidRPr="008B7856">
        <w:rPr>
          <w:bCs/>
        </w:rPr>
        <w:t>intervention</w:t>
      </w:r>
      <w:r w:rsidR="008B7856">
        <w:rPr>
          <w:bCs/>
        </w:rPr>
        <w:t xml:space="preserve"> en rappelant au Comité et aux États parties que l</w:t>
      </w:r>
      <w:r w:rsidR="00346F1B">
        <w:rPr>
          <w:bCs/>
        </w:rPr>
        <w:t>’</w:t>
      </w:r>
      <w:r w:rsidR="008B7856">
        <w:rPr>
          <w:bCs/>
        </w:rPr>
        <w:t xml:space="preserve">objectif de la </w:t>
      </w:r>
      <w:r w:rsidR="008B7856" w:rsidRPr="008B7856">
        <w:rPr>
          <w:bCs/>
        </w:rPr>
        <w:t>Convention</w:t>
      </w:r>
      <w:r w:rsidR="008B7856">
        <w:rPr>
          <w:bCs/>
        </w:rPr>
        <w:t xml:space="preserve"> n</w:t>
      </w:r>
      <w:r w:rsidR="00346F1B">
        <w:rPr>
          <w:bCs/>
        </w:rPr>
        <w:t>’</w:t>
      </w:r>
      <w:r w:rsidR="008B7856">
        <w:rPr>
          <w:bCs/>
        </w:rPr>
        <w:t xml:space="preserve">était pas </w:t>
      </w:r>
      <w:r w:rsidR="00A024D6">
        <w:rPr>
          <w:bCs/>
        </w:rPr>
        <w:t>d</w:t>
      </w:r>
      <w:r w:rsidR="00346F1B">
        <w:rPr>
          <w:bCs/>
        </w:rPr>
        <w:t>’</w:t>
      </w:r>
      <w:r w:rsidR="008B7856">
        <w:rPr>
          <w:bCs/>
        </w:rPr>
        <w:t>inscrire d</w:t>
      </w:r>
      <w:r w:rsidR="001433F2">
        <w:rPr>
          <w:bCs/>
        </w:rPr>
        <w:t>es éléments sur les L</w:t>
      </w:r>
      <w:r w:rsidR="008B7856">
        <w:rPr>
          <w:bCs/>
        </w:rPr>
        <w:t xml:space="preserve">istes mais de </w:t>
      </w:r>
      <w:r w:rsidR="008B7856" w:rsidRPr="008B7856">
        <w:rPr>
          <w:bCs/>
        </w:rPr>
        <w:t>sauvegarde</w:t>
      </w:r>
      <w:r w:rsidR="00A024D6">
        <w:rPr>
          <w:bCs/>
        </w:rPr>
        <w:t xml:space="preserve">r </w:t>
      </w:r>
      <w:r w:rsidR="008B7856">
        <w:rPr>
          <w:bCs/>
        </w:rPr>
        <w:t xml:space="preserve">le PCI en prenant en </w:t>
      </w:r>
      <w:r w:rsidR="008B7856" w:rsidRPr="008B7856">
        <w:rPr>
          <w:bCs/>
        </w:rPr>
        <w:t>considération</w:t>
      </w:r>
      <w:r w:rsidR="008B7856">
        <w:rPr>
          <w:bCs/>
        </w:rPr>
        <w:t xml:space="preserve"> le texte de la </w:t>
      </w:r>
      <w:r w:rsidR="008B7856" w:rsidRPr="008B7856">
        <w:rPr>
          <w:bCs/>
        </w:rPr>
        <w:t>Convention</w:t>
      </w:r>
      <w:r w:rsidR="008B7856">
        <w:rPr>
          <w:bCs/>
        </w:rPr>
        <w:t xml:space="preserve">, à savoir : i) dresser des inventaires locaux et nationaux avec la </w:t>
      </w:r>
      <w:r w:rsidR="008B7856" w:rsidRPr="008B7856">
        <w:rPr>
          <w:bCs/>
        </w:rPr>
        <w:t>participation</w:t>
      </w:r>
      <w:r w:rsidR="008B7856">
        <w:rPr>
          <w:bCs/>
        </w:rPr>
        <w:t xml:space="preserve"> des communautés ; ii) mener des travaux de </w:t>
      </w:r>
      <w:r w:rsidR="008B7856" w:rsidRPr="008B7856">
        <w:rPr>
          <w:bCs/>
        </w:rPr>
        <w:t>recherche</w:t>
      </w:r>
      <w:r w:rsidR="008B7856">
        <w:rPr>
          <w:bCs/>
        </w:rPr>
        <w:t xml:space="preserve"> ; iii) </w:t>
      </w:r>
      <w:r w:rsidR="00383572">
        <w:rPr>
          <w:bCs/>
        </w:rPr>
        <w:t xml:space="preserve">travailler à la documentation patrimoine culturel immatériel ; iv) aider les communautés et les trésors humains vivants à sauvegarder leur </w:t>
      </w:r>
      <w:r w:rsidR="00383572" w:rsidRPr="00383572">
        <w:rPr>
          <w:bCs/>
        </w:rPr>
        <w:t>patrimoine</w:t>
      </w:r>
      <w:r w:rsidR="00383572">
        <w:rPr>
          <w:bCs/>
        </w:rPr>
        <w:t xml:space="preserve"> ; v) éducation formelle et informelle ; vi) </w:t>
      </w:r>
      <w:r w:rsidR="00383572" w:rsidRPr="00383572">
        <w:rPr>
          <w:bCs/>
        </w:rPr>
        <w:t xml:space="preserve">transmission </w:t>
      </w:r>
      <w:r w:rsidR="00383572">
        <w:rPr>
          <w:bCs/>
        </w:rPr>
        <w:t>de génération à génération ; et vii) faire du PCI l</w:t>
      </w:r>
      <w:r w:rsidR="00346F1B">
        <w:rPr>
          <w:bCs/>
        </w:rPr>
        <w:t>’</w:t>
      </w:r>
      <w:r w:rsidR="00383572">
        <w:rPr>
          <w:bCs/>
        </w:rPr>
        <w:t>un des vec</w:t>
      </w:r>
      <w:r w:rsidR="005C5B9B">
        <w:rPr>
          <w:bCs/>
        </w:rPr>
        <w:t>teurs du développement durable.</w:t>
      </w:r>
    </w:p>
    <w:p w14:paraId="30A9B8CA" w14:textId="5798519B" w:rsidR="00A024D6" w:rsidRPr="00A024D6" w:rsidRDefault="00A024D6" w:rsidP="005C5B9B">
      <w:pPr>
        <w:pStyle w:val="Orateurengris"/>
        <w:spacing w:before="120"/>
        <w:ind w:left="709" w:hanging="709"/>
        <w:rPr>
          <w:b/>
          <w:bCs/>
        </w:rPr>
      </w:pPr>
      <w:r w:rsidRPr="00A024D6">
        <w:rPr>
          <w:bCs/>
        </w:rPr>
        <w:t xml:space="preserve">Le </w:t>
      </w:r>
      <w:r w:rsidRPr="00A024D6">
        <w:rPr>
          <w:b/>
          <w:bCs/>
        </w:rPr>
        <w:t>Président</w:t>
      </w:r>
      <w:r w:rsidRPr="00A024D6">
        <w:rPr>
          <w:bCs/>
        </w:rPr>
        <w:t xml:space="preserve"> a prié instamment le Comité d</w:t>
      </w:r>
      <w:r w:rsidR="00346F1B">
        <w:rPr>
          <w:bCs/>
        </w:rPr>
        <w:t>’</w:t>
      </w:r>
      <w:r w:rsidRPr="00A024D6">
        <w:rPr>
          <w:bCs/>
        </w:rPr>
        <w:t>être succinct dans son argumentation</w:t>
      </w:r>
      <w:r w:rsidR="005C5B9B">
        <w:rPr>
          <w:b/>
          <w:bCs/>
        </w:rPr>
        <w:t>.</w:t>
      </w:r>
    </w:p>
    <w:p w14:paraId="0F204BB3" w14:textId="00082CC0" w:rsidR="00A024D6" w:rsidRPr="00540E16" w:rsidRDefault="00540E16" w:rsidP="005C5B9B">
      <w:pPr>
        <w:pStyle w:val="Orateurengris"/>
        <w:spacing w:before="120"/>
        <w:ind w:left="709" w:hanging="709"/>
        <w:rPr>
          <w:bCs/>
        </w:rPr>
      </w:pPr>
      <w:r w:rsidRPr="00540E16">
        <w:rPr>
          <w:bCs/>
        </w:rPr>
        <w:t xml:space="preserve">La délégation du </w:t>
      </w:r>
      <w:r w:rsidRPr="00472BD8">
        <w:rPr>
          <w:b/>
          <w:bCs/>
        </w:rPr>
        <w:t>Sénégal</w:t>
      </w:r>
      <w:r w:rsidRPr="00540E16">
        <w:rPr>
          <w:bCs/>
        </w:rPr>
        <w:t xml:space="preserve"> </w:t>
      </w:r>
      <w:r>
        <w:rPr>
          <w:bCs/>
        </w:rPr>
        <w:t>a remercié le Secrétariat, l</w:t>
      </w:r>
      <w:r w:rsidR="00346F1B">
        <w:rPr>
          <w:bCs/>
        </w:rPr>
        <w:t>’</w:t>
      </w:r>
      <w:r>
        <w:rPr>
          <w:bCs/>
        </w:rPr>
        <w:t>Organe d</w:t>
      </w:r>
      <w:r w:rsidR="00346F1B">
        <w:rPr>
          <w:bCs/>
        </w:rPr>
        <w:t>’</w:t>
      </w:r>
      <w:r>
        <w:rPr>
          <w:bCs/>
        </w:rPr>
        <w:t xml:space="preserve">évaluation </w:t>
      </w:r>
      <w:r w:rsidR="00472BD8">
        <w:rPr>
          <w:bCs/>
        </w:rPr>
        <w:t>et les membres du Comité, ajoutant que la session avait connu des moments partagés d</w:t>
      </w:r>
      <w:r w:rsidR="00346F1B">
        <w:rPr>
          <w:bCs/>
        </w:rPr>
        <w:t>’</w:t>
      </w:r>
      <w:r w:rsidR="00472BD8">
        <w:rPr>
          <w:bCs/>
        </w:rPr>
        <w:t xml:space="preserve">émotion et de joie, mais </w:t>
      </w:r>
      <w:r w:rsidR="00472BD8" w:rsidRPr="00472BD8">
        <w:rPr>
          <w:bCs/>
        </w:rPr>
        <w:t>également</w:t>
      </w:r>
      <w:r w:rsidR="00472BD8">
        <w:rPr>
          <w:bCs/>
        </w:rPr>
        <w:t xml:space="preserve"> des doutes et de sérieuses craintes quant au futur de la </w:t>
      </w:r>
      <w:r w:rsidR="00472BD8" w:rsidRPr="00472BD8">
        <w:rPr>
          <w:bCs/>
        </w:rPr>
        <w:t>Convention</w:t>
      </w:r>
      <w:r w:rsidR="00472BD8">
        <w:rPr>
          <w:bCs/>
        </w:rPr>
        <w:t>. Elle croyait qu</w:t>
      </w:r>
      <w:r w:rsidR="00346F1B">
        <w:rPr>
          <w:bCs/>
        </w:rPr>
        <w:t>’</w:t>
      </w:r>
      <w:r w:rsidR="00472BD8">
        <w:rPr>
          <w:bCs/>
        </w:rPr>
        <w:t xml:space="preserve">un diagnostic </w:t>
      </w:r>
      <w:r w:rsidR="00F4114F">
        <w:rPr>
          <w:bCs/>
        </w:rPr>
        <w:t>et une prise de conscience étaient</w:t>
      </w:r>
      <w:r w:rsidR="00472BD8">
        <w:rPr>
          <w:bCs/>
        </w:rPr>
        <w:t xml:space="preserve"> absolument nécessaires pour restaurer la crédibilité de la culture et de cet idéal partagé dont chacun d</w:t>
      </w:r>
      <w:r w:rsidR="00346F1B">
        <w:rPr>
          <w:bCs/>
        </w:rPr>
        <w:t>’</w:t>
      </w:r>
      <w:r w:rsidR="00472BD8">
        <w:rPr>
          <w:bCs/>
        </w:rPr>
        <w:t xml:space="preserve">entre nous était responsable : membres du Comité, États parties et observateurs. Le groupe </w:t>
      </w:r>
      <w:r w:rsidR="008E16B5">
        <w:rPr>
          <w:bCs/>
        </w:rPr>
        <w:t>des États d</w:t>
      </w:r>
      <w:r w:rsidR="00346F1B">
        <w:rPr>
          <w:bCs/>
        </w:rPr>
        <w:t>’</w:t>
      </w:r>
      <w:r w:rsidR="00472BD8">
        <w:rPr>
          <w:bCs/>
        </w:rPr>
        <w:t xml:space="preserve">Afrique avait exprimé cette </w:t>
      </w:r>
      <w:r w:rsidR="00472BD8" w:rsidRPr="00472BD8">
        <w:rPr>
          <w:bCs/>
        </w:rPr>
        <w:t>préoccupation</w:t>
      </w:r>
      <w:r w:rsidR="00472BD8">
        <w:rPr>
          <w:bCs/>
        </w:rPr>
        <w:t xml:space="preserve"> lors de ses réunions</w:t>
      </w:r>
      <w:r w:rsidR="00F4114F">
        <w:rPr>
          <w:bCs/>
        </w:rPr>
        <w:t>, c</w:t>
      </w:r>
      <w:r w:rsidR="00346F1B">
        <w:rPr>
          <w:bCs/>
        </w:rPr>
        <w:t>’</w:t>
      </w:r>
      <w:r w:rsidR="00F4114F">
        <w:rPr>
          <w:bCs/>
        </w:rPr>
        <w:t xml:space="preserve">était la raison pour laquelle il adhérait pleinement à la </w:t>
      </w:r>
      <w:r w:rsidR="00F4114F" w:rsidRPr="00F4114F">
        <w:rPr>
          <w:bCs/>
        </w:rPr>
        <w:t xml:space="preserve">proposition </w:t>
      </w:r>
      <w:r w:rsidR="008E16B5">
        <w:rPr>
          <w:bCs/>
        </w:rPr>
        <w:t xml:space="preserve">de réunir </w:t>
      </w:r>
      <w:r w:rsidR="00F4114F">
        <w:rPr>
          <w:bCs/>
        </w:rPr>
        <w:t xml:space="preserve">un </w:t>
      </w:r>
      <w:r w:rsidR="00F4114F" w:rsidRPr="00F4114F">
        <w:rPr>
          <w:bCs/>
        </w:rPr>
        <w:t>groupe de travail</w:t>
      </w:r>
      <w:r w:rsidR="008E16B5">
        <w:rPr>
          <w:bCs/>
        </w:rPr>
        <w:t xml:space="preserve">. Sans </w:t>
      </w:r>
      <w:r w:rsidR="00F4114F">
        <w:rPr>
          <w:bCs/>
        </w:rPr>
        <w:t xml:space="preserve">entrer dans les détails, ce </w:t>
      </w:r>
      <w:r w:rsidR="00F4114F" w:rsidRPr="00F4114F">
        <w:rPr>
          <w:bCs/>
        </w:rPr>
        <w:t>groupe de travail</w:t>
      </w:r>
      <w:r w:rsidR="00F4114F">
        <w:rPr>
          <w:bCs/>
        </w:rPr>
        <w:t xml:space="preserve"> devrait définir les termes de référence et les lignes directrices qui permettraient de concevoir un meilleur mécanisme d</w:t>
      </w:r>
      <w:r w:rsidR="00346F1B">
        <w:rPr>
          <w:bCs/>
        </w:rPr>
        <w:t>’</w:t>
      </w:r>
      <w:r w:rsidR="00F4114F">
        <w:rPr>
          <w:bCs/>
        </w:rPr>
        <w:t>examen et d</w:t>
      </w:r>
      <w:r w:rsidR="00346F1B">
        <w:rPr>
          <w:bCs/>
        </w:rPr>
        <w:t>’</w:t>
      </w:r>
      <w:r w:rsidR="00F4114F" w:rsidRPr="00F4114F">
        <w:rPr>
          <w:bCs/>
        </w:rPr>
        <w:t>évaluation</w:t>
      </w:r>
      <w:r w:rsidR="00F4114F">
        <w:rPr>
          <w:bCs/>
        </w:rPr>
        <w:t xml:space="preserve"> des dossiers, permettant </w:t>
      </w:r>
      <w:r w:rsidR="008E16B5">
        <w:rPr>
          <w:bCs/>
        </w:rPr>
        <w:t xml:space="preserve">ainsi </w:t>
      </w:r>
      <w:r w:rsidR="00F4114F">
        <w:rPr>
          <w:bCs/>
        </w:rPr>
        <w:t>d</w:t>
      </w:r>
      <w:r w:rsidR="00346F1B">
        <w:rPr>
          <w:bCs/>
        </w:rPr>
        <w:t>’</w:t>
      </w:r>
      <w:r w:rsidR="00F4114F">
        <w:rPr>
          <w:bCs/>
        </w:rPr>
        <w:t>éviter les situations embarrassantes observées au cours des sessions du Comité. Il convenait de redonner à l</w:t>
      </w:r>
      <w:r w:rsidR="00346F1B">
        <w:rPr>
          <w:bCs/>
        </w:rPr>
        <w:t>’</w:t>
      </w:r>
      <w:r w:rsidR="00F4114F">
        <w:rPr>
          <w:bCs/>
        </w:rPr>
        <w:t>Organe d</w:t>
      </w:r>
      <w:r w:rsidR="00346F1B">
        <w:rPr>
          <w:bCs/>
        </w:rPr>
        <w:t>’</w:t>
      </w:r>
      <w:r w:rsidR="00F4114F">
        <w:rPr>
          <w:bCs/>
        </w:rPr>
        <w:t xml:space="preserve">évaluation tout son poids et le respect dû </w:t>
      </w:r>
      <w:r w:rsidR="005C5B9B">
        <w:rPr>
          <w:bCs/>
        </w:rPr>
        <w:t>à</w:t>
      </w:r>
      <w:r w:rsidR="00F4114F">
        <w:rPr>
          <w:bCs/>
        </w:rPr>
        <w:t xml:space="preserve"> sa compétence et son expertise afin d</w:t>
      </w:r>
      <w:r w:rsidR="00346F1B">
        <w:rPr>
          <w:bCs/>
        </w:rPr>
        <w:t>’</w:t>
      </w:r>
      <w:r w:rsidR="00F4114F">
        <w:rPr>
          <w:bCs/>
        </w:rPr>
        <w:t xml:space="preserve">être certain </w:t>
      </w:r>
      <w:r w:rsidR="003B17AA">
        <w:rPr>
          <w:bCs/>
        </w:rPr>
        <w:t>qu</w:t>
      </w:r>
      <w:r w:rsidR="00346F1B">
        <w:rPr>
          <w:bCs/>
        </w:rPr>
        <w:t>’</w:t>
      </w:r>
      <w:r w:rsidR="003B17AA">
        <w:rPr>
          <w:bCs/>
        </w:rPr>
        <w:t>une fois les candidatures reçues par le Comité, ses membres pourraient travailler sans embarras aucun. Afin d</w:t>
      </w:r>
      <w:r w:rsidR="00346F1B">
        <w:rPr>
          <w:bCs/>
        </w:rPr>
        <w:t>’</w:t>
      </w:r>
      <w:r w:rsidR="003B17AA">
        <w:rPr>
          <w:bCs/>
        </w:rPr>
        <w:t xml:space="preserve">atteindre cet objectif, les mécanismes devaient clairement être révisés. La </w:t>
      </w:r>
      <w:r w:rsidR="003B17AA" w:rsidRPr="003B17AA">
        <w:rPr>
          <w:bCs/>
        </w:rPr>
        <w:t>délégation</w:t>
      </w:r>
      <w:r w:rsidR="003B17AA">
        <w:rPr>
          <w:bCs/>
        </w:rPr>
        <w:t xml:space="preserve"> a fait référence à la question de la consultation des États parties, en rappelant que dès le premier jour de cette session, le Comité avait débattu du besoin de synergie et d</w:t>
      </w:r>
      <w:r w:rsidR="00346F1B">
        <w:rPr>
          <w:bCs/>
        </w:rPr>
        <w:t>’</w:t>
      </w:r>
      <w:r w:rsidR="001433F2">
        <w:rPr>
          <w:bCs/>
        </w:rPr>
        <w:t>harmonisation avec les autres C</w:t>
      </w:r>
      <w:r w:rsidR="003B17AA">
        <w:rPr>
          <w:bCs/>
        </w:rPr>
        <w:t>onventions. En effet, s</w:t>
      </w:r>
      <w:r w:rsidR="00346F1B">
        <w:rPr>
          <w:bCs/>
        </w:rPr>
        <w:t>’</w:t>
      </w:r>
      <w:r w:rsidR="003B17AA">
        <w:rPr>
          <w:bCs/>
        </w:rPr>
        <w:t>agissant des consultations</w:t>
      </w:r>
      <w:r w:rsidR="008E16B5">
        <w:rPr>
          <w:bCs/>
        </w:rPr>
        <w:t xml:space="preserve"> des États</w:t>
      </w:r>
      <w:r w:rsidR="003B17AA">
        <w:rPr>
          <w:bCs/>
        </w:rPr>
        <w:t xml:space="preserve">, dans la </w:t>
      </w:r>
      <w:r w:rsidR="003B17AA" w:rsidRPr="003B17AA">
        <w:rPr>
          <w:bCs/>
        </w:rPr>
        <w:t>Convention</w:t>
      </w:r>
      <w:r w:rsidR="003B17AA">
        <w:rPr>
          <w:bCs/>
        </w:rPr>
        <w:t xml:space="preserve"> de 1972, outre les </w:t>
      </w:r>
      <w:r w:rsidR="003B17AA" w:rsidRPr="003B17AA">
        <w:rPr>
          <w:bCs/>
        </w:rPr>
        <w:t>informations</w:t>
      </w:r>
      <w:r w:rsidR="003B17AA">
        <w:rPr>
          <w:bCs/>
        </w:rPr>
        <w:t xml:space="preserve"> complémentaires qu</w:t>
      </w:r>
      <w:r w:rsidR="00346F1B">
        <w:rPr>
          <w:bCs/>
        </w:rPr>
        <w:t>’</w:t>
      </w:r>
      <w:r w:rsidR="003B17AA">
        <w:rPr>
          <w:bCs/>
        </w:rPr>
        <w:t xml:space="preserve">il était possible de communiquer, des rapports intérimaires et, parfois, des rencontres en face-à-face avec les États parties pouvaient </w:t>
      </w:r>
      <w:r w:rsidR="003B17AA" w:rsidRPr="003B17AA">
        <w:rPr>
          <w:bCs/>
        </w:rPr>
        <w:t>également</w:t>
      </w:r>
      <w:r w:rsidR="003B17AA">
        <w:rPr>
          <w:bCs/>
        </w:rPr>
        <w:t xml:space="preserve"> être organisés pour obtenir des éclaircissements. Le Comité n</w:t>
      </w:r>
      <w:r w:rsidR="00346F1B">
        <w:rPr>
          <w:bCs/>
        </w:rPr>
        <w:t>’</w:t>
      </w:r>
      <w:r w:rsidR="003B17AA">
        <w:rPr>
          <w:bCs/>
        </w:rPr>
        <w:t>avait pas seulement perdu beaucoup de temps, il avait également remis en question les principes qui orientaient le travail de l</w:t>
      </w:r>
      <w:r w:rsidR="00346F1B">
        <w:rPr>
          <w:bCs/>
        </w:rPr>
        <w:t>’</w:t>
      </w:r>
      <w:r w:rsidR="003B17AA">
        <w:rPr>
          <w:bCs/>
        </w:rPr>
        <w:t>Organe d</w:t>
      </w:r>
      <w:r w:rsidR="00346F1B">
        <w:rPr>
          <w:bCs/>
        </w:rPr>
        <w:t>’</w:t>
      </w:r>
      <w:r w:rsidR="003B17AA">
        <w:rPr>
          <w:bCs/>
        </w:rPr>
        <w:t xml:space="preserve">évaluation. La </w:t>
      </w:r>
      <w:r w:rsidR="003B17AA" w:rsidRPr="003B17AA">
        <w:rPr>
          <w:bCs/>
        </w:rPr>
        <w:t>délégation</w:t>
      </w:r>
      <w:r w:rsidR="003B17AA">
        <w:rPr>
          <w:bCs/>
        </w:rPr>
        <w:t xml:space="preserve"> joignait sa voix à celle du groupe </w:t>
      </w:r>
      <w:r w:rsidR="008E16B5">
        <w:rPr>
          <w:bCs/>
        </w:rPr>
        <w:t>des États d</w:t>
      </w:r>
      <w:r w:rsidR="00346F1B">
        <w:rPr>
          <w:bCs/>
        </w:rPr>
        <w:t>’</w:t>
      </w:r>
      <w:r w:rsidR="003B17AA">
        <w:rPr>
          <w:bCs/>
        </w:rPr>
        <w:t xml:space="preserve">Afrique </w:t>
      </w:r>
      <w:r w:rsidR="008E16B5">
        <w:rPr>
          <w:bCs/>
        </w:rPr>
        <w:t>qui appelait à plus de clart</w:t>
      </w:r>
      <w:r w:rsidR="00963ADA">
        <w:rPr>
          <w:bCs/>
        </w:rPr>
        <w:t>é, de transparence, d</w:t>
      </w:r>
      <w:r w:rsidR="00346F1B">
        <w:rPr>
          <w:bCs/>
        </w:rPr>
        <w:t>’</w:t>
      </w:r>
      <w:r w:rsidR="00963ADA">
        <w:rPr>
          <w:bCs/>
        </w:rPr>
        <w:t xml:space="preserve">équité et, </w:t>
      </w:r>
      <w:r w:rsidR="008E16B5">
        <w:rPr>
          <w:bCs/>
        </w:rPr>
        <w:t>surtout</w:t>
      </w:r>
      <w:r w:rsidR="00963ADA">
        <w:rPr>
          <w:bCs/>
        </w:rPr>
        <w:t>,</w:t>
      </w:r>
      <w:r w:rsidR="008E16B5">
        <w:rPr>
          <w:bCs/>
        </w:rPr>
        <w:t xml:space="preserve"> à des mécanismes opérationnels et fonctionnels. Elle a reconnu qu</w:t>
      </w:r>
      <w:r w:rsidR="00346F1B">
        <w:rPr>
          <w:bCs/>
        </w:rPr>
        <w:t>’</w:t>
      </w:r>
      <w:r w:rsidR="008E16B5">
        <w:rPr>
          <w:bCs/>
        </w:rPr>
        <w:t>au cours de cette session</w:t>
      </w:r>
      <w:r w:rsidR="00B35E23">
        <w:rPr>
          <w:bCs/>
        </w:rPr>
        <w:t>,</w:t>
      </w:r>
      <w:r w:rsidR="008E16B5">
        <w:rPr>
          <w:bCs/>
        </w:rPr>
        <w:t xml:space="preserve"> le groupe des États d</w:t>
      </w:r>
      <w:r w:rsidR="00346F1B">
        <w:rPr>
          <w:bCs/>
        </w:rPr>
        <w:t>’</w:t>
      </w:r>
      <w:r w:rsidR="008E16B5">
        <w:rPr>
          <w:bCs/>
        </w:rPr>
        <w:t xml:space="preserve">Afrique avait souhaité demander à certains États de retirer leurs candidatures, qui avaient finalement </w:t>
      </w:r>
      <w:r w:rsidR="00963ADA">
        <w:rPr>
          <w:bCs/>
        </w:rPr>
        <w:t xml:space="preserve">été </w:t>
      </w:r>
      <w:r w:rsidR="008E16B5">
        <w:rPr>
          <w:bCs/>
        </w:rPr>
        <w:t>maintenues compte tenu du climat de la présente session. Le groupe des États d</w:t>
      </w:r>
      <w:r w:rsidR="00346F1B">
        <w:rPr>
          <w:bCs/>
        </w:rPr>
        <w:t>’</w:t>
      </w:r>
      <w:r w:rsidR="008E16B5">
        <w:rPr>
          <w:bCs/>
        </w:rPr>
        <w:t>Afrique appuyait donc la proposition de révision des mécanismes.</w:t>
      </w:r>
    </w:p>
    <w:p w14:paraId="0E0C5BB5" w14:textId="51E1A78C" w:rsidR="00963ADA" w:rsidRPr="00963ADA" w:rsidRDefault="00963ADA" w:rsidP="005C5B9B">
      <w:pPr>
        <w:pStyle w:val="Orateurengris"/>
        <w:spacing w:before="120"/>
        <w:ind w:left="709" w:hanging="709"/>
        <w:rPr>
          <w:bCs/>
        </w:rPr>
      </w:pPr>
      <w:r w:rsidRPr="00963ADA">
        <w:rPr>
          <w:bCs/>
        </w:rPr>
        <w:t>La délégation de l</w:t>
      </w:r>
      <w:r w:rsidR="00346F1B">
        <w:rPr>
          <w:bCs/>
        </w:rPr>
        <w:t>’</w:t>
      </w:r>
      <w:r w:rsidRPr="00963ADA">
        <w:rPr>
          <w:b/>
          <w:bCs/>
        </w:rPr>
        <w:t>Autriche</w:t>
      </w:r>
      <w:r>
        <w:rPr>
          <w:bCs/>
        </w:rPr>
        <w:t xml:space="preserve"> a précisé que c</w:t>
      </w:r>
      <w:r w:rsidR="00346F1B">
        <w:rPr>
          <w:bCs/>
        </w:rPr>
        <w:t>’</w:t>
      </w:r>
      <w:r>
        <w:rPr>
          <w:bCs/>
        </w:rPr>
        <w:t>était la première fois qu</w:t>
      </w:r>
      <w:r w:rsidR="00346F1B">
        <w:rPr>
          <w:bCs/>
        </w:rPr>
        <w:t>’</w:t>
      </w:r>
      <w:r>
        <w:rPr>
          <w:bCs/>
        </w:rPr>
        <w:t xml:space="preserve">elle participait à une session en tant que membre du Comité. </w:t>
      </w:r>
      <w:r w:rsidR="00F32B66">
        <w:rPr>
          <w:bCs/>
        </w:rPr>
        <w:t>Ainsi, outre l</w:t>
      </w:r>
      <w:r w:rsidR="00346F1B">
        <w:rPr>
          <w:bCs/>
        </w:rPr>
        <w:t>’</w:t>
      </w:r>
      <w:r w:rsidR="00F32B66">
        <w:rPr>
          <w:bCs/>
        </w:rPr>
        <w:t>examen attentif des candidatures, elle avait étudié les méthodes de travail du Comité</w:t>
      </w:r>
      <w:r w:rsidR="002E4080">
        <w:rPr>
          <w:bCs/>
        </w:rPr>
        <w:t xml:space="preserve"> en s</w:t>
      </w:r>
      <w:r w:rsidR="00346F1B">
        <w:rPr>
          <w:bCs/>
        </w:rPr>
        <w:t>’</w:t>
      </w:r>
      <w:r w:rsidR="002E4080">
        <w:rPr>
          <w:bCs/>
        </w:rPr>
        <w:t>intéress</w:t>
      </w:r>
      <w:r w:rsidR="0093105B">
        <w:rPr>
          <w:bCs/>
        </w:rPr>
        <w:t>ant à ses précédentes décisions,</w:t>
      </w:r>
      <w:r w:rsidR="002E4080">
        <w:rPr>
          <w:bCs/>
        </w:rPr>
        <w:t xml:space="preserve"> afin de pouvoir contribuer valablement au processus de prise de décision</w:t>
      </w:r>
      <w:r w:rsidR="00576A61">
        <w:rPr>
          <w:bCs/>
        </w:rPr>
        <w:t>s</w:t>
      </w:r>
      <w:r w:rsidR="002E4080">
        <w:rPr>
          <w:bCs/>
        </w:rPr>
        <w:t>. L</w:t>
      </w:r>
      <w:r w:rsidR="00346F1B">
        <w:rPr>
          <w:bCs/>
        </w:rPr>
        <w:t>’</w:t>
      </w:r>
      <w:r w:rsidR="002E4080">
        <w:rPr>
          <w:bCs/>
        </w:rPr>
        <w:t>objectif ultime du Comité avait toujours été de prendre une décision informée, fondée sur la cohérence et l</w:t>
      </w:r>
      <w:r w:rsidR="00346F1B">
        <w:rPr>
          <w:bCs/>
        </w:rPr>
        <w:t>’</w:t>
      </w:r>
      <w:r w:rsidR="002E4080">
        <w:rPr>
          <w:bCs/>
        </w:rPr>
        <w:t>équité, c</w:t>
      </w:r>
      <w:r w:rsidR="00346F1B">
        <w:rPr>
          <w:bCs/>
        </w:rPr>
        <w:t>’</w:t>
      </w:r>
      <w:r w:rsidR="002E4080">
        <w:rPr>
          <w:bCs/>
        </w:rPr>
        <w:t>était d</w:t>
      </w:r>
      <w:r w:rsidR="00346F1B">
        <w:rPr>
          <w:bCs/>
        </w:rPr>
        <w:t>’</w:t>
      </w:r>
      <w:r w:rsidR="002E4080">
        <w:rPr>
          <w:bCs/>
        </w:rPr>
        <w:t xml:space="preserve">ailleurs </w:t>
      </w:r>
      <w:r w:rsidR="002E4080" w:rsidRPr="002E4080">
        <w:rPr>
          <w:bCs/>
        </w:rPr>
        <w:t>également</w:t>
      </w:r>
      <w:r w:rsidR="002E4080">
        <w:rPr>
          <w:bCs/>
        </w:rPr>
        <w:t xml:space="preserve"> le mandat de l</w:t>
      </w:r>
      <w:r w:rsidR="00346F1B">
        <w:rPr>
          <w:bCs/>
        </w:rPr>
        <w:t>’</w:t>
      </w:r>
      <w:r w:rsidR="002E4080">
        <w:rPr>
          <w:bCs/>
        </w:rPr>
        <w:t>Organe d</w:t>
      </w:r>
      <w:r w:rsidR="00346F1B">
        <w:rPr>
          <w:bCs/>
        </w:rPr>
        <w:t>’</w:t>
      </w:r>
      <w:r w:rsidR="002E4080">
        <w:rPr>
          <w:bCs/>
        </w:rPr>
        <w:t>évaluation. Toutefois, comme l</w:t>
      </w:r>
      <w:r w:rsidR="00346F1B">
        <w:rPr>
          <w:bCs/>
        </w:rPr>
        <w:t>’</w:t>
      </w:r>
      <w:r w:rsidR="002E4080">
        <w:rPr>
          <w:bCs/>
        </w:rPr>
        <w:t xml:space="preserve">avait mentionné la République de Corée, la situation dans laquelle se trouvait le Comité était quelque peu surprenante. Selon le processus de prise de </w:t>
      </w:r>
      <w:r w:rsidR="002E4080" w:rsidRPr="002E4080">
        <w:rPr>
          <w:bCs/>
        </w:rPr>
        <w:t>décision</w:t>
      </w:r>
      <w:r w:rsidR="00576A61">
        <w:rPr>
          <w:bCs/>
        </w:rPr>
        <w:t>s</w:t>
      </w:r>
      <w:r w:rsidR="002E4080">
        <w:rPr>
          <w:bCs/>
        </w:rPr>
        <w:t xml:space="preserve"> adopté pour cette session, il semblait que l</w:t>
      </w:r>
      <w:r w:rsidR="00346F1B">
        <w:rPr>
          <w:bCs/>
        </w:rPr>
        <w:t>’</w:t>
      </w:r>
      <w:r w:rsidR="002E4080">
        <w:rPr>
          <w:bCs/>
        </w:rPr>
        <w:t>objectif</w:t>
      </w:r>
      <w:r w:rsidR="00A37F03">
        <w:rPr>
          <w:bCs/>
        </w:rPr>
        <w:t xml:space="preserve"> ultime soit d</w:t>
      </w:r>
      <w:r w:rsidR="00346F1B">
        <w:rPr>
          <w:bCs/>
        </w:rPr>
        <w:t>’</w:t>
      </w:r>
      <w:r w:rsidR="00A37F03">
        <w:rPr>
          <w:bCs/>
        </w:rPr>
        <w:t>inscrire la plupart</w:t>
      </w:r>
      <w:r w:rsidR="002E4080">
        <w:rPr>
          <w:bCs/>
        </w:rPr>
        <w:t xml:space="preserve"> </w:t>
      </w:r>
      <w:r w:rsidR="00A37F03">
        <w:rPr>
          <w:bCs/>
        </w:rPr>
        <w:t xml:space="preserve">des </w:t>
      </w:r>
      <w:r w:rsidR="002E4080">
        <w:rPr>
          <w:bCs/>
        </w:rPr>
        <w:t>éléments soumis</w:t>
      </w:r>
      <w:r w:rsidR="00A37F03">
        <w:rPr>
          <w:bCs/>
        </w:rPr>
        <w:t>, voire tous</w:t>
      </w:r>
      <w:r w:rsidR="0093105B">
        <w:rPr>
          <w:bCs/>
        </w:rPr>
        <w:t xml:space="preserve"> les éléments soumis</w:t>
      </w:r>
      <w:r w:rsidR="00A37F03">
        <w:rPr>
          <w:bCs/>
        </w:rPr>
        <w:t xml:space="preserve">. Dans ce cas, pourquoi ne pas réfléchir à la </w:t>
      </w:r>
      <w:r w:rsidR="00A37F03" w:rsidRPr="00A37F03">
        <w:rPr>
          <w:bCs/>
        </w:rPr>
        <w:t>proposition</w:t>
      </w:r>
      <w:r w:rsidR="00A37F03">
        <w:rPr>
          <w:bCs/>
        </w:rPr>
        <w:t xml:space="preserve"> soumise par les Membres du Comité lors de précédentes sessions, consistant à créer un inventaire mondial du PCI sous la forme d</w:t>
      </w:r>
      <w:r w:rsidR="00346F1B">
        <w:rPr>
          <w:bCs/>
        </w:rPr>
        <w:t>’</w:t>
      </w:r>
      <w:r w:rsidR="00A37F03">
        <w:rPr>
          <w:bCs/>
        </w:rPr>
        <w:t>une base de données en ligne, ouverte à toutes les entrées de tous les États parties. Ainsi le temps et les ress</w:t>
      </w:r>
      <w:r w:rsidR="0093105B">
        <w:rPr>
          <w:bCs/>
        </w:rPr>
        <w:t>ources pourraient être consacrés</w:t>
      </w:r>
      <w:r w:rsidR="00A37F03">
        <w:rPr>
          <w:bCs/>
        </w:rPr>
        <w:t xml:space="preserve"> à plusieurs questions urgentes soulevées par le Secrétariat telles que le renforcement des capacités, l</w:t>
      </w:r>
      <w:r w:rsidR="00346F1B">
        <w:rPr>
          <w:bCs/>
        </w:rPr>
        <w:t>’</w:t>
      </w:r>
      <w:r w:rsidR="00A37F03">
        <w:rPr>
          <w:bCs/>
        </w:rPr>
        <w:t xml:space="preserve">exercice de rapports périodiques, le PCI en danger ou le rôle du PCI </w:t>
      </w:r>
      <w:r w:rsidR="0093105B">
        <w:rPr>
          <w:bCs/>
        </w:rPr>
        <w:t xml:space="preserve">dans </w:t>
      </w:r>
      <w:r w:rsidR="00A37F03">
        <w:rPr>
          <w:bCs/>
        </w:rPr>
        <w:t xml:space="preserve">le développement durable. La </w:t>
      </w:r>
      <w:r w:rsidR="00A37F03" w:rsidRPr="00A37F03">
        <w:rPr>
          <w:bCs/>
        </w:rPr>
        <w:t>délégation</w:t>
      </w:r>
      <w:r w:rsidR="00A37F03">
        <w:rPr>
          <w:bCs/>
        </w:rPr>
        <w:t xml:space="preserve"> a souligné que le Comité et le Secrétariat avaient déjà </w:t>
      </w:r>
      <w:r w:rsidR="0093105B">
        <w:rPr>
          <w:bCs/>
        </w:rPr>
        <w:t xml:space="preserve">consacré </w:t>
      </w:r>
      <w:r w:rsidR="00A37F03">
        <w:rPr>
          <w:bCs/>
        </w:rPr>
        <w:t>beaucoup de temps et de ressources à c</w:t>
      </w:r>
      <w:r w:rsidR="0093105B">
        <w:rPr>
          <w:bCs/>
        </w:rPr>
        <w:t xml:space="preserve">ette procédure de candidatures et </w:t>
      </w:r>
      <w:r w:rsidR="00A37F03">
        <w:rPr>
          <w:bCs/>
        </w:rPr>
        <w:t>à la qualité croissante des dossiers soumis, et les recommandations détaillées et de grande valeur de l</w:t>
      </w:r>
      <w:r w:rsidR="00346F1B">
        <w:rPr>
          <w:bCs/>
        </w:rPr>
        <w:t>’</w:t>
      </w:r>
      <w:r w:rsidR="00A37F03">
        <w:rPr>
          <w:bCs/>
        </w:rPr>
        <w:t>Organe d</w:t>
      </w:r>
      <w:r w:rsidR="00346F1B">
        <w:rPr>
          <w:bCs/>
        </w:rPr>
        <w:t>’</w:t>
      </w:r>
      <w:r w:rsidR="00A37F03">
        <w:rPr>
          <w:bCs/>
        </w:rPr>
        <w:t xml:space="preserve">évaluation illustraient ces efforts. Elle a </w:t>
      </w:r>
      <w:r w:rsidR="00A37F03" w:rsidRPr="00A37F03">
        <w:rPr>
          <w:bCs/>
        </w:rPr>
        <w:t>également</w:t>
      </w:r>
      <w:r w:rsidR="00A37F03">
        <w:rPr>
          <w:bCs/>
        </w:rPr>
        <w:t xml:space="preserve"> rappelé qu</w:t>
      </w:r>
      <w:r w:rsidR="00346F1B">
        <w:rPr>
          <w:bCs/>
        </w:rPr>
        <w:t>’</w:t>
      </w:r>
      <w:r w:rsidR="00A37F03">
        <w:rPr>
          <w:bCs/>
        </w:rPr>
        <w:t>il s</w:t>
      </w:r>
      <w:r w:rsidR="00346F1B">
        <w:rPr>
          <w:bCs/>
        </w:rPr>
        <w:t>’</w:t>
      </w:r>
      <w:r w:rsidR="00A37F03">
        <w:rPr>
          <w:bCs/>
        </w:rPr>
        <w:t>agissait du deuxième cycle d</w:t>
      </w:r>
      <w:r w:rsidR="00346F1B">
        <w:rPr>
          <w:bCs/>
        </w:rPr>
        <w:t>’</w:t>
      </w:r>
      <w:r w:rsidR="00A37F03">
        <w:rPr>
          <w:bCs/>
        </w:rPr>
        <w:t>inscriptions pour cet Organe d</w:t>
      </w:r>
      <w:r w:rsidR="00346F1B">
        <w:rPr>
          <w:bCs/>
        </w:rPr>
        <w:t>’</w:t>
      </w:r>
      <w:r w:rsidR="00A37F03">
        <w:rPr>
          <w:bCs/>
        </w:rPr>
        <w:t>évaluation, dont le rapport représentait le</w:t>
      </w:r>
      <w:r w:rsidR="0093105B">
        <w:rPr>
          <w:bCs/>
        </w:rPr>
        <w:t>s</w:t>
      </w:r>
      <w:r w:rsidR="00A37F03">
        <w:rPr>
          <w:bCs/>
        </w:rPr>
        <w:t xml:space="preserve"> résultat</w:t>
      </w:r>
      <w:r w:rsidR="0093105B">
        <w:rPr>
          <w:bCs/>
        </w:rPr>
        <w:t>s</w:t>
      </w:r>
      <w:r w:rsidR="00A37F03">
        <w:rPr>
          <w:bCs/>
        </w:rPr>
        <w:t xml:space="preserve"> d</w:t>
      </w:r>
      <w:r w:rsidR="00346F1B">
        <w:rPr>
          <w:bCs/>
        </w:rPr>
        <w:t>’</w:t>
      </w:r>
      <w:r w:rsidR="00A37F03">
        <w:rPr>
          <w:bCs/>
        </w:rPr>
        <w:t>un échange intense d</w:t>
      </w:r>
      <w:r w:rsidR="00346F1B">
        <w:rPr>
          <w:bCs/>
        </w:rPr>
        <w:t>’</w:t>
      </w:r>
      <w:r w:rsidR="00A37F03">
        <w:rPr>
          <w:bCs/>
        </w:rPr>
        <w:t xml:space="preserve">expertises. </w:t>
      </w:r>
      <w:r w:rsidR="00134319">
        <w:rPr>
          <w:bCs/>
        </w:rPr>
        <w:t>Comme Chypre, l</w:t>
      </w:r>
      <w:r w:rsidR="00A37F03">
        <w:rPr>
          <w:bCs/>
        </w:rPr>
        <w:t xml:space="preserve">a </w:t>
      </w:r>
      <w:r w:rsidR="00A37F03" w:rsidRPr="00A37F03">
        <w:rPr>
          <w:bCs/>
        </w:rPr>
        <w:t>délégation</w:t>
      </w:r>
      <w:r w:rsidR="00A37F03">
        <w:rPr>
          <w:bCs/>
        </w:rPr>
        <w:t xml:space="preserve"> soutenait résolument l</w:t>
      </w:r>
      <w:r w:rsidR="00346F1B">
        <w:rPr>
          <w:bCs/>
        </w:rPr>
        <w:t>’</w:t>
      </w:r>
      <w:r w:rsidR="00A37F03">
        <w:rPr>
          <w:bCs/>
        </w:rPr>
        <w:t>Organe d</w:t>
      </w:r>
      <w:r w:rsidR="00346F1B">
        <w:rPr>
          <w:bCs/>
        </w:rPr>
        <w:t>’</w:t>
      </w:r>
      <w:r w:rsidR="00A37F03">
        <w:rPr>
          <w:bCs/>
        </w:rPr>
        <w:t>évaluation</w:t>
      </w:r>
      <w:r w:rsidR="00134319">
        <w:rPr>
          <w:bCs/>
        </w:rPr>
        <w:t xml:space="preserve"> et </w:t>
      </w:r>
      <w:r w:rsidR="00A37F03">
        <w:rPr>
          <w:bCs/>
        </w:rPr>
        <w:t>sa composition</w:t>
      </w:r>
      <w:r w:rsidR="00134319">
        <w:rPr>
          <w:bCs/>
        </w:rPr>
        <w:t>, et elle avait confiance dans l</w:t>
      </w:r>
      <w:r w:rsidR="00346F1B">
        <w:rPr>
          <w:bCs/>
        </w:rPr>
        <w:t>’</w:t>
      </w:r>
      <w:r w:rsidR="00134319">
        <w:rPr>
          <w:bCs/>
        </w:rPr>
        <w:t>aide qu</w:t>
      </w:r>
      <w:r w:rsidR="00346F1B">
        <w:rPr>
          <w:bCs/>
        </w:rPr>
        <w:t>’</w:t>
      </w:r>
      <w:r w:rsidR="00134319">
        <w:rPr>
          <w:bCs/>
        </w:rPr>
        <w:t>il apportait au Comité pour prendre des décisions informées sur la base d</w:t>
      </w:r>
      <w:r w:rsidR="00346F1B">
        <w:rPr>
          <w:bCs/>
        </w:rPr>
        <w:t>’</w:t>
      </w:r>
      <w:r w:rsidR="00134319">
        <w:rPr>
          <w:bCs/>
        </w:rPr>
        <w:t>une approche cohérente.</w:t>
      </w:r>
      <w:r w:rsidR="00A37F03">
        <w:rPr>
          <w:bCs/>
        </w:rPr>
        <w:t xml:space="preserve"> </w:t>
      </w:r>
      <w:r w:rsidR="00134319">
        <w:rPr>
          <w:bCs/>
        </w:rPr>
        <w:t xml:space="preserve">La </w:t>
      </w:r>
      <w:r w:rsidR="00134319" w:rsidRPr="00134319">
        <w:rPr>
          <w:bCs/>
        </w:rPr>
        <w:t>délégation</w:t>
      </w:r>
      <w:r w:rsidR="00134319">
        <w:rPr>
          <w:bCs/>
        </w:rPr>
        <w:t xml:space="preserve"> convenait que le </w:t>
      </w:r>
      <w:r w:rsidR="00134319" w:rsidRPr="00134319">
        <w:rPr>
          <w:bCs/>
        </w:rPr>
        <w:t>critère</w:t>
      </w:r>
      <w:r w:rsidR="00134319">
        <w:rPr>
          <w:bCs/>
        </w:rPr>
        <w:t xml:space="preserve"> R.5 et le renvoi pour des raisons techniques n</w:t>
      </w:r>
      <w:r w:rsidR="00346F1B">
        <w:rPr>
          <w:bCs/>
        </w:rPr>
        <w:t>’</w:t>
      </w:r>
      <w:r w:rsidR="00134319">
        <w:rPr>
          <w:bCs/>
        </w:rPr>
        <w:t xml:space="preserve">étaient satisfaisants pour personne. Toutefois, les formulaires de </w:t>
      </w:r>
      <w:r w:rsidR="00134319" w:rsidRPr="00134319">
        <w:rPr>
          <w:bCs/>
        </w:rPr>
        <w:t>candidature</w:t>
      </w:r>
      <w:r w:rsidR="00134319">
        <w:rPr>
          <w:bCs/>
        </w:rPr>
        <w:t xml:space="preserve"> révisés, </w:t>
      </w:r>
      <w:r w:rsidR="00134319" w:rsidRPr="00134319">
        <w:rPr>
          <w:bCs/>
        </w:rPr>
        <w:t>désormais</w:t>
      </w:r>
      <w:r w:rsidR="00134319">
        <w:rPr>
          <w:bCs/>
        </w:rPr>
        <w:t xml:space="preserve"> disponibles en ligne, ainsi que les </w:t>
      </w:r>
      <w:r w:rsidR="00134319" w:rsidRPr="00134319">
        <w:rPr>
          <w:bCs/>
        </w:rPr>
        <w:t>orientations</w:t>
      </w:r>
      <w:r w:rsidR="00134319">
        <w:rPr>
          <w:bCs/>
        </w:rPr>
        <w:t xml:space="preserve"> précises sur le </w:t>
      </w:r>
      <w:r w:rsidR="00134319" w:rsidRPr="00134319">
        <w:rPr>
          <w:bCs/>
        </w:rPr>
        <w:t>critère</w:t>
      </w:r>
      <w:r w:rsidR="00134319">
        <w:rPr>
          <w:bCs/>
        </w:rPr>
        <w:t xml:space="preserve"> R.5, permettraient d</w:t>
      </w:r>
      <w:r w:rsidR="00346F1B">
        <w:rPr>
          <w:bCs/>
        </w:rPr>
        <w:t>’</w:t>
      </w:r>
      <w:r w:rsidR="00134319">
        <w:rPr>
          <w:bCs/>
        </w:rPr>
        <w:t>aider les États soumissionnaires et le Secrétariat à vérifier que le dossier était bien complet d</w:t>
      </w:r>
      <w:r w:rsidR="00346F1B">
        <w:rPr>
          <w:bCs/>
        </w:rPr>
        <w:t>’</w:t>
      </w:r>
      <w:r w:rsidR="00134319">
        <w:rPr>
          <w:bCs/>
        </w:rPr>
        <w:t xml:space="preserve">un point de </w:t>
      </w:r>
      <w:r w:rsidR="0093105B">
        <w:rPr>
          <w:bCs/>
        </w:rPr>
        <w:t xml:space="preserve">vue </w:t>
      </w:r>
      <w:r w:rsidR="00134319">
        <w:rPr>
          <w:bCs/>
        </w:rPr>
        <w:t>technique. D</w:t>
      </w:r>
      <w:r w:rsidR="00346F1B">
        <w:rPr>
          <w:bCs/>
        </w:rPr>
        <w:t>’</w:t>
      </w:r>
      <w:r w:rsidR="00134319">
        <w:rPr>
          <w:bCs/>
        </w:rPr>
        <w:t>autres notes d</w:t>
      </w:r>
      <w:r w:rsidR="00346F1B">
        <w:rPr>
          <w:bCs/>
        </w:rPr>
        <w:t>’</w:t>
      </w:r>
      <w:r w:rsidR="00134319">
        <w:rPr>
          <w:bCs/>
        </w:rPr>
        <w:t xml:space="preserve">orientation étaient attendues pour le </w:t>
      </w:r>
      <w:r w:rsidR="00134319" w:rsidRPr="00134319">
        <w:rPr>
          <w:bCs/>
        </w:rPr>
        <w:t>critère</w:t>
      </w:r>
      <w:r w:rsidR="00134319">
        <w:rPr>
          <w:bCs/>
        </w:rPr>
        <w:t xml:space="preserve"> R.2. La </w:t>
      </w:r>
      <w:r w:rsidR="00134319" w:rsidRPr="00134319">
        <w:rPr>
          <w:bCs/>
        </w:rPr>
        <w:t>délégation</w:t>
      </w:r>
      <w:r w:rsidR="00134319">
        <w:rPr>
          <w:bCs/>
        </w:rPr>
        <w:t xml:space="preserve"> soutenait la </w:t>
      </w:r>
      <w:r w:rsidR="00134319" w:rsidRPr="00134319">
        <w:rPr>
          <w:bCs/>
        </w:rPr>
        <w:t xml:space="preserve">proposition </w:t>
      </w:r>
      <w:r w:rsidR="00134319">
        <w:rPr>
          <w:bCs/>
        </w:rPr>
        <w:t xml:space="preserve">de créer un </w:t>
      </w:r>
      <w:r w:rsidR="00134319" w:rsidRPr="00134319">
        <w:rPr>
          <w:bCs/>
        </w:rPr>
        <w:t>groupe de travail</w:t>
      </w:r>
      <w:r w:rsidR="00134319">
        <w:rPr>
          <w:bCs/>
        </w:rPr>
        <w:t xml:space="preserve"> informel afin d</w:t>
      </w:r>
      <w:r w:rsidR="00346F1B">
        <w:rPr>
          <w:bCs/>
        </w:rPr>
        <w:t>’</w:t>
      </w:r>
      <w:r w:rsidR="00134319">
        <w:rPr>
          <w:bCs/>
        </w:rPr>
        <w:t>encourager le dialogue entre les États soumissionnaires et l</w:t>
      </w:r>
      <w:r w:rsidR="00346F1B">
        <w:rPr>
          <w:bCs/>
        </w:rPr>
        <w:t>’</w:t>
      </w:r>
      <w:r w:rsidR="00134319">
        <w:rPr>
          <w:bCs/>
        </w:rPr>
        <w:t>Organe d</w:t>
      </w:r>
      <w:r w:rsidR="00346F1B">
        <w:rPr>
          <w:bCs/>
        </w:rPr>
        <w:t>’</w:t>
      </w:r>
      <w:r w:rsidR="00134319">
        <w:rPr>
          <w:bCs/>
        </w:rPr>
        <w:t>évaluation, en vue d</w:t>
      </w:r>
      <w:r w:rsidR="00346F1B">
        <w:rPr>
          <w:bCs/>
        </w:rPr>
        <w:t>’</w:t>
      </w:r>
      <w:r w:rsidR="00134319">
        <w:rPr>
          <w:bCs/>
        </w:rPr>
        <w:t>adopter les recommandations de l</w:t>
      </w:r>
      <w:r w:rsidR="00346F1B">
        <w:rPr>
          <w:bCs/>
        </w:rPr>
        <w:t>’</w:t>
      </w:r>
      <w:r w:rsidR="00134319">
        <w:rPr>
          <w:bCs/>
        </w:rPr>
        <w:t>Organe d</w:t>
      </w:r>
      <w:r w:rsidR="00346F1B">
        <w:rPr>
          <w:bCs/>
        </w:rPr>
        <w:t>’</w:t>
      </w:r>
      <w:r w:rsidR="00134319">
        <w:rPr>
          <w:bCs/>
        </w:rPr>
        <w:t xml:space="preserve">évaluation pendant la session du Comité et de prévenir ainsi de trop longs débats. </w:t>
      </w:r>
      <w:r w:rsidR="0093105B">
        <w:rPr>
          <w:bCs/>
        </w:rPr>
        <w:t>S</w:t>
      </w:r>
      <w:r w:rsidR="00346F1B">
        <w:rPr>
          <w:bCs/>
        </w:rPr>
        <w:t>’</w:t>
      </w:r>
      <w:r w:rsidR="0093105B">
        <w:rPr>
          <w:bCs/>
        </w:rPr>
        <w:t>agissant des différents acteurs impliqués dans le processus de prise de décision</w:t>
      </w:r>
      <w:r w:rsidR="00576A61">
        <w:rPr>
          <w:bCs/>
        </w:rPr>
        <w:t>s</w:t>
      </w:r>
      <w:r w:rsidR="0093105B">
        <w:rPr>
          <w:bCs/>
        </w:rPr>
        <w:t xml:space="preserve">, la </w:t>
      </w:r>
      <w:r w:rsidR="0093105B" w:rsidRPr="0093105B">
        <w:rPr>
          <w:bCs/>
        </w:rPr>
        <w:t>délégation</w:t>
      </w:r>
      <w:r w:rsidR="0093105B">
        <w:rPr>
          <w:bCs/>
        </w:rPr>
        <w:t xml:space="preserve"> souhaitait inviter les membres de l</w:t>
      </w:r>
      <w:r w:rsidR="00346F1B">
        <w:rPr>
          <w:bCs/>
        </w:rPr>
        <w:t>’</w:t>
      </w:r>
      <w:r w:rsidR="0093105B">
        <w:rPr>
          <w:bCs/>
        </w:rPr>
        <w:t>Organe d</w:t>
      </w:r>
      <w:r w:rsidR="00346F1B">
        <w:rPr>
          <w:bCs/>
        </w:rPr>
        <w:t>’</w:t>
      </w:r>
      <w:r w:rsidR="0093105B">
        <w:rPr>
          <w:bCs/>
        </w:rPr>
        <w:t>évaluation à réfl</w:t>
      </w:r>
      <w:r w:rsidR="009C71A9">
        <w:rPr>
          <w:bCs/>
        </w:rPr>
        <w:t xml:space="preserve">échir sur leur expérience du processus </w:t>
      </w:r>
      <w:r w:rsidR="0093105B">
        <w:rPr>
          <w:bCs/>
        </w:rPr>
        <w:t xml:space="preserve">de </w:t>
      </w:r>
      <w:r w:rsidR="0093105B" w:rsidRPr="0093105B">
        <w:rPr>
          <w:bCs/>
        </w:rPr>
        <w:t>candidature</w:t>
      </w:r>
      <w:r w:rsidR="0093105B">
        <w:rPr>
          <w:bCs/>
        </w:rPr>
        <w:t xml:space="preserve"> et de prise de décision</w:t>
      </w:r>
      <w:r w:rsidR="00576A61">
        <w:rPr>
          <w:bCs/>
        </w:rPr>
        <w:t>s</w:t>
      </w:r>
      <w:r w:rsidR="0093105B">
        <w:rPr>
          <w:bCs/>
        </w:rPr>
        <w:t>, afin d</w:t>
      </w:r>
      <w:r w:rsidR="00346F1B">
        <w:rPr>
          <w:bCs/>
        </w:rPr>
        <w:t>’</w:t>
      </w:r>
      <w:r w:rsidR="0093105B">
        <w:rPr>
          <w:bCs/>
        </w:rPr>
        <w:t>envisager comment leur rôl</w:t>
      </w:r>
      <w:r w:rsidR="009C71A9">
        <w:rPr>
          <w:bCs/>
        </w:rPr>
        <w:t>e pourrait mieux s</w:t>
      </w:r>
      <w:r w:rsidR="00346F1B">
        <w:rPr>
          <w:bCs/>
        </w:rPr>
        <w:t>’</w:t>
      </w:r>
      <w:r w:rsidR="009C71A9">
        <w:rPr>
          <w:bCs/>
        </w:rPr>
        <w:t>adapter à ce</w:t>
      </w:r>
      <w:r w:rsidR="005C5B9B">
        <w:rPr>
          <w:bCs/>
        </w:rPr>
        <w:t xml:space="preserve"> processus.</w:t>
      </w:r>
    </w:p>
    <w:p w14:paraId="1594D450" w14:textId="43FFB5AB" w:rsidR="000809FA" w:rsidRPr="000809FA" w:rsidRDefault="009C71A9" w:rsidP="005C5B9B">
      <w:pPr>
        <w:pStyle w:val="Orateurengris"/>
        <w:spacing w:before="120"/>
        <w:ind w:left="709" w:hanging="709"/>
        <w:rPr>
          <w:bCs/>
        </w:rPr>
      </w:pPr>
      <w:r>
        <w:rPr>
          <w:bCs/>
        </w:rPr>
        <w:t>Suite</w:t>
      </w:r>
      <w:r w:rsidR="00B87ECA">
        <w:rPr>
          <w:bCs/>
        </w:rPr>
        <w:t xml:space="preserve"> au</w:t>
      </w:r>
      <w:r>
        <w:rPr>
          <w:bCs/>
        </w:rPr>
        <w:t xml:space="preserve"> </w:t>
      </w:r>
      <w:r w:rsidRPr="009C71A9">
        <w:rPr>
          <w:bCs/>
        </w:rPr>
        <w:t>paragraphe</w:t>
      </w:r>
      <w:r>
        <w:rPr>
          <w:bCs/>
        </w:rPr>
        <w:t xml:space="preserve"> 55 du rapport</w:t>
      </w:r>
      <w:r w:rsidR="00B87ECA">
        <w:rPr>
          <w:bCs/>
        </w:rPr>
        <w:t>,</w:t>
      </w:r>
      <w:r>
        <w:rPr>
          <w:bCs/>
        </w:rPr>
        <w:t xml:space="preserve"> </w:t>
      </w:r>
      <w:r w:rsidR="008F4506">
        <w:rPr>
          <w:bCs/>
        </w:rPr>
        <w:t>à propos du</w:t>
      </w:r>
      <w:r>
        <w:rPr>
          <w:bCs/>
        </w:rPr>
        <w:t xml:space="preserve"> </w:t>
      </w:r>
      <w:r w:rsidRPr="009C71A9">
        <w:rPr>
          <w:bCs/>
        </w:rPr>
        <w:t>formulaire</w:t>
      </w:r>
      <w:r>
        <w:rPr>
          <w:bCs/>
        </w:rPr>
        <w:t xml:space="preserve"> ICH-01bis</w:t>
      </w:r>
      <w:r w:rsidR="00B87ECA">
        <w:rPr>
          <w:bCs/>
        </w:rPr>
        <w:t>, et à la question posée par la Turquie</w:t>
      </w:r>
      <w:r>
        <w:rPr>
          <w:bCs/>
        </w:rPr>
        <w:t>, l</w:t>
      </w:r>
      <w:r w:rsidRPr="009C71A9">
        <w:rPr>
          <w:bCs/>
        </w:rPr>
        <w:t>e</w:t>
      </w:r>
      <w:r w:rsidRPr="009C71A9">
        <w:rPr>
          <w:b/>
          <w:bCs/>
        </w:rPr>
        <w:t xml:space="preserve"> Rapporteur de l</w:t>
      </w:r>
      <w:r w:rsidR="00346F1B">
        <w:rPr>
          <w:b/>
          <w:bCs/>
        </w:rPr>
        <w:t>’</w:t>
      </w:r>
      <w:r>
        <w:rPr>
          <w:b/>
          <w:bCs/>
        </w:rPr>
        <w:t>Organe d</w:t>
      </w:r>
      <w:r w:rsidR="00346F1B">
        <w:rPr>
          <w:b/>
          <w:bCs/>
        </w:rPr>
        <w:t>’</w:t>
      </w:r>
      <w:r>
        <w:rPr>
          <w:b/>
          <w:bCs/>
        </w:rPr>
        <w:t xml:space="preserve">évaluation </w:t>
      </w:r>
      <w:r>
        <w:rPr>
          <w:bCs/>
        </w:rPr>
        <w:t xml:space="preserve">a précisé que quelques ajustements mineurs du libellé de ce </w:t>
      </w:r>
      <w:r w:rsidRPr="009C71A9">
        <w:rPr>
          <w:bCs/>
        </w:rPr>
        <w:t>formulaire</w:t>
      </w:r>
      <w:r>
        <w:rPr>
          <w:bCs/>
        </w:rPr>
        <w:t xml:space="preserve"> étaient </w:t>
      </w:r>
      <w:r w:rsidRPr="009C71A9">
        <w:rPr>
          <w:bCs/>
        </w:rPr>
        <w:t xml:space="preserve">nécessaires </w:t>
      </w:r>
      <w:r>
        <w:rPr>
          <w:bCs/>
        </w:rPr>
        <w:t>parce qu</w:t>
      </w:r>
      <w:r w:rsidR="00346F1B">
        <w:rPr>
          <w:bCs/>
        </w:rPr>
        <w:t>’</w:t>
      </w:r>
      <w:r>
        <w:rPr>
          <w:bCs/>
        </w:rPr>
        <w:t>il n</w:t>
      </w:r>
      <w:r w:rsidR="00346F1B">
        <w:rPr>
          <w:bCs/>
        </w:rPr>
        <w:t>’</w:t>
      </w:r>
      <w:r>
        <w:rPr>
          <w:bCs/>
        </w:rPr>
        <w:t xml:space="preserve">était </w:t>
      </w:r>
      <w:r w:rsidR="00317EC0">
        <w:rPr>
          <w:bCs/>
        </w:rPr>
        <w:t xml:space="preserve">pas </w:t>
      </w:r>
      <w:r>
        <w:rPr>
          <w:bCs/>
        </w:rPr>
        <w:t>entièrement cohérent. Il a donné l</w:t>
      </w:r>
      <w:r w:rsidR="00346F1B">
        <w:rPr>
          <w:bCs/>
        </w:rPr>
        <w:t>’</w:t>
      </w:r>
      <w:r>
        <w:rPr>
          <w:bCs/>
        </w:rPr>
        <w:t xml:space="preserve">exemple de la façon dont les résultats et objectifs étaient décrits et définis dans une partie du formulaire, qui ne </w:t>
      </w:r>
      <w:r w:rsidR="00B87ECA">
        <w:rPr>
          <w:bCs/>
        </w:rPr>
        <w:t>concordait pas avec la façon dont ils étaient décrits dans une autre partie de ce même formulaire. Par ailleurs, l</w:t>
      </w:r>
      <w:r w:rsidR="00346F1B">
        <w:rPr>
          <w:bCs/>
        </w:rPr>
        <w:t>’</w:t>
      </w:r>
      <w:r w:rsidR="00B87ECA">
        <w:rPr>
          <w:bCs/>
        </w:rPr>
        <w:t>Organe estimait qu</w:t>
      </w:r>
      <w:r w:rsidR="00346F1B">
        <w:rPr>
          <w:bCs/>
        </w:rPr>
        <w:t>’</w:t>
      </w:r>
      <w:r w:rsidR="00B87ECA">
        <w:rPr>
          <w:bCs/>
        </w:rPr>
        <w:t>il convenait d</w:t>
      </w:r>
      <w:r w:rsidR="00346F1B">
        <w:rPr>
          <w:bCs/>
        </w:rPr>
        <w:t>’</w:t>
      </w:r>
      <w:r w:rsidR="00B87ECA">
        <w:rPr>
          <w:bCs/>
        </w:rPr>
        <w:t>éviter des situations dans lesquelles on demandait aux États parties de satisfaire certains critères qui n</w:t>
      </w:r>
      <w:r w:rsidR="00346F1B">
        <w:rPr>
          <w:bCs/>
        </w:rPr>
        <w:t>’</w:t>
      </w:r>
      <w:r w:rsidR="00B87ECA">
        <w:rPr>
          <w:bCs/>
        </w:rPr>
        <w:t>étaient pas explicites dans le formulaire. Le rapporteur a donné l</w:t>
      </w:r>
      <w:r w:rsidR="00346F1B">
        <w:rPr>
          <w:bCs/>
        </w:rPr>
        <w:t>’</w:t>
      </w:r>
      <w:r w:rsidR="00B87ECA">
        <w:rPr>
          <w:bCs/>
        </w:rPr>
        <w:t xml:space="preserve">exemple de la </w:t>
      </w:r>
      <w:r w:rsidR="00B87ECA" w:rsidRPr="00B87ECA">
        <w:rPr>
          <w:bCs/>
        </w:rPr>
        <w:t>considération</w:t>
      </w:r>
      <w:r w:rsidR="00B87ECA">
        <w:rPr>
          <w:bCs/>
        </w:rPr>
        <w:t xml:space="preserve"> 10(a), qui faisait référence à une nécessaire </w:t>
      </w:r>
      <w:r w:rsidR="00B87ECA" w:rsidRPr="00B87ECA">
        <w:rPr>
          <w:bCs/>
        </w:rPr>
        <w:t>coopération</w:t>
      </w:r>
      <w:r w:rsidR="00B87ECA">
        <w:rPr>
          <w:bCs/>
        </w:rPr>
        <w:t xml:space="preserve"> aux niveaux bilatéral, régional et international, mais qui n</w:t>
      </w:r>
      <w:r w:rsidR="00346F1B">
        <w:rPr>
          <w:bCs/>
        </w:rPr>
        <w:t>’</w:t>
      </w:r>
      <w:r w:rsidR="00B87ECA">
        <w:rPr>
          <w:bCs/>
        </w:rPr>
        <w:t>était en fait pas abordée dans le formulaire. Ainsi, on demandait à l</w:t>
      </w:r>
      <w:r w:rsidR="00346F1B">
        <w:rPr>
          <w:bCs/>
        </w:rPr>
        <w:t>’</w:t>
      </w:r>
      <w:r w:rsidR="00B87ECA">
        <w:rPr>
          <w:bCs/>
        </w:rPr>
        <w:t>Organe</w:t>
      </w:r>
      <w:r w:rsidR="008F4506">
        <w:rPr>
          <w:bCs/>
        </w:rPr>
        <w:t xml:space="preserve"> d</w:t>
      </w:r>
      <w:r w:rsidR="00346F1B">
        <w:rPr>
          <w:bCs/>
        </w:rPr>
        <w:t>’</w:t>
      </w:r>
      <w:r w:rsidR="008F4506">
        <w:rPr>
          <w:bCs/>
        </w:rPr>
        <w:t xml:space="preserve">évaluer la </w:t>
      </w:r>
      <w:r w:rsidR="008F4506" w:rsidRPr="008F4506">
        <w:rPr>
          <w:bCs/>
        </w:rPr>
        <w:t>satisfaction</w:t>
      </w:r>
      <w:r w:rsidR="00B87ECA">
        <w:rPr>
          <w:bCs/>
        </w:rPr>
        <w:t xml:space="preserve"> </w:t>
      </w:r>
      <w:r w:rsidR="008F4506">
        <w:rPr>
          <w:bCs/>
        </w:rPr>
        <w:t>d</w:t>
      </w:r>
      <w:r w:rsidR="00346F1B">
        <w:rPr>
          <w:bCs/>
        </w:rPr>
        <w:t>’</w:t>
      </w:r>
      <w:r w:rsidR="00B87ECA">
        <w:rPr>
          <w:bCs/>
        </w:rPr>
        <w:t xml:space="preserve">un </w:t>
      </w:r>
      <w:r w:rsidR="00B87ECA" w:rsidRPr="00B87ECA">
        <w:rPr>
          <w:bCs/>
        </w:rPr>
        <w:t>critère</w:t>
      </w:r>
      <w:r w:rsidR="00B87ECA">
        <w:rPr>
          <w:bCs/>
        </w:rPr>
        <w:t xml:space="preserve"> </w:t>
      </w:r>
      <w:r w:rsidR="00147FCA">
        <w:rPr>
          <w:bCs/>
        </w:rPr>
        <w:t>auquel l</w:t>
      </w:r>
      <w:r w:rsidR="00346F1B">
        <w:rPr>
          <w:bCs/>
        </w:rPr>
        <w:t>’</w:t>
      </w:r>
      <w:r w:rsidR="00147FCA">
        <w:rPr>
          <w:bCs/>
        </w:rPr>
        <w:t xml:space="preserve">État soumissionnaire </w:t>
      </w:r>
      <w:r w:rsidR="008F4506">
        <w:rPr>
          <w:bCs/>
        </w:rPr>
        <w:t>n</w:t>
      </w:r>
      <w:r w:rsidR="00346F1B">
        <w:rPr>
          <w:bCs/>
        </w:rPr>
        <w:t>’</w:t>
      </w:r>
      <w:r w:rsidR="008F4506">
        <w:rPr>
          <w:bCs/>
        </w:rPr>
        <w:t>était pas invité à</w:t>
      </w:r>
      <w:r w:rsidR="00147FCA">
        <w:rPr>
          <w:bCs/>
        </w:rPr>
        <w:t xml:space="preserve"> répondre, ce qui </w:t>
      </w:r>
      <w:r w:rsidR="004E3D45">
        <w:rPr>
          <w:bCs/>
        </w:rPr>
        <w:t xml:space="preserve">était </w:t>
      </w:r>
      <w:r w:rsidR="008F4506">
        <w:rPr>
          <w:bCs/>
        </w:rPr>
        <w:t xml:space="preserve">assurément </w:t>
      </w:r>
      <w:r w:rsidR="004E3D45">
        <w:rPr>
          <w:bCs/>
        </w:rPr>
        <w:t xml:space="preserve">au détriment de </w:t>
      </w:r>
      <w:r w:rsidR="00147FCA">
        <w:rPr>
          <w:bCs/>
        </w:rPr>
        <w:t>l</w:t>
      </w:r>
      <w:r w:rsidR="00346F1B">
        <w:rPr>
          <w:bCs/>
        </w:rPr>
        <w:t>’</w:t>
      </w:r>
      <w:r w:rsidR="00147FCA">
        <w:rPr>
          <w:bCs/>
        </w:rPr>
        <w:t xml:space="preserve">État </w:t>
      </w:r>
      <w:r w:rsidR="004E3D45" w:rsidRPr="004E3D45">
        <w:rPr>
          <w:bCs/>
        </w:rPr>
        <w:t>soumissionnaire</w:t>
      </w:r>
      <w:r w:rsidR="00147FCA">
        <w:rPr>
          <w:bCs/>
        </w:rPr>
        <w:t>. En réponse à l</w:t>
      </w:r>
      <w:r w:rsidR="00346F1B">
        <w:rPr>
          <w:bCs/>
        </w:rPr>
        <w:t>’</w:t>
      </w:r>
      <w:r w:rsidR="00147FCA">
        <w:rPr>
          <w:bCs/>
        </w:rPr>
        <w:t xml:space="preserve">Autriche, le </w:t>
      </w:r>
      <w:r w:rsidR="00147FCA" w:rsidRPr="00147FCA">
        <w:rPr>
          <w:bCs/>
        </w:rPr>
        <w:t>Rapporteur</w:t>
      </w:r>
      <w:r w:rsidR="00147FCA">
        <w:rPr>
          <w:bCs/>
        </w:rPr>
        <w:t xml:space="preserve"> a reconnu qu</w:t>
      </w:r>
      <w:r w:rsidR="00346F1B">
        <w:rPr>
          <w:bCs/>
        </w:rPr>
        <w:t>’</w:t>
      </w:r>
      <w:r w:rsidR="00147FCA">
        <w:rPr>
          <w:bCs/>
        </w:rPr>
        <w:t>il y avait en effet un écart important entre les recommandations faites par l</w:t>
      </w:r>
      <w:r w:rsidR="00346F1B">
        <w:rPr>
          <w:bCs/>
        </w:rPr>
        <w:t>’</w:t>
      </w:r>
      <w:r w:rsidR="00147FCA">
        <w:rPr>
          <w:bCs/>
        </w:rPr>
        <w:t>Organe et les décisions finalement prises par le Comité. En fait, environ 80 pour cent des recommandations avaient été rejetées. L</w:t>
      </w:r>
      <w:r w:rsidR="00346F1B">
        <w:rPr>
          <w:bCs/>
        </w:rPr>
        <w:t>’</w:t>
      </w:r>
      <w:r w:rsidR="00147FCA">
        <w:rPr>
          <w:bCs/>
        </w:rPr>
        <w:t xml:space="preserve">Organe reconnaissait que, dans certains cas, les points de vue pouvaient être différents mais que certaines différences allaient </w:t>
      </w:r>
      <w:r w:rsidR="005C5B9B">
        <w:rPr>
          <w:bCs/>
        </w:rPr>
        <w:t>au-delà</w:t>
      </w:r>
      <w:r w:rsidR="00147FCA">
        <w:rPr>
          <w:bCs/>
        </w:rPr>
        <w:t xml:space="preserve"> des éclaircissements techniques. Pour le </w:t>
      </w:r>
      <w:r w:rsidR="00147FCA" w:rsidRPr="00147FCA">
        <w:rPr>
          <w:bCs/>
        </w:rPr>
        <w:t>Rapporteur</w:t>
      </w:r>
      <w:r w:rsidR="00147FCA">
        <w:rPr>
          <w:bCs/>
        </w:rPr>
        <w:t>, la conclusion inéluctable était que soit l</w:t>
      </w:r>
      <w:r w:rsidR="00346F1B">
        <w:rPr>
          <w:bCs/>
        </w:rPr>
        <w:t>’</w:t>
      </w:r>
      <w:r w:rsidR="00147FCA">
        <w:rPr>
          <w:bCs/>
        </w:rPr>
        <w:t>Organe avait des compétences limitées</w:t>
      </w:r>
      <w:r w:rsidR="004E3D45">
        <w:rPr>
          <w:bCs/>
        </w:rPr>
        <w:t>, soit il n</w:t>
      </w:r>
      <w:r w:rsidR="00346F1B">
        <w:rPr>
          <w:bCs/>
        </w:rPr>
        <w:t>’</w:t>
      </w:r>
      <w:r w:rsidR="004E3D45">
        <w:rPr>
          <w:bCs/>
        </w:rPr>
        <w:t xml:space="preserve">appliquait pas les critères que le Comité avaient </w:t>
      </w:r>
      <w:r w:rsidR="008F4506">
        <w:rPr>
          <w:bCs/>
        </w:rPr>
        <w:t xml:space="preserve">lui-même </w:t>
      </w:r>
      <w:r w:rsidR="004E3D45">
        <w:rPr>
          <w:bCs/>
        </w:rPr>
        <w:t xml:space="preserve">définis dans sa grande sagesse, soit il était devenu </w:t>
      </w:r>
      <w:r w:rsidR="008F4506">
        <w:rPr>
          <w:bCs/>
        </w:rPr>
        <w:t>inutile</w:t>
      </w:r>
      <w:r w:rsidR="004E3D45">
        <w:rPr>
          <w:bCs/>
        </w:rPr>
        <w:t xml:space="preserve">. </w:t>
      </w:r>
      <w:r w:rsidR="000809FA">
        <w:rPr>
          <w:bCs/>
        </w:rPr>
        <w:t>Compte tenu de cette situation, l</w:t>
      </w:r>
      <w:r w:rsidR="004E3D45" w:rsidRPr="000809FA">
        <w:rPr>
          <w:bCs/>
        </w:rPr>
        <w:t>e Rapporteur avait d</w:t>
      </w:r>
      <w:r w:rsidR="00346F1B">
        <w:rPr>
          <w:bCs/>
        </w:rPr>
        <w:t>’</w:t>
      </w:r>
      <w:r w:rsidR="004E3D45" w:rsidRPr="000809FA">
        <w:rPr>
          <w:bCs/>
        </w:rPr>
        <w:t>ailleurs demandé à son ONG de mettre fin à ses fonctions auprès l</w:t>
      </w:r>
      <w:r w:rsidR="00346F1B">
        <w:rPr>
          <w:bCs/>
        </w:rPr>
        <w:t>’</w:t>
      </w:r>
      <w:r w:rsidR="004E3D45" w:rsidRPr="000809FA">
        <w:rPr>
          <w:bCs/>
        </w:rPr>
        <w:t>Organe d</w:t>
      </w:r>
      <w:r w:rsidR="00346F1B">
        <w:rPr>
          <w:bCs/>
        </w:rPr>
        <w:t>’</w:t>
      </w:r>
      <w:r w:rsidR="004E3D45" w:rsidRPr="000809FA">
        <w:rPr>
          <w:bCs/>
        </w:rPr>
        <w:t xml:space="preserve">évaluation. Il a encouragé le Comité à réfléchir </w:t>
      </w:r>
      <w:r w:rsidR="000809FA">
        <w:rPr>
          <w:bCs/>
        </w:rPr>
        <w:t>sur</w:t>
      </w:r>
      <w:r w:rsidR="000809FA" w:rsidRPr="000809FA">
        <w:rPr>
          <w:bCs/>
        </w:rPr>
        <w:t xml:space="preserve"> ce qui allait devenir une perte de </w:t>
      </w:r>
      <w:r w:rsidR="000809FA">
        <w:rPr>
          <w:bCs/>
        </w:rPr>
        <w:t xml:space="preserve">ressources inestimables, </w:t>
      </w:r>
      <w:r w:rsidR="000809FA" w:rsidRPr="000809FA">
        <w:rPr>
          <w:bCs/>
        </w:rPr>
        <w:t>en permettant à l</w:t>
      </w:r>
      <w:r w:rsidR="00346F1B">
        <w:rPr>
          <w:bCs/>
        </w:rPr>
        <w:t>’</w:t>
      </w:r>
      <w:r w:rsidR="000809FA" w:rsidRPr="000809FA">
        <w:rPr>
          <w:bCs/>
        </w:rPr>
        <w:t>Organe d</w:t>
      </w:r>
      <w:r w:rsidR="00346F1B">
        <w:rPr>
          <w:bCs/>
        </w:rPr>
        <w:t>’</w:t>
      </w:r>
      <w:r w:rsidR="000809FA" w:rsidRPr="000809FA">
        <w:rPr>
          <w:bCs/>
        </w:rPr>
        <w:t xml:space="preserve">évaluation </w:t>
      </w:r>
      <w:r w:rsidR="000809FA">
        <w:rPr>
          <w:bCs/>
        </w:rPr>
        <w:t>de se réunir, de passer d</w:t>
      </w:r>
      <w:r w:rsidR="000809FA" w:rsidRPr="000809FA">
        <w:rPr>
          <w:bCs/>
        </w:rPr>
        <w:t>e nombreux mois à examiner les dossiers pour en arriver à une situation où la plupart de</w:t>
      </w:r>
      <w:r w:rsidR="00317EC0">
        <w:rPr>
          <w:bCs/>
        </w:rPr>
        <w:t xml:space="preserve"> se</w:t>
      </w:r>
      <w:r w:rsidR="000809FA" w:rsidRPr="000809FA">
        <w:rPr>
          <w:bCs/>
        </w:rPr>
        <w:t xml:space="preserve">s recommandations étaient rejetées. </w:t>
      </w:r>
      <w:r w:rsidR="000809FA">
        <w:rPr>
          <w:bCs/>
        </w:rPr>
        <w:t xml:space="preserve">Le </w:t>
      </w:r>
      <w:r w:rsidR="000809FA" w:rsidRPr="000809FA">
        <w:rPr>
          <w:bCs/>
        </w:rPr>
        <w:t>Rapporteur</w:t>
      </w:r>
      <w:r w:rsidR="000809FA">
        <w:rPr>
          <w:bCs/>
        </w:rPr>
        <w:t xml:space="preserve"> a </w:t>
      </w:r>
      <w:r w:rsidR="000809FA" w:rsidRPr="000809FA">
        <w:rPr>
          <w:bCs/>
        </w:rPr>
        <w:t>également</w:t>
      </w:r>
      <w:r w:rsidR="000809FA">
        <w:rPr>
          <w:bCs/>
        </w:rPr>
        <w:t xml:space="preserve"> encouragé le Comité à réfléchir sur la </w:t>
      </w:r>
      <w:r w:rsidR="00CB78FA">
        <w:rPr>
          <w:bCs/>
        </w:rPr>
        <w:t xml:space="preserve">façon </w:t>
      </w:r>
      <w:r w:rsidR="000809FA">
        <w:rPr>
          <w:bCs/>
        </w:rPr>
        <w:t>de réduire l</w:t>
      </w:r>
      <w:r w:rsidR="00346F1B">
        <w:rPr>
          <w:bCs/>
        </w:rPr>
        <w:t>’</w:t>
      </w:r>
      <w:r w:rsidR="000809FA">
        <w:rPr>
          <w:bCs/>
        </w:rPr>
        <w:t>écart entre les recommandations de l</w:t>
      </w:r>
      <w:r w:rsidR="00346F1B">
        <w:rPr>
          <w:bCs/>
        </w:rPr>
        <w:t>’</w:t>
      </w:r>
      <w:r w:rsidR="000809FA">
        <w:rPr>
          <w:bCs/>
        </w:rPr>
        <w:t>Organe et les décisions finales du Comité. Il pensait que c</w:t>
      </w:r>
      <w:r w:rsidR="00346F1B">
        <w:rPr>
          <w:bCs/>
        </w:rPr>
        <w:t>’</w:t>
      </w:r>
      <w:r w:rsidR="000809FA">
        <w:rPr>
          <w:bCs/>
        </w:rPr>
        <w:t xml:space="preserve">était une obligation, tant pour le bon fonctionnement de la </w:t>
      </w:r>
      <w:r w:rsidR="000809FA" w:rsidRPr="000809FA">
        <w:rPr>
          <w:bCs/>
        </w:rPr>
        <w:t>Convention</w:t>
      </w:r>
      <w:r w:rsidR="000809FA">
        <w:rPr>
          <w:bCs/>
        </w:rPr>
        <w:t xml:space="preserve"> que pour une </w:t>
      </w:r>
      <w:r w:rsidR="000809FA" w:rsidRPr="000809FA">
        <w:rPr>
          <w:bCs/>
        </w:rPr>
        <w:t>utilisation</w:t>
      </w:r>
      <w:r w:rsidR="000809FA">
        <w:rPr>
          <w:bCs/>
        </w:rPr>
        <w:t xml:space="preserve"> efficace des ressources, </w:t>
      </w:r>
      <w:r w:rsidR="00CB78FA">
        <w:rPr>
          <w:bCs/>
        </w:rPr>
        <w:t xml:space="preserve">et </w:t>
      </w:r>
      <w:r w:rsidR="00CB78FA" w:rsidRPr="00CB78FA">
        <w:rPr>
          <w:bCs/>
        </w:rPr>
        <w:t>également</w:t>
      </w:r>
      <w:r w:rsidR="00CB78FA">
        <w:rPr>
          <w:bCs/>
        </w:rPr>
        <w:t xml:space="preserve"> </w:t>
      </w:r>
      <w:r w:rsidR="000809FA">
        <w:rPr>
          <w:bCs/>
        </w:rPr>
        <w:t xml:space="preserve">pour rendre le travail </w:t>
      </w:r>
      <w:r w:rsidR="008F4506">
        <w:rPr>
          <w:bCs/>
        </w:rPr>
        <w:t xml:space="preserve">réalisé </w:t>
      </w:r>
      <w:r w:rsidR="000809FA">
        <w:rPr>
          <w:bCs/>
        </w:rPr>
        <w:t>utile. À défaut, l</w:t>
      </w:r>
      <w:r w:rsidR="00346F1B">
        <w:rPr>
          <w:bCs/>
        </w:rPr>
        <w:t>’</w:t>
      </w:r>
      <w:r w:rsidR="000809FA">
        <w:rPr>
          <w:bCs/>
        </w:rPr>
        <w:t>Organe aurait l</w:t>
      </w:r>
      <w:r w:rsidR="00346F1B">
        <w:rPr>
          <w:bCs/>
        </w:rPr>
        <w:t>’</w:t>
      </w:r>
      <w:r w:rsidR="000809FA">
        <w:rPr>
          <w:bCs/>
        </w:rPr>
        <w:t>impression qu</w:t>
      </w:r>
      <w:r w:rsidR="00346F1B">
        <w:rPr>
          <w:bCs/>
        </w:rPr>
        <w:t>’</w:t>
      </w:r>
      <w:r w:rsidR="000809FA">
        <w:rPr>
          <w:bCs/>
        </w:rPr>
        <w:t>il d</w:t>
      </w:r>
      <w:r w:rsidR="008F4506">
        <w:rPr>
          <w:bCs/>
        </w:rPr>
        <w:t>e</w:t>
      </w:r>
      <w:r w:rsidR="005C5B9B">
        <w:rPr>
          <w:bCs/>
        </w:rPr>
        <w:t>venait de plus en plus inutile.</w:t>
      </w:r>
    </w:p>
    <w:p w14:paraId="1E0B25A4" w14:textId="452FEEC1" w:rsidR="00222D1E" w:rsidRPr="00222D1E" w:rsidRDefault="00CB78FA" w:rsidP="005C5B9B">
      <w:pPr>
        <w:pStyle w:val="Orateurengris"/>
        <w:spacing w:before="120"/>
        <w:ind w:left="709" w:hanging="709"/>
        <w:rPr>
          <w:b/>
          <w:bCs/>
        </w:rPr>
      </w:pPr>
      <w:r>
        <w:rPr>
          <w:bCs/>
        </w:rPr>
        <w:t>Ayant pris note des demandes d</w:t>
      </w:r>
      <w:r w:rsidR="00346F1B">
        <w:rPr>
          <w:bCs/>
        </w:rPr>
        <w:t>’</w:t>
      </w:r>
      <w:r>
        <w:rPr>
          <w:bCs/>
        </w:rPr>
        <w:t>explication sur les principes appliqués par l</w:t>
      </w:r>
      <w:r w:rsidR="00346F1B">
        <w:rPr>
          <w:bCs/>
        </w:rPr>
        <w:t>’</w:t>
      </w:r>
      <w:r>
        <w:rPr>
          <w:bCs/>
        </w:rPr>
        <w:t xml:space="preserve">Organe, le </w:t>
      </w:r>
      <w:r w:rsidRPr="00222D1E">
        <w:rPr>
          <w:b/>
          <w:bCs/>
        </w:rPr>
        <w:t>Vice-Président de l</w:t>
      </w:r>
      <w:r w:rsidR="00346F1B">
        <w:rPr>
          <w:b/>
          <w:bCs/>
        </w:rPr>
        <w:t>’</w:t>
      </w:r>
      <w:r w:rsidRPr="00222D1E">
        <w:rPr>
          <w:b/>
          <w:bCs/>
        </w:rPr>
        <w:t>Organe d</w:t>
      </w:r>
      <w:r w:rsidR="00346F1B">
        <w:rPr>
          <w:b/>
          <w:bCs/>
        </w:rPr>
        <w:t>’</w:t>
      </w:r>
      <w:r w:rsidRPr="00222D1E">
        <w:rPr>
          <w:b/>
          <w:bCs/>
        </w:rPr>
        <w:t>évaluation</w:t>
      </w:r>
      <w:r>
        <w:rPr>
          <w:bCs/>
        </w:rPr>
        <w:t xml:space="preserve"> a souligné que les évaluations n</w:t>
      </w:r>
      <w:r w:rsidR="00346F1B">
        <w:rPr>
          <w:bCs/>
        </w:rPr>
        <w:t>’</w:t>
      </w:r>
      <w:r>
        <w:rPr>
          <w:bCs/>
        </w:rPr>
        <w:t>étaient pas faites sur l</w:t>
      </w:r>
      <w:r w:rsidR="00346F1B">
        <w:rPr>
          <w:bCs/>
        </w:rPr>
        <w:t>’</w:t>
      </w:r>
      <w:r>
        <w:rPr>
          <w:bCs/>
        </w:rPr>
        <w:t>élément en soi mais sur le dossier de candidature. Certains éléments pouvaient sembler merveilleux mais leurs dossiers révélaient des limites, et c</w:t>
      </w:r>
      <w:r w:rsidR="00346F1B">
        <w:rPr>
          <w:bCs/>
        </w:rPr>
        <w:t>’</w:t>
      </w:r>
      <w:r>
        <w:rPr>
          <w:bCs/>
        </w:rPr>
        <w:t>était bien le travail de l</w:t>
      </w:r>
      <w:r w:rsidR="00346F1B">
        <w:rPr>
          <w:bCs/>
        </w:rPr>
        <w:t>’</w:t>
      </w:r>
      <w:r>
        <w:rPr>
          <w:bCs/>
        </w:rPr>
        <w:t>Organe de les souligner. En outre, les membres de l</w:t>
      </w:r>
      <w:r w:rsidR="00346F1B">
        <w:rPr>
          <w:bCs/>
        </w:rPr>
        <w:t>’</w:t>
      </w:r>
      <w:r>
        <w:rPr>
          <w:bCs/>
        </w:rPr>
        <w:t xml:space="preserve">Organe parvenaient à un consensus sur chaque critère et sur chaque dossier, en ayant travaillé </w:t>
      </w:r>
      <w:r w:rsidR="00266551">
        <w:rPr>
          <w:bCs/>
        </w:rPr>
        <w:t>d</w:t>
      </w:r>
      <w:r w:rsidR="00346F1B">
        <w:rPr>
          <w:bCs/>
        </w:rPr>
        <w:t>’</w:t>
      </w:r>
      <w:r w:rsidR="00266551">
        <w:rPr>
          <w:bCs/>
        </w:rPr>
        <w:t xml:space="preserve">arrache-pied </w:t>
      </w:r>
      <w:r>
        <w:rPr>
          <w:bCs/>
        </w:rPr>
        <w:t>pendant presqu</w:t>
      </w:r>
      <w:r w:rsidR="00346F1B">
        <w:rPr>
          <w:bCs/>
        </w:rPr>
        <w:t>’</w:t>
      </w:r>
      <w:r>
        <w:rPr>
          <w:bCs/>
        </w:rPr>
        <w:t>une année pour formuler les recommandations. Le Vice-Président a évoqué la chance qu</w:t>
      </w:r>
      <w:r w:rsidR="00346F1B">
        <w:rPr>
          <w:bCs/>
        </w:rPr>
        <w:t>’</w:t>
      </w:r>
      <w:r>
        <w:rPr>
          <w:bCs/>
        </w:rPr>
        <w:t xml:space="preserve">il avait eue de travailler avec </w:t>
      </w:r>
      <w:r w:rsidR="005C5B9B">
        <w:rPr>
          <w:bCs/>
        </w:rPr>
        <w:t>quelques-uns</w:t>
      </w:r>
      <w:r>
        <w:rPr>
          <w:bCs/>
        </w:rPr>
        <w:t xml:space="preserve"> des meilleurs experts dans le domaine du PCI. L</w:t>
      </w:r>
      <w:r w:rsidR="00346F1B">
        <w:rPr>
          <w:bCs/>
        </w:rPr>
        <w:t>’</w:t>
      </w:r>
      <w:r>
        <w:rPr>
          <w:bCs/>
        </w:rPr>
        <w:t>Organe avait essayé d</w:t>
      </w:r>
      <w:r w:rsidR="00346F1B">
        <w:rPr>
          <w:bCs/>
        </w:rPr>
        <w:t>’</w:t>
      </w:r>
      <w:r>
        <w:rPr>
          <w:bCs/>
        </w:rPr>
        <w:t>être cohérent en examinant les dossiers comme s</w:t>
      </w:r>
      <w:r w:rsidR="00346F1B">
        <w:rPr>
          <w:bCs/>
        </w:rPr>
        <w:t>’</w:t>
      </w:r>
      <w:r>
        <w:rPr>
          <w:bCs/>
        </w:rPr>
        <w:t>ils étaient liés les uns aux autres, et ce, afin de traiter tous les dossiers de la même façon, ce que l</w:t>
      </w:r>
      <w:r w:rsidR="00346F1B">
        <w:rPr>
          <w:bCs/>
        </w:rPr>
        <w:t>’</w:t>
      </w:r>
      <w:r>
        <w:rPr>
          <w:bCs/>
        </w:rPr>
        <w:t xml:space="preserve">Organe considérait comme un point très important. </w:t>
      </w:r>
      <w:r w:rsidR="00222D1E" w:rsidRPr="00222D1E">
        <w:rPr>
          <w:bCs/>
        </w:rPr>
        <w:t>En ce qui concerne</w:t>
      </w:r>
      <w:r w:rsidR="00222D1E">
        <w:rPr>
          <w:bCs/>
        </w:rPr>
        <w:t xml:space="preserve"> les possibles améliorations, le Vice-Président croyait que de meilleurs résultats découleraient d</w:t>
      </w:r>
      <w:r w:rsidR="00346F1B">
        <w:rPr>
          <w:bCs/>
        </w:rPr>
        <w:t>’</w:t>
      </w:r>
      <w:r w:rsidR="00222D1E">
        <w:rPr>
          <w:bCs/>
        </w:rPr>
        <w:t xml:space="preserve">une meilleure communication. </w:t>
      </w:r>
      <w:r w:rsidR="00222D1E" w:rsidRPr="00222D1E">
        <w:rPr>
          <w:bCs/>
        </w:rPr>
        <w:t>Néanmoins</w:t>
      </w:r>
      <w:r w:rsidR="00222D1E">
        <w:rPr>
          <w:bCs/>
        </w:rPr>
        <w:t>, certaines mesures pouvaient déjà être mises en œuvre</w:t>
      </w:r>
      <w:r w:rsidR="00266551">
        <w:rPr>
          <w:bCs/>
        </w:rPr>
        <w:t xml:space="preserve">, comme la révision </w:t>
      </w:r>
      <w:r w:rsidR="00222D1E">
        <w:rPr>
          <w:bCs/>
        </w:rPr>
        <w:t>des formulaires, à laquelle le Secrétariat s</w:t>
      </w:r>
      <w:r w:rsidR="00346F1B">
        <w:rPr>
          <w:bCs/>
        </w:rPr>
        <w:t>’</w:t>
      </w:r>
      <w:r w:rsidR="00222D1E">
        <w:rPr>
          <w:bCs/>
        </w:rPr>
        <w:t xml:space="preserve">était déjà attelé, et le </w:t>
      </w:r>
      <w:r w:rsidR="00222D1E" w:rsidRPr="00222D1E">
        <w:rPr>
          <w:bCs/>
        </w:rPr>
        <w:t>critère</w:t>
      </w:r>
      <w:r w:rsidR="00222D1E">
        <w:rPr>
          <w:bCs/>
        </w:rPr>
        <w:t xml:space="preserve"> R.2, pour lequel le travail à entreprendre était semblable à celui réalisé pour le critère R.5. Ces mesures permettraient d</w:t>
      </w:r>
      <w:r w:rsidR="00346F1B">
        <w:rPr>
          <w:bCs/>
        </w:rPr>
        <w:t>’</w:t>
      </w:r>
      <w:r w:rsidR="00222D1E">
        <w:rPr>
          <w:bCs/>
        </w:rPr>
        <w:t>être certain que l</w:t>
      </w:r>
      <w:r w:rsidR="00346F1B">
        <w:rPr>
          <w:bCs/>
        </w:rPr>
        <w:t>’</w:t>
      </w:r>
      <w:r w:rsidR="00222D1E">
        <w:rPr>
          <w:bCs/>
        </w:rPr>
        <w:t>État soumissionnaire répondrait à toutes les que</w:t>
      </w:r>
      <w:r w:rsidR="00266551">
        <w:rPr>
          <w:bCs/>
        </w:rPr>
        <w:t>stions en utilisant plusieurs</w:t>
      </w:r>
      <w:r w:rsidR="00222D1E">
        <w:rPr>
          <w:bCs/>
        </w:rPr>
        <w:t xml:space="preserve"> zones de réponse</w:t>
      </w:r>
      <w:r w:rsidR="00266551">
        <w:rPr>
          <w:bCs/>
        </w:rPr>
        <w:t xml:space="preserve"> distinctes</w:t>
      </w:r>
      <w:r w:rsidR="00222D1E">
        <w:rPr>
          <w:bCs/>
        </w:rPr>
        <w:t>. S</w:t>
      </w:r>
      <w:r w:rsidR="00346F1B">
        <w:rPr>
          <w:bCs/>
        </w:rPr>
        <w:t>’</w:t>
      </w:r>
      <w:r w:rsidR="00222D1E">
        <w:rPr>
          <w:bCs/>
        </w:rPr>
        <w:t>agissant du possible créneau de communication entre l</w:t>
      </w:r>
      <w:r w:rsidR="00346F1B">
        <w:rPr>
          <w:bCs/>
        </w:rPr>
        <w:t>’</w:t>
      </w:r>
      <w:r w:rsidR="00222D1E">
        <w:rPr>
          <w:bCs/>
        </w:rPr>
        <w:t>Organe et les États soumissionnaires, le Vice-Président a reconnu qu</w:t>
      </w:r>
      <w:r w:rsidR="00346F1B">
        <w:rPr>
          <w:bCs/>
        </w:rPr>
        <w:t>’</w:t>
      </w:r>
      <w:r w:rsidR="00222D1E">
        <w:rPr>
          <w:bCs/>
        </w:rPr>
        <w:t>après la deuxième réunion de l</w:t>
      </w:r>
      <w:r w:rsidR="00346F1B">
        <w:rPr>
          <w:bCs/>
        </w:rPr>
        <w:t>’</w:t>
      </w:r>
      <w:r w:rsidR="00222D1E">
        <w:rPr>
          <w:bCs/>
        </w:rPr>
        <w:t xml:space="preserve">Organe, une fois les conclusions établies, il </w:t>
      </w:r>
      <w:r w:rsidR="00266551">
        <w:rPr>
          <w:bCs/>
        </w:rPr>
        <w:t>était en effet très facile de voir les problèmes mineurs pouva</w:t>
      </w:r>
      <w:r w:rsidR="00222D1E">
        <w:rPr>
          <w:bCs/>
        </w:rPr>
        <w:t>nt êtr</w:t>
      </w:r>
      <w:r w:rsidR="005C5B9B">
        <w:rPr>
          <w:bCs/>
        </w:rPr>
        <w:t>e évités et facilement résolus.</w:t>
      </w:r>
    </w:p>
    <w:p w14:paraId="07F8A38C" w14:textId="75977E6E" w:rsidR="00266551" w:rsidRPr="00266551" w:rsidRDefault="00266551" w:rsidP="005C5B9B">
      <w:pPr>
        <w:pStyle w:val="Orateurengris"/>
        <w:spacing w:before="120"/>
        <w:ind w:left="709" w:hanging="709"/>
        <w:rPr>
          <w:b/>
          <w:bCs/>
        </w:rPr>
      </w:pPr>
      <w:r w:rsidRPr="00266551">
        <w:rPr>
          <w:bCs/>
        </w:rPr>
        <w:t>La délégation de l</w:t>
      </w:r>
      <w:r w:rsidR="00346F1B">
        <w:rPr>
          <w:bCs/>
        </w:rPr>
        <w:t>’</w:t>
      </w:r>
      <w:r w:rsidRPr="00266551">
        <w:rPr>
          <w:b/>
          <w:bCs/>
        </w:rPr>
        <w:t>Éthiopie</w:t>
      </w:r>
      <w:r>
        <w:rPr>
          <w:b/>
          <w:bCs/>
        </w:rPr>
        <w:t xml:space="preserve"> </w:t>
      </w:r>
      <w:r>
        <w:rPr>
          <w:bCs/>
        </w:rPr>
        <w:t>a félicité l</w:t>
      </w:r>
      <w:r w:rsidR="00346F1B">
        <w:rPr>
          <w:bCs/>
        </w:rPr>
        <w:t>’</w:t>
      </w:r>
      <w:r>
        <w:rPr>
          <w:bCs/>
        </w:rPr>
        <w:t>Organe d</w:t>
      </w:r>
      <w:r w:rsidR="00346F1B">
        <w:rPr>
          <w:bCs/>
        </w:rPr>
        <w:t>’</w:t>
      </w:r>
      <w:r>
        <w:rPr>
          <w:bCs/>
        </w:rPr>
        <w:t>évaluation pour le travail accompli. Comme on le savait, l</w:t>
      </w:r>
      <w:r w:rsidR="00346F1B">
        <w:rPr>
          <w:bCs/>
        </w:rPr>
        <w:t>’</w:t>
      </w:r>
      <w:r>
        <w:rPr>
          <w:bCs/>
        </w:rPr>
        <w:t>Organe d</w:t>
      </w:r>
      <w:r w:rsidR="00346F1B">
        <w:rPr>
          <w:bCs/>
        </w:rPr>
        <w:t>’</w:t>
      </w:r>
      <w:r>
        <w:rPr>
          <w:bCs/>
        </w:rPr>
        <w:t xml:space="preserve">évaluation se réunissait deux fois par an, et la première réunion se déroulait environ un an après la soumission des dossiers de candidature. La </w:t>
      </w:r>
      <w:r w:rsidRPr="00266551">
        <w:rPr>
          <w:bCs/>
        </w:rPr>
        <w:t>délégation</w:t>
      </w:r>
      <w:r>
        <w:rPr>
          <w:bCs/>
        </w:rPr>
        <w:t xml:space="preserve"> a suggéré que la réunion se déroule un peu plus tôt afin de permettre un dialogue entre l</w:t>
      </w:r>
      <w:r w:rsidR="00346F1B">
        <w:rPr>
          <w:bCs/>
        </w:rPr>
        <w:t>’</w:t>
      </w:r>
      <w:r>
        <w:rPr>
          <w:bCs/>
        </w:rPr>
        <w:t>Organe et les États</w:t>
      </w:r>
      <w:r w:rsidR="00E94AC6">
        <w:rPr>
          <w:bCs/>
        </w:rPr>
        <w:t xml:space="preserve"> soumissionnaires</w:t>
      </w:r>
      <w:r>
        <w:rPr>
          <w:bCs/>
        </w:rPr>
        <w:t>. En tant que membres du Comité au cours des trois dernières années, elle avait remarqué qu</w:t>
      </w:r>
      <w:r w:rsidR="00346F1B">
        <w:rPr>
          <w:bCs/>
        </w:rPr>
        <w:t>’</w:t>
      </w:r>
      <w:r>
        <w:rPr>
          <w:bCs/>
        </w:rPr>
        <w:t xml:space="preserve">un grand nombre de dossiers </w:t>
      </w:r>
      <w:r w:rsidR="00E94AC6">
        <w:rPr>
          <w:bCs/>
        </w:rPr>
        <w:t>n</w:t>
      </w:r>
      <w:r w:rsidR="00346F1B">
        <w:rPr>
          <w:bCs/>
        </w:rPr>
        <w:t>’</w:t>
      </w:r>
      <w:r>
        <w:rPr>
          <w:bCs/>
        </w:rPr>
        <w:t xml:space="preserve">étaient renvoyés </w:t>
      </w:r>
      <w:r w:rsidR="00E94AC6">
        <w:rPr>
          <w:bCs/>
        </w:rPr>
        <w:t>ou n</w:t>
      </w:r>
      <w:r w:rsidR="00346F1B">
        <w:rPr>
          <w:bCs/>
        </w:rPr>
        <w:t>’</w:t>
      </w:r>
      <w:r w:rsidR="00E94AC6">
        <w:rPr>
          <w:bCs/>
        </w:rPr>
        <w:t>avaient été renvoyés qu</w:t>
      </w:r>
      <w:r w:rsidR="00346F1B">
        <w:rPr>
          <w:bCs/>
        </w:rPr>
        <w:t>’</w:t>
      </w:r>
      <w:r w:rsidR="00E94AC6">
        <w:rPr>
          <w:bCs/>
        </w:rPr>
        <w:t>en raison d</w:t>
      </w:r>
      <w:r w:rsidR="00346F1B">
        <w:rPr>
          <w:bCs/>
        </w:rPr>
        <w:t>’</w:t>
      </w:r>
      <w:r w:rsidR="00E94AC6">
        <w:rPr>
          <w:bCs/>
        </w:rPr>
        <w:t>une légère incompréhension. Ainsi, permettre un dialogue ferait gagner du temps passé à traiter des problèmes mineurs, que l</w:t>
      </w:r>
      <w:r w:rsidR="00346F1B">
        <w:rPr>
          <w:bCs/>
        </w:rPr>
        <w:t>’</w:t>
      </w:r>
      <w:r w:rsidR="00E94AC6">
        <w:rPr>
          <w:bCs/>
        </w:rPr>
        <w:t xml:space="preserve">on pourrait consacrer aux problèmes plus essentiels de la </w:t>
      </w:r>
      <w:r w:rsidR="00E94AC6" w:rsidRPr="00E94AC6">
        <w:rPr>
          <w:bCs/>
        </w:rPr>
        <w:t>Convention</w:t>
      </w:r>
      <w:r w:rsidR="00E94AC6">
        <w:rPr>
          <w:bCs/>
        </w:rPr>
        <w:t xml:space="preserve">, à savoir, assurer la </w:t>
      </w:r>
      <w:r w:rsidR="00E94AC6" w:rsidRPr="00E94AC6">
        <w:rPr>
          <w:bCs/>
        </w:rPr>
        <w:t>viabilité</w:t>
      </w:r>
      <w:r w:rsidR="00E94AC6">
        <w:rPr>
          <w:bCs/>
        </w:rPr>
        <w:t xml:space="preserve"> du PCI. La </w:t>
      </w:r>
      <w:r w:rsidR="00E94AC6" w:rsidRPr="00E94AC6">
        <w:rPr>
          <w:bCs/>
        </w:rPr>
        <w:t>délégation</w:t>
      </w:r>
      <w:r w:rsidR="00E94AC6">
        <w:rPr>
          <w:bCs/>
        </w:rPr>
        <w:t xml:space="preserve"> a donc proposé d</w:t>
      </w:r>
      <w:r w:rsidR="00346F1B">
        <w:rPr>
          <w:bCs/>
        </w:rPr>
        <w:t>’</w:t>
      </w:r>
      <w:r w:rsidR="00E94AC6">
        <w:rPr>
          <w:bCs/>
        </w:rPr>
        <w:t>établir une meilleure relation de travail entre l</w:t>
      </w:r>
      <w:r w:rsidR="00346F1B">
        <w:rPr>
          <w:bCs/>
        </w:rPr>
        <w:t>’</w:t>
      </w:r>
      <w:r w:rsidR="00E94AC6">
        <w:rPr>
          <w:bCs/>
        </w:rPr>
        <w:t>Organe d</w:t>
      </w:r>
      <w:r w:rsidR="00346F1B">
        <w:rPr>
          <w:bCs/>
        </w:rPr>
        <w:t>’</w:t>
      </w:r>
      <w:r w:rsidR="00E94AC6">
        <w:rPr>
          <w:bCs/>
        </w:rPr>
        <w:t>évaluation et l</w:t>
      </w:r>
      <w:r w:rsidR="00346F1B">
        <w:rPr>
          <w:bCs/>
        </w:rPr>
        <w:t>’</w:t>
      </w:r>
      <w:r w:rsidR="00E94AC6">
        <w:rPr>
          <w:bCs/>
        </w:rPr>
        <w:t xml:space="preserve">État soumissionnaire afin de clarifier les ambigüités du dossier et de transformer la procédure de </w:t>
      </w:r>
      <w:r w:rsidR="00E94AC6" w:rsidRPr="00E94AC6">
        <w:rPr>
          <w:bCs/>
        </w:rPr>
        <w:t>candidature</w:t>
      </w:r>
      <w:r w:rsidR="00E94AC6">
        <w:rPr>
          <w:bCs/>
        </w:rPr>
        <w:t xml:space="preserve"> en une démarche plus informative et participative. L</w:t>
      </w:r>
      <w:r w:rsidR="00346F1B">
        <w:rPr>
          <w:bCs/>
        </w:rPr>
        <w:t>’</w:t>
      </w:r>
      <w:r w:rsidR="00E94AC6" w:rsidRPr="00E94AC6">
        <w:rPr>
          <w:bCs/>
        </w:rPr>
        <w:t>établissement</w:t>
      </w:r>
      <w:r w:rsidR="00E94AC6">
        <w:rPr>
          <w:bCs/>
        </w:rPr>
        <w:t xml:space="preserve"> d</w:t>
      </w:r>
      <w:r w:rsidR="00346F1B">
        <w:rPr>
          <w:bCs/>
        </w:rPr>
        <w:t>’</w:t>
      </w:r>
      <w:r w:rsidR="00E94AC6">
        <w:rPr>
          <w:bCs/>
        </w:rPr>
        <w:t xml:space="preserve">un </w:t>
      </w:r>
      <w:r w:rsidR="00E94AC6" w:rsidRPr="00E94AC6">
        <w:rPr>
          <w:bCs/>
        </w:rPr>
        <w:t>groupe de travail</w:t>
      </w:r>
      <w:r w:rsidR="00E94AC6">
        <w:rPr>
          <w:bCs/>
        </w:rPr>
        <w:t xml:space="preserve"> </w:t>
      </w:r>
      <w:r w:rsidR="00E94AC6" w:rsidRPr="00E94AC6">
        <w:rPr>
          <w:bCs/>
          <w:i/>
        </w:rPr>
        <w:t>ad hoc</w:t>
      </w:r>
      <w:r w:rsidR="00E94AC6">
        <w:rPr>
          <w:bCs/>
        </w:rPr>
        <w:t xml:space="preserve"> ouvert à tous les membres était donc considéré comme essentiel pour dé</w:t>
      </w:r>
      <w:r w:rsidR="005C5B9B">
        <w:rPr>
          <w:bCs/>
        </w:rPr>
        <w:t>battre de ce sujet.</w:t>
      </w:r>
    </w:p>
    <w:p w14:paraId="6CB9842B" w14:textId="7F29C50B" w:rsidR="00E94AC6" w:rsidRPr="00E94AC6" w:rsidRDefault="00E94AC6" w:rsidP="005C5B9B">
      <w:pPr>
        <w:pStyle w:val="Orateurengris"/>
        <w:spacing w:before="120"/>
        <w:ind w:left="709" w:hanging="709"/>
        <w:rPr>
          <w:bCs/>
        </w:rPr>
      </w:pPr>
      <w:r w:rsidRPr="00E94AC6">
        <w:rPr>
          <w:bCs/>
        </w:rPr>
        <w:t>Le</w:t>
      </w:r>
      <w:r>
        <w:rPr>
          <w:b/>
          <w:bCs/>
        </w:rPr>
        <w:t xml:space="preserve"> Président </w:t>
      </w:r>
      <w:r w:rsidRPr="00E94AC6">
        <w:rPr>
          <w:bCs/>
        </w:rPr>
        <w:t>a pris note</w:t>
      </w:r>
      <w:r>
        <w:rPr>
          <w:bCs/>
        </w:rPr>
        <w:t xml:space="preserve"> des questions soulevées, et a proposé de donner la parole aux </w:t>
      </w:r>
      <w:r w:rsidRPr="00E94AC6">
        <w:rPr>
          <w:bCs/>
        </w:rPr>
        <w:t>observateur</w:t>
      </w:r>
      <w:r>
        <w:rPr>
          <w:bCs/>
        </w:rPr>
        <w:t>s avant de passer à l</w:t>
      </w:r>
      <w:r w:rsidR="00346F1B">
        <w:rPr>
          <w:bCs/>
        </w:rPr>
        <w:t>’</w:t>
      </w:r>
      <w:r w:rsidR="005C5B9B">
        <w:rPr>
          <w:bCs/>
        </w:rPr>
        <w:t>adoption du projet de décision.</w:t>
      </w:r>
    </w:p>
    <w:p w14:paraId="3BF442A9" w14:textId="41E63847" w:rsidR="00E94AC6" w:rsidRPr="00E94AC6" w:rsidRDefault="00E94AC6" w:rsidP="005C5B9B">
      <w:pPr>
        <w:pStyle w:val="Orateurengris"/>
        <w:spacing w:before="120"/>
        <w:ind w:left="709" w:hanging="709"/>
        <w:rPr>
          <w:b/>
          <w:bCs/>
        </w:rPr>
      </w:pPr>
      <w:r>
        <w:rPr>
          <w:bCs/>
        </w:rPr>
        <w:t xml:space="preserve">Le </w:t>
      </w:r>
      <w:r w:rsidRPr="00E94AC6">
        <w:rPr>
          <w:bCs/>
        </w:rPr>
        <w:t>représentant</w:t>
      </w:r>
      <w:r>
        <w:rPr>
          <w:bCs/>
        </w:rPr>
        <w:t xml:space="preserve"> de l</w:t>
      </w:r>
      <w:r w:rsidRPr="00E94AC6">
        <w:rPr>
          <w:bCs/>
        </w:rPr>
        <w:t>a délégation de</w:t>
      </w:r>
      <w:r w:rsidRPr="00E94AC6">
        <w:rPr>
          <w:b/>
          <w:bCs/>
        </w:rPr>
        <w:t xml:space="preserve"> Sainte-Lucie </w:t>
      </w:r>
      <w:r>
        <w:rPr>
          <w:bCs/>
        </w:rPr>
        <w:t>souhaitait s</w:t>
      </w:r>
      <w:r w:rsidR="00346F1B">
        <w:rPr>
          <w:bCs/>
        </w:rPr>
        <w:t>’</w:t>
      </w:r>
      <w:r>
        <w:rPr>
          <w:bCs/>
        </w:rPr>
        <w:t>exprimer en tant qu</w:t>
      </w:r>
      <w:r w:rsidR="00346F1B">
        <w:rPr>
          <w:bCs/>
        </w:rPr>
        <w:t>’</w:t>
      </w:r>
      <w:r>
        <w:rPr>
          <w:bCs/>
        </w:rPr>
        <w:t>artiste et travaille</w:t>
      </w:r>
      <w:r w:rsidR="00ED2691">
        <w:rPr>
          <w:bCs/>
        </w:rPr>
        <w:t>ur culturel, et non en tant qu</w:t>
      </w:r>
      <w:r w:rsidR="00346F1B">
        <w:rPr>
          <w:bCs/>
        </w:rPr>
        <w:t>’</w:t>
      </w:r>
      <w:r w:rsidR="00ED2691">
        <w:rPr>
          <w:bCs/>
        </w:rPr>
        <w:t>homme politique, ajoutant qu</w:t>
      </w:r>
      <w:r w:rsidR="00346F1B">
        <w:rPr>
          <w:bCs/>
        </w:rPr>
        <w:t>’</w:t>
      </w:r>
      <w:r w:rsidR="00ED2691">
        <w:rPr>
          <w:bCs/>
        </w:rPr>
        <w:t xml:space="preserve">il était venu à la place du </w:t>
      </w:r>
      <w:r w:rsidR="00ED2691" w:rsidRPr="00ED2691">
        <w:rPr>
          <w:bCs/>
        </w:rPr>
        <w:t>représentant</w:t>
      </w:r>
      <w:r w:rsidR="00ED2691">
        <w:rPr>
          <w:bCs/>
        </w:rPr>
        <w:t xml:space="preserve"> prévu à l</w:t>
      </w:r>
      <w:r w:rsidR="00346F1B">
        <w:rPr>
          <w:bCs/>
        </w:rPr>
        <w:t>’</w:t>
      </w:r>
      <w:r w:rsidR="00ED2691">
        <w:rPr>
          <w:bCs/>
        </w:rPr>
        <w:t>origine qui n</w:t>
      </w:r>
      <w:r w:rsidR="00346F1B">
        <w:rPr>
          <w:bCs/>
        </w:rPr>
        <w:t>’</w:t>
      </w:r>
      <w:r w:rsidR="00ED2691">
        <w:rPr>
          <w:bCs/>
        </w:rPr>
        <w:t xml:space="preserve">avait pas pu participer à cette session. La </w:t>
      </w:r>
      <w:r w:rsidR="00ED2691" w:rsidRPr="00ED2691">
        <w:rPr>
          <w:bCs/>
        </w:rPr>
        <w:t>délégation</w:t>
      </w:r>
      <w:r w:rsidR="00ED2691">
        <w:rPr>
          <w:bCs/>
        </w:rPr>
        <w:t xml:space="preserve"> a débuté son </w:t>
      </w:r>
      <w:r w:rsidR="00ED2691" w:rsidRPr="00ED2691">
        <w:rPr>
          <w:bCs/>
        </w:rPr>
        <w:t>intervention</w:t>
      </w:r>
      <w:r w:rsidR="00ED2691">
        <w:rPr>
          <w:bCs/>
        </w:rPr>
        <w:t xml:space="preserve"> en exprimant sa </w:t>
      </w:r>
      <w:r w:rsidR="00ED2691" w:rsidRPr="00ED2691">
        <w:rPr>
          <w:bCs/>
        </w:rPr>
        <w:t>reconnaissance</w:t>
      </w:r>
      <w:r w:rsidR="00ED2691">
        <w:rPr>
          <w:bCs/>
        </w:rPr>
        <w:t xml:space="preserve"> pour cette session très enrichissante et pleine d</w:t>
      </w:r>
      <w:r w:rsidR="00346F1B">
        <w:rPr>
          <w:bCs/>
        </w:rPr>
        <w:t>’</w:t>
      </w:r>
      <w:r w:rsidR="00ED2691">
        <w:rPr>
          <w:bCs/>
        </w:rPr>
        <w:t>enseignements, et pour l</w:t>
      </w:r>
      <w:r w:rsidR="00346F1B">
        <w:rPr>
          <w:bCs/>
        </w:rPr>
        <w:t>’</w:t>
      </w:r>
      <w:r w:rsidR="00ED2691">
        <w:rPr>
          <w:bCs/>
        </w:rPr>
        <w:t xml:space="preserve">intelligence et les connaissances dont les membres du Comité avaient fait preuve. La </w:t>
      </w:r>
      <w:r w:rsidR="00ED2691" w:rsidRPr="00ED2691">
        <w:rPr>
          <w:bCs/>
        </w:rPr>
        <w:t>délégation</w:t>
      </w:r>
      <w:r w:rsidR="00ED2691">
        <w:rPr>
          <w:bCs/>
        </w:rPr>
        <w:t xml:space="preserve"> avait apprécié le travail du Président, l</w:t>
      </w:r>
      <w:r w:rsidR="00346F1B">
        <w:rPr>
          <w:bCs/>
        </w:rPr>
        <w:t>’</w:t>
      </w:r>
      <w:r w:rsidR="00ED2691">
        <w:rPr>
          <w:bCs/>
        </w:rPr>
        <w:t xml:space="preserve">énorme travail du Secrétariat, et </w:t>
      </w:r>
      <w:r w:rsidR="00ED2691" w:rsidRPr="00ED2691">
        <w:rPr>
          <w:bCs/>
        </w:rPr>
        <w:t>en particulier</w:t>
      </w:r>
      <w:r w:rsidR="00ED2691">
        <w:rPr>
          <w:bCs/>
        </w:rPr>
        <w:t xml:space="preserve"> les membres de l</w:t>
      </w:r>
      <w:r w:rsidR="00346F1B">
        <w:rPr>
          <w:bCs/>
        </w:rPr>
        <w:t>’</w:t>
      </w:r>
      <w:r w:rsidR="00ED2691">
        <w:rPr>
          <w:bCs/>
        </w:rPr>
        <w:t>Organe d</w:t>
      </w:r>
      <w:r w:rsidR="00346F1B">
        <w:rPr>
          <w:bCs/>
        </w:rPr>
        <w:t>’</w:t>
      </w:r>
      <w:r w:rsidR="00ED2691">
        <w:rPr>
          <w:bCs/>
        </w:rPr>
        <w:t xml:space="preserve">évaluation. Elle a remercié le </w:t>
      </w:r>
      <w:r w:rsidR="00ED2691" w:rsidRPr="00ED2691">
        <w:rPr>
          <w:bCs/>
        </w:rPr>
        <w:t>Rapporteur</w:t>
      </w:r>
      <w:r w:rsidR="00ED2691">
        <w:rPr>
          <w:bCs/>
        </w:rPr>
        <w:t xml:space="preserve"> de l</w:t>
      </w:r>
      <w:r w:rsidR="00346F1B">
        <w:rPr>
          <w:bCs/>
        </w:rPr>
        <w:t>’</w:t>
      </w:r>
      <w:r w:rsidR="00ED2691">
        <w:rPr>
          <w:bCs/>
        </w:rPr>
        <w:t>Organe d</w:t>
      </w:r>
      <w:r w:rsidR="00346F1B">
        <w:rPr>
          <w:bCs/>
        </w:rPr>
        <w:t>’</w:t>
      </w:r>
      <w:r w:rsidR="00ED2691">
        <w:rPr>
          <w:bCs/>
        </w:rPr>
        <w:t>évaluation, ajoutant qu</w:t>
      </w:r>
      <w:r w:rsidR="00346F1B">
        <w:rPr>
          <w:bCs/>
        </w:rPr>
        <w:t>’</w:t>
      </w:r>
      <w:r w:rsidR="00ED2691">
        <w:rPr>
          <w:bCs/>
        </w:rPr>
        <w:t xml:space="preserve">elle comprenait très bien ses remarques. </w:t>
      </w:r>
      <w:r w:rsidR="00ED2691" w:rsidRPr="00ED2691">
        <w:rPr>
          <w:bCs/>
        </w:rPr>
        <w:t>Néanmoins</w:t>
      </w:r>
      <w:r w:rsidR="00ED2691">
        <w:rPr>
          <w:bCs/>
        </w:rPr>
        <w:t xml:space="preserve">, la </w:t>
      </w:r>
      <w:r w:rsidR="00ED2691" w:rsidRPr="00ED2691">
        <w:rPr>
          <w:bCs/>
        </w:rPr>
        <w:t>délégation</w:t>
      </w:r>
      <w:r w:rsidR="00ED2691">
        <w:rPr>
          <w:bCs/>
        </w:rPr>
        <w:t xml:space="preserve"> avait des préoccupations quant aux procédures et se demandait si les choses pourraient s</w:t>
      </w:r>
      <w:r w:rsidR="00346F1B">
        <w:rPr>
          <w:bCs/>
        </w:rPr>
        <w:t>’</w:t>
      </w:r>
      <w:r w:rsidR="00ED2691">
        <w:rPr>
          <w:bCs/>
        </w:rPr>
        <w:t>améliorer. S</w:t>
      </w:r>
      <w:r w:rsidR="00346F1B">
        <w:rPr>
          <w:bCs/>
        </w:rPr>
        <w:t>’</w:t>
      </w:r>
      <w:r w:rsidR="00ED2691">
        <w:rPr>
          <w:bCs/>
        </w:rPr>
        <w:t>agissant des dossiers, elle a exprimé son soutien à l</w:t>
      </w:r>
      <w:r w:rsidR="00346F1B">
        <w:rPr>
          <w:bCs/>
        </w:rPr>
        <w:t>’</w:t>
      </w:r>
      <w:r w:rsidR="00ED2691">
        <w:rPr>
          <w:bCs/>
        </w:rPr>
        <w:t>idée d</w:t>
      </w:r>
      <w:r w:rsidR="00346F1B">
        <w:rPr>
          <w:bCs/>
        </w:rPr>
        <w:t>’</w:t>
      </w:r>
      <w:r w:rsidR="00ED2691">
        <w:rPr>
          <w:bCs/>
        </w:rPr>
        <w:t xml:space="preserve">un créneau de communication entre </w:t>
      </w:r>
      <w:r w:rsidR="00ED2691" w:rsidRPr="00ED2691">
        <w:rPr>
          <w:bCs/>
        </w:rPr>
        <w:t>l</w:t>
      </w:r>
      <w:r w:rsidR="00346F1B">
        <w:rPr>
          <w:bCs/>
        </w:rPr>
        <w:t>’</w:t>
      </w:r>
      <w:r w:rsidR="00ED2691" w:rsidRPr="00ED2691">
        <w:rPr>
          <w:bCs/>
        </w:rPr>
        <w:t>État partie</w:t>
      </w:r>
      <w:r w:rsidR="00ED2691">
        <w:rPr>
          <w:bCs/>
        </w:rPr>
        <w:t xml:space="preserve"> et l</w:t>
      </w:r>
      <w:r w:rsidR="00346F1B">
        <w:rPr>
          <w:bCs/>
        </w:rPr>
        <w:t>’</w:t>
      </w:r>
      <w:r w:rsidR="00ED2691">
        <w:rPr>
          <w:bCs/>
        </w:rPr>
        <w:t>Organe, ainsi qu</w:t>
      </w:r>
      <w:r w:rsidR="00346F1B">
        <w:rPr>
          <w:bCs/>
        </w:rPr>
        <w:t>’</w:t>
      </w:r>
      <w:r w:rsidR="00ED2691">
        <w:rPr>
          <w:bCs/>
        </w:rPr>
        <w:t>à la création d</w:t>
      </w:r>
      <w:r w:rsidR="00346F1B">
        <w:rPr>
          <w:bCs/>
        </w:rPr>
        <w:t>’</w:t>
      </w:r>
      <w:r w:rsidR="00ED2691">
        <w:rPr>
          <w:bCs/>
        </w:rPr>
        <w:t xml:space="preserve">un </w:t>
      </w:r>
      <w:r w:rsidR="00ED2691" w:rsidRPr="00ED2691">
        <w:rPr>
          <w:bCs/>
        </w:rPr>
        <w:t>groupe de travail</w:t>
      </w:r>
      <w:r w:rsidR="00ED2691">
        <w:rPr>
          <w:bCs/>
        </w:rPr>
        <w:t xml:space="preserve"> </w:t>
      </w:r>
      <w:r w:rsidR="00ED2691" w:rsidRPr="00ED2691">
        <w:rPr>
          <w:bCs/>
          <w:i/>
        </w:rPr>
        <w:t>ad hoc</w:t>
      </w:r>
      <w:r w:rsidR="00363E08">
        <w:rPr>
          <w:bCs/>
        </w:rPr>
        <w:t>. Elle</w:t>
      </w:r>
      <w:r w:rsidR="00ED2691">
        <w:rPr>
          <w:bCs/>
        </w:rPr>
        <w:t xml:space="preserve"> a appelé à une plus grande prise de conscience </w:t>
      </w:r>
      <w:r w:rsidR="003316CD">
        <w:rPr>
          <w:bCs/>
        </w:rPr>
        <w:t xml:space="preserve">de la nécessité de mettre à disposition des États soumissionnaires une assistance technique, </w:t>
      </w:r>
      <w:r w:rsidR="003316CD" w:rsidRPr="003316CD">
        <w:rPr>
          <w:bCs/>
        </w:rPr>
        <w:t>en particulier</w:t>
      </w:r>
      <w:r w:rsidR="003316CD">
        <w:rPr>
          <w:bCs/>
        </w:rPr>
        <w:t xml:space="preserve"> pour les pays en </w:t>
      </w:r>
      <w:r w:rsidR="003316CD" w:rsidRPr="003316CD">
        <w:rPr>
          <w:bCs/>
        </w:rPr>
        <w:t>développement</w:t>
      </w:r>
      <w:r w:rsidR="003316CD">
        <w:rPr>
          <w:bCs/>
        </w:rPr>
        <w:t xml:space="preserve"> qui ne disposaient pas nécessairement des capacités pour préparer les dossiers. Toutefois, malgré les structures formelles en place et les propositions visant à améliorer les procédures, la </w:t>
      </w:r>
      <w:r w:rsidR="003316CD" w:rsidRPr="003316CD">
        <w:rPr>
          <w:bCs/>
        </w:rPr>
        <w:t>délégation</w:t>
      </w:r>
      <w:r w:rsidR="003316CD">
        <w:rPr>
          <w:bCs/>
        </w:rPr>
        <w:t xml:space="preserve"> a évoqué les processus cachés et les arrière-pensées des États membres de la </w:t>
      </w:r>
      <w:r w:rsidR="003316CD" w:rsidRPr="003316CD">
        <w:rPr>
          <w:bCs/>
        </w:rPr>
        <w:t>Convention</w:t>
      </w:r>
      <w:r w:rsidR="003316CD">
        <w:rPr>
          <w:bCs/>
        </w:rPr>
        <w:t xml:space="preserve"> qu</w:t>
      </w:r>
      <w:r w:rsidR="00346F1B">
        <w:rPr>
          <w:bCs/>
        </w:rPr>
        <w:t>’</w:t>
      </w:r>
      <w:r w:rsidR="003316CD">
        <w:rPr>
          <w:bCs/>
        </w:rPr>
        <w:t xml:space="preserve">elle avait pu observer. Elle attendait des </w:t>
      </w:r>
      <w:r w:rsidR="00363E08">
        <w:rPr>
          <w:bCs/>
        </w:rPr>
        <w:t>experts culturels qu</w:t>
      </w:r>
      <w:r w:rsidR="00346F1B">
        <w:rPr>
          <w:bCs/>
        </w:rPr>
        <w:t>’</w:t>
      </w:r>
      <w:r w:rsidR="00363E08">
        <w:rPr>
          <w:bCs/>
        </w:rPr>
        <w:t>ils servent en permanence d</w:t>
      </w:r>
      <w:r w:rsidR="00346F1B">
        <w:rPr>
          <w:bCs/>
        </w:rPr>
        <w:t>’</w:t>
      </w:r>
      <w:r w:rsidR="003316CD">
        <w:rPr>
          <w:bCs/>
        </w:rPr>
        <w:t xml:space="preserve">exemple </w:t>
      </w:r>
      <w:r w:rsidR="00363E08">
        <w:rPr>
          <w:bCs/>
        </w:rPr>
        <w:t xml:space="preserve">aux </w:t>
      </w:r>
      <w:r w:rsidR="003316CD">
        <w:rPr>
          <w:bCs/>
        </w:rPr>
        <w:t>hommes politiques et autres dirigeants car ils représentaient l</w:t>
      </w:r>
      <w:r w:rsidR="00346F1B">
        <w:rPr>
          <w:bCs/>
        </w:rPr>
        <w:t>’</w:t>
      </w:r>
      <w:r w:rsidR="003316CD">
        <w:rPr>
          <w:bCs/>
        </w:rPr>
        <w:t>esprit et l</w:t>
      </w:r>
      <w:r w:rsidR="00346F1B">
        <w:rPr>
          <w:bCs/>
        </w:rPr>
        <w:t>’</w:t>
      </w:r>
      <w:r w:rsidR="003316CD">
        <w:rPr>
          <w:bCs/>
        </w:rPr>
        <w:t xml:space="preserve">âme des populations, en apportant leurs valeurs à leur mode de fonctionnement. La </w:t>
      </w:r>
      <w:r w:rsidR="003316CD" w:rsidRPr="003316CD">
        <w:rPr>
          <w:bCs/>
        </w:rPr>
        <w:t>délégation</w:t>
      </w:r>
      <w:r w:rsidR="003316CD">
        <w:rPr>
          <w:bCs/>
        </w:rPr>
        <w:t xml:space="preserve"> a dit attendre de cette </w:t>
      </w:r>
      <w:r w:rsidR="003316CD" w:rsidRPr="003316CD">
        <w:rPr>
          <w:bCs/>
        </w:rPr>
        <w:t>Convention</w:t>
      </w:r>
      <w:r w:rsidR="003316CD">
        <w:rPr>
          <w:bCs/>
        </w:rPr>
        <w:t xml:space="preserve"> qu</w:t>
      </w:r>
      <w:r w:rsidR="00346F1B">
        <w:rPr>
          <w:bCs/>
        </w:rPr>
        <w:t>’</w:t>
      </w:r>
      <w:r w:rsidR="003316CD">
        <w:rPr>
          <w:bCs/>
        </w:rPr>
        <w:t>elle soit très différente des autres par sa capacité à servir d</w:t>
      </w:r>
      <w:r w:rsidR="00346F1B">
        <w:rPr>
          <w:bCs/>
        </w:rPr>
        <w:t>’</w:t>
      </w:r>
      <w:r w:rsidR="003316CD">
        <w:rPr>
          <w:bCs/>
        </w:rPr>
        <w:t xml:space="preserve">exemple </w:t>
      </w:r>
      <w:r w:rsidR="00363E08">
        <w:rPr>
          <w:bCs/>
        </w:rPr>
        <w:t>dans sa façon d</w:t>
      </w:r>
      <w:r w:rsidR="00346F1B">
        <w:rPr>
          <w:bCs/>
        </w:rPr>
        <w:t>’</w:t>
      </w:r>
      <w:r w:rsidR="005C5B9B">
        <w:rPr>
          <w:bCs/>
        </w:rPr>
        <w:t>opérer.</w:t>
      </w:r>
    </w:p>
    <w:p w14:paraId="2243390B" w14:textId="3499D8FB" w:rsidR="00363E08" w:rsidRPr="00363E08" w:rsidRDefault="00363E08" w:rsidP="005C5B9B">
      <w:pPr>
        <w:pStyle w:val="Orateurengris"/>
        <w:spacing w:before="120"/>
        <w:ind w:left="709" w:hanging="709"/>
        <w:rPr>
          <w:bCs/>
        </w:rPr>
      </w:pPr>
      <w:r w:rsidRPr="00363E08">
        <w:rPr>
          <w:bCs/>
        </w:rPr>
        <w:t xml:space="preserve">Le </w:t>
      </w:r>
      <w:r w:rsidRPr="00363E08">
        <w:rPr>
          <w:b/>
          <w:bCs/>
        </w:rPr>
        <w:t>Président</w:t>
      </w:r>
      <w:r w:rsidRPr="00363E08">
        <w:rPr>
          <w:bCs/>
        </w:rPr>
        <w:t xml:space="preserve"> a pris note d</w:t>
      </w:r>
      <w:r w:rsidR="00346F1B">
        <w:rPr>
          <w:bCs/>
        </w:rPr>
        <w:t>’</w:t>
      </w:r>
      <w:r w:rsidRPr="00363E08">
        <w:rPr>
          <w:bCs/>
        </w:rPr>
        <w:t>une motion d</w:t>
      </w:r>
      <w:r w:rsidR="00346F1B">
        <w:rPr>
          <w:bCs/>
        </w:rPr>
        <w:t>’</w:t>
      </w:r>
      <w:r w:rsidRPr="00363E08">
        <w:rPr>
          <w:bCs/>
        </w:rPr>
        <w:t>ordre de Chypre.</w:t>
      </w:r>
    </w:p>
    <w:p w14:paraId="78241CD1" w14:textId="6A86B9CE" w:rsidR="00363E08" w:rsidRPr="00363E08" w:rsidRDefault="00363E08" w:rsidP="005C5B9B">
      <w:pPr>
        <w:pStyle w:val="Orateurengris"/>
        <w:spacing w:before="120"/>
        <w:ind w:left="709" w:hanging="709"/>
        <w:rPr>
          <w:b/>
          <w:bCs/>
        </w:rPr>
      </w:pPr>
      <w:r w:rsidRPr="00363E08">
        <w:rPr>
          <w:bCs/>
        </w:rPr>
        <w:t>La délégation de</w:t>
      </w:r>
      <w:r>
        <w:rPr>
          <w:b/>
          <w:bCs/>
        </w:rPr>
        <w:t xml:space="preserve"> Chypre </w:t>
      </w:r>
      <w:r w:rsidRPr="00363E08">
        <w:rPr>
          <w:bCs/>
        </w:rPr>
        <w:t>a fait remarquer que le Com</w:t>
      </w:r>
      <w:r>
        <w:rPr>
          <w:bCs/>
        </w:rPr>
        <w:t xml:space="preserve">ité ne viendrait pas à bout de son </w:t>
      </w:r>
      <w:r w:rsidRPr="00363E08">
        <w:rPr>
          <w:bCs/>
        </w:rPr>
        <w:t>ordre du jour</w:t>
      </w:r>
      <w:r>
        <w:rPr>
          <w:bCs/>
        </w:rPr>
        <w:t xml:space="preserve"> si les membres s</w:t>
      </w:r>
      <w:r w:rsidR="00346F1B">
        <w:rPr>
          <w:bCs/>
        </w:rPr>
        <w:t>’</w:t>
      </w:r>
      <w:r>
        <w:rPr>
          <w:bCs/>
        </w:rPr>
        <w:t>exprimaient pendant vingt minutes, elle a donc proposé une limite de</w:t>
      </w:r>
      <w:r w:rsidR="005C5B9B">
        <w:rPr>
          <w:bCs/>
        </w:rPr>
        <w:t xml:space="preserve"> deux minutes par intervention.</w:t>
      </w:r>
    </w:p>
    <w:p w14:paraId="57145806" w14:textId="1EE1D065" w:rsidR="00363E08" w:rsidRPr="00363E08" w:rsidRDefault="00363E08" w:rsidP="005C5B9B">
      <w:pPr>
        <w:pStyle w:val="Orateurengris"/>
        <w:spacing w:before="120"/>
        <w:ind w:left="709" w:hanging="709"/>
        <w:rPr>
          <w:bCs/>
        </w:rPr>
      </w:pPr>
      <w:r w:rsidRPr="00363E08">
        <w:rPr>
          <w:bCs/>
        </w:rPr>
        <w:t xml:space="preserve">La délégation de la </w:t>
      </w:r>
      <w:r w:rsidRPr="00363E08">
        <w:rPr>
          <w:b/>
          <w:bCs/>
        </w:rPr>
        <w:t>Palestine</w:t>
      </w:r>
      <w:r>
        <w:rPr>
          <w:bCs/>
        </w:rPr>
        <w:t xml:space="preserve"> soutenait cette motion d</w:t>
      </w:r>
      <w:r w:rsidR="00346F1B">
        <w:rPr>
          <w:bCs/>
        </w:rPr>
        <w:t>’</w:t>
      </w:r>
      <w:r w:rsidR="005C5B9B">
        <w:rPr>
          <w:bCs/>
        </w:rPr>
        <w:t>ordre.</w:t>
      </w:r>
    </w:p>
    <w:p w14:paraId="0A7DB3F9" w14:textId="3B465780" w:rsidR="00363E08" w:rsidRPr="00363E08" w:rsidRDefault="00363E08" w:rsidP="005C5B9B">
      <w:pPr>
        <w:pStyle w:val="Orateurengris"/>
        <w:spacing w:before="120"/>
        <w:ind w:left="709" w:hanging="709"/>
        <w:rPr>
          <w:bCs/>
        </w:rPr>
      </w:pPr>
      <w:r w:rsidRPr="00363E08">
        <w:rPr>
          <w:bCs/>
        </w:rPr>
        <w:t>Le</w:t>
      </w:r>
      <w:r>
        <w:rPr>
          <w:b/>
          <w:bCs/>
        </w:rPr>
        <w:t xml:space="preserve"> Président </w:t>
      </w:r>
      <w:r w:rsidRPr="00363E08">
        <w:rPr>
          <w:bCs/>
        </w:rPr>
        <w:t xml:space="preserve">a pris note du soutien </w:t>
      </w:r>
      <w:r w:rsidR="00921127">
        <w:rPr>
          <w:bCs/>
        </w:rPr>
        <w:t>de l</w:t>
      </w:r>
      <w:r w:rsidR="00346F1B">
        <w:rPr>
          <w:bCs/>
        </w:rPr>
        <w:t>’</w:t>
      </w:r>
      <w:r w:rsidR="00921127">
        <w:rPr>
          <w:bCs/>
        </w:rPr>
        <w:t>Inde, du Liban et de l</w:t>
      </w:r>
      <w:r w:rsidR="00346F1B">
        <w:rPr>
          <w:bCs/>
        </w:rPr>
        <w:t>’</w:t>
      </w:r>
      <w:r w:rsidR="00921127">
        <w:rPr>
          <w:bCs/>
        </w:rPr>
        <w:t>Algérie à cette motion d</w:t>
      </w:r>
      <w:r w:rsidR="00346F1B">
        <w:rPr>
          <w:bCs/>
        </w:rPr>
        <w:t>’</w:t>
      </w:r>
      <w:r w:rsidR="00921127">
        <w:rPr>
          <w:bCs/>
        </w:rPr>
        <w:t>ordre, il a ajouté que les membres du Comité disposeraient de deux minutes et les observateurs d</w:t>
      </w:r>
      <w:r w:rsidR="00346F1B">
        <w:rPr>
          <w:bCs/>
        </w:rPr>
        <w:t>’</w:t>
      </w:r>
      <w:r w:rsidR="00921127">
        <w:rPr>
          <w:bCs/>
        </w:rPr>
        <w:t>une minute pour s</w:t>
      </w:r>
      <w:r w:rsidR="00346F1B">
        <w:rPr>
          <w:bCs/>
        </w:rPr>
        <w:t>’</w:t>
      </w:r>
      <w:r w:rsidR="005C5B9B">
        <w:rPr>
          <w:bCs/>
        </w:rPr>
        <w:t>exprimer.</w:t>
      </w:r>
    </w:p>
    <w:p w14:paraId="3730273B" w14:textId="1936C8B6" w:rsidR="006B5823" w:rsidRPr="006B5823" w:rsidRDefault="006B5823" w:rsidP="005C5B9B">
      <w:pPr>
        <w:pStyle w:val="Orateurengris"/>
        <w:spacing w:before="120"/>
        <w:ind w:left="709" w:hanging="709"/>
        <w:rPr>
          <w:bCs/>
        </w:rPr>
      </w:pPr>
      <w:r w:rsidRPr="006B5823">
        <w:rPr>
          <w:bCs/>
        </w:rPr>
        <w:t>La délégation de</w:t>
      </w:r>
      <w:r>
        <w:rPr>
          <w:b/>
          <w:bCs/>
        </w:rPr>
        <w:t xml:space="preserve"> Sainte-Lucie </w:t>
      </w:r>
      <w:r w:rsidRPr="006B5823">
        <w:rPr>
          <w:bCs/>
        </w:rPr>
        <w:t xml:space="preserve">a poursuivi son intervention </w:t>
      </w:r>
      <w:r>
        <w:rPr>
          <w:bCs/>
        </w:rPr>
        <w:t>en précisant qu</w:t>
      </w:r>
      <w:r w:rsidR="00346F1B">
        <w:rPr>
          <w:bCs/>
        </w:rPr>
        <w:t>’</w:t>
      </w:r>
      <w:r>
        <w:rPr>
          <w:bCs/>
        </w:rPr>
        <w:t>elle n</w:t>
      </w:r>
      <w:r w:rsidR="00346F1B">
        <w:rPr>
          <w:bCs/>
        </w:rPr>
        <w:t>’</w:t>
      </w:r>
      <w:r>
        <w:rPr>
          <w:bCs/>
        </w:rPr>
        <w:t>avait pas apprécié certains comportements et observations au cours de la session, qui révélaient des manœuvres cachées qui sapaient le travail de l</w:t>
      </w:r>
      <w:r w:rsidR="00346F1B">
        <w:rPr>
          <w:bCs/>
        </w:rPr>
        <w:t>’</w:t>
      </w:r>
      <w:r>
        <w:rPr>
          <w:bCs/>
        </w:rPr>
        <w:t>Organe d</w:t>
      </w:r>
      <w:r w:rsidR="00346F1B">
        <w:rPr>
          <w:bCs/>
        </w:rPr>
        <w:t>’</w:t>
      </w:r>
      <w:r>
        <w:rPr>
          <w:bCs/>
        </w:rPr>
        <w:t>évaluation, un comité composé d</w:t>
      </w:r>
      <w:r w:rsidR="00346F1B">
        <w:rPr>
          <w:bCs/>
        </w:rPr>
        <w:t>’</w:t>
      </w:r>
      <w:r>
        <w:rPr>
          <w:bCs/>
        </w:rPr>
        <w:t xml:space="preserve">experts. La </w:t>
      </w:r>
      <w:r w:rsidRPr="006B5823">
        <w:rPr>
          <w:bCs/>
        </w:rPr>
        <w:t>délégation</w:t>
      </w:r>
      <w:r>
        <w:rPr>
          <w:bCs/>
        </w:rPr>
        <w:t xml:space="preserve"> a ajouté que bien des décisions du Comité n</w:t>
      </w:r>
      <w:r w:rsidR="00346F1B">
        <w:rPr>
          <w:bCs/>
        </w:rPr>
        <w:t>’</w:t>
      </w:r>
      <w:r>
        <w:rPr>
          <w:bCs/>
        </w:rPr>
        <w:t>étaient pas basées sur les critères mis en place pour évaluer l</w:t>
      </w:r>
      <w:r w:rsidR="000B6124">
        <w:rPr>
          <w:bCs/>
        </w:rPr>
        <w:t>es dossiers et, de ce fait</w:t>
      </w:r>
      <w:r>
        <w:rPr>
          <w:bCs/>
        </w:rPr>
        <w:t xml:space="preserve">, des exemples véritables et valides de PCI </w:t>
      </w:r>
      <w:r w:rsidR="000B6124">
        <w:rPr>
          <w:bCs/>
        </w:rPr>
        <w:t>inscrits s</w:t>
      </w:r>
      <w:r w:rsidR="00346F1B">
        <w:rPr>
          <w:bCs/>
        </w:rPr>
        <w:t>’</w:t>
      </w:r>
      <w:r w:rsidR="000B6124">
        <w:rPr>
          <w:bCs/>
        </w:rPr>
        <w:t>affichaient aux yeux du monde sur la base d</w:t>
      </w:r>
      <w:r w:rsidR="00346F1B">
        <w:rPr>
          <w:bCs/>
        </w:rPr>
        <w:t>’</w:t>
      </w:r>
      <w:r w:rsidR="000B6124">
        <w:rPr>
          <w:bCs/>
        </w:rPr>
        <w:t xml:space="preserve">autres critères, ce qui aurait des répercussions ultérieures. Enfin, la </w:t>
      </w:r>
      <w:r w:rsidR="000B6124" w:rsidRPr="000B6124">
        <w:rPr>
          <w:bCs/>
        </w:rPr>
        <w:t>délégation</w:t>
      </w:r>
      <w:r w:rsidR="000B6124">
        <w:rPr>
          <w:bCs/>
        </w:rPr>
        <w:t xml:space="preserve"> a lancé un appel au nom des ONG. Elle était consciente de la nature intergouvernementale du Comité mais les ONG étaient plus représentatives des communautés et plus proches de la réalité sur le terrain que les représentants des gouvernements et, à ce titre, elles devrai</w:t>
      </w:r>
      <w:r w:rsidR="005C5B9B">
        <w:rPr>
          <w:bCs/>
        </w:rPr>
        <w:t>ent être traitées avec respect.</w:t>
      </w:r>
    </w:p>
    <w:p w14:paraId="3408D2A3" w14:textId="5D83934D" w:rsidR="000B499C" w:rsidRPr="000B499C" w:rsidRDefault="000B499C" w:rsidP="005C5B9B">
      <w:pPr>
        <w:pStyle w:val="Orateurengris"/>
        <w:spacing w:before="120"/>
        <w:ind w:left="709" w:hanging="709"/>
        <w:rPr>
          <w:b/>
          <w:bCs/>
        </w:rPr>
      </w:pPr>
      <w:r w:rsidRPr="000B499C">
        <w:rPr>
          <w:bCs/>
        </w:rPr>
        <w:t>La délégation de l</w:t>
      </w:r>
      <w:r w:rsidR="00346F1B">
        <w:rPr>
          <w:bCs/>
        </w:rPr>
        <w:t>’</w:t>
      </w:r>
      <w:r w:rsidRPr="000B499C">
        <w:rPr>
          <w:b/>
          <w:bCs/>
        </w:rPr>
        <w:t>Afghanistan</w:t>
      </w:r>
      <w:r>
        <w:rPr>
          <w:b/>
          <w:bCs/>
        </w:rPr>
        <w:t xml:space="preserve"> </w:t>
      </w:r>
      <w:r>
        <w:rPr>
          <w:bCs/>
        </w:rPr>
        <w:t xml:space="preserve">a débuté son </w:t>
      </w:r>
      <w:r w:rsidRPr="000B499C">
        <w:rPr>
          <w:bCs/>
        </w:rPr>
        <w:t>intervention</w:t>
      </w:r>
      <w:r>
        <w:rPr>
          <w:bCs/>
        </w:rPr>
        <w:t xml:space="preserve"> en remerciant et félicitant le Secrétariat, l</w:t>
      </w:r>
      <w:r w:rsidR="00346F1B">
        <w:rPr>
          <w:bCs/>
        </w:rPr>
        <w:t>’</w:t>
      </w:r>
      <w:r>
        <w:rPr>
          <w:bCs/>
        </w:rPr>
        <w:t>Organe d</w:t>
      </w:r>
      <w:r w:rsidR="00346F1B">
        <w:rPr>
          <w:bCs/>
        </w:rPr>
        <w:t>’</w:t>
      </w:r>
      <w:r>
        <w:rPr>
          <w:bCs/>
        </w:rPr>
        <w:t>évaluation et le Comité, ajoutant que toutes les délégations souhaitaient éviter les situations extrêmes ; elles ne souhaitaient ni ignorer l</w:t>
      </w:r>
      <w:r w:rsidR="00346F1B">
        <w:rPr>
          <w:bCs/>
        </w:rPr>
        <w:t>’</w:t>
      </w:r>
      <w:r>
        <w:rPr>
          <w:bCs/>
        </w:rPr>
        <w:t>Organe d</w:t>
      </w:r>
      <w:r w:rsidR="00346F1B">
        <w:rPr>
          <w:bCs/>
        </w:rPr>
        <w:t>’</w:t>
      </w:r>
      <w:r>
        <w:rPr>
          <w:bCs/>
        </w:rPr>
        <w:t>évaluation, ni devenir une chambre d</w:t>
      </w:r>
      <w:r w:rsidR="00346F1B">
        <w:rPr>
          <w:bCs/>
        </w:rPr>
        <w:t>’</w:t>
      </w:r>
      <w:r w:rsidRPr="000B499C">
        <w:rPr>
          <w:bCs/>
        </w:rPr>
        <w:t>enregistrement</w:t>
      </w:r>
      <w:r>
        <w:rPr>
          <w:bCs/>
        </w:rPr>
        <w:t xml:space="preserve"> des recommandations, ce qui, dans les deux cas, ferait perdre du temps à tout le monde. Afin d</w:t>
      </w:r>
      <w:r w:rsidR="00346F1B">
        <w:rPr>
          <w:bCs/>
        </w:rPr>
        <w:t>’</w:t>
      </w:r>
      <w:r>
        <w:rPr>
          <w:bCs/>
        </w:rPr>
        <w:t xml:space="preserve">établir un équilibre, la </w:t>
      </w:r>
      <w:r w:rsidRPr="000B499C">
        <w:rPr>
          <w:bCs/>
        </w:rPr>
        <w:t>délégation</w:t>
      </w:r>
      <w:r>
        <w:rPr>
          <w:bCs/>
        </w:rPr>
        <w:t xml:space="preserve"> a appelé de ses vœux des moyens et des méthodes de travail plus solides, ainsi qu</w:t>
      </w:r>
      <w:r w:rsidR="00346F1B">
        <w:rPr>
          <w:bCs/>
        </w:rPr>
        <w:t>’</w:t>
      </w:r>
      <w:r>
        <w:rPr>
          <w:bCs/>
        </w:rPr>
        <w:t>une meilleure définition des différentes phases d</w:t>
      </w:r>
      <w:r w:rsidR="00346F1B">
        <w:rPr>
          <w:bCs/>
        </w:rPr>
        <w:t>’</w:t>
      </w:r>
      <w:r>
        <w:rPr>
          <w:bCs/>
        </w:rPr>
        <w:t>interaction et d</w:t>
      </w:r>
      <w:r w:rsidR="00346F1B">
        <w:rPr>
          <w:bCs/>
        </w:rPr>
        <w:t>’</w:t>
      </w:r>
      <w:r>
        <w:rPr>
          <w:bCs/>
        </w:rPr>
        <w:t>échange avec le Secrétariat et l</w:t>
      </w:r>
      <w:r w:rsidR="00346F1B">
        <w:rPr>
          <w:bCs/>
        </w:rPr>
        <w:t>’</w:t>
      </w:r>
      <w:r>
        <w:rPr>
          <w:bCs/>
        </w:rPr>
        <w:t>Organe d</w:t>
      </w:r>
      <w:r w:rsidR="00346F1B">
        <w:rPr>
          <w:bCs/>
        </w:rPr>
        <w:t>’</w:t>
      </w:r>
      <w:r>
        <w:rPr>
          <w:bCs/>
        </w:rPr>
        <w:t>évaluation et l</w:t>
      </w:r>
      <w:r w:rsidR="00346F1B">
        <w:rPr>
          <w:bCs/>
        </w:rPr>
        <w:t>’</w:t>
      </w:r>
      <w:r>
        <w:rPr>
          <w:bCs/>
        </w:rPr>
        <w:t>introduction d</w:t>
      </w:r>
      <w:r w:rsidR="00346F1B">
        <w:rPr>
          <w:bCs/>
        </w:rPr>
        <w:t>’</w:t>
      </w:r>
      <w:r>
        <w:rPr>
          <w:bCs/>
        </w:rPr>
        <w:t>un créneau d</w:t>
      </w:r>
      <w:r w:rsidR="00346F1B">
        <w:rPr>
          <w:bCs/>
        </w:rPr>
        <w:t>’</w:t>
      </w:r>
      <w:r>
        <w:rPr>
          <w:bCs/>
        </w:rPr>
        <w:t xml:space="preserve">interaction. Elle souhaitait </w:t>
      </w:r>
      <w:r w:rsidRPr="000B499C">
        <w:rPr>
          <w:bCs/>
        </w:rPr>
        <w:t>également</w:t>
      </w:r>
      <w:r>
        <w:rPr>
          <w:bCs/>
        </w:rPr>
        <w:t xml:space="preserve"> disposer de meilleurs outils de travail tels que des listes de contrôle, </w:t>
      </w:r>
      <w:r w:rsidR="00AB04D1">
        <w:rPr>
          <w:bCs/>
        </w:rPr>
        <w:t>des glossaires, des termes de référen</w:t>
      </w:r>
      <w:r w:rsidR="005C5B9B">
        <w:rPr>
          <w:bCs/>
        </w:rPr>
        <w:t>ce et des codes de déontologie.</w:t>
      </w:r>
    </w:p>
    <w:p w14:paraId="53C529D5" w14:textId="0BCA6F55" w:rsidR="00C43941" w:rsidRPr="00C43941" w:rsidRDefault="00AB04D1" w:rsidP="005C5B9B">
      <w:pPr>
        <w:pStyle w:val="Orateurengris"/>
        <w:spacing w:before="120"/>
        <w:ind w:left="709" w:hanging="709"/>
        <w:rPr>
          <w:bCs/>
        </w:rPr>
      </w:pPr>
      <w:r w:rsidRPr="00AB04D1">
        <w:rPr>
          <w:bCs/>
        </w:rPr>
        <w:t>La délégation de la</w:t>
      </w:r>
      <w:r w:rsidRPr="00AB04D1">
        <w:rPr>
          <w:b/>
          <w:bCs/>
        </w:rPr>
        <w:t xml:space="preserve"> Hongrie </w:t>
      </w:r>
      <w:r w:rsidRPr="00AB04D1">
        <w:rPr>
          <w:bCs/>
        </w:rPr>
        <w:t xml:space="preserve">a confirmé </w:t>
      </w:r>
      <w:r>
        <w:rPr>
          <w:bCs/>
        </w:rPr>
        <w:t xml:space="preserve">son </w:t>
      </w:r>
      <w:r w:rsidRPr="00AB04D1">
        <w:rPr>
          <w:bCs/>
        </w:rPr>
        <w:t>engagement</w:t>
      </w:r>
      <w:r>
        <w:rPr>
          <w:bCs/>
        </w:rPr>
        <w:t xml:space="preserve"> résolu en faveur de la réussite de la mise en œuvre de la </w:t>
      </w:r>
      <w:r w:rsidRPr="00AB04D1">
        <w:rPr>
          <w:bCs/>
        </w:rPr>
        <w:t>Convention</w:t>
      </w:r>
      <w:r>
        <w:rPr>
          <w:bCs/>
        </w:rPr>
        <w:t>. Elle a évoqué le changement d</w:t>
      </w:r>
      <w:r w:rsidR="00346F1B">
        <w:rPr>
          <w:bCs/>
        </w:rPr>
        <w:t>’</w:t>
      </w:r>
      <w:r>
        <w:rPr>
          <w:bCs/>
        </w:rPr>
        <w:t>esprit au sein du Comité par ra</w:t>
      </w:r>
      <w:r w:rsidR="00AC2CD3">
        <w:rPr>
          <w:bCs/>
        </w:rPr>
        <w:t xml:space="preserve">pport aux précédentes sessions, </w:t>
      </w:r>
      <w:r>
        <w:rPr>
          <w:bCs/>
        </w:rPr>
        <w:t xml:space="preserve">en ce qui concerne la façon dont on était parvenu aux décisions. La </w:t>
      </w:r>
      <w:r w:rsidRPr="00AB04D1">
        <w:rPr>
          <w:bCs/>
        </w:rPr>
        <w:t>délégation</w:t>
      </w:r>
      <w:r>
        <w:rPr>
          <w:bCs/>
        </w:rPr>
        <w:t xml:space="preserve"> ne se souvenait pas d</w:t>
      </w:r>
      <w:r w:rsidR="00346F1B">
        <w:rPr>
          <w:bCs/>
        </w:rPr>
        <w:t>’</w:t>
      </w:r>
      <w:r>
        <w:rPr>
          <w:bCs/>
        </w:rPr>
        <w:t xml:space="preserve">une session au cours de laquelle </w:t>
      </w:r>
      <w:r w:rsidR="00C43941">
        <w:rPr>
          <w:bCs/>
        </w:rPr>
        <w:t xml:space="preserve">le Comité avait rejeté </w:t>
      </w:r>
      <w:r w:rsidR="00AC2CD3">
        <w:rPr>
          <w:bCs/>
        </w:rPr>
        <w:t>autant de</w:t>
      </w:r>
      <w:r w:rsidR="00C43941">
        <w:rPr>
          <w:bCs/>
        </w:rPr>
        <w:t xml:space="preserve"> recommandations de l</w:t>
      </w:r>
      <w:r w:rsidR="00346F1B">
        <w:rPr>
          <w:bCs/>
        </w:rPr>
        <w:t>’</w:t>
      </w:r>
      <w:r w:rsidR="00C43941">
        <w:rPr>
          <w:bCs/>
        </w:rPr>
        <w:t>Organe d</w:t>
      </w:r>
      <w:r w:rsidR="00346F1B">
        <w:rPr>
          <w:bCs/>
        </w:rPr>
        <w:t>’</w:t>
      </w:r>
      <w:r w:rsidR="00C43941">
        <w:rPr>
          <w:bCs/>
        </w:rPr>
        <w:t>évaluation. Elle a donc suggéré que le Comité envisage la possibilité d</w:t>
      </w:r>
      <w:r w:rsidR="00346F1B">
        <w:rPr>
          <w:bCs/>
        </w:rPr>
        <w:t>’</w:t>
      </w:r>
      <w:r w:rsidR="00C43941">
        <w:rPr>
          <w:bCs/>
        </w:rPr>
        <w:t xml:space="preserve">entreprendre une </w:t>
      </w:r>
      <w:r w:rsidR="00C43941" w:rsidRPr="00C43941">
        <w:rPr>
          <w:bCs/>
        </w:rPr>
        <w:t>évaluation</w:t>
      </w:r>
      <w:r w:rsidR="00C43941">
        <w:rPr>
          <w:bCs/>
        </w:rPr>
        <w:t xml:space="preserve"> des décisions prises au titre des points 10.a, 10.b et 10.c, et plus </w:t>
      </w:r>
      <w:r w:rsidR="00C43941" w:rsidRPr="00C43941">
        <w:rPr>
          <w:bCs/>
        </w:rPr>
        <w:t>particulièrement</w:t>
      </w:r>
      <w:r w:rsidR="00C43941">
        <w:rPr>
          <w:bCs/>
        </w:rPr>
        <w:t xml:space="preserve">, de leur capacité à faire progresser la </w:t>
      </w:r>
      <w:r w:rsidR="00C43941" w:rsidRPr="00C43941">
        <w:rPr>
          <w:bCs/>
        </w:rPr>
        <w:t>sauvegarde</w:t>
      </w:r>
      <w:r w:rsidR="00C43941">
        <w:rPr>
          <w:bCs/>
        </w:rPr>
        <w:t xml:space="preserve"> du PCI. Cette </w:t>
      </w:r>
      <w:r w:rsidR="00C43941" w:rsidRPr="00C43941">
        <w:rPr>
          <w:bCs/>
        </w:rPr>
        <w:t>évaluation</w:t>
      </w:r>
      <w:r w:rsidR="00C43941">
        <w:rPr>
          <w:bCs/>
        </w:rPr>
        <w:t xml:space="preserve"> était suggérée afin de veiller à ce que les différentes listes et décisions du Comité demeurent et deviennent un point de repère fiable de ce qui constituait le PCI et des modalités de sa </w:t>
      </w:r>
      <w:r w:rsidR="00C43941" w:rsidRPr="00C43941">
        <w:rPr>
          <w:bCs/>
        </w:rPr>
        <w:t>sauvegarde</w:t>
      </w:r>
      <w:r w:rsidR="00C43941">
        <w:rPr>
          <w:bCs/>
        </w:rPr>
        <w:t xml:space="preserve"> par et pour tous les partenaires et </w:t>
      </w:r>
      <w:r w:rsidR="00C43941" w:rsidRPr="00C43941">
        <w:rPr>
          <w:bCs/>
        </w:rPr>
        <w:t>parties prenantes</w:t>
      </w:r>
      <w:r w:rsidR="00C43941">
        <w:rPr>
          <w:bCs/>
        </w:rPr>
        <w:t xml:space="preserve"> du PCI. </w:t>
      </w:r>
      <w:r w:rsidR="008D4DDD">
        <w:rPr>
          <w:bCs/>
        </w:rPr>
        <w:t>C</w:t>
      </w:r>
      <w:r w:rsidR="00346F1B">
        <w:rPr>
          <w:bCs/>
        </w:rPr>
        <w:t>’</w:t>
      </w:r>
      <w:r w:rsidR="008D4DDD">
        <w:rPr>
          <w:bCs/>
        </w:rPr>
        <w:t>était là, selon l</w:t>
      </w:r>
      <w:r w:rsidR="00C43941">
        <w:rPr>
          <w:bCs/>
        </w:rPr>
        <w:t xml:space="preserve">a </w:t>
      </w:r>
      <w:r w:rsidR="00C43941" w:rsidRPr="00C43941">
        <w:rPr>
          <w:bCs/>
        </w:rPr>
        <w:t>délégation</w:t>
      </w:r>
      <w:r w:rsidR="008D4DDD">
        <w:rPr>
          <w:bCs/>
        </w:rPr>
        <w:t xml:space="preserve">, </w:t>
      </w:r>
      <w:r w:rsidR="00C43941">
        <w:rPr>
          <w:bCs/>
        </w:rPr>
        <w:t>l</w:t>
      </w:r>
      <w:r w:rsidR="00346F1B">
        <w:rPr>
          <w:bCs/>
        </w:rPr>
        <w:t>’</w:t>
      </w:r>
      <w:r w:rsidR="00C43941">
        <w:rPr>
          <w:bCs/>
        </w:rPr>
        <w:t xml:space="preserve">objectif de la </w:t>
      </w:r>
      <w:r w:rsidR="00C43941" w:rsidRPr="00C43941">
        <w:rPr>
          <w:bCs/>
        </w:rPr>
        <w:t>Convention</w:t>
      </w:r>
      <w:r w:rsidR="008D4DDD">
        <w:rPr>
          <w:bCs/>
        </w:rPr>
        <w:t xml:space="preserve"> et </w:t>
      </w:r>
      <w:r w:rsidR="00C43941">
        <w:rPr>
          <w:bCs/>
        </w:rPr>
        <w:t xml:space="preserve">le Comité devait donc </w:t>
      </w:r>
      <w:r w:rsidR="008D4DDD">
        <w:rPr>
          <w:bCs/>
        </w:rPr>
        <w:t xml:space="preserve">se conformer plus </w:t>
      </w:r>
      <w:r w:rsidR="008D4DDD" w:rsidRPr="008D4DDD">
        <w:rPr>
          <w:bCs/>
        </w:rPr>
        <w:t>systématiquement</w:t>
      </w:r>
      <w:r w:rsidR="008D4DDD">
        <w:rPr>
          <w:bCs/>
        </w:rPr>
        <w:t xml:space="preserve"> aux critères qu</w:t>
      </w:r>
      <w:r w:rsidR="00346F1B">
        <w:rPr>
          <w:bCs/>
        </w:rPr>
        <w:t>’</w:t>
      </w:r>
      <w:r w:rsidR="008D4DDD">
        <w:rPr>
          <w:bCs/>
        </w:rPr>
        <w:t>il avait lui-même adoptés pour inscrire ou sélectionner un élément sur les différentes listes, ce qui était un moyen d</w:t>
      </w:r>
      <w:r w:rsidR="00346F1B">
        <w:rPr>
          <w:bCs/>
        </w:rPr>
        <w:t>’</w:t>
      </w:r>
      <w:r w:rsidR="008D4DDD">
        <w:rPr>
          <w:bCs/>
        </w:rPr>
        <w:t>atteindre le but ultime qu</w:t>
      </w:r>
      <w:r w:rsidR="00346F1B">
        <w:rPr>
          <w:bCs/>
        </w:rPr>
        <w:t>’</w:t>
      </w:r>
      <w:r w:rsidR="008D4DDD">
        <w:rPr>
          <w:bCs/>
        </w:rPr>
        <w:t xml:space="preserve">étaient la célébration et la </w:t>
      </w:r>
      <w:r w:rsidR="008D4DDD" w:rsidRPr="008D4DDD">
        <w:rPr>
          <w:bCs/>
        </w:rPr>
        <w:t>sauvegarde</w:t>
      </w:r>
      <w:r w:rsidR="00F978E2">
        <w:rPr>
          <w:bCs/>
        </w:rPr>
        <w:t xml:space="preserve"> du PCI. Les L</w:t>
      </w:r>
      <w:r w:rsidR="008D4DDD">
        <w:rPr>
          <w:bCs/>
        </w:rPr>
        <w:t xml:space="preserve">istes, qui étaient remarquables par leur capacité à </w:t>
      </w:r>
      <w:r w:rsidR="008D4DDD" w:rsidRPr="008D4DDD">
        <w:rPr>
          <w:bCs/>
        </w:rPr>
        <w:t>sensib</w:t>
      </w:r>
      <w:r w:rsidR="008D4DDD">
        <w:rPr>
          <w:bCs/>
        </w:rPr>
        <w:t>iliser, bénéficiaient d</w:t>
      </w:r>
      <w:r w:rsidR="00346F1B">
        <w:rPr>
          <w:bCs/>
        </w:rPr>
        <w:t>’</w:t>
      </w:r>
      <w:r w:rsidR="008D4DDD">
        <w:rPr>
          <w:bCs/>
        </w:rPr>
        <w:t xml:space="preserve">un certain capital symbolique mais si elles perdaient leur prestige, alors elles perdraient leur pouvoir de </w:t>
      </w:r>
      <w:r w:rsidR="008D4DDD" w:rsidRPr="008D4DDD">
        <w:rPr>
          <w:bCs/>
        </w:rPr>
        <w:t>visibilité</w:t>
      </w:r>
      <w:r w:rsidR="00AC2CD3">
        <w:rPr>
          <w:bCs/>
        </w:rPr>
        <w:t xml:space="preserve"> et le capital symbolique </w:t>
      </w:r>
      <w:r w:rsidR="008D4DDD">
        <w:rPr>
          <w:bCs/>
        </w:rPr>
        <w:t>qui attirai</w:t>
      </w:r>
      <w:r w:rsidR="00AC2CD3">
        <w:rPr>
          <w:bCs/>
        </w:rPr>
        <w:t>en</w:t>
      </w:r>
      <w:r w:rsidR="008D4DDD">
        <w:rPr>
          <w:bCs/>
        </w:rPr>
        <w:t xml:space="preserve">t les populations vers le PCI et sa </w:t>
      </w:r>
      <w:r w:rsidR="008D4DDD" w:rsidRPr="008D4DDD">
        <w:rPr>
          <w:bCs/>
        </w:rPr>
        <w:t>sauvegarde</w:t>
      </w:r>
      <w:r w:rsidR="008D4DDD">
        <w:rPr>
          <w:bCs/>
        </w:rPr>
        <w:t>.</w:t>
      </w:r>
    </w:p>
    <w:p w14:paraId="7DD1A19A" w14:textId="536367A0" w:rsidR="0049272D" w:rsidRPr="0049272D" w:rsidRDefault="0049272D" w:rsidP="005C5B9B">
      <w:pPr>
        <w:pStyle w:val="Orateurengris"/>
        <w:spacing w:before="120"/>
        <w:ind w:left="709" w:hanging="709"/>
        <w:rPr>
          <w:bCs/>
        </w:rPr>
      </w:pPr>
      <w:r w:rsidRPr="0049272D">
        <w:rPr>
          <w:bCs/>
        </w:rPr>
        <w:t>La délégation de la</w:t>
      </w:r>
      <w:r>
        <w:rPr>
          <w:b/>
          <w:bCs/>
        </w:rPr>
        <w:t xml:space="preserve"> Colombie </w:t>
      </w:r>
      <w:r>
        <w:rPr>
          <w:bCs/>
        </w:rPr>
        <w:t xml:space="preserve">pensait </w:t>
      </w:r>
      <w:r w:rsidRPr="0049272D">
        <w:rPr>
          <w:bCs/>
        </w:rPr>
        <w:t>qu</w:t>
      </w:r>
      <w:r w:rsidR="00346F1B">
        <w:rPr>
          <w:bCs/>
        </w:rPr>
        <w:t>’</w:t>
      </w:r>
      <w:r w:rsidRPr="0049272D">
        <w:rPr>
          <w:bCs/>
        </w:rPr>
        <w:t>il</w:t>
      </w:r>
      <w:r>
        <w:rPr>
          <w:bCs/>
        </w:rPr>
        <w:t xml:space="preserve"> était important de conserver le caractère technique du Comité et d</w:t>
      </w:r>
      <w:r w:rsidR="00346F1B">
        <w:rPr>
          <w:bCs/>
        </w:rPr>
        <w:t>’</w:t>
      </w:r>
      <w:r>
        <w:rPr>
          <w:bCs/>
        </w:rPr>
        <w:t>essayer de favoriser le dialogue entre les États soumissionnaires et l</w:t>
      </w:r>
      <w:r w:rsidR="00346F1B">
        <w:rPr>
          <w:bCs/>
        </w:rPr>
        <w:t>’</w:t>
      </w:r>
      <w:r>
        <w:rPr>
          <w:bCs/>
        </w:rPr>
        <w:t>Organe d</w:t>
      </w:r>
      <w:r w:rsidR="00346F1B">
        <w:rPr>
          <w:bCs/>
        </w:rPr>
        <w:t>’</w:t>
      </w:r>
      <w:r>
        <w:rPr>
          <w:bCs/>
        </w:rPr>
        <w:t xml:space="preserve">évaluation. Elle était donc favorable à la proposition de créer un </w:t>
      </w:r>
      <w:r w:rsidRPr="0049272D">
        <w:rPr>
          <w:bCs/>
        </w:rPr>
        <w:t>groupe de travail</w:t>
      </w:r>
      <w:r>
        <w:rPr>
          <w:bCs/>
        </w:rPr>
        <w:t xml:space="preserve"> destiné à débattre de la méthodologie en place ainsi que d</w:t>
      </w:r>
      <w:r w:rsidR="00346F1B">
        <w:rPr>
          <w:bCs/>
        </w:rPr>
        <w:t>’</w:t>
      </w:r>
      <w:r>
        <w:rPr>
          <w:bCs/>
        </w:rPr>
        <w:t>autres questions, et ce, afin d</w:t>
      </w:r>
      <w:r w:rsidR="00346F1B">
        <w:rPr>
          <w:bCs/>
        </w:rPr>
        <w:t>’</w:t>
      </w:r>
      <w:r>
        <w:rPr>
          <w:bCs/>
        </w:rPr>
        <w:t>éviter les conflits qui s</w:t>
      </w:r>
      <w:r w:rsidR="00346F1B">
        <w:rPr>
          <w:bCs/>
        </w:rPr>
        <w:t>’</w:t>
      </w:r>
      <w:r>
        <w:rPr>
          <w:bCs/>
        </w:rPr>
        <w:t>étaient fai</w:t>
      </w:r>
      <w:r w:rsidR="00327791">
        <w:rPr>
          <w:bCs/>
        </w:rPr>
        <w:t>t</w:t>
      </w:r>
      <w:r>
        <w:rPr>
          <w:bCs/>
        </w:rPr>
        <w:t xml:space="preserve"> jour durant cette session entre les recommandations de l</w:t>
      </w:r>
      <w:r w:rsidR="00346F1B">
        <w:rPr>
          <w:bCs/>
        </w:rPr>
        <w:t>’</w:t>
      </w:r>
      <w:r>
        <w:rPr>
          <w:bCs/>
        </w:rPr>
        <w:t>Organe d</w:t>
      </w:r>
      <w:r w:rsidR="00346F1B">
        <w:rPr>
          <w:bCs/>
        </w:rPr>
        <w:t>’</w:t>
      </w:r>
      <w:r>
        <w:rPr>
          <w:bCs/>
        </w:rPr>
        <w:t>évaluat</w:t>
      </w:r>
      <w:r w:rsidR="005C5B9B">
        <w:rPr>
          <w:bCs/>
        </w:rPr>
        <w:t>ion et les décisions du Comité.</w:t>
      </w:r>
    </w:p>
    <w:p w14:paraId="09E3BB96" w14:textId="22D068DB" w:rsidR="00327791" w:rsidRPr="00327791" w:rsidRDefault="00327791" w:rsidP="005C5B9B">
      <w:pPr>
        <w:pStyle w:val="Orateurengris"/>
        <w:spacing w:before="120"/>
        <w:ind w:left="709" w:hanging="709"/>
        <w:rPr>
          <w:b/>
          <w:bCs/>
        </w:rPr>
      </w:pPr>
      <w:r>
        <w:rPr>
          <w:bCs/>
        </w:rPr>
        <w:t>Compte tenu des décisions prises, l</w:t>
      </w:r>
      <w:r w:rsidRPr="00327791">
        <w:rPr>
          <w:bCs/>
        </w:rPr>
        <w:t>a délégation de la</w:t>
      </w:r>
      <w:r>
        <w:rPr>
          <w:b/>
          <w:bCs/>
        </w:rPr>
        <w:t xml:space="preserve"> Côte d</w:t>
      </w:r>
      <w:r w:rsidR="00346F1B">
        <w:rPr>
          <w:b/>
          <w:bCs/>
        </w:rPr>
        <w:t>’</w:t>
      </w:r>
      <w:r>
        <w:rPr>
          <w:b/>
          <w:bCs/>
        </w:rPr>
        <w:t xml:space="preserve">Ivoire </w:t>
      </w:r>
      <w:r w:rsidRPr="00327791">
        <w:rPr>
          <w:bCs/>
        </w:rPr>
        <w:t>a décrit la session</w:t>
      </w:r>
      <w:r>
        <w:rPr>
          <w:b/>
          <w:bCs/>
        </w:rPr>
        <w:t xml:space="preserve"> </w:t>
      </w:r>
      <w:r>
        <w:rPr>
          <w:bCs/>
        </w:rPr>
        <w:t>comme particulière. Elle a félicité l</w:t>
      </w:r>
      <w:r w:rsidR="00346F1B">
        <w:rPr>
          <w:bCs/>
        </w:rPr>
        <w:t>’</w:t>
      </w:r>
      <w:r>
        <w:rPr>
          <w:bCs/>
        </w:rPr>
        <w:t>Organe d</w:t>
      </w:r>
      <w:r w:rsidR="00346F1B">
        <w:rPr>
          <w:bCs/>
        </w:rPr>
        <w:t>’</w:t>
      </w:r>
      <w:r>
        <w:rPr>
          <w:bCs/>
        </w:rPr>
        <w:t>évaluation pour l</w:t>
      </w:r>
      <w:r w:rsidR="00346F1B">
        <w:rPr>
          <w:bCs/>
        </w:rPr>
        <w:t>’</w:t>
      </w:r>
      <w:r>
        <w:rPr>
          <w:bCs/>
        </w:rPr>
        <w:t xml:space="preserve">excellent et remarquable travail réalisé avec les recommandations. Elle avait toutefois noté quelques problèmes dans les recommandations </w:t>
      </w:r>
      <w:r w:rsidR="00F63354">
        <w:rPr>
          <w:bCs/>
        </w:rPr>
        <w:t xml:space="preserve">formulées </w:t>
      </w:r>
      <w:r>
        <w:rPr>
          <w:bCs/>
        </w:rPr>
        <w:t>qui, espérait-elle, seraient résolus dans un avenir proche. P</w:t>
      </w:r>
      <w:r w:rsidRPr="00327791">
        <w:rPr>
          <w:bCs/>
        </w:rPr>
        <w:t>ar exemple</w:t>
      </w:r>
      <w:r>
        <w:rPr>
          <w:bCs/>
        </w:rPr>
        <w:t xml:space="preserve">, lorsque, dans le dossier de candidature, un </w:t>
      </w:r>
      <w:r w:rsidR="00940DE2">
        <w:rPr>
          <w:bCs/>
        </w:rPr>
        <w:t>élément n</w:t>
      </w:r>
      <w:r w:rsidR="00346F1B">
        <w:rPr>
          <w:bCs/>
        </w:rPr>
        <w:t>’</w:t>
      </w:r>
      <w:r w:rsidR="00940DE2">
        <w:rPr>
          <w:bCs/>
        </w:rPr>
        <w:t>avait pu satisfaire le</w:t>
      </w:r>
      <w:r>
        <w:rPr>
          <w:bCs/>
        </w:rPr>
        <w:t xml:space="preserve"> </w:t>
      </w:r>
      <w:r w:rsidRPr="00327791">
        <w:rPr>
          <w:bCs/>
        </w:rPr>
        <w:t>critère</w:t>
      </w:r>
      <w:r>
        <w:rPr>
          <w:bCs/>
        </w:rPr>
        <w:t xml:space="preserve"> R.1 concernant la </w:t>
      </w:r>
      <w:r w:rsidRPr="00327791">
        <w:rPr>
          <w:bCs/>
        </w:rPr>
        <w:t>définition</w:t>
      </w:r>
      <w:r>
        <w:rPr>
          <w:bCs/>
        </w:rPr>
        <w:t xml:space="preserve"> de l</w:t>
      </w:r>
      <w:r w:rsidR="00346F1B">
        <w:rPr>
          <w:bCs/>
        </w:rPr>
        <w:t>’</w:t>
      </w:r>
      <w:r w:rsidRPr="00327791">
        <w:rPr>
          <w:bCs/>
        </w:rPr>
        <w:t>élément</w:t>
      </w:r>
      <w:r>
        <w:rPr>
          <w:bCs/>
        </w:rPr>
        <w:t xml:space="preserve"> </w:t>
      </w:r>
      <w:r w:rsidR="00F63354">
        <w:rPr>
          <w:bCs/>
        </w:rPr>
        <w:t xml:space="preserve">selon </w:t>
      </w:r>
      <w:r>
        <w:rPr>
          <w:bCs/>
        </w:rPr>
        <w:t xml:space="preserve">la </w:t>
      </w:r>
      <w:r w:rsidRPr="00327791">
        <w:rPr>
          <w:bCs/>
        </w:rPr>
        <w:t>Convention</w:t>
      </w:r>
      <w:r>
        <w:rPr>
          <w:bCs/>
        </w:rPr>
        <w:t xml:space="preserve">, la logique </w:t>
      </w:r>
      <w:r w:rsidR="00F63354">
        <w:rPr>
          <w:bCs/>
        </w:rPr>
        <w:t xml:space="preserve">voudrait </w:t>
      </w:r>
      <w:r>
        <w:rPr>
          <w:bCs/>
        </w:rPr>
        <w:t>qu</w:t>
      </w:r>
      <w:r w:rsidR="00346F1B">
        <w:rPr>
          <w:bCs/>
        </w:rPr>
        <w:t>’</w:t>
      </w:r>
      <w:r>
        <w:rPr>
          <w:bCs/>
        </w:rPr>
        <w:t xml:space="preserve">il ne puisse être examiné au titre des autres critères. </w:t>
      </w:r>
      <w:r w:rsidR="00F63354">
        <w:rPr>
          <w:bCs/>
        </w:rPr>
        <w:t>Cela avait</w:t>
      </w:r>
      <w:r w:rsidR="00795529">
        <w:rPr>
          <w:bCs/>
        </w:rPr>
        <w:t>,</w:t>
      </w:r>
      <w:r w:rsidR="00F63354">
        <w:rPr>
          <w:bCs/>
        </w:rPr>
        <w:t xml:space="preserve"> </w:t>
      </w:r>
      <w:r w:rsidR="00F63354" w:rsidRPr="00F63354">
        <w:rPr>
          <w:bCs/>
        </w:rPr>
        <w:t>par exemple</w:t>
      </w:r>
      <w:r w:rsidR="00795529">
        <w:rPr>
          <w:bCs/>
        </w:rPr>
        <w:t>,</w:t>
      </w:r>
      <w:r w:rsidR="00F63354">
        <w:rPr>
          <w:bCs/>
        </w:rPr>
        <w:t xml:space="preserve"> était le cas avec la </w:t>
      </w:r>
      <w:r w:rsidR="00F63354" w:rsidRPr="00F63354">
        <w:rPr>
          <w:bCs/>
        </w:rPr>
        <w:t>satisfaction</w:t>
      </w:r>
      <w:r w:rsidR="00F63354">
        <w:rPr>
          <w:bCs/>
        </w:rPr>
        <w:t xml:space="preserve"> du </w:t>
      </w:r>
      <w:r w:rsidR="00F63354" w:rsidRPr="00F63354">
        <w:rPr>
          <w:bCs/>
        </w:rPr>
        <w:t>critère</w:t>
      </w:r>
      <w:r w:rsidR="00F63354">
        <w:rPr>
          <w:bCs/>
        </w:rPr>
        <w:t xml:space="preserve"> R.5. S</w:t>
      </w:r>
      <w:r w:rsidR="00346F1B">
        <w:rPr>
          <w:bCs/>
        </w:rPr>
        <w:t>’</w:t>
      </w:r>
      <w:r w:rsidR="00F63354">
        <w:rPr>
          <w:bCs/>
        </w:rPr>
        <w:t>agissant de l</w:t>
      </w:r>
      <w:r w:rsidR="00346F1B">
        <w:rPr>
          <w:bCs/>
        </w:rPr>
        <w:t>’</w:t>
      </w:r>
      <w:r w:rsidR="00F63354" w:rsidRPr="00F63354">
        <w:rPr>
          <w:bCs/>
        </w:rPr>
        <w:t>interprétation</w:t>
      </w:r>
      <w:r w:rsidR="00F63354">
        <w:rPr>
          <w:bCs/>
        </w:rPr>
        <w:t xml:space="preserve"> du silence par les membres du Comité lors du vote des décisions, la </w:t>
      </w:r>
      <w:r w:rsidR="00F63354" w:rsidRPr="00F63354">
        <w:rPr>
          <w:bCs/>
        </w:rPr>
        <w:t>délégation</w:t>
      </w:r>
      <w:r w:rsidR="00F63354">
        <w:rPr>
          <w:bCs/>
        </w:rPr>
        <w:t xml:space="preserve"> estimait qu</w:t>
      </w:r>
      <w:r w:rsidR="00346F1B">
        <w:rPr>
          <w:bCs/>
        </w:rPr>
        <w:t>’</w:t>
      </w:r>
      <w:r w:rsidR="00F63354">
        <w:rPr>
          <w:bCs/>
        </w:rPr>
        <w:t>il pourrait être utile d</w:t>
      </w:r>
      <w:r w:rsidR="00346F1B">
        <w:rPr>
          <w:bCs/>
        </w:rPr>
        <w:t>’</w:t>
      </w:r>
      <w:r w:rsidR="00F63354">
        <w:rPr>
          <w:bCs/>
        </w:rPr>
        <w:t>y réfléchir et de revenir sur la décision prise au début de la session, comme précédemment mentionné par les délégations de l</w:t>
      </w:r>
      <w:r w:rsidR="00346F1B">
        <w:rPr>
          <w:bCs/>
        </w:rPr>
        <w:t>’</w:t>
      </w:r>
      <w:r w:rsidR="00F63354">
        <w:rPr>
          <w:bCs/>
        </w:rPr>
        <w:t>Inde et de la République de Corée. Ce silence mettait en danger la crédibilité du Comité. C</w:t>
      </w:r>
      <w:r w:rsidR="00346F1B">
        <w:rPr>
          <w:bCs/>
        </w:rPr>
        <w:t>’</w:t>
      </w:r>
      <w:r w:rsidR="00F63354">
        <w:rPr>
          <w:bCs/>
        </w:rPr>
        <w:t xml:space="preserve">était la raison pour laquelle, la </w:t>
      </w:r>
      <w:r w:rsidR="00F63354" w:rsidRPr="00F63354">
        <w:rPr>
          <w:bCs/>
        </w:rPr>
        <w:t>délégation</w:t>
      </w:r>
      <w:r w:rsidR="00F63354">
        <w:rPr>
          <w:bCs/>
        </w:rPr>
        <w:t xml:space="preserve"> soutenait la création d</w:t>
      </w:r>
      <w:r w:rsidR="00346F1B">
        <w:rPr>
          <w:bCs/>
        </w:rPr>
        <w:t>’</w:t>
      </w:r>
      <w:r w:rsidR="00F63354">
        <w:rPr>
          <w:bCs/>
        </w:rPr>
        <w:t xml:space="preserve">un </w:t>
      </w:r>
      <w:r w:rsidR="00F63354" w:rsidRPr="00F63354">
        <w:rPr>
          <w:bCs/>
        </w:rPr>
        <w:t>groupe de travail</w:t>
      </w:r>
      <w:r w:rsidR="00F63354">
        <w:rPr>
          <w:bCs/>
        </w:rPr>
        <w:t xml:space="preserve"> </w:t>
      </w:r>
      <w:r w:rsidR="00F63354" w:rsidRPr="00B87F05">
        <w:rPr>
          <w:bCs/>
          <w:i/>
        </w:rPr>
        <w:t>ad hoc</w:t>
      </w:r>
      <w:r w:rsidR="00F63354">
        <w:rPr>
          <w:bCs/>
        </w:rPr>
        <w:t xml:space="preserve"> afin de réfléchir sur tous les aspects du processus décisionnel et d</w:t>
      </w:r>
      <w:r w:rsidR="00346F1B">
        <w:rPr>
          <w:bCs/>
        </w:rPr>
        <w:t>’</w:t>
      </w:r>
      <w:r w:rsidR="00F63354">
        <w:rPr>
          <w:bCs/>
        </w:rPr>
        <w:t xml:space="preserve">empêcher le lobbying de prendre le dessus sur la </w:t>
      </w:r>
      <w:r w:rsidR="00F63354" w:rsidRPr="00F63354">
        <w:rPr>
          <w:bCs/>
        </w:rPr>
        <w:t>Convention</w:t>
      </w:r>
      <w:r w:rsidR="00F63354">
        <w:rPr>
          <w:bCs/>
        </w:rPr>
        <w:t>, c</w:t>
      </w:r>
      <w:r w:rsidR="00346F1B">
        <w:rPr>
          <w:bCs/>
        </w:rPr>
        <w:t>’</w:t>
      </w:r>
      <w:r w:rsidR="00F63354">
        <w:rPr>
          <w:bCs/>
        </w:rPr>
        <w:t>était la survi</w:t>
      </w:r>
      <w:r w:rsidR="005C5B9B">
        <w:rPr>
          <w:bCs/>
        </w:rPr>
        <w:t>e de celle-ci qui était en jeu.</w:t>
      </w:r>
    </w:p>
    <w:p w14:paraId="6F4946DE" w14:textId="237A1142" w:rsidR="00795529" w:rsidRPr="00795529" w:rsidRDefault="00795529" w:rsidP="005C5B9B">
      <w:pPr>
        <w:pStyle w:val="Orateurengris"/>
        <w:spacing w:before="120"/>
        <w:ind w:left="709" w:hanging="709"/>
        <w:rPr>
          <w:b/>
          <w:bCs/>
        </w:rPr>
      </w:pPr>
      <w:r w:rsidRPr="00795529">
        <w:rPr>
          <w:bCs/>
        </w:rPr>
        <w:t xml:space="preserve">La délégation des </w:t>
      </w:r>
      <w:r>
        <w:rPr>
          <w:b/>
          <w:bCs/>
        </w:rPr>
        <w:t xml:space="preserve">Philippines </w:t>
      </w:r>
      <w:r>
        <w:rPr>
          <w:bCs/>
        </w:rPr>
        <w:t>a rappelé la surprise dont avait fait part la</w:t>
      </w:r>
      <w:r w:rsidRPr="00795529">
        <w:rPr>
          <w:bCs/>
        </w:rPr>
        <w:t xml:space="preserve"> Suisse</w:t>
      </w:r>
      <w:r>
        <w:rPr>
          <w:b/>
          <w:bCs/>
        </w:rPr>
        <w:t xml:space="preserve"> </w:t>
      </w:r>
      <w:r>
        <w:rPr>
          <w:bCs/>
        </w:rPr>
        <w:t xml:space="preserve">en constatant que 15 recommandations avaient été rejetées. Cette tendance au rejet portait préjudice aux recommandations elles-mêmes alors que la </w:t>
      </w:r>
      <w:r w:rsidRPr="00795529">
        <w:rPr>
          <w:bCs/>
        </w:rPr>
        <w:t>délégation</w:t>
      </w:r>
      <w:r>
        <w:rPr>
          <w:bCs/>
        </w:rPr>
        <w:t xml:space="preserve"> estimait que l</w:t>
      </w:r>
      <w:r w:rsidR="00346F1B">
        <w:rPr>
          <w:bCs/>
        </w:rPr>
        <w:t>’</w:t>
      </w:r>
      <w:r>
        <w:rPr>
          <w:bCs/>
        </w:rPr>
        <w:t>Organe d</w:t>
      </w:r>
      <w:r w:rsidR="00346F1B">
        <w:rPr>
          <w:bCs/>
        </w:rPr>
        <w:t>’</w:t>
      </w:r>
      <w:r>
        <w:rPr>
          <w:bCs/>
        </w:rPr>
        <w:t xml:space="preserve">évaluation était une entité importante qui pouvait garantir la crédibilité technique du processus décisionnel du Comité. </w:t>
      </w:r>
      <w:r w:rsidR="00BD2069">
        <w:rPr>
          <w:bCs/>
        </w:rPr>
        <w:t>Au cours des débats, on en était arrivé à se demander si les commentaires de l</w:t>
      </w:r>
      <w:r w:rsidR="00346F1B">
        <w:rPr>
          <w:bCs/>
        </w:rPr>
        <w:t>’</w:t>
      </w:r>
      <w:r w:rsidR="00BD2069">
        <w:rPr>
          <w:bCs/>
        </w:rPr>
        <w:t>Organe d</w:t>
      </w:r>
      <w:r w:rsidR="00346F1B">
        <w:rPr>
          <w:bCs/>
        </w:rPr>
        <w:t>’</w:t>
      </w:r>
      <w:r w:rsidR="00BD2069">
        <w:rPr>
          <w:bCs/>
        </w:rPr>
        <w:t>évaluation n</w:t>
      </w:r>
      <w:r w:rsidR="00346F1B">
        <w:rPr>
          <w:bCs/>
        </w:rPr>
        <w:t>’</w:t>
      </w:r>
      <w:r w:rsidR="00BD2069">
        <w:rPr>
          <w:bCs/>
        </w:rPr>
        <w:t xml:space="preserve">étaient </w:t>
      </w:r>
      <w:r w:rsidR="00457D25">
        <w:rPr>
          <w:bCs/>
        </w:rPr>
        <w:t xml:space="preserve">pas </w:t>
      </w:r>
      <w:r w:rsidR="00BD2069">
        <w:rPr>
          <w:bCs/>
        </w:rPr>
        <w:t xml:space="preserve">sollicités que pour la forme, ce qui posait évidemment problème. La </w:t>
      </w:r>
      <w:r w:rsidR="00BD2069" w:rsidRPr="00BD2069">
        <w:rPr>
          <w:bCs/>
        </w:rPr>
        <w:t>délégation</w:t>
      </w:r>
      <w:r w:rsidR="00BD2069">
        <w:rPr>
          <w:bCs/>
        </w:rPr>
        <w:t xml:space="preserve"> a dit à quel point être membre du Comité était parfois une situation qui vous enfermait, car on n</w:t>
      </w:r>
      <w:r w:rsidR="00346F1B">
        <w:rPr>
          <w:bCs/>
        </w:rPr>
        <w:t>’</w:t>
      </w:r>
      <w:r w:rsidR="00BD2069">
        <w:rPr>
          <w:bCs/>
        </w:rPr>
        <w:t>avait plus conscience des processus et procédures appliqués.</w:t>
      </w:r>
      <w:r w:rsidR="00457D25">
        <w:rPr>
          <w:bCs/>
        </w:rPr>
        <w:t xml:space="preserve"> Afin de remédier à ce problème, la </w:t>
      </w:r>
      <w:r w:rsidR="00457D25" w:rsidRPr="00457D25">
        <w:rPr>
          <w:bCs/>
        </w:rPr>
        <w:t>délégation</w:t>
      </w:r>
      <w:r w:rsidR="00457D25">
        <w:rPr>
          <w:bCs/>
        </w:rPr>
        <w:t xml:space="preserve"> saluait les observateurs qui pourraient guider le Comité dans sa réflexion et l</w:t>
      </w:r>
      <w:r w:rsidR="00346F1B">
        <w:rPr>
          <w:bCs/>
        </w:rPr>
        <w:t>’</w:t>
      </w:r>
      <w:r w:rsidR="00457D25">
        <w:rPr>
          <w:bCs/>
        </w:rPr>
        <w:t xml:space="preserve">aider à renforcer la crédibilité de la </w:t>
      </w:r>
      <w:r w:rsidR="00457D25" w:rsidRPr="00457D25">
        <w:rPr>
          <w:bCs/>
        </w:rPr>
        <w:t>Convention</w:t>
      </w:r>
      <w:r w:rsidR="00457D25">
        <w:rPr>
          <w:bCs/>
        </w:rPr>
        <w:t xml:space="preserve">. Elle soutenait </w:t>
      </w:r>
      <w:r w:rsidR="00457D25" w:rsidRPr="00457D25">
        <w:rPr>
          <w:bCs/>
        </w:rPr>
        <w:t>également</w:t>
      </w:r>
      <w:r w:rsidR="00457D25">
        <w:rPr>
          <w:bCs/>
        </w:rPr>
        <w:t xml:space="preserve"> l</w:t>
      </w:r>
      <w:r w:rsidR="00346F1B">
        <w:rPr>
          <w:bCs/>
        </w:rPr>
        <w:t>’</w:t>
      </w:r>
      <w:r w:rsidR="00457D25">
        <w:rPr>
          <w:bCs/>
        </w:rPr>
        <w:t xml:space="preserve">Inde et la Palestine qui proposaient de former un </w:t>
      </w:r>
      <w:r w:rsidR="00457D25" w:rsidRPr="00457D25">
        <w:rPr>
          <w:bCs/>
        </w:rPr>
        <w:t>groupe de travail</w:t>
      </w:r>
      <w:r w:rsidR="00457D25">
        <w:rPr>
          <w:bCs/>
        </w:rPr>
        <w:t xml:space="preserve">. Enfin, la </w:t>
      </w:r>
      <w:r w:rsidR="00457D25" w:rsidRPr="00457D25">
        <w:rPr>
          <w:bCs/>
        </w:rPr>
        <w:t>délégation</w:t>
      </w:r>
      <w:r w:rsidR="00457D25">
        <w:rPr>
          <w:bCs/>
        </w:rPr>
        <w:t xml:space="preserve"> a félicité Sainte-Lucie pour son plaidoyer en faveur du respect des normes de cette </w:t>
      </w:r>
      <w:r w:rsidR="00457D25" w:rsidRPr="00457D25">
        <w:rPr>
          <w:bCs/>
        </w:rPr>
        <w:t>Convention</w:t>
      </w:r>
      <w:r w:rsidR="00457D25">
        <w:rPr>
          <w:bCs/>
        </w:rPr>
        <w:t>. Dans son analyse finale, le Comité devrait se concentrer sur l</w:t>
      </w:r>
      <w:r w:rsidR="00346F1B">
        <w:rPr>
          <w:bCs/>
        </w:rPr>
        <w:t>’</w:t>
      </w:r>
      <w:r w:rsidR="00457D25">
        <w:rPr>
          <w:bCs/>
        </w:rPr>
        <w:t>aspect moral et intellectuel de son travail en lieu et place de toute autre considération.</w:t>
      </w:r>
    </w:p>
    <w:p w14:paraId="0FB6A3B7" w14:textId="07AAD957" w:rsidR="00457D25" w:rsidRPr="00457D25" w:rsidRDefault="00457D25" w:rsidP="005C5B9B">
      <w:pPr>
        <w:pStyle w:val="Orateurengris"/>
        <w:spacing w:before="120"/>
        <w:ind w:left="709" w:hanging="709"/>
        <w:rPr>
          <w:bCs/>
        </w:rPr>
      </w:pPr>
      <w:r w:rsidRPr="00457D25">
        <w:rPr>
          <w:bCs/>
        </w:rPr>
        <w:t xml:space="preserve">Le </w:t>
      </w:r>
      <w:r w:rsidRPr="00457D25">
        <w:rPr>
          <w:b/>
          <w:bCs/>
        </w:rPr>
        <w:t>Président</w:t>
      </w:r>
      <w:r w:rsidRPr="00457D25">
        <w:rPr>
          <w:bCs/>
        </w:rPr>
        <w:t xml:space="preserve"> a ensuite do</w:t>
      </w:r>
      <w:r w:rsidR="005C5B9B">
        <w:rPr>
          <w:bCs/>
        </w:rPr>
        <w:t>nné la parole aux observateurs.</w:t>
      </w:r>
    </w:p>
    <w:p w14:paraId="3EC3D505" w14:textId="520AE71C" w:rsidR="00457D25" w:rsidRPr="00CE39AF" w:rsidRDefault="00CE39AF" w:rsidP="005C5B9B">
      <w:pPr>
        <w:pStyle w:val="Orateurengris"/>
        <w:spacing w:before="120"/>
        <w:ind w:left="709" w:hanging="709"/>
        <w:rPr>
          <w:bCs/>
        </w:rPr>
      </w:pPr>
      <w:r w:rsidRPr="00CE39AF">
        <w:rPr>
          <w:bCs/>
        </w:rPr>
        <w:t>La délégation</w:t>
      </w:r>
      <w:r>
        <w:rPr>
          <w:bCs/>
        </w:rPr>
        <w:t xml:space="preserve"> de la </w:t>
      </w:r>
      <w:r w:rsidRPr="00CE39AF">
        <w:rPr>
          <w:b/>
          <w:bCs/>
        </w:rPr>
        <w:t>Belgique</w:t>
      </w:r>
      <w:r>
        <w:rPr>
          <w:bCs/>
        </w:rPr>
        <w:t xml:space="preserve"> a convenu </w:t>
      </w:r>
      <w:r w:rsidR="00B648E2">
        <w:rPr>
          <w:bCs/>
        </w:rPr>
        <w:t>qu</w:t>
      </w:r>
      <w:r w:rsidR="00346F1B">
        <w:rPr>
          <w:bCs/>
        </w:rPr>
        <w:t>’</w:t>
      </w:r>
      <w:r w:rsidR="00B648E2">
        <w:rPr>
          <w:bCs/>
        </w:rPr>
        <w:t xml:space="preserve">effectivement </w:t>
      </w:r>
      <w:r>
        <w:rPr>
          <w:bCs/>
        </w:rPr>
        <w:t xml:space="preserve">les sessions du Comité se suivaient mais ne se ressemblaient pas, avec une nouvelle </w:t>
      </w:r>
      <w:r w:rsidRPr="00CE39AF">
        <w:rPr>
          <w:bCs/>
        </w:rPr>
        <w:t>interprétation</w:t>
      </w:r>
      <w:r>
        <w:rPr>
          <w:bCs/>
        </w:rPr>
        <w:t xml:space="preserve"> des « éclaircissements » et une nouvelle façon de traiter l</w:t>
      </w:r>
      <w:r w:rsidR="00346F1B">
        <w:rPr>
          <w:bCs/>
        </w:rPr>
        <w:t>’</w:t>
      </w:r>
      <w:r>
        <w:rPr>
          <w:bCs/>
        </w:rPr>
        <w:t xml:space="preserve">analyse des </w:t>
      </w:r>
      <w:r w:rsidRPr="00CE39AF">
        <w:rPr>
          <w:bCs/>
        </w:rPr>
        <w:t>informations</w:t>
      </w:r>
      <w:r>
        <w:rPr>
          <w:bCs/>
        </w:rPr>
        <w:t xml:space="preserve"> contenues dans les dossiers de candidature et </w:t>
      </w:r>
      <w:r w:rsidR="00940DE2">
        <w:rPr>
          <w:bCs/>
        </w:rPr>
        <w:t xml:space="preserve">dans </w:t>
      </w:r>
      <w:r>
        <w:rPr>
          <w:bCs/>
        </w:rPr>
        <w:t>l</w:t>
      </w:r>
      <w:r w:rsidR="00346F1B">
        <w:rPr>
          <w:bCs/>
        </w:rPr>
        <w:t>’</w:t>
      </w:r>
      <w:r>
        <w:rPr>
          <w:bCs/>
        </w:rPr>
        <w:t>excellent travail de l</w:t>
      </w:r>
      <w:r w:rsidR="00346F1B">
        <w:rPr>
          <w:bCs/>
        </w:rPr>
        <w:t>’</w:t>
      </w:r>
      <w:r>
        <w:rPr>
          <w:bCs/>
        </w:rPr>
        <w:t>Organe d</w:t>
      </w:r>
      <w:r w:rsidR="00346F1B">
        <w:rPr>
          <w:bCs/>
        </w:rPr>
        <w:t>’</w:t>
      </w:r>
      <w:r>
        <w:rPr>
          <w:bCs/>
        </w:rPr>
        <w:t>évaluation. À son avis, le Comité avait également expérimenté de nouvelles formes de cohérence. Bien qu</w:t>
      </w:r>
      <w:r w:rsidR="00346F1B">
        <w:rPr>
          <w:bCs/>
        </w:rPr>
        <w:t>’</w:t>
      </w:r>
      <w:r>
        <w:rPr>
          <w:bCs/>
        </w:rPr>
        <w:t xml:space="preserve">elle la regrette, la </w:t>
      </w:r>
      <w:r w:rsidRPr="00CE39AF">
        <w:rPr>
          <w:bCs/>
        </w:rPr>
        <w:t>délégation</w:t>
      </w:r>
      <w:r>
        <w:rPr>
          <w:bCs/>
        </w:rPr>
        <w:t xml:space="preserve"> comprenait tout à fait</w:t>
      </w:r>
      <w:r w:rsidR="00B648E2">
        <w:rPr>
          <w:bCs/>
        </w:rPr>
        <w:t xml:space="preserve"> la démission d</w:t>
      </w:r>
      <w:r w:rsidR="00346F1B">
        <w:rPr>
          <w:bCs/>
        </w:rPr>
        <w:t>’</w:t>
      </w:r>
      <w:r w:rsidR="00B648E2">
        <w:rPr>
          <w:bCs/>
        </w:rPr>
        <w:t>un ou de plusie</w:t>
      </w:r>
      <w:r>
        <w:rPr>
          <w:bCs/>
        </w:rPr>
        <w:t>urs membres de l</w:t>
      </w:r>
      <w:r w:rsidR="00346F1B">
        <w:rPr>
          <w:bCs/>
        </w:rPr>
        <w:t>’</w:t>
      </w:r>
      <w:r>
        <w:rPr>
          <w:bCs/>
        </w:rPr>
        <w:t>Organe d</w:t>
      </w:r>
      <w:r w:rsidR="00346F1B">
        <w:rPr>
          <w:bCs/>
        </w:rPr>
        <w:t>’</w:t>
      </w:r>
      <w:r>
        <w:rPr>
          <w:bCs/>
        </w:rPr>
        <w:t>évaluation suite à cette session. Compte tenu de cette situation</w:t>
      </w:r>
      <w:r w:rsidR="00B648E2">
        <w:rPr>
          <w:bCs/>
        </w:rPr>
        <w:t xml:space="preserve"> nouvelle</w:t>
      </w:r>
      <w:r>
        <w:rPr>
          <w:bCs/>
        </w:rPr>
        <w:t xml:space="preserve">, la </w:t>
      </w:r>
      <w:r w:rsidRPr="00CE39AF">
        <w:rPr>
          <w:bCs/>
        </w:rPr>
        <w:t>délégation</w:t>
      </w:r>
      <w:r>
        <w:rPr>
          <w:bCs/>
        </w:rPr>
        <w:t xml:space="preserve"> croyait qu</w:t>
      </w:r>
      <w:r w:rsidR="00346F1B">
        <w:rPr>
          <w:bCs/>
        </w:rPr>
        <w:t>’</w:t>
      </w:r>
      <w:r>
        <w:rPr>
          <w:bCs/>
        </w:rPr>
        <w:t>il était opportun de commencer à réfléchir à une solution de styl</w:t>
      </w:r>
      <w:r w:rsidR="00B648E2">
        <w:rPr>
          <w:bCs/>
        </w:rPr>
        <w:t>e Wikipedia en lieu et place de la Liste représentative et du Registre des meilleures pratiques de sauvegarde. La création de listes Wikipedia permettrait d</w:t>
      </w:r>
      <w:r w:rsidR="00346F1B">
        <w:rPr>
          <w:bCs/>
        </w:rPr>
        <w:t>’</w:t>
      </w:r>
      <w:r w:rsidR="00B648E2">
        <w:rPr>
          <w:bCs/>
        </w:rPr>
        <w:t xml:space="preserve">organiser différemment le travail, et impliquerait les communautés, groupes et </w:t>
      </w:r>
      <w:r w:rsidR="00B648E2" w:rsidRPr="00B648E2">
        <w:rPr>
          <w:bCs/>
        </w:rPr>
        <w:t>parties prenantes</w:t>
      </w:r>
      <w:r w:rsidR="00B648E2">
        <w:rPr>
          <w:bCs/>
        </w:rPr>
        <w:t xml:space="preserve"> qui insuffleraient une énergie et une nouvelle crédibilité au système. Elle a formé l</w:t>
      </w:r>
      <w:r w:rsidR="00346F1B">
        <w:rPr>
          <w:bCs/>
        </w:rPr>
        <w:t>’</w:t>
      </w:r>
      <w:r w:rsidR="00B648E2">
        <w:rPr>
          <w:bCs/>
        </w:rPr>
        <w:t>espoir que ce mécanisme alternatif puisse faire l</w:t>
      </w:r>
      <w:r w:rsidR="00346F1B">
        <w:rPr>
          <w:bCs/>
        </w:rPr>
        <w:t>’</w:t>
      </w:r>
      <w:r w:rsidR="00B648E2">
        <w:rPr>
          <w:bCs/>
        </w:rPr>
        <w:t>objet d</w:t>
      </w:r>
      <w:r w:rsidR="00346F1B">
        <w:rPr>
          <w:bCs/>
        </w:rPr>
        <w:t>’</w:t>
      </w:r>
      <w:r w:rsidR="00B648E2">
        <w:rPr>
          <w:bCs/>
        </w:rPr>
        <w:t>un débat lors de l</w:t>
      </w:r>
      <w:r w:rsidR="00B600B4">
        <w:rPr>
          <w:bCs/>
        </w:rPr>
        <w:t>a prochaine Assemblée générale.</w:t>
      </w:r>
    </w:p>
    <w:p w14:paraId="21023BC5" w14:textId="54D97567" w:rsidR="00B648E2" w:rsidRPr="003524EE" w:rsidRDefault="00B648E2" w:rsidP="005C5B9B">
      <w:pPr>
        <w:pStyle w:val="Orateurengris"/>
        <w:spacing w:before="120"/>
        <w:ind w:left="709" w:hanging="709"/>
        <w:rPr>
          <w:bCs/>
        </w:rPr>
      </w:pPr>
      <w:r w:rsidRPr="00B648E2">
        <w:rPr>
          <w:bCs/>
        </w:rPr>
        <w:t>La délégation de</w:t>
      </w:r>
      <w:r>
        <w:rPr>
          <w:b/>
          <w:bCs/>
        </w:rPr>
        <w:t xml:space="preserve"> Belize </w:t>
      </w:r>
      <w:r w:rsidR="003524EE" w:rsidRPr="003524EE">
        <w:rPr>
          <w:bCs/>
        </w:rPr>
        <w:t>soutenait la position défendue par Sainte-Lucie</w:t>
      </w:r>
      <w:r w:rsidR="003524EE">
        <w:rPr>
          <w:bCs/>
        </w:rPr>
        <w:t>, ajoutant que le débat n</w:t>
      </w:r>
      <w:r w:rsidR="00346F1B">
        <w:rPr>
          <w:bCs/>
        </w:rPr>
        <w:t>’</w:t>
      </w:r>
      <w:r w:rsidR="003524EE">
        <w:rPr>
          <w:bCs/>
        </w:rPr>
        <w:t>avait pas vraiment porté sur la qualité du travail de l</w:t>
      </w:r>
      <w:r w:rsidR="00346F1B">
        <w:rPr>
          <w:bCs/>
        </w:rPr>
        <w:t>’</w:t>
      </w:r>
      <w:r w:rsidR="003524EE">
        <w:rPr>
          <w:bCs/>
        </w:rPr>
        <w:t>Organe d</w:t>
      </w:r>
      <w:r w:rsidR="00346F1B">
        <w:rPr>
          <w:bCs/>
        </w:rPr>
        <w:t>’</w:t>
      </w:r>
      <w:r w:rsidR="003524EE">
        <w:rPr>
          <w:bCs/>
        </w:rPr>
        <w:t xml:space="preserve">évaluation mais plutôt sur la qualité des dossiers soumis. La </w:t>
      </w:r>
      <w:r w:rsidR="003524EE" w:rsidRPr="003524EE">
        <w:rPr>
          <w:bCs/>
        </w:rPr>
        <w:t>délégation</w:t>
      </w:r>
      <w:r w:rsidR="003524EE">
        <w:rPr>
          <w:bCs/>
        </w:rPr>
        <w:t xml:space="preserve"> a rappelé aux délégués que l</w:t>
      </w:r>
      <w:r w:rsidR="00346F1B">
        <w:rPr>
          <w:bCs/>
        </w:rPr>
        <w:t>’</w:t>
      </w:r>
      <w:r w:rsidR="003524EE">
        <w:rPr>
          <w:bCs/>
        </w:rPr>
        <w:t>année précédente, le Secrétariat avait souligné qu</w:t>
      </w:r>
      <w:r w:rsidR="00346F1B">
        <w:rPr>
          <w:bCs/>
        </w:rPr>
        <w:t>’</w:t>
      </w:r>
      <w:r w:rsidR="003524EE">
        <w:rPr>
          <w:bCs/>
        </w:rPr>
        <w:t>un des sujets jusqu</w:t>
      </w:r>
      <w:r w:rsidR="00346F1B">
        <w:rPr>
          <w:bCs/>
        </w:rPr>
        <w:t>’</w:t>
      </w:r>
      <w:r w:rsidR="003524EE">
        <w:rPr>
          <w:bCs/>
        </w:rPr>
        <w:t>alors négligés était l</w:t>
      </w:r>
      <w:r w:rsidR="00346F1B">
        <w:rPr>
          <w:bCs/>
        </w:rPr>
        <w:t>’</w:t>
      </w:r>
      <w:r w:rsidR="003524EE">
        <w:rPr>
          <w:bCs/>
        </w:rPr>
        <w:t>accent qu</w:t>
      </w:r>
      <w:r w:rsidR="00346F1B">
        <w:rPr>
          <w:bCs/>
        </w:rPr>
        <w:t>’</w:t>
      </w:r>
      <w:r w:rsidR="003524EE">
        <w:rPr>
          <w:bCs/>
        </w:rPr>
        <w:t>il convenait de mettre sur la capacité des États à faire des demandes d</w:t>
      </w:r>
      <w:r w:rsidR="00346F1B">
        <w:rPr>
          <w:bCs/>
        </w:rPr>
        <w:t>’</w:t>
      </w:r>
      <w:r w:rsidR="003524EE">
        <w:rPr>
          <w:bCs/>
        </w:rPr>
        <w:t xml:space="preserve">assistance pour </w:t>
      </w:r>
      <w:r w:rsidR="003524EE" w:rsidRPr="003524EE">
        <w:rPr>
          <w:bCs/>
        </w:rPr>
        <w:t>l</w:t>
      </w:r>
      <w:r w:rsidR="00346F1B">
        <w:rPr>
          <w:bCs/>
        </w:rPr>
        <w:t>’</w:t>
      </w:r>
      <w:r w:rsidR="003524EE" w:rsidRPr="003524EE">
        <w:rPr>
          <w:bCs/>
        </w:rPr>
        <w:t>élaboration</w:t>
      </w:r>
      <w:r w:rsidR="003524EE">
        <w:rPr>
          <w:bCs/>
        </w:rPr>
        <w:t xml:space="preserve"> des dossiers de candidature, telles que décrites dans le </w:t>
      </w:r>
      <w:r w:rsidR="003524EE" w:rsidRPr="003524EE">
        <w:rPr>
          <w:bCs/>
        </w:rPr>
        <w:t>paragraphe</w:t>
      </w:r>
      <w:r w:rsidR="003524EE">
        <w:rPr>
          <w:bCs/>
        </w:rPr>
        <w:t xml:space="preserve"> 21 </w:t>
      </w:r>
      <w:r w:rsidR="005C5B9B">
        <w:rPr>
          <w:bCs/>
        </w:rPr>
        <w:t>des Directives opérationnelles.</w:t>
      </w:r>
    </w:p>
    <w:p w14:paraId="1EFE575D" w14:textId="1CEC50AB" w:rsidR="000F290A" w:rsidRPr="000F290A" w:rsidRDefault="000F290A" w:rsidP="005C5B9B">
      <w:pPr>
        <w:pStyle w:val="Orateurengris"/>
        <w:spacing w:before="120"/>
        <w:ind w:left="709" w:hanging="709"/>
        <w:rPr>
          <w:b/>
          <w:bCs/>
        </w:rPr>
      </w:pPr>
      <w:r w:rsidRPr="000F290A">
        <w:rPr>
          <w:bCs/>
        </w:rPr>
        <w:t>La délégation de la</w:t>
      </w:r>
      <w:r>
        <w:rPr>
          <w:b/>
          <w:bCs/>
        </w:rPr>
        <w:t xml:space="preserve"> Norvège </w:t>
      </w:r>
      <w:r>
        <w:rPr>
          <w:bCs/>
        </w:rPr>
        <w:t>souhaitait souligner</w:t>
      </w:r>
      <w:r w:rsidRPr="000F290A">
        <w:rPr>
          <w:bCs/>
        </w:rPr>
        <w:t xml:space="preserve"> deux points.</w:t>
      </w:r>
      <w:r>
        <w:rPr>
          <w:b/>
          <w:bCs/>
        </w:rPr>
        <w:t xml:space="preserve"> </w:t>
      </w:r>
      <w:r>
        <w:rPr>
          <w:bCs/>
        </w:rPr>
        <w:t>Premièrement, comme mentionné par l</w:t>
      </w:r>
      <w:r w:rsidR="00346F1B">
        <w:rPr>
          <w:bCs/>
        </w:rPr>
        <w:t>’</w:t>
      </w:r>
      <w:r>
        <w:rPr>
          <w:bCs/>
        </w:rPr>
        <w:t xml:space="preserve">Autriche, le temps </w:t>
      </w:r>
      <w:r w:rsidR="00B3777F">
        <w:rPr>
          <w:bCs/>
        </w:rPr>
        <w:t>passé sur les</w:t>
      </w:r>
      <w:r w:rsidR="00F978E2">
        <w:rPr>
          <w:bCs/>
        </w:rPr>
        <w:t xml:space="preserve"> L</w:t>
      </w:r>
      <w:r>
        <w:rPr>
          <w:bCs/>
        </w:rPr>
        <w:t xml:space="preserve">istes signifiait </w:t>
      </w:r>
      <w:r w:rsidR="00B3777F">
        <w:rPr>
          <w:bCs/>
        </w:rPr>
        <w:t>du temps perdu pour d</w:t>
      </w:r>
      <w:r w:rsidR="00346F1B">
        <w:rPr>
          <w:bCs/>
        </w:rPr>
        <w:t>’</w:t>
      </w:r>
      <w:r w:rsidR="00B3777F">
        <w:rPr>
          <w:bCs/>
        </w:rPr>
        <w:t>autres sujet</w:t>
      </w:r>
      <w:r w:rsidR="00940DE2">
        <w:rPr>
          <w:bCs/>
        </w:rPr>
        <w:t>s</w:t>
      </w:r>
      <w:r w:rsidR="00B3777F">
        <w:rPr>
          <w:bCs/>
        </w:rPr>
        <w:t xml:space="preserve"> probablement plus importants pour la mise en œuvre de la </w:t>
      </w:r>
      <w:r w:rsidR="00B3777F" w:rsidRPr="00B3777F">
        <w:rPr>
          <w:bCs/>
        </w:rPr>
        <w:t>Convention</w:t>
      </w:r>
      <w:r w:rsidR="00B3777F">
        <w:rPr>
          <w:bCs/>
        </w:rPr>
        <w:t>, tels que le renforcement des capacités et le PCI dans les situations d</w:t>
      </w:r>
      <w:r w:rsidR="00346F1B">
        <w:rPr>
          <w:bCs/>
        </w:rPr>
        <w:t>’</w:t>
      </w:r>
      <w:r w:rsidR="00B3777F">
        <w:rPr>
          <w:bCs/>
        </w:rPr>
        <w:t>urgence. Deuxièmement, s</w:t>
      </w:r>
      <w:r w:rsidR="00346F1B">
        <w:rPr>
          <w:bCs/>
        </w:rPr>
        <w:t>’</w:t>
      </w:r>
      <w:r w:rsidR="00B3777F">
        <w:rPr>
          <w:bCs/>
        </w:rPr>
        <w:t>agissant de l</w:t>
      </w:r>
      <w:r w:rsidR="00346F1B">
        <w:rPr>
          <w:bCs/>
        </w:rPr>
        <w:t>’</w:t>
      </w:r>
      <w:r w:rsidR="00B3777F">
        <w:rPr>
          <w:bCs/>
        </w:rPr>
        <w:t>Organe d</w:t>
      </w:r>
      <w:r w:rsidR="00346F1B">
        <w:rPr>
          <w:bCs/>
        </w:rPr>
        <w:t>’</w:t>
      </w:r>
      <w:r w:rsidR="00B3777F">
        <w:rPr>
          <w:bCs/>
        </w:rPr>
        <w:t xml:space="preserve">évaluation, la </w:t>
      </w:r>
      <w:r w:rsidR="00B3777F" w:rsidRPr="00B3777F">
        <w:rPr>
          <w:bCs/>
        </w:rPr>
        <w:t>délégation</w:t>
      </w:r>
      <w:r w:rsidR="00B3777F">
        <w:rPr>
          <w:bCs/>
        </w:rPr>
        <w:t xml:space="preserve"> avait le sentiment qu</w:t>
      </w:r>
      <w:r w:rsidR="00346F1B">
        <w:rPr>
          <w:bCs/>
        </w:rPr>
        <w:t>’</w:t>
      </w:r>
      <w:r w:rsidR="00B3777F">
        <w:rPr>
          <w:bCs/>
        </w:rPr>
        <w:t>il était important de respecter l</w:t>
      </w:r>
      <w:r w:rsidR="00346F1B">
        <w:rPr>
          <w:bCs/>
        </w:rPr>
        <w:t>’</w:t>
      </w:r>
      <w:r w:rsidR="00B3777F" w:rsidRPr="00B3777F">
        <w:rPr>
          <w:bCs/>
        </w:rPr>
        <w:t>évaluation</w:t>
      </w:r>
      <w:r w:rsidR="00B3777F">
        <w:rPr>
          <w:bCs/>
        </w:rPr>
        <w:t xml:space="preserve"> professionnelle de l</w:t>
      </w:r>
      <w:r w:rsidR="00346F1B">
        <w:rPr>
          <w:bCs/>
        </w:rPr>
        <w:t>’</w:t>
      </w:r>
      <w:r w:rsidR="00B3777F">
        <w:rPr>
          <w:bCs/>
        </w:rPr>
        <w:t>Organe et d</w:t>
      </w:r>
      <w:r w:rsidR="00346F1B">
        <w:rPr>
          <w:bCs/>
        </w:rPr>
        <w:t>’</w:t>
      </w:r>
      <w:r w:rsidR="00B3777F">
        <w:rPr>
          <w:bCs/>
        </w:rPr>
        <w:t>envisager son travail comme un processus en soi. Elle a donc félicité les États qui, de fait, acceptaient et respectaient les décisions de l</w:t>
      </w:r>
      <w:r w:rsidR="00346F1B">
        <w:rPr>
          <w:bCs/>
        </w:rPr>
        <w:t>’</w:t>
      </w:r>
      <w:r w:rsidR="00B3777F">
        <w:rPr>
          <w:bCs/>
        </w:rPr>
        <w:t>Organe d</w:t>
      </w:r>
      <w:r w:rsidR="00346F1B">
        <w:rPr>
          <w:bCs/>
        </w:rPr>
        <w:t>’</w:t>
      </w:r>
      <w:r w:rsidR="005C5B9B">
        <w:rPr>
          <w:bCs/>
        </w:rPr>
        <w:t>évaluation.</w:t>
      </w:r>
    </w:p>
    <w:p w14:paraId="38AEF544" w14:textId="376BDC1B" w:rsidR="00B3777F" w:rsidRPr="00B3777F" w:rsidRDefault="00B3777F" w:rsidP="005C5B9B">
      <w:pPr>
        <w:pStyle w:val="Orateurengris"/>
        <w:spacing w:before="120"/>
        <w:ind w:left="709" w:hanging="709"/>
        <w:rPr>
          <w:b/>
          <w:bCs/>
        </w:rPr>
      </w:pPr>
      <w:r w:rsidRPr="00B3777F">
        <w:rPr>
          <w:bCs/>
        </w:rPr>
        <w:t>La délégation de la</w:t>
      </w:r>
      <w:r>
        <w:rPr>
          <w:b/>
          <w:bCs/>
        </w:rPr>
        <w:t xml:space="preserve"> Pologne </w:t>
      </w:r>
      <w:r>
        <w:rPr>
          <w:bCs/>
        </w:rPr>
        <w:t xml:space="preserve">a exprimé sa </w:t>
      </w:r>
      <w:r w:rsidRPr="00B3777F">
        <w:rPr>
          <w:bCs/>
        </w:rPr>
        <w:t>reconnaissance</w:t>
      </w:r>
      <w:r>
        <w:rPr>
          <w:bCs/>
        </w:rPr>
        <w:t xml:space="preserve"> à l</w:t>
      </w:r>
      <w:r w:rsidR="00346F1B">
        <w:rPr>
          <w:bCs/>
        </w:rPr>
        <w:t>’</w:t>
      </w:r>
      <w:r w:rsidRPr="00B3777F">
        <w:rPr>
          <w:bCs/>
        </w:rPr>
        <w:t>Éthiopie</w:t>
      </w:r>
      <w:r>
        <w:rPr>
          <w:bCs/>
        </w:rPr>
        <w:t xml:space="preserve"> pour l</w:t>
      </w:r>
      <w:r w:rsidR="00346F1B">
        <w:rPr>
          <w:bCs/>
        </w:rPr>
        <w:t>’</w:t>
      </w:r>
      <w:r>
        <w:rPr>
          <w:bCs/>
        </w:rPr>
        <w:t xml:space="preserve">accueil chaleureux et </w:t>
      </w:r>
      <w:r w:rsidRPr="00B3777F">
        <w:rPr>
          <w:bCs/>
        </w:rPr>
        <w:t>professionnel</w:t>
      </w:r>
      <w:r>
        <w:rPr>
          <w:bCs/>
        </w:rPr>
        <w:t xml:space="preserve"> de cette session, et a félicité le Président pour sa conduite avisée des débats. En tant que pays ayant récemment ratifié la </w:t>
      </w:r>
      <w:r w:rsidRPr="00B3777F">
        <w:rPr>
          <w:bCs/>
        </w:rPr>
        <w:t>Convention</w:t>
      </w:r>
      <w:r>
        <w:rPr>
          <w:bCs/>
        </w:rPr>
        <w:t xml:space="preserve">, elle observait très attentivement la façon dont la </w:t>
      </w:r>
      <w:r w:rsidRPr="00B3777F">
        <w:rPr>
          <w:bCs/>
        </w:rPr>
        <w:t>Convention</w:t>
      </w:r>
      <w:r>
        <w:rPr>
          <w:bCs/>
        </w:rPr>
        <w:t xml:space="preserve"> opérait et les valeurs qu</w:t>
      </w:r>
      <w:r w:rsidR="00346F1B">
        <w:rPr>
          <w:bCs/>
        </w:rPr>
        <w:t>’</w:t>
      </w:r>
      <w:r>
        <w:rPr>
          <w:bCs/>
        </w:rPr>
        <w:t>elle transmettait à la communauté internationale, ainsi qu</w:t>
      </w:r>
      <w:r w:rsidR="00346F1B">
        <w:rPr>
          <w:bCs/>
        </w:rPr>
        <w:t>’</w:t>
      </w:r>
      <w:r>
        <w:rPr>
          <w:bCs/>
        </w:rPr>
        <w:t xml:space="preserve">à ses propres communautés. Elle pensait que </w:t>
      </w:r>
      <w:r w:rsidR="007158AE">
        <w:rPr>
          <w:bCs/>
        </w:rPr>
        <w:t>le travail ardu du Secrétariat et de l</w:t>
      </w:r>
      <w:r w:rsidR="00346F1B">
        <w:rPr>
          <w:bCs/>
        </w:rPr>
        <w:t>’</w:t>
      </w:r>
      <w:r w:rsidR="007158AE">
        <w:rPr>
          <w:bCs/>
        </w:rPr>
        <w:t>Organe d</w:t>
      </w:r>
      <w:r w:rsidR="00346F1B">
        <w:rPr>
          <w:bCs/>
        </w:rPr>
        <w:t>’</w:t>
      </w:r>
      <w:r w:rsidR="007158AE">
        <w:rPr>
          <w:bCs/>
        </w:rPr>
        <w:t xml:space="preserve">évaluation était de grande valeur et était essentiel pour que la mise en commun professionnelle et politiquement neutre des valeurs de respect mutuel, et la </w:t>
      </w:r>
      <w:r w:rsidR="007158AE" w:rsidRPr="007158AE">
        <w:rPr>
          <w:bCs/>
        </w:rPr>
        <w:t>visibilité</w:t>
      </w:r>
      <w:r w:rsidR="007158AE">
        <w:rPr>
          <w:bCs/>
        </w:rPr>
        <w:t xml:space="preserve"> du PCI soient conservées.</w:t>
      </w:r>
    </w:p>
    <w:p w14:paraId="67BA3DB0" w14:textId="0610A9D8" w:rsidR="007158AE" w:rsidRPr="007158AE" w:rsidRDefault="007158AE" w:rsidP="005C5B9B">
      <w:pPr>
        <w:pStyle w:val="Orateurengris"/>
        <w:spacing w:before="120"/>
        <w:ind w:left="709" w:hanging="709"/>
        <w:rPr>
          <w:b/>
          <w:bCs/>
        </w:rPr>
      </w:pPr>
      <w:r>
        <w:rPr>
          <w:bCs/>
        </w:rPr>
        <w:t xml:space="preserve">La </w:t>
      </w:r>
      <w:r w:rsidRPr="007158AE">
        <w:rPr>
          <w:bCs/>
        </w:rPr>
        <w:t>délégation</w:t>
      </w:r>
      <w:r>
        <w:rPr>
          <w:bCs/>
        </w:rPr>
        <w:t xml:space="preserve"> des </w:t>
      </w:r>
      <w:r w:rsidRPr="007158AE">
        <w:rPr>
          <w:b/>
          <w:bCs/>
        </w:rPr>
        <w:t>Pays-Bas</w:t>
      </w:r>
      <w:r>
        <w:rPr>
          <w:bCs/>
        </w:rPr>
        <w:t xml:space="preserve"> soutenait les remarques formulées par la Norvège et l</w:t>
      </w:r>
      <w:r w:rsidR="00346F1B">
        <w:rPr>
          <w:bCs/>
        </w:rPr>
        <w:t>’</w:t>
      </w:r>
      <w:r>
        <w:rPr>
          <w:bCs/>
        </w:rPr>
        <w:t>Autriche, ajoutant qu</w:t>
      </w:r>
      <w:r w:rsidR="00346F1B">
        <w:rPr>
          <w:bCs/>
        </w:rPr>
        <w:t>’</w:t>
      </w:r>
      <w:r>
        <w:rPr>
          <w:bCs/>
        </w:rPr>
        <w:t>elle était très déçue que les amendements aux candidatures aient pris tant de temps, un temps qui aurait pu être mieux consacré à d</w:t>
      </w:r>
      <w:r w:rsidR="00346F1B">
        <w:rPr>
          <w:bCs/>
        </w:rPr>
        <w:t>’</w:t>
      </w:r>
      <w:r>
        <w:rPr>
          <w:bCs/>
        </w:rPr>
        <w:t xml:space="preserve">autres questions très importantes. La </w:t>
      </w:r>
      <w:r w:rsidRPr="007158AE">
        <w:rPr>
          <w:bCs/>
        </w:rPr>
        <w:t>délégation</w:t>
      </w:r>
      <w:r>
        <w:rPr>
          <w:bCs/>
        </w:rPr>
        <w:t xml:space="preserve"> estimait </w:t>
      </w:r>
      <w:r w:rsidRPr="007158AE">
        <w:rPr>
          <w:bCs/>
        </w:rPr>
        <w:t>également</w:t>
      </w:r>
      <w:r>
        <w:rPr>
          <w:bCs/>
        </w:rPr>
        <w:t xml:space="preserve"> qu</w:t>
      </w:r>
      <w:r w:rsidR="00346F1B">
        <w:rPr>
          <w:bCs/>
        </w:rPr>
        <w:t>’</w:t>
      </w:r>
      <w:r>
        <w:rPr>
          <w:bCs/>
        </w:rPr>
        <w:t>il était essentiel de respecter les recommandations de l</w:t>
      </w:r>
      <w:r w:rsidR="00346F1B">
        <w:rPr>
          <w:bCs/>
        </w:rPr>
        <w:t>’</w:t>
      </w:r>
      <w:r>
        <w:rPr>
          <w:bCs/>
        </w:rPr>
        <w:t>Organe d</w:t>
      </w:r>
      <w:r w:rsidR="00346F1B">
        <w:rPr>
          <w:bCs/>
        </w:rPr>
        <w:t>’</w:t>
      </w:r>
      <w:r>
        <w:rPr>
          <w:bCs/>
        </w:rPr>
        <w:t xml:space="preserve">évaluation, et de prêter une très grande attention à la crédibilité de la </w:t>
      </w:r>
      <w:r w:rsidRPr="007158AE">
        <w:rPr>
          <w:bCs/>
        </w:rPr>
        <w:t>Convention</w:t>
      </w:r>
      <w:r w:rsidR="00172CA8">
        <w:rPr>
          <w:bCs/>
        </w:rPr>
        <w:t xml:space="preserve"> qui n</w:t>
      </w:r>
      <w:r w:rsidR="00346F1B">
        <w:rPr>
          <w:bCs/>
        </w:rPr>
        <w:t>’</w:t>
      </w:r>
      <w:r w:rsidR="00172CA8">
        <w:rPr>
          <w:bCs/>
        </w:rPr>
        <w:t>était pas qu</w:t>
      </w:r>
      <w:r w:rsidR="00346F1B">
        <w:rPr>
          <w:bCs/>
        </w:rPr>
        <w:t>’</w:t>
      </w:r>
      <w:r w:rsidR="00172CA8">
        <w:rPr>
          <w:bCs/>
        </w:rPr>
        <w:t xml:space="preserve">une suite </w:t>
      </w:r>
      <w:r>
        <w:rPr>
          <w:bCs/>
        </w:rPr>
        <w:t xml:space="preserve">de listes et </w:t>
      </w:r>
      <w:r w:rsidR="00172CA8">
        <w:rPr>
          <w:bCs/>
        </w:rPr>
        <w:t>de candidatures, mais</w:t>
      </w:r>
      <w:r>
        <w:rPr>
          <w:bCs/>
        </w:rPr>
        <w:t xml:space="preserve"> </w:t>
      </w:r>
      <w:r w:rsidR="00172CA8">
        <w:rPr>
          <w:bCs/>
        </w:rPr>
        <w:t>s</w:t>
      </w:r>
      <w:r w:rsidR="00346F1B">
        <w:rPr>
          <w:bCs/>
        </w:rPr>
        <w:t>’</w:t>
      </w:r>
      <w:r w:rsidR="00172CA8">
        <w:rPr>
          <w:bCs/>
        </w:rPr>
        <w:t>intéressait au renforcement des capacités, au PCI dans les situations d</w:t>
      </w:r>
      <w:r w:rsidR="00346F1B">
        <w:rPr>
          <w:bCs/>
        </w:rPr>
        <w:t>’</w:t>
      </w:r>
      <w:r w:rsidR="00172CA8">
        <w:rPr>
          <w:bCs/>
        </w:rPr>
        <w:t xml:space="preserve">urgence et à la </w:t>
      </w:r>
      <w:r w:rsidR="00172CA8" w:rsidRPr="00172CA8">
        <w:rPr>
          <w:bCs/>
        </w:rPr>
        <w:t>participation</w:t>
      </w:r>
      <w:r w:rsidR="00172CA8">
        <w:rPr>
          <w:bCs/>
        </w:rPr>
        <w:t xml:space="preserve"> des communautés. Elle espérait que ces sujets seraient abordés dans le cadre d</w:t>
      </w:r>
      <w:r w:rsidR="00346F1B">
        <w:rPr>
          <w:bCs/>
        </w:rPr>
        <w:t>’</w:t>
      </w:r>
      <w:r w:rsidR="00172CA8">
        <w:rPr>
          <w:bCs/>
        </w:rPr>
        <w:t xml:space="preserve">un </w:t>
      </w:r>
      <w:r w:rsidR="00172CA8" w:rsidRPr="00172CA8">
        <w:rPr>
          <w:bCs/>
        </w:rPr>
        <w:t>groupe de travail</w:t>
      </w:r>
      <w:r w:rsidR="005C5B9B">
        <w:rPr>
          <w:bCs/>
        </w:rPr>
        <w:t xml:space="preserve"> à composition non limitée.</w:t>
      </w:r>
    </w:p>
    <w:p w14:paraId="4517AD1F" w14:textId="5012C90E" w:rsidR="007158AE" w:rsidRPr="00172CA8" w:rsidRDefault="00172CA8" w:rsidP="005C5B9B">
      <w:pPr>
        <w:pStyle w:val="Orateurengris"/>
        <w:spacing w:before="120"/>
        <w:ind w:left="709" w:hanging="709"/>
        <w:rPr>
          <w:bCs/>
        </w:rPr>
      </w:pPr>
      <w:r w:rsidRPr="00172CA8">
        <w:rPr>
          <w:bCs/>
        </w:rPr>
        <w:t>La délégation</w:t>
      </w:r>
      <w:r>
        <w:rPr>
          <w:bCs/>
        </w:rPr>
        <w:t xml:space="preserve"> du </w:t>
      </w:r>
      <w:r w:rsidRPr="00172CA8">
        <w:rPr>
          <w:b/>
          <w:bCs/>
        </w:rPr>
        <w:t>Viet Nam</w:t>
      </w:r>
      <w:r>
        <w:rPr>
          <w:bCs/>
        </w:rPr>
        <w:t xml:space="preserve"> a évoqué sa </w:t>
      </w:r>
      <w:r w:rsidRPr="00172CA8">
        <w:rPr>
          <w:bCs/>
        </w:rPr>
        <w:t>participation</w:t>
      </w:r>
      <w:r>
        <w:rPr>
          <w:bCs/>
        </w:rPr>
        <w:t xml:space="preserve"> au Comité de rédaction de la </w:t>
      </w:r>
      <w:r w:rsidRPr="00172CA8">
        <w:rPr>
          <w:bCs/>
        </w:rPr>
        <w:t>Convention</w:t>
      </w:r>
      <w:r>
        <w:rPr>
          <w:bCs/>
        </w:rPr>
        <w:t xml:space="preserve"> quinze années auparavant, ajoutant que le but de la Convention était de satisfaire tout le monde. Toutefois, ce Comité avait mécontenté beaucoup d</w:t>
      </w:r>
      <w:r w:rsidR="00346F1B">
        <w:rPr>
          <w:bCs/>
        </w:rPr>
        <w:t>’</w:t>
      </w:r>
      <w:r>
        <w:rPr>
          <w:bCs/>
        </w:rPr>
        <w:t>États soumissionnaires ainsi que l</w:t>
      </w:r>
      <w:r w:rsidR="00346F1B">
        <w:rPr>
          <w:bCs/>
        </w:rPr>
        <w:t>’</w:t>
      </w:r>
      <w:r>
        <w:rPr>
          <w:bCs/>
        </w:rPr>
        <w:t>Organe d</w:t>
      </w:r>
      <w:r w:rsidR="00346F1B">
        <w:rPr>
          <w:bCs/>
        </w:rPr>
        <w:t>’</w:t>
      </w:r>
      <w:r>
        <w:rPr>
          <w:bCs/>
        </w:rPr>
        <w:t xml:space="preserve">évaluation. La </w:t>
      </w:r>
      <w:r w:rsidRPr="00172CA8">
        <w:rPr>
          <w:bCs/>
        </w:rPr>
        <w:t>délégation</w:t>
      </w:r>
      <w:r>
        <w:rPr>
          <w:bCs/>
        </w:rPr>
        <w:t xml:space="preserve"> a souligné le paradoxe de cette session où plus de 52 pour cent des propositions </w:t>
      </w:r>
      <w:r w:rsidR="00530D99">
        <w:rPr>
          <w:bCs/>
        </w:rPr>
        <w:t>avaient reçu de l</w:t>
      </w:r>
      <w:r w:rsidR="00346F1B">
        <w:rPr>
          <w:bCs/>
        </w:rPr>
        <w:t>’</w:t>
      </w:r>
      <w:r w:rsidR="00530D99">
        <w:rPr>
          <w:bCs/>
        </w:rPr>
        <w:t>Organe d</w:t>
      </w:r>
      <w:r w:rsidR="00346F1B">
        <w:rPr>
          <w:bCs/>
        </w:rPr>
        <w:t>’</w:t>
      </w:r>
      <w:r w:rsidR="00530D99">
        <w:rPr>
          <w:bCs/>
        </w:rPr>
        <w:t>évaluation des recommandations de renvoi tandis que 80 pour cent de ces mêmes recommandations de l</w:t>
      </w:r>
      <w:r w:rsidR="00346F1B">
        <w:rPr>
          <w:bCs/>
        </w:rPr>
        <w:t>’</w:t>
      </w:r>
      <w:r w:rsidR="00530D99">
        <w:rPr>
          <w:bCs/>
        </w:rPr>
        <w:t>Organe d</w:t>
      </w:r>
      <w:r w:rsidR="00346F1B">
        <w:rPr>
          <w:bCs/>
        </w:rPr>
        <w:t>’</w:t>
      </w:r>
      <w:r w:rsidR="00530D99">
        <w:rPr>
          <w:bCs/>
        </w:rPr>
        <w:t>évaluation avaient été rejeté</w:t>
      </w:r>
      <w:r w:rsidR="00F947CA">
        <w:rPr>
          <w:bCs/>
        </w:rPr>
        <w:t>e</w:t>
      </w:r>
      <w:r w:rsidR="00530D99">
        <w:rPr>
          <w:bCs/>
        </w:rPr>
        <w:t xml:space="preserve">s. La </w:t>
      </w:r>
      <w:r w:rsidR="00530D99" w:rsidRPr="00530D99">
        <w:rPr>
          <w:bCs/>
        </w:rPr>
        <w:t>délégation</w:t>
      </w:r>
      <w:r w:rsidR="00530D99">
        <w:rPr>
          <w:bCs/>
        </w:rPr>
        <w:t xml:space="preserve"> croyait que le problème résidait dans la communication, et ne doutait aucune</w:t>
      </w:r>
      <w:r w:rsidR="005C5B9B">
        <w:rPr>
          <w:bCs/>
        </w:rPr>
        <w:t>ment de la qualité des experts.</w:t>
      </w:r>
    </w:p>
    <w:p w14:paraId="6366D49E" w14:textId="5AA69CAB" w:rsidR="00530D99" w:rsidRPr="00530D99" w:rsidRDefault="00530D99" w:rsidP="005C5B9B">
      <w:pPr>
        <w:pStyle w:val="Orateurengris"/>
        <w:spacing w:before="120"/>
        <w:ind w:left="709" w:hanging="709"/>
        <w:rPr>
          <w:bCs/>
        </w:rPr>
      </w:pPr>
      <w:r w:rsidRPr="00530D99">
        <w:rPr>
          <w:bCs/>
        </w:rPr>
        <w:t>La délégation</w:t>
      </w:r>
      <w:r>
        <w:rPr>
          <w:bCs/>
        </w:rPr>
        <w:t xml:space="preserve"> de la </w:t>
      </w:r>
      <w:r w:rsidRPr="00530D99">
        <w:rPr>
          <w:b/>
          <w:bCs/>
        </w:rPr>
        <w:t>Suisse</w:t>
      </w:r>
      <w:r w:rsidR="001433F2">
        <w:rPr>
          <w:bCs/>
        </w:rPr>
        <w:t xml:space="preserve"> a fait remarquer que les L</w:t>
      </w:r>
      <w:r>
        <w:rPr>
          <w:bCs/>
        </w:rPr>
        <w:t>istes n</w:t>
      </w:r>
      <w:r w:rsidR="00346F1B">
        <w:rPr>
          <w:bCs/>
        </w:rPr>
        <w:t>’</w:t>
      </w:r>
      <w:r>
        <w:rPr>
          <w:bCs/>
        </w:rPr>
        <w:t xml:space="preserve">étaient </w:t>
      </w:r>
      <w:r w:rsidRPr="00530D99">
        <w:rPr>
          <w:bCs/>
        </w:rPr>
        <w:t>vraisemblablement</w:t>
      </w:r>
      <w:r>
        <w:rPr>
          <w:bCs/>
        </w:rPr>
        <w:t xml:space="preserve"> pas le plus important dans cette </w:t>
      </w:r>
      <w:r w:rsidRPr="00530D99">
        <w:rPr>
          <w:bCs/>
        </w:rPr>
        <w:t>Convention</w:t>
      </w:r>
      <w:r>
        <w:rPr>
          <w:bCs/>
        </w:rPr>
        <w:t xml:space="preserve"> mais étaient certainement son aspect le plus visible. Elles méritaient donc d</w:t>
      </w:r>
      <w:r w:rsidR="00346F1B">
        <w:rPr>
          <w:bCs/>
        </w:rPr>
        <w:t>’</w:t>
      </w:r>
      <w:r>
        <w:rPr>
          <w:bCs/>
        </w:rPr>
        <w:t xml:space="preserve">être gérées avec un grand soin et beaucoup de sérieux. </w:t>
      </w:r>
      <w:r w:rsidR="00F35652">
        <w:rPr>
          <w:bCs/>
        </w:rPr>
        <w:t>Elle a évoqué son incompréhension face à la situation, confirmant ainsi le sentiment exprimé par la République de Corée et Sainte-Lucie selon lequel beaucoup trop de temps avait été consacré à une discussion qui, finalement, n</w:t>
      </w:r>
      <w:r w:rsidR="00346F1B">
        <w:rPr>
          <w:bCs/>
        </w:rPr>
        <w:t>’</w:t>
      </w:r>
      <w:r w:rsidR="00F35652">
        <w:rPr>
          <w:bCs/>
        </w:rPr>
        <w:t>avait satisfait personne. Elle avait le sentiment que les procédures devaient être améliorées et que les attitudes devaient changer. Ayant entendu beaucoup d</w:t>
      </w:r>
      <w:r w:rsidR="00346F1B">
        <w:rPr>
          <w:bCs/>
        </w:rPr>
        <w:t>’</w:t>
      </w:r>
      <w:r w:rsidR="00F35652">
        <w:rPr>
          <w:bCs/>
        </w:rPr>
        <w:t xml:space="preserve">idées, la </w:t>
      </w:r>
      <w:r w:rsidR="00F35652" w:rsidRPr="00F35652">
        <w:rPr>
          <w:bCs/>
        </w:rPr>
        <w:t>délégation</w:t>
      </w:r>
      <w:r w:rsidR="00F35652">
        <w:rPr>
          <w:bCs/>
        </w:rPr>
        <w:t xml:space="preserve"> était prête à contribuer à une réflexion plus poussée qui s</w:t>
      </w:r>
      <w:r w:rsidR="00346F1B">
        <w:rPr>
          <w:bCs/>
        </w:rPr>
        <w:t>’</w:t>
      </w:r>
      <w:r w:rsidR="00F35652">
        <w:rPr>
          <w:bCs/>
        </w:rPr>
        <w:t>engagerait au sein d</w:t>
      </w:r>
      <w:r w:rsidR="00346F1B">
        <w:rPr>
          <w:bCs/>
        </w:rPr>
        <w:t>’</w:t>
      </w:r>
      <w:r w:rsidR="00F35652">
        <w:rPr>
          <w:bCs/>
        </w:rPr>
        <w:t xml:space="preserve">un </w:t>
      </w:r>
      <w:r w:rsidR="00F35652" w:rsidRPr="00F35652">
        <w:rPr>
          <w:bCs/>
        </w:rPr>
        <w:t>groupe de travail</w:t>
      </w:r>
      <w:r w:rsidR="005C5B9B">
        <w:rPr>
          <w:bCs/>
        </w:rPr>
        <w:t>.</w:t>
      </w:r>
    </w:p>
    <w:p w14:paraId="7A902E8D" w14:textId="3F662851" w:rsidR="00F35652" w:rsidRPr="00F35652" w:rsidRDefault="00F35652" w:rsidP="005C5B9B">
      <w:pPr>
        <w:pStyle w:val="Orateurengris"/>
        <w:spacing w:before="120"/>
        <w:ind w:left="709" w:hanging="709"/>
        <w:rPr>
          <w:b/>
          <w:bCs/>
        </w:rPr>
      </w:pPr>
      <w:r w:rsidRPr="00F35652">
        <w:rPr>
          <w:bCs/>
        </w:rPr>
        <w:t>Le</w:t>
      </w:r>
      <w:r w:rsidRPr="00F35652">
        <w:rPr>
          <w:b/>
          <w:bCs/>
        </w:rPr>
        <w:t xml:space="preserve"> Président </w:t>
      </w:r>
      <w:r>
        <w:rPr>
          <w:bCs/>
        </w:rPr>
        <w:t xml:space="preserve">avait pris note de </w:t>
      </w:r>
      <w:r w:rsidRPr="00F35652">
        <w:rPr>
          <w:bCs/>
        </w:rPr>
        <w:t xml:space="preserve">certains sujets </w:t>
      </w:r>
      <w:r w:rsidR="001028DC">
        <w:rPr>
          <w:bCs/>
        </w:rPr>
        <w:t xml:space="preserve">communs à </w:t>
      </w:r>
      <w:r>
        <w:rPr>
          <w:bCs/>
        </w:rPr>
        <w:t>plusieurs</w:t>
      </w:r>
      <w:r w:rsidR="001028DC">
        <w:rPr>
          <w:bCs/>
        </w:rPr>
        <w:t xml:space="preserve"> délégations, et compte tenu de la longue liste d</w:t>
      </w:r>
      <w:r w:rsidR="00346F1B">
        <w:rPr>
          <w:bCs/>
        </w:rPr>
        <w:t>’</w:t>
      </w:r>
      <w:r w:rsidR="001028DC">
        <w:rPr>
          <w:bCs/>
        </w:rPr>
        <w:t>intervenants, il a proposé de passer à l</w:t>
      </w:r>
      <w:r w:rsidR="00346F1B">
        <w:rPr>
          <w:bCs/>
        </w:rPr>
        <w:t>’</w:t>
      </w:r>
      <w:r w:rsidR="001028DC">
        <w:rPr>
          <w:bCs/>
        </w:rPr>
        <w:t xml:space="preserve">adoption de la </w:t>
      </w:r>
      <w:r w:rsidR="001028DC" w:rsidRPr="001028DC">
        <w:rPr>
          <w:bCs/>
        </w:rPr>
        <w:t>décision</w:t>
      </w:r>
      <w:r w:rsidR="001028DC">
        <w:rPr>
          <w:bCs/>
        </w:rPr>
        <w:t xml:space="preserve"> puisque </w:t>
      </w:r>
      <w:r w:rsidR="001028DC" w:rsidRPr="001028DC">
        <w:rPr>
          <w:bCs/>
        </w:rPr>
        <w:t>la plupart des</w:t>
      </w:r>
      <w:r w:rsidR="001028DC">
        <w:rPr>
          <w:bCs/>
        </w:rPr>
        <w:t xml:space="preserve"> questions feraient l</w:t>
      </w:r>
      <w:r w:rsidR="00346F1B">
        <w:rPr>
          <w:bCs/>
        </w:rPr>
        <w:t>’</w:t>
      </w:r>
      <w:r w:rsidR="001028DC">
        <w:rPr>
          <w:bCs/>
        </w:rPr>
        <w:t>objet d</w:t>
      </w:r>
      <w:r w:rsidR="00346F1B">
        <w:rPr>
          <w:bCs/>
        </w:rPr>
        <w:t>’</w:t>
      </w:r>
      <w:r w:rsidR="001028DC">
        <w:rPr>
          <w:bCs/>
        </w:rPr>
        <w:t xml:space="preserve">un débat dans le </w:t>
      </w:r>
      <w:r w:rsidR="001028DC" w:rsidRPr="001028DC">
        <w:rPr>
          <w:bCs/>
        </w:rPr>
        <w:t>groupe de travail</w:t>
      </w:r>
      <w:r w:rsidR="005C5B9B">
        <w:rPr>
          <w:bCs/>
        </w:rPr>
        <w:t xml:space="preserve"> dont le Comité avait parlé.</w:t>
      </w:r>
    </w:p>
    <w:p w14:paraId="62DD2771" w14:textId="32AD1C6E" w:rsidR="004B1FBB" w:rsidRPr="004B1FBB" w:rsidRDefault="004B1FBB" w:rsidP="005C5B9B">
      <w:pPr>
        <w:pStyle w:val="Orateurengris"/>
        <w:spacing w:before="120"/>
        <w:ind w:left="709" w:hanging="709"/>
        <w:rPr>
          <w:b/>
          <w:bCs/>
        </w:rPr>
      </w:pPr>
      <w:r>
        <w:rPr>
          <w:bCs/>
        </w:rPr>
        <w:t xml:space="preserve">La </w:t>
      </w:r>
      <w:r w:rsidRPr="004B1FBB">
        <w:rPr>
          <w:bCs/>
        </w:rPr>
        <w:t>délégation</w:t>
      </w:r>
      <w:r w:rsidR="00FC31B4">
        <w:rPr>
          <w:bCs/>
        </w:rPr>
        <w:t xml:space="preserve"> du </w:t>
      </w:r>
      <w:r w:rsidRPr="00FC31B4">
        <w:rPr>
          <w:b/>
          <w:bCs/>
        </w:rPr>
        <w:t>Soudan</w:t>
      </w:r>
      <w:r w:rsidR="00FC31B4" w:rsidRPr="00FC31B4">
        <w:rPr>
          <w:b/>
          <w:bCs/>
        </w:rPr>
        <w:t xml:space="preserve"> du Sud</w:t>
      </w:r>
      <w:r w:rsidR="00FC31B4">
        <w:rPr>
          <w:bCs/>
        </w:rPr>
        <w:t xml:space="preserve"> a remercié le </w:t>
      </w:r>
      <w:r w:rsidR="001C771B">
        <w:rPr>
          <w:bCs/>
        </w:rPr>
        <w:t>G</w:t>
      </w:r>
      <w:r w:rsidR="00FC31B4" w:rsidRPr="00FC31B4">
        <w:rPr>
          <w:bCs/>
        </w:rPr>
        <w:t>ouvernement</w:t>
      </w:r>
      <w:r w:rsidR="00FC31B4">
        <w:rPr>
          <w:bCs/>
        </w:rPr>
        <w:t xml:space="preserve"> éthiopien d</w:t>
      </w:r>
      <w:r w:rsidR="00346F1B">
        <w:rPr>
          <w:bCs/>
        </w:rPr>
        <w:t>’</w:t>
      </w:r>
      <w:r w:rsidR="00FC31B4">
        <w:rPr>
          <w:bCs/>
        </w:rPr>
        <w:t xml:space="preserve">accueillir cette session, et le Secrétariat de permettre au Soudan du Sud de faire partie de la </w:t>
      </w:r>
      <w:r w:rsidR="00FC31B4" w:rsidRPr="00FC31B4">
        <w:rPr>
          <w:bCs/>
        </w:rPr>
        <w:t>Convention</w:t>
      </w:r>
      <w:r w:rsidR="00FC31B4">
        <w:rPr>
          <w:bCs/>
        </w:rPr>
        <w:t>. Elle a évoqué la crise dans son pays et formé l</w:t>
      </w:r>
      <w:r w:rsidR="00346F1B">
        <w:rPr>
          <w:bCs/>
        </w:rPr>
        <w:t>’</w:t>
      </w:r>
      <w:r w:rsidR="00FC31B4">
        <w:rPr>
          <w:bCs/>
        </w:rPr>
        <w:t xml:space="preserve">espoir que les 64 communautés qui vivaient en harmonie et dans un esprit de réconciliation, se joindraient aux efforts de </w:t>
      </w:r>
      <w:r w:rsidR="00FC31B4" w:rsidRPr="00FC31B4">
        <w:rPr>
          <w:bCs/>
        </w:rPr>
        <w:t>sauvegarde</w:t>
      </w:r>
      <w:r w:rsidR="005C5B9B">
        <w:rPr>
          <w:bCs/>
        </w:rPr>
        <w:t>.</w:t>
      </w:r>
    </w:p>
    <w:p w14:paraId="6EDD5999" w14:textId="04CD3F0B" w:rsidR="00FC31B4" w:rsidRPr="00FC31B4" w:rsidRDefault="00FC31B4" w:rsidP="005C5B9B">
      <w:pPr>
        <w:pStyle w:val="Orateurengris"/>
        <w:spacing w:before="120"/>
        <w:ind w:left="709" w:hanging="709"/>
        <w:rPr>
          <w:b/>
          <w:bCs/>
        </w:rPr>
      </w:pPr>
      <w:r w:rsidRPr="00FC31B4">
        <w:rPr>
          <w:bCs/>
        </w:rPr>
        <w:t>La délégation du</w:t>
      </w:r>
      <w:r>
        <w:rPr>
          <w:b/>
          <w:bCs/>
        </w:rPr>
        <w:t xml:space="preserve"> Maroc </w:t>
      </w:r>
      <w:r>
        <w:rPr>
          <w:bCs/>
        </w:rPr>
        <w:t>avait retenu deux mots de cette session : i</w:t>
      </w:r>
      <w:r w:rsidR="000E6C99">
        <w:rPr>
          <w:bCs/>
        </w:rPr>
        <w:t>) « la cohérence » qui s</w:t>
      </w:r>
      <w:r w:rsidR="00346F1B">
        <w:rPr>
          <w:bCs/>
        </w:rPr>
        <w:t>’</w:t>
      </w:r>
      <w:r w:rsidR="000E6C99">
        <w:rPr>
          <w:bCs/>
        </w:rPr>
        <w:t>entendait en tant que cohérence entre toutes les sessions du Comité et pas seulement au sein d</w:t>
      </w:r>
      <w:r w:rsidR="00346F1B">
        <w:rPr>
          <w:bCs/>
        </w:rPr>
        <w:t>’</w:t>
      </w:r>
      <w:r w:rsidR="000E6C99">
        <w:rPr>
          <w:bCs/>
        </w:rPr>
        <w:t xml:space="preserve">une seule session, et ii) « les clarifications » qui semblaient être une notion assez vague. À cet égard, elle croyait que le Comité ne disposait pas de </w:t>
      </w:r>
      <w:r w:rsidR="000E6C99" w:rsidRPr="000E6C99">
        <w:rPr>
          <w:bCs/>
        </w:rPr>
        <w:t xml:space="preserve">suffisamment </w:t>
      </w:r>
      <w:r w:rsidR="000E6C99">
        <w:rPr>
          <w:bCs/>
        </w:rPr>
        <w:t xml:space="preserve">de temps ou de recul pour évaluer si les </w:t>
      </w:r>
      <w:r w:rsidR="000E6C99" w:rsidRPr="000E6C99">
        <w:rPr>
          <w:bCs/>
        </w:rPr>
        <w:t>informations</w:t>
      </w:r>
      <w:r w:rsidR="000E6C99">
        <w:rPr>
          <w:bCs/>
        </w:rPr>
        <w:t xml:space="preserve"> communiquées en tant que « clarifications » étaient appropriées pour conclure si le critère dont on recommandait le </w:t>
      </w:r>
      <w:r w:rsidR="00D4086B">
        <w:rPr>
          <w:bCs/>
        </w:rPr>
        <w:t>renvoi était satisfait ou pas</w:t>
      </w:r>
      <w:r w:rsidR="007719B5">
        <w:rPr>
          <w:bCs/>
        </w:rPr>
        <w:t>.</w:t>
      </w:r>
    </w:p>
    <w:p w14:paraId="7E5CF870" w14:textId="25658764" w:rsidR="00F10B41" w:rsidRPr="00F10B41" w:rsidRDefault="00D4086B" w:rsidP="005C5B9B">
      <w:pPr>
        <w:pStyle w:val="Orateurengris"/>
        <w:spacing w:before="120"/>
        <w:ind w:left="709" w:hanging="709"/>
        <w:rPr>
          <w:b/>
          <w:bCs/>
        </w:rPr>
      </w:pPr>
      <w:r w:rsidRPr="00D4086B">
        <w:rPr>
          <w:bCs/>
        </w:rPr>
        <w:t>La délégation de la</w:t>
      </w:r>
      <w:r>
        <w:rPr>
          <w:b/>
          <w:bCs/>
        </w:rPr>
        <w:t xml:space="preserve"> Chine </w:t>
      </w:r>
      <w:r>
        <w:rPr>
          <w:bCs/>
        </w:rPr>
        <w:t>estimait que l</w:t>
      </w:r>
      <w:r w:rsidR="00346F1B">
        <w:rPr>
          <w:bCs/>
        </w:rPr>
        <w:t>’</w:t>
      </w:r>
      <w:r>
        <w:rPr>
          <w:bCs/>
        </w:rPr>
        <w:t>on devrait r</w:t>
      </w:r>
      <w:r w:rsidR="00F10B41">
        <w:rPr>
          <w:bCs/>
        </w:rPr>
        <w:t>endre hommage aux très grands efforts entrepris par l</w:t>
      </w:r>
      <w:r w:rsidR="00346F1B">
        <w:rPr>
          <w:bCs/>
        </w:rPr>
        <w:t>’</w:t>
      </w:r>
      <w:r w:rsidR="00F10B41">
        <w:rPr>
          <w:bCs/>
        </w:rPr>
        <w:t>Organe d</w:t>
      </w:r>
      <w:r w:rsidR="00346F1B">
        <w:rPr>
          <w:bCs/>
        </w:rPr>
        <w:t>’</w:t>
      </w:r>
      <w:r w:rsidR="00F10B41">
        <w:rPr>
          <w:bCs/>
        </w:rPr>
        <w:t>évaluation afin de formuler ses recommandations professionnelles. Elle était convaincue que le travail de l</w:t>
      </w:r>
      <w:r w:rsidR="00346F1B">
        <w:rPr>
          <w:bCs/>
        </w:rPr>
        <w:t>’</w:t>
      </w:r>
      <w:r w:rsidR="00F10B41">
        <w:rPr>
          <w:bCs/>
        </w:rPr>
        <w:t>Organe d</w:t>
      </w:r>
      <w:r w:rsidR="00346F1B">
        <w:rPr>
          <w:bCs/>
        </w:rPr>
        <w:t>’</w:t>
      </w:r>
      <w:r w:rsidR="00F10B41">
        <w:rPr>
          <w:bCs/>
        </w:rPr>
        <w:t>évaluation devrait rester neutre, indépendant et cohérent, rappelant comment ce nouvel Organe d</w:t>
      </w:r>
      <w:r w:rsidR="00346F1B">
        <w:rPr>
          <w:bCs/>
        </w:rPr>
        <w:t>’</w:t>
      </w:r>
      <w:r w:rsidR="00F10B41">
        <w:rPr>
          <w:bCs/>
        </w:rPr>
        <w:t xml:space="preserve">évaluation avait été établi deux années auparavant et soulignant que son travail devrait se fonder sur les précédentes décisions et recommandations du Comité. La </w:t>
      </w:r>
      <w:r w:rsidR="00F10B41" w:rsidRPr="00F10B41">
        <w:rPr>
          <w:bCs/>
        </w:rPr>
        <w:t>délégation</w:t>
      </w:r>
      <w:r w:rsidR="00F10B41">
        <w:rPr>
          <w:bCs/>
        </w:rPr>
        <w:t xml:space="preserve"> a mis en garde contre des tentatives d</w:t>
      </w:r>
      <w:r w:rsidR="00346F1B">
        <w:rPr>
          <w:bCs/>
        </w:rPr>
        <w:t>’</w:t>
      </w:r>
      <w:r w:rsidR="00F10B41">
        <w:rPr>
          <w:bCs/>
        </w:rPr>
        <w:t>adoption de nouvelles pratiques ou de nouvelles méthodes de travail, comme précédemment évoqué par l</w:t>
      </w:r>
      <w:r w:rsidR="00346F1B">
        <w:rPr>
          <w:bCs/>
        </w:rPr>
        <w:t>’</w:t>
      </w:r>
      <w:r w:rsidR="00F10B41">
        <w:rPr>
          <w:bCs/>
        </w:rPr>
        <w:t xml:space="preserve">Inde. Elle a </w:t>
      </w:r>
      <w:r w:rsidR="00F10B41" w:rsidRPr="00F10B41">
        <w:rPr>
          <w:bCs/>
        </w:rPr>
        <w:t>également</w:t>
      </w:r>
      <w:r w:rsidR="00F10B41">
        <w:rPr>
          <w:bCs/>
        </w:rPr>
        <w:t xml:space="preserve"> souligné la nécessité pour les États soumissionnaires de faire très attention à ne pas utiliser des </w:t>
      </w:r>
      <w:r w:rsidR="00F10B41" w:rsidRPr="00F10B41">
        <w:rPr>
          <w:bCs/>
        </w:rPr>
        <w:t>expressions</w:t>
      </w:r>
      <w:r w:rsidR="00F10B41">
        <w:rPr>
          <w:bCs/>
        </w:rPr>
        <w:t xml:space="preserve"> inappropriées dans les dossiers de candidature.</w:t>
      </w:r>
    </w:p>
    <w:p w14:paraId="35061EF8" w14:textId="483407BC" w:rsidR="00F10B41" w:rsidRPr="00F10B41" w:rsidRDefault="00F10B41" w:rsidP="005C5B9B">
      <w:pPr>
        <w:pStyle w:val="Orateurengris"/>
        <w:spacing w:before="120"/>
        <w:ind w:left="709" w:hanging="709"/>
        <w:rPr>
          <w:b/>
          <w:bCs/>
        </w:rPr>
      </w:pPr>
      <w:r>
        <w:rPr>
          <w:bCs/>
        </w:rPr>
        <w:t xml:space="preserve">Un </w:t>
      </w:r>
      <w:r w:rsidRPr="00F10B41">
        <w:rPr>
          <w:b/>
          <w:bCs/>
        </w:rPr>
        <w:t>représentant du Forum des ONG du PCI</w:t>
      </w:r>
      <w:r>
        <w:rPr>
          <w:bCs/>
        </w:rPr>
        <w:t xml:space="preserve"> a réaffirmé sa conf</w:t>
      </w:r>
      <w:r w:rsidR="009359C9">
        <w:rPr>
          <w:bCs/>
        </w:rPr>
        <w:t xml:space="preserve">iance dans les très importantes </w:t>
      </w:r>
      <w:r>
        <w:rPr>
          <w:bCs/>
        </w:rPr>
        <w:t>contributions de l</w:t>
      </w:r>
      <w:r w:rsidR="00346F1B">
        <w:rPr>
          <w:bCs/>
        </w:rPr>
        <w:t>’</w:t>
      </w:r>
      <w:r>
        <w:rPr>
          <w:bCs/>
        </w:rPr>
        <w:t>Organe d</w:t>
      </w:r>
      <w:r w:rsidR="00346F1B">
        <w:rPr>
          <w:bCs/>
        </w:rPr>
        <w:t>’</w:t>
      </w:r>
      <w:r>
        <w:rPr>
          <w:bCs/>
        </w:rPr>
        <w:t>évaluation</w:t>
      </w:r>
      <w:r w:rsidR="009359C9">
        <w:rPr>
          <w:bCs/>
        </w:rPr>
        <w:t xml:space="preserve"> et</w:t>
      </w:r>
      <w:r>
        <w:rPr>
          <w:bCs/>
        </w:rPr>
        <w:t xml:space="preserve"> dans son </w:t>
      </w:r>
      <w:r w:rsidRPr="00F10B41">
        <w:rPr>
          <w:bCs/>
        </w:rPr>
        <w:t>évaluation</w:t>
      </w:r>
      <w:r>
        <w:rPr>
          <w:bCs/>
        </w:rPr>
        <w:t xml:space="preserve"> rigoureuse des dossiers de tous les mécanismes. </w:t>
      </w:r>
      <w:r w:rsidR="009359C9">
        <w:rPr>
          <w:bCs/>
        </w:rPr>
        <w:t>Le Forum des ONG s</w:t>
      </w:r>
      <w:r w:rsidR="00346F1B">
        <w:rPr>
          <w:bCs/>
        </w:rPr>
        <w:t>’</w:t>
      </w:r>
      <w:r w:rsidR="009359C9">
        <w:rPr>
          <w:bCs/>
        </w:rPr>
        <w:t xml:space="preserve">est dit préoccupé par </w:t>
      </w:r>
      <w:r w:rsidR="009B6100">
        <w:rPr>
          <w:bCs/>
        </w:rPr>
        <w:t xml:space="preserve">le </w:t>
      </w:r>
      <w:r w:rsidR="009359C9">
        <w:rPr>
          <w:bCs/>
        </w:rPr>
        <w:t>rejet presque systématique des recommandations, rappelant le rôle essentiel de l</w:t>
      </w:r>
      <w:r w:rsidR="00346F1B">
        <w:rPr>
          <w:bCs/>
        </w:rPr>
        <w:t>’</w:t>
      </w:r>
      <w:r w:rsidR="009359C9">
        <w:rPr>
          <w:bCs/>
        </w:rPr>
        <w:t>Organe dans le respect des valeurs et de l</w:t>
      </w:r>
      <w:r w:rsidR="00346F1B">
        <w:rPr>
          <w:bCs/>
        </w:rPr>
        <w:t>’</w:t>
      </w:r>
      <w:r w:rsidR="009359C9">
        <w:rPr>
          <w:bCs/>
        </w:rPr>
        <w:t xml:space="preserve">esprit de la </w:t>
      </w:r>
      <w:r w:rsidR="009359C9" w:rsidRPr="009359C9">
        <w:rPr>
          <w:bCs/>
        </w:rPr>
        <w:t>Convention</w:t>
      </w:r>
      <w:r w:rsidR="009359C9">
        <w:rPr>
          <w:bCs/>
        </w:rPr>
        <w:t xml:space="preserve">. Le Forum </w:t>
      </w:r>
      <w:r w:rsidR="009B6100">
        <w:rPr>
          <w:bCs/>
        </w:rPr>
        <w:t xml:space="preserve">était certain </w:t>
      </w:r>
      <w:r w:rsidR="009359C9">
        <w:rPr>
          <w:bCs/>
        </w:rPr>
        <w:t xml:space="preserve">que la réussite de la </w:t>
      </w:r>
      <w:r w:rsidR="009359C9" w:rsidRPr="009359C9">
        <w:rPr>
          <w:bCs/>
        </w:rPr>
        <w:t>Convention</w:t>
      </w:r>
      <w:r w:rsidR="009359C9">
        <w:rPr>
          <w:bCs/>
        </w:rPr>
        <w:t xml:space="preserve"> ne devrait pas se mesurer uniquement à l</w:t>
      </w:r>
      <w:r w:rsidR="00346F1B">
        <w:rPr>
          <w:bCs/>
        </w:rPr>
        <w:t>’</w:t>
      </w:r>
      <w:r w:rsidR="009359C9">
        <w:rPr>
          <w:bCs/>
        </w:rPr>
        <w:t xml:space="preserve">aune des succès diplomatiques des inscriptions mais plutôt à celle des impacts réels des actions sur les nombreux ensembles de connaissances et pratiques transmis de génération en génération, </w:t>
      </w:r>
      <w:r w:rsidR="009359C9" w:rsidRPr="009359C9">
        <w:rPr>
          <w:bCs/>
        </w:rPr>
        <w:t>en particulier</w:t>
      </w:r>
      <w:r w:rsidR="009359C9">
        <w:rPr>
          <w:bCs/>
        </w:rPr>
        <w:t xml:space="preserve"> ceux qui étaient menacés. Il se demandait pourquoi nous devrions investir tant de ressources humaines et financières dans le travail de l</w:t>
      </w:r>
      <w:r w:rsidR="00346F1B">
        <w:rPr>
          <w:bCs/>
        </w:rPr>
        <w:t>’</w:t>
      </w:r>
      <w:r w:rsidR="009359C9">
        <w:rPr>
          <w:bCs/>
        </w:rPr>
        <w:t>Organe d</w:t>
      </w:r>
      <w:r w:rsidR="00346F1B">
        <w:rPr>
          <w:bCs/>
        </w:rPr>
        <w:t>’</w:t>
      </w:r>
      <w:r w:rsidR="009359C9">
        <w:rPr>
          <w:bCs/>
        </w:rPr>
        <w:t xml:space="preserve">évaluation si ses conclusions avaient un caractère si facultatif. Le </w:t>
      </w:r>
      <w:r w:rsidR="009359C9" w:rsidRPr="009359C9">
        <w:rPr>
          <w:bCs/>
        </w:rPr>
        <w:t>représentant</w:t>
      </w:r>
      <w:r w:rsidR="009359C9">
        <w:rPr>
          <w:bCs/>
        </w:rPr>
        <w:t xml:space="preserve"> du Forum a supposé que la solution au déséquilibre observé durant cette session résidait certainement dans des procédures alternatives à mettre en œuvre à l</w:t>
      </w:r>
      <w:r w:rsidR="00346F1B">
        <w:rPr>
          <w:bCs/>
        </w:rPr>
        <w:t>’</w:t>
      </w:r>
      <w:r w:rsidR="009359C9">
        <w:rPr>
          <w:bCs/>
        </w:rPr>
        <w:t>avenir</w:t>
      </w:r>
      <w:r w:rsidR="009B6100">
        <w:rPr>
          <w:bCs/>
        </w:rPr>
        <w:t>, procédures auxquelles les ONG se</w:t>
      </w:r>
      <w:r w:rsidR="005C5B9B">
        <w:rPr>
          <w:bCs/>
        </w:rPr>
        <w:t>raient heureuses de contribuer.</w:t>
      </w:r>
    </w:p>
    <w:p w14:paraId="2CC7A6EA" w14:textId="6337F981" w:rsidR="009B6100" w:rsidRPr="009B6100" w:rsidRDefault="009B6100" w:rsidP="005C5B9B">
      <w:pPr>
        <w:pStyle w:val="Orateurengris"/>
        <w:spacing w:before="120"/>
        <w:ind w:left="709" w:hanging="709"/>
        <w:rPr>
          <w:b/>
          <w:bCs/>
        </w:rPr>
      </w:pPr>
      <w:r w:rsidRPr="009B6100">
        <w:rPr>
          <w:bCs/>
        </w:rPr>
        <w:t>La délégation de la</w:t>
      </w:r>
      <w:r>
        <w:rPr>
          <w:b/>
          <w:bCs/>
        </w:rPr>
        <w:t xml:space="preserve"> Grèce </w:t>
      </w:r>
      <w:r>
        <w:rPr>
          <w:bCs/>
        </w:rPr>
        <w:t>a joint sa voix à celles de la Norvège, de l</w:t>
      </w:r>
      <w:r w:rsidR="00346F1B">
        <w:rPr>
          <w:bCs/>
        </w:rPr>
        <w:t>’</w:t>
      </w:r>
      <w:r>
        <w:rPr>
          <w:bCs/>
        </w:rPr>
        <w:t>Autriche, des Pays-Bas et de la Belgique pour affirmer la nécessité de résoudre le problème de l</w:t>
      </w:r>
      <w:r w:rsidR="00346F1B">
        <w:rPr>
          <w:bCs/>
        </w:rPr>
        <w:t>’</w:t>
      </w:r>
      <w:r w:rsidRPr="009B6100">
        <w:rPr>
          <w:bCs/>
        </w:rPr>
        <w:t>utilisation</w:t>
      </w:r>
      <w:r>
        <w:rPr>
          <w:bCs/>
        </w:rPr>
        <w:t xml:space="preserve"> excessive des ressources par le Comité pour le traitement des dossiers de candidature. Elle a appelé le Secrétariat, en tant que mémoire institutionnelle de la </w:t>
      </w:r>
      <w:r w:rsidRPr="009B6100">
        <w:rPr>
          <w:bCs/>
        </w:rPr>
        <w:t>Convention</w:t>
      </w:r>
      <w:r>
        <w:rPr>
          <w:bCs/>
        </w:rPr>
        <w:t xml:space="preserve">, à intervenir plus activement et à faire respecter les règles et principes de la </w:t>
      </w:r>
      <w:r w:rsidRPr="009B6100">
        <w:rPr>
          <w:bCs/>
        </w:rPr>
        <w:t>Convention</w:t>
      </w:r>
      <w:r>
        <w:rPr>
          <w:bCs/>
        </w:rPr>
        <w:t xml:space="preserve">. Par ailleurs, la </w:t>
      </w:r>
      <w:r w:rsidRPr="009B6100">
        <w:rPr>
          <w:bCs/>
        </w:rPr>
        <w:t>délégation</w:t>
      </w:r>
      <w:r>
        <w:rPr>
          <w:bCs/>
        </w:rPr>
        <w:t xml:space="preserve"> a ajouté qu</w:t>
      </w:r>
      <w:r w:rsidR="00346F1B">
        <w:rPr>
          <w:bCs/>
        </w:rPr>
        <w:t>’</w:t>
      </w:r>
      <w:r>
        <w:rPr>
          <w:bCs/>
        </w:rPr>
        <w:t>elle n</w:t>
      </w:r>
      <w:r w:rsidR="00346F1B">
        <w:rPr>
          <w:bCs/>
        </w:rPr>
        <w:t>’</w:t>
      </w:r>
      <w:r>
        <w:rPr>
          <w:bCs/>
        </w:rPr>
        <w:t xml:space="preserve">appréciait pas de voir des drapeaux nationaux pendant la session alors que la </w:t>
      </w:r>
      <w:r w:rsidRPr="009B6100">
        <w:rPr>
          <w:bCs/>
        </w:rPr>
        <w:t>Convention</w:t>
      </w:r>
      <w:r>
        <w:rPr>
          <w:bCs/>
        </w:rPr>
        <w:t xml:space="preserve"> concernait de</w:t>
      </w:r>
      <w:r w:rsidR="005C5B9B">
        <w:rPr>
          <w:bCs/>
        </w:rPr>
        <w:t>s communautés et non des États.</w:t>
      </w:r>
    </w:p>
    <w:p w14:paraId="16E4CB79" w14:textId="1BD63C1F" w:rsidR="009B6100" w:rsidRPr="009B6100" w:rsidRDefault="009B6100" w:rsidP="005C5B9B">
      <w:pPr>
        <w:pStyle w:val="Orateurengris"/>
        <w:spacing w:before="120"/>
        <w:ind w:left="709" w:hanging="709"/>
        <w:rPr>
          <w:b/>
          <w:bCs/>
        </w:rPr>
      </w:pPr>
      <w:r>
        <w:rPr>
          <w:bCs/>
        </w:rPr>
        <w:t xml:space="preserve">La </w:t>
      </w:r>
      <w:r w:rsidRPr="009B6100">
        <w:rPr>
          <w:bCs/>
        </w:rPr>
        <w:t>délégation</w:t>
      </w:r>
      <w:r>
        <w:rPr>
          <w:bCs/>
        </w:rPr>
        <w:t xml:space="preserve"> du </w:t>
      </w:r>
      <w:r w:rsidRPr="009B6100">
        <w:rPr>
          <w:b/>
          <w:bCs/>
        </w:rPr>
        <w:t>Mexique</w:t>
      </w:r>
      <w:r>
        <w:rPr>
          <w:bCs/>
        </w:rPr>
        <w:t xml:space="preserve"> a fait remarquer que le Comité était en train d</w:t>
      </w:r>
      <w:r w:rsidR="00346F1B">
        <w:rPr>
          <w:bCs/>
        </w:rPr>
        <w:t>’</w:t>
      </w:r>
      <w:r>
        <w:rPr>
          <w:bCs/>
        </w:rPr>
        <w:t xml:space="preserve">aborder une question </w:t>
      </w:r>
      <w:r w:rsidRPr="009B6100">
        <w:rPr>
          <w:bCs/>
        </w:rPr>
        <w:t>extrêmement</w:t>
      </w:r>
      <w:r>
        <w:rPr>
          <w:bCs/>
        </w:rPr>
        <w:t xml:space="preserve"> importante…</w:t>
      </w:r>
      <w:r w:rsidR="007719B5">
        <w:rPr>
          <w:bCs/>
        </w:rPr>
        <w:t xml:space="preserve"> </w:t>
      </w:r>
      <w:r>
        <w:rPr>
          <w:bCs/>
        </w:rPr>
        <w:t>[interruption]</w:t>
      </w:r>
    </w:p>
    <w:p w14:paraId="1124D9B0" w14:textId="7C0971B2" w:rsidR="009B6100" w:rsidRPr="009B6100" w:rsidRDefault="00BF5699" w:rsidP="005C5B9B">
      <w:pPr>
        <w:pStyle w:val="Orateurengris"/>
        <w:spacing w:before="120"/>
        <w:ind w:left="709" w:hanging="709"/>
        <w:rPr>
          <w:b/>
          <w:bCs/>
        </w:rPr>
      </w:pPr>
      <w:r>
        <w:rPr>
          <w:bCs/>
        </w:rPr>
        <w:t xml:space="preserve">Le </w:t>
      </w:r>
      <w:r w:rsidRPr="00BF5699">
        <w:rPr>
          <w:b/>
          <w:bCs/>
        </w:rPr>
        <w:t>Président</w:t>
      </w:r>
      <w:r>
        <w:rPr>
          <w:bCs/>
        </w:rPr>
        <w:t xml:space="preserve"> a signalé une motion d</w:t>
      </w:r>
      <w:r w:rsidR="00346F1B">
        <w:rPr>
          <w:bCs/>
        </w:rPr>
        <w:t>’</w:t>
      </w:r>
      <w:r>
        <w:rPr>
          <w:bCs/>
        </w:rPr>
        <w:t>ordre proposée par Cuba</w:t>
      </w:r>
    </w:p>
    <w:p w14:paraId="22FC62BF" w14:textId="41DACF5E" w:rsidR="00BF5699" w:rsidRPr="00BF5699" w:rsidRDefault="00BF5699" w:rsidP="005C5B9B">
      <w:pPr>
        <w:pStyle w:val="Orateurengris"/>
        <w:spacing w:before="120"/>
        <w:ind w:left="709" w:hanging="709"/>
        <w:rPr>
          <w:b/>
          <w:bCs/>
        </w:rPr>
      </w:pPr>
      <w:r>
        <w:rPr>
          <w:bCs/>
        </w:rPr>
        <w:t xml:space="preserve">La </w:t>
      </w:r>
      <w:r w:rsidRPr="00BF5699">
        <w:rPr>
          <w:bCs/>
        </w:rPr>
        <w:t>délégation</w:t>
      </w:r>
      <w:r>
        <w:rPr>
          <w:bCs/>
        </w:rPr>
        <w:t xml:space="preserve"> de </w:t>
      </w:r>
      <w:r w:rsidRPr="00BF5699">
        <w:rPr>
          <w:b/>
          <w:bCs/>
        </w:rPr>
        <w:t>Cuba</w:t>
      </w:r>
      <w:r>
        <w:rPr>
          <w:bCs/>
        </w:rPr>
        <w:t xml:space="preserve"> souhaitait clarifier que le Comité était composé de pays qui étaient membres de la </w:t>
      </w:r>
      <w:r w:rsidRPr="00BF5699">
        <w:rPr>
          <w:bCs/>
        </w:rPr>
        <w:t>Convention</w:t>
      </w:r>
      <w:r>
        <w:rPr>
          <w:bCs/>
        </w:rPr>
        <w:t xml:space="preserve"> et, en tant que tel, autorisés à apporter des drapeaux. Elle a jugé inacceptable d</w:t>
      </w:r>
      <w:r w:rsidR="00346F1B">
        <w:rPr>
          <w:bCs/>
        </w:rPr>
        <w:t>’</w:t>
      </w:r>
      <w:r>
        <w:rPr>
          <w:bCs/>
        </w:rPr>
        <w:t>entendre des critiques de la par</w:t>
      </w:r>
      <w:r w:rsidR="005C5B9B">
        <w:rPr>
          <w:bCs/>
        </w:rPr>
        <w:t>t des délégations sur ce point.</w:t>
      </w:r>
    </w:p>
    <w:p w14:paraId="78C86C31" w14:textId="23689D58" w:rsidR="00BF5699" w:rsidRPr="00BF5699" w:rsidRDefault="00BF5699" w:rsidP="005C5B9B">
      <w:pPr>
        <w:pStyle w:val="Orateurengris"/>
        <w:spacing w:before="120"/>
        <w:ind w:left="709" w:hanging="709"/>
        <w:rPr>
          <w:b/>
          <w:bCs/>
        </w:rPr>
      </w:pPr>
      <w:r w:rsidRPr="00BF5699">
        <w:rPr>
          <w:bCs/>
        </w:rPr>
        <w:t>Après avoir signalé qu</w:t>
      </w:r>
      <w:r w:rsidR="00346F1B">
        <w:rPr>
          <w:bCs/>
        </w:rPr>
        <w:t>’</w:t>
      </w:r>
      <w:r w:rsidRPr="00BF5699">
        <w:rPr>
          <w:bCs/>
        </w:rPr>
        <w:t>il ne s</w:t>
      </w:r>
      <w:r w:rsidR="00346F1B">
        <w:rPr>
          <w:bCs/>
        </w:rPr>
        <w:t>’</w:t>
      </w:r>
      <w:r w:rsidRPr="00BF5699">
        <w:rPr>
          <w:bCs/>
        </w:rPr>
        <w:t>agissait pas d</w:t>
      </w:r>
      <w:r w:rsidR="00346F1B">
        <w:rPr>
          <w:bCs/>
        </w:rPr>
        <w:t>’</w:t>
      </w:r>
      <w:r w:rsidRPr="00BF5699">
        <w:rPr>
          <w:bCs/>
        </w:rPr>
        <w:t>une motion d</w:t>
      </w:r>
      <w:r w:rsidR="00346F1B">
        <w:rPr>
          <w:bCs/>
        </w:rPr>
        <w:t>’</w:t>
      </w:r>
      <w:r w:rsidRPr="00BF5699">
        <w:rPr>
          <w:bCs/>
        </w:rPr>
        <w:t xml:space="preserve">ordre, le </w:t>
      </w:r>
      <w:r w:rsidRPr="00BF5699">
        <w:rPr>
          <w:b/>
          <w:bCs/>
        </w:rPr>
        <w:t>Président</w:t>
      </w:r>
      <w:r>
        <w:rPr>
          <w:bCs/>
        </w:rPr>
        <w:t xml:space="preserve"> </w:t>
      </w:r>
      <w:r w:rsidR="005C5B9B">
        <w:rPr>
          <w:bCs/>
        </w:rPr>
        <w:t>a redonné la parole au Mexique.</w:t>
      </w:r>
    </w:p>
    <w:p w14:paraId="46989BB2" w14:textId="79C1DD60" w:rsidR="00773954" w:rsidRPr="00773954" w:rsidRDefault="00BF5699" w:rsidP="005C5B9B">
      <w:pPr>
        <w:pStyle w:val="Orateurengris"/>
        <w:spacing w:before="120"/>
        <w:ind w:left="709" w:hanging="709"/>
        <w:rPr>
          <w:b/>
          <w:bCs/>
        </w:rPr>
      </w:pPr>
      <w:r>
        <w:rPr>
          <w:bCs/>
        </w:rPr>
        <w:t xml:space="preserve">La </w:t>
      </w:r>
      <w:r w:rsidRPr="00BF5699">
        <w:rPr>
          <w:bCs/>
        </w:rPr>
        <w:t>délégation</w:t>
      </w:r>
      <w:r>
        <w:rPr>
          <w:bCs/>
        </w:rPr>
        <w:t xml:space="preserve"> du </w:t>
      </w:r>
      <w:r w:rsidRPr="00773954">
        <w:rPr>
          <w:b/>
          <w:bCs/>
        </w:rPr>
        <w:t>Mexique</w:t>
      </w:r>
      <w:r>
        <w:rPr>
          <w:bCs/>
        </w:rPr>
        <w:t xml:space="preserve"> a poursuivi son </w:t>
      </w:r>
      <w:r w:rsidRPr="00BF5699">
        <w:rPr>
          <w:bCs/>
        </w:rPr>
        <w:t>intervention</w:t>
      </w:r>
      <w:r>
        <w:rPr>
          <w:bCs/>
        </w:rPr>
        <w:t xml:space="preserve"> en </w:t>
      </w:r>
      <w:r w:rsidR="00773954">
        <w:rPr>
          <w:bCs/>
        </w:rPr>
        <w:t xml:space="preserve">soulignant </w:t>
      </w:r>
      <w:r>
        <w:rPr>
          <w:bCs/>
        </w:rPr>
        <w:t>que l</w:t>
      </w:r>
      <w:r w:rsidR="00773954">
        <w:rPr>
          <w:bCs/>
        </w:rPr>
        <w:t xml:space="preserve">a Convention avait atteint un stade essentiel dans son </w:t>
      </w:r>
      <w:r w:rsidR="00773954" w:rsidRPr="00773954">
        <w:rPr>
          <w:bCs/>
        </w:rPr>
        <w:t>développement</w:t>
      </w:r>
      <w:r w:rsidR="00773954">
        <w:rPr>
          <w:bCs/>
        </w:rPr>
        <w:t xml:space="preserve"> et qu</w:t>
      </w:r>
      <w:r w:rsidR="00346F1B">
        <w:rPr>
          <w:bCs/>
        </w:rPr>
        <w:t>’</w:t>
      </w:r>
      <w:r w:rsidR="00773954">
        <w:rPr>
          <w:bCs/>
        </w:rPr>
        <w:t>il était important que le Comité entame une réflexion très approfondie sur les expériences passé</w:t>
      </w:r>
      <w:r w:rsidR="00CF6E16">
        <w:rPr>
          <w:bCs/>
        </w:rPr>
        <w:t xml:space="preserve">es, et prenne un peu de recul, pas seulement sur les </w:t>
      </w:r>
      <w:r w:rsidR="00773954">
        <w:rPr>
          <w:bCs/>
        </w:rPr>
        <w:t xml:space="preserve">mécanismes de la </w:t>
      </w:r>
      <w:r w:rsidR="00773954" w:rsidRPr="00773954">
        <w:rPr>
          <w:bCs/>
        </w:rPr>
        <w:t>Convention</w:t>
      </w:r>
      <w:r w:rsidR="00773954">
        <w:rPr>
          <w:bCs/>
        </w:rPr>
        <w:t xml:space="preserve"> mais </w:t>
      </w:r>
      <w:r w:rsidR="00773954" w:rsidRPr="00773954">
        <w:rPr>
          <w:bCs/>
        </w:rPr>
        <w:t>également</w:t>
      </w:r>
      <w:r w:rsidR="00CF6E16">
        <w:rPr>
          <w:bCs/>
        </w:rPr>
        <w:t xml:space="preserve"> sur l</w:t>
      </w:r>
      <w:r w:rsidR="00773954">
        <w:rPr>
          <w:bCs/>
        </w:rPr>
        <w:t xml:space="preserve">es mécanismes et outils élaborés </w:t>
      </w:r>
      <w:r w:rsidR="001433F2">
        <w:rPr>
          <w:bCs/>
        </w:rPr>
        <w:t>par les autres C</w:t>
      </w:r>
      <w:r w:rsidR="00773954">
        <w:rPr>
          <w:bCs/>
        </w:rPr>
        <w:t xml:space="preserve">onventions. Elle avait </w:t>
      </w:r>
      <w:r w:rsidR="00773954" w:rsidRPr="00773954">
        <w:rPr>
          <w:bCs/>
        </w:rPr>
        <w:t>également</w:t>
      </w:r>
      <w:r w:rsidR="00773954">
        <w:rPr>
          <w:bCs/>
        </w:rPr>
        <w:t xml:space="preserve"> le sentiment que la </w:t>
      </w:r>
      <w:r w:rsidR="00773954" w:rsidRPr="00773954">
        <w:rPr>
          <w:bCs/>
        </w:rPr>
        <w:t>Convention</w:t>
      </w:r>
      <w:r w:rsidR="00CF6E16">
        <w:rPr>
          <w:bCs/>
        </w:rPr>
        <w:t xml:space="preserve"> était plus sujette à </w:t>
      </w:r>
      <w:r w:rsidR="00CF6E16" w:rsidRPr="00CF6E16">
        <w:rPr>
          <w:bCs/>
        </w:rPr>
        <w:t>interprétation</w:t>
      </w:r>
      <w:r w:rsidR="001433F2">
        <w:rPr>
          <w:bCs/>
        </w:rPr>
        <w:t xml:space="preserve"> que les autres C</w:t>
      </w:r>
      <w:r w:rsidR="00CF6E16">
        <w:rPr>
          <w:bCs/>
        </w:rPr>
        <w:t xml:space="preserve">onventions. Elle a ajouté que le véritable engagement de la </w:t>
      </w:r>
      <w:r w:rsidR="00CF6E16" w:rsidRPr="00CF6E16">
        <w:rPr>
          <w:bCs/>
        </w:rPr>
        <w:t>Convention</w:t>
      </w:r>
      <w:r w:rsidR="00CF6E16">
        <w:rPr>
          <w:bCs/>
        </w:rPr>
        <w:t xml:space="preserve"> résidait dans le processus d</w:t>
      </w:r>
      <w:r w:rsidR="00346F1B">
        <w:rPr>
          <w:bCs/>
        </w:rPr>
        <w:t>’</w:t>
      </w:r>
      <w:r w:rsidR="00CF6E16" w:rsidRPr="00CF6E16">
        <w:rPr>
          <w:bCs/>
        </w:rPr>
        <w:t>évaluation</w:t>
      </w:r>
      <w:r w:rsidR="00CF6E16">
        <w:rPr>
          <w:bCs/>
        </w:rPr>
        <w:t xml:space="preserve"> qui attachait une grande importance aux intérêts des communautés, dans un esprit de </w:t>
      </w:r>
      <w:r w:rsidR="00CF6E16" w:rsidRPr="00CF6E16">
        <w:rPr>
          <w:bCs/>
        </w:rPr>
        <w:t>coopération</w:t>
      </w:r>
      <w:r w:rsidR="005C5B9B">
        <w:rPr>
          <w:bCs/>
        </w:rPr>
        <w:t xml:space="preserve"> et de dialogue.</w:t>
      </w:r>
    </w:p>
    <w:p w14:paraId="4694BEE7" w14:textId="1D56A87C" w:rsidR="005A7A56" w:rsidRDefault="00CF6E16" w:rsidP="005C5B9B">
      <w:pPr>
        <w:pStyle w:val="Orateurengris"/>
        <w:spacing w:before="120"/>
        <w:ind w:left="709" w:hanging="709"/>
        <w:rPr>
          <w:bCs/>
        </w:rPr>
      </w:pPr>
      <w:r w:rsidRPr="00CF6E16">
        <w:rPr>
          <w:bCs/>
        </w:rPr>
        <w:t>S</w:t>
      </w:r>
      <w:r w:rsidR="00346F1B">
        <w:rPr>
          <w:bCs/>
        </w:rPr>
        <w:t>’</w:t>
      </w:r>
      <w:r w:rsidRPr="00CF6E16">
        <w:rPr>
          <w:bCs/>
        </w:rPr>
        <w:t xml:space="preserve">adressant </w:t>
      </w:r>
      <w:r>
        <w:rPr>
          <w:bCs/>
        </w:rPr>
        <w:t xml:space="preserve">à tous les délégués, la </w:t>
      </w:r>
      <w:r w:rsidRPr="00CF6E16">
        <w:rPr>
          <w:bCs/>
        </w:rPr>
        <w:t>délégation</w:t>
      </w:r>
      <w:r>
        <w:rPr>
          <w:bCs/>
        </w:rPr>
        <w:t xml:space="preserve"> des </w:t>
      </w:r>
      <w:r w:rsidRPr="00CF6E16">
        <w:rPr>
          <w:b/>
          <w:bCs/>
        </w:rPr>
        <w:t>Émirats arabes unis</w:t>
      </w:r>
      <w:r>
        <w:rPr>
          <w:bCs/>
        </w:rPr>
        <w:t xml:space="preserve"> a évoqué le rôle qu</w:t>
      </w:r>
      <w:r w:rsidR="00346F1B">
        <w:rPr>
          <w:bCs/>
        </w:rPr>
        <w:t>’</w:t>
      </w:r>
      <w:r>
        <w:rPr>
          <w:bCs/>
        </w:rPr>
        <w:t>ils jouaient dans un dialogue démocratique, ajoutant qu</w:t>
      </w:r>
      <w:r w:rsidR="00346F1B">
        <w:rPr>
          <w:bCs/>
        </w:rPr>
        <w:t>’</w:t>
      </w:r>
      <w:r>
        <w:rPr>
          <w:bCs/>
        </w:rPr>
        <w:t>elle désap</w:t>
      </w:r>
      <w:r w:rsidR="005A7A56">
        <w:rPr>
          <w:bCs/>
        </w:rPr>
        <w:t>prouvait les critiques qu</w:t>
      </w:r>
      <w:r w:rsidR="00346F1B">
        <w:rPr>
          <w:bCs/>
        </w:rPr>
        <w:t>’</w:t>
      </w:r>
      <w:r w:rsidR="005A7A56">
        <w:rPr>
          <w:bCs/>
        </w:rPr>
        <w:t>ils pouvaient s</w:t>
      </w:r>
      <w:r w:rsidR="00346F1B">
        <w:rPr>
          <w:bCs/>
        </w:rPr>
        <w:t>’</w:t>
      </w:r>
      <w:r w:rsidR="005A7A56">
        <w:rPr>
          <w:bCs/>
        </w:rPr>
        <w:t>adresser</w:t>
      </w:r>
      <w:r>
        <w:rPr>
          <w:bCs/>
        </w:rPr>
        <w:t xml:space="preserve"> mutuellement. La </w:t>
      </w:r>
      <w:r w:rsidRPr="00CF6E16">
        <w:rPr>
          <w:bCs/>
        </w:rPr>
        <w:t>délégation</w:t>
      </w:r>
      <w:r>
        <w:rPr>
          <w:bCs/>
        </w:rPr>
        <w:t xml:space="preserve"> a appelé de ses vœux une attitude positive </w:t>
      </w:r>
      <w:r w:rsidR="005A7A56">
        <w:rPr>
          <w:bCs/>
        </w:rPr>
        <w:t xml:space="preserve">qui servirait la </w:t>
      </w:r>
      <w:r w:rsidR="005A7A56" w:rsidRPr="005A7A56">
        <w:rPr>
          <w:bCs/>
        </w:rPr>
        <w:t>Convention</w:t>
      </w:r>
      <w:r w:rsidR="005A7A56">
        <w:rPr>
          <w:bCs/>
        </w:rPr>
        <w:t xml:space="preserve"> </w:t>
      </w:r>
      <w:r w:rsidR="004337E6">
        <w:rPr>
          <w:bCs/>
        </w:rPr>
        <w:t>et a rappelé la nécessité de veiller à ce que le dialogue prévale dans les relations entre l</w:t>
      </w:r>
      <w:r w:rsidR="00346F1B">
        <w:rPr>
          <w:bCs/>
        </w:rPr>
        <w:t>’</w:t>
      </w:r>
      <w:r w:rsidR="004337E6">
        <w:rPr>
          <w:bCs/>
        </w:rPr>
        <w:t>Organe d</w:t>
      </w:r>
      <w:r w:rsidR="00346F1B">
        <w:rPr>
          <w:bCs/>
        </w:rPr>
        <w:t>’</w:t>
      </w:r>
      <w:r w:rsidR="004337E6">
        <w:rPr>
          <w:bCs/>
        </w:rPr>
        <w:t>évaluation, les États parties et les membres du Comité.</w:t>
      </w:r>
    </w:p>
    <w:p w14:paraId="4F960489" w14:textId="75A771B1" w:rsidR="00D20996" w:rsidRPr="00D20996" w:rsidRDefault="00D20996" w:rsidP="005C5B9B">
      <w:pPr>
        <w:pStyle w:val="Orateurengris"/>
        <w:spacing w:before="120"/>
        <w:ind w:left="709" w:hanging="709"/>
        <w:rPr>
          <w:bCs/>
        </w:rPr>
      </w:pPr>
      <w:r w:rsidRPr="00D20996">
        <w:rPr>
          <w:bCs/>
        </w:rPr>
        <w:t xml:space="preserve">Le </w:t>
      </w:r>
      <w:r w:rsidRPr="00D20996">
        <w:rPr>
          <w:b/>
          <w:bCs/>
        </w:rPr>
        <w:t>Président</w:t>
      </w:r>
      <w:r>
        <w:rPr>
          <w:bCs/>
        </w:rPr>
        <w:t xml:space="preserve"> a remercié les délégués de leurs interventions qui visaient à améliorer les méthodes de travail. Il est ensuite passé à l</w:t>
      </w:r>
      <w:r w:rsidR="00346F1B">
        <w:rPr>
          <w:bCs/>
        </w:rPr>
        <w:t>’</w:t>
      </w:r>
      <w:r>
        <w:rPr>
          <w:bCs/>
        </w:rPr>
        <w:t xml:space="preserve">adoption du projet de décision </w:t>
      </w:r>
      <w:r w:rsidRPr="00D20996">
        <w:rPr>
          <w:bCs/>
        </w:rPr>
        <w:t>paragraphe</w:t>
      </w:r>
      <w:r>
        <w:rPr>
          <w:bCs/>
        </w:rPr>
        <w:t xml:space="preserve"> par </w:t>
      </w:r>
      <w:r w:rsidRPr="00D20996">
        <w:rPr>
          <w:bCs/>
        </w:rPr>
        <w:t>paragraphe</w:t>
      </w:r>
      <w:r>
        <w:rPr>
          <w:bCs/>
        </w:rPr>
        <w:t>. En l</w:t>
      </w:r>
      <w:r w:rsidR="00346F1B">
        <w:rPr>
          <w:bCs/>
        </w:rPr>
        <w:t>’</w:t>
      </w:r>
      <w:r>
        <w:rPr>
          <w:bCs/>
        </w:rPr>
        <w:t>absence de commentaires ou d</w:t>
      </w:r>
      <w:r w:rsidR="00346F1B">
        <w:rPr>
          <w:bCs/>
        </w:rPr>
        <w:t>’</w:t>
      </w:r>
      <w:r>
        <w:rPr>
          <w:bCs/>
        </w:rPr>
        <w:t xml:space="preserve">objections, les </w:t>
      </w:r>
      <w:r w:rsidRPr="00D20996">
        <w:rPr>
          <w:bCs/>
        </w:rPr>
        <w:t>paragraphe</w:t>
      </w:r>
      <w:r>
        <w:rPr>
          <w:bCs/>
        </w:rPr>
        <w:t xml:space="preserve">s 1 à 5 ont été </w:t>
      </w:r>
      <w:r w:rsidR="008052AC">
        <w:rPr>
          <w:bCs/>
        </w:rPr>
        <w:t>dûment</w:t>
      </w:r>
      <w:r>
        <w:rPr>
          <w:bCs/>
        </w:rPr>
        <w:t xml:space="preserve"> adoptés. Le </w:t>
      </w:r>
      <w:r w:rsidRPr="00D20996">
        <w:rPr>
          <w:bCs/>
        </w:rPr>
        <w:t>paragraphe</w:t>
      </w:r>
      <w:r>
        <w:rPr>
          <w:bCs/>
        </w:rPr>
        <w:t xml:space="preserve"> 6 a été adopté tel qu</w:t>
      </w:r>
      <w:r w:rsidR="00346F1B">
        <w:rPr>
          <w:bCs/>
        </w:rPr>
        <w:t>’</w:t>
      </w:r>
      <w:r>
        <w:rPr>
          <w:bCs/>
        </w:rPr>
        <w:t>amendé par la Turquie. En l</w:t>
      </w:r>
      <w:r w:rsidR="00346F1B">
        <w:rPr>
          <w:bCs/>
        </w:rPr>
        <w:t>’</w:t>
      </w:r>
      <w:r>
        <w:rPr>
          <w:bCs/>
        </w:rPr>
        <w:t>absence d</w:t>
      </w:r>
      <w:r w:rsidR="00346F1B">
        <w:rPr>
          <w:bCs/>
        </w:rPr>
        <w:t>’</w:t>
      </w:r>
      <w:r>
        <w:rPr>
          <w:bCs/>
        </w:rPr>
        <w:t xml:space="preserve">objections aux </w:t>
      </w:r>
      <w:r w:rsidRPr="00D20996">
        <w:rPr>
          <w:bCs/>
        </w:rPr>
        <w:t>paragraphe</w:t>
      </w:r>
      <w:r>
        <w:rPr>
          <w:bCs/>
        </w:rPr>
        <w:t xml:space="preserve">s 7 à 12, ceux-ci ont été </w:t>
      </w:r>
      <w:r w:rsidR="008052AC">
        <w:rPr>
          <w:bCs/>
        </w:rPr>
        <w:t>dûment</w:t>
      </w:r>
      <w:r w:rsidR="005C5B9B">
        <w:rPr>
          <w:bCs/>
        </w:rPr>
        <w:t xml:space="preserve"> adoptés.</w:t>
      </w:r>
    </w:p>
    <w:p w14:paraId="3B1AE8FA" w14:textId="24F6C598" w:rsidR="00D20996" w:rsidRPr="00D20996" w:rsidRDefault="00D20996" w:rsidP="005C5B9B">
      <w:pPr>
        <w:pStyle w:val="Orateurengris"/>
        <w:spacing w:before="120"/>
        <w:ind w:left="709" w:hanging="709"/>
        <w:rPr>
          <w:bCs/>
        </w:rPr>
      </w:pPr>
      <w:r w:rsidRPr="00D20996">
        <w:rPr>
          <w:bCs/>
        </w:rPr>
        <w:t>La délégation de l</w:t>
      </w:r>
      <w:r w:rsidR="00346F1B">
        <w:rPr>
          <w:bCs/>
        </w:rPr>
        <w:t>’</w:t>
      </w:r>
      <w:r w:rsidRPr="00576E5C">
        <w:rPr>
          <w:b/>
          <w:bCs/>
        </w:rPr>
        <w:t>Algérie</w:t>
      </w:r>
      <w:r>
        <w:rPr>
          <w:bCs/>
        </w:rPr>
        <w:t xml:space="preserve"> a fa</w:t>
      </w:r>
      <w:r w:rsidR="00576E5C">
        <w:rPr>
          <w:bCs/>
        </w:rPr>
        <w:t>it remarquer que le rythme d</w:t>
      </w:r>
      <w:r w:rsidR="00346F1B">
        <w:rPr>
          <w:bCs/>
        </w:rPr>
        <w:t>’</w:t>
      </w:r>
      <w:r>
        <w:rPr>
          <w:bCs/>
        </w:rPr>
        <w:t xml:space="preserve">adoption des </w:t>
      </w:r>
      <w:r w:rsidRPr="00D20996">
        <w:rPr>
          <w:bCs/>
        </w:rPr>
        <w:t>paragraphe</w:t>
      </w:r>
      <w:r>
        <w:rPr>
          <w:bCs/>
        </w:rPr>
        <w:t xml:space="preserve">s était trop rapide car elle avait soumis un </w:t>
      </w:r>
      <w:r w:rsidRPr="00D20996">
        <w:rPr>
          <w:bCs/>
        </w:rPr>
        <w:t>amendement</w:t>
      </w:r>
      <w:r>
        <w:rPr>
          <w:bCs/>
        </w:rPr>
        <w:t xml:space="preserve"> au </w:t>
      </w:r>
      <w:r w:rsidRPr="00D20996">
        <w:rPr>
          <w:bCs/>
        </w:rPr>
        <w:t>paragraphe</w:t>
      </w:r>
      <w:r>
        <w:rPr>
          <w:bCs/>
        </w:rPr>
        <w:t xml:space="preserve"> 11. L</w:t>
      </w:r>
      <w:r w:rsidR="00346F1B">
        <w:rPr>
          <w:bCs/>
        </w:rPr>
        <w:t>’</w:t>
      </w:r>
      <w:r w:rsidRPr="00D20996">
        <w:rPr>
          <w:bCs/>
        </w:rPr>
        <w:t>amendement</w:t>
      </w:r>
      <w:r>
        <w:rPr>
          <w:bCs/>
        </w:rPr>
        <w:t xml:space="preserve"> était destiné </w:t>
      </w:r>
      <w:r w:rsidR="00576E5C">
        <w:rPr>
          <w:bCs/>
        </w:rPr>
        <w:t xml:space="preserve">à constituer un </w:t>
      </w:r>
      <w:r w:rsidR="00576E5C" w:rsidRPr="00576E5C">
        <w:rPr>
          <w:bCs/>
        </w:rPr>
        <w:t>paragraphe</w:t>
      </w:r>
      <w:r w:rsidR="00576E5C">
        <w:rPr>
          <w:bCs/>
        </w:rPr>
        <w:t xml:space="preserve"> 10 bis, toutefois la </w:t>
      </w:r>
      <w:r w:rsidR="00576E5C" w:rsidRPr="00576E5C">
        <w:rPr>
          <w:bCs/>
        </w:rPr>
        <w:t>délégation</w:t>
      </w:r>
      <w:r w:rsidR="00576E5C">
        <w:rPr>
          <w:bCs/>
        </w:rPr>
        <w:t xml:space="preserve"> a proposé de l</w:t>
      </w:r>
      <w:r w:rsidR="00346F1B">
        <w:rPr>
          <w:bCs/>
        </w:rPr>
        <w:t>’</w:t>
      </w:r>
      <w:r w:rsidR="00576E5C">
        <w:rPr>
          <w:bCs/>
        </w:rPr>
        <w:t xml:space="preserve">insérer à la décision en tant que </w:t>
      </w:r>
      <w:r w:rsidR="00576E5C" w:rsidRPr="00576E5C">
        <w:rPr>
          <w:bCs/>
        </w:rPr>
        <w:t>paragraphe</w:t>
      </w:r>
      <w:r w:rsidR="00576E5C">
        <w:rPr>
          <w:bCs/>
        </w:rPr>
        <w:t xml:space="preserve"> 13 afin de conserver l</w:t>
      </w:r>
      <w:r w:rsidR="00346F1B">
        <w:rPr>
          <w:bCs/>
        </w:rPr>
        <w:t>’</w:t>
      </w:r>
      <w:r w:rsidR="00576E5C">
        <w:rPr>
          <w:bCs/>
        </w:rPr>
        <w:t xml:space="preserve">ordre des </w:t>
      </w:r>
      <w:r w:rsidR="00576E5C" w:rsidRPr="00576E5C">
        <w:rPr>
          <w:bCs/>
        </w:rPr>
        <w:t>p</w:t>
      </w:r>
      <w:r w:rsidR="005C5B9B">
        <w:rPr>
          <w:bCs/>
        </w:rPr>
        <w:t>aragraphes déjà adoptés.</w:t>
      </w:r>
    </w:p>
    <w:p w14:paraId="30DDD843" w14:textId="6E46BB94" w:rsidR="00576E5C" w:rsidRPr="00576E5C" w:rsidRDefault="00576E5C" w:rsidP="005C5B9B">
      <w:pPr>
        <w:pStyle w:val="Orateurengris"/>
        <w:spacing w:before="120"/>
        <w:ind w:left="709" w:hanging="709"/>
        <w:rPr>
          <w:b/>
          <w:bCs/>
        </w:rPr>
      </w:pPr>
      <w:r>
        <w:rPr>
          <w:bCs/>
        </w:rPr>
        <w:t xml:space="preserve">Pendant que le Secrétariat réorganisait les </w:t>
      </w:r>
      <w:r w:rsidRPr="00576E5C">
        <w:rPr>
          <w:bCs/>
        </w:rPr>
        <w:t>paragraphe</w:t>
      </w:r>
      <w:r>
        <w:rPr>
          <w:bCs/>
        </w:rPr>
        <w:t xml:space="preserve">s, le </w:t>
      </w:r>
      <w:r w:rsidRPr="00576E5C">
        <w:rPr>
          <w:b/>
          <w:bCs/>
        </w:rPr>
        <w:t>Président</w:t>
      </w:r>
      <w:r>
        <w:rPr>
          <w:bCs/>
        </w:rPr>
        <w:t xml:space="preserve"> a fait remarquer que les amendements proposés par l</w:t>
      </w:r>
      <w:r w:rsidR="00346F1B">
        <w:rPr>
          <w:bCs/>
        </w:rPr>
        <w:t>’</w:t>
      </w:r>
      <w:r>
        <w:rPr>
          <w:bCs/>
        </w:rPr>
        <w:t>Algérie, Chypre et l</w:t>
      </w:r>
      <w:r w:rsidR="00346F1B">
        <w:rPr>
          <w:bCs/>
        </w:rPr>
        <w:t>’</w:t>
      </w:r>
      <w:r>
        <w:rPr>
          <w:bCs/>
        </w:rPr>
        <w:t>Inde, malgré un libellé différent, étaient dans le même esprit. Il a suggéré de les traiter ensem</w:t>
      </w:r>
      <w:r w:rsidR="005C5B9B">
        <w:rPr>
          <w:bCs/>
        </w:rPr>
        <w:t>ble dans le but de les adopter.</w:t>
      </w:r>
    </w:p>
    <w:p w14:paraId="0FE71C71" w14:textId="3AFF92B6" w:rsidR="00576E5C" w:rsidRPr="00576E5C" w:rsidRDefault="00576E5C" w:rsidP="005C5B9B">
      <w:pPr>
        <w:pStyle w:val="Orateurengris"/>
        <w:spacing w:before="120"/>
        <w:ind w:left="709" w:hanging="709"/>
        <w:rPr>
          <w:bCs/>
        </w:rPr>
      </w:pPr>
      <w:r w:rsidRPr="00576E5C">
        <w:rPr>
          <w:bCs/>
        </w:rPr>
        <w:t>La délégation de</w:t>
      </w:r>
      <w:r>
        <w:rPr>
          <w:bCs/>
        </w:rPr>
        <w:t xml:space="preserve"> la </w:t>
      </w:r>
      <w:r w:rsidRPr="00576E5C">
        <w:rPr>
          <w:b/>
          <w:bCs/>
        </w:rPr>
        <w:t>Palestine</w:t>
      </w:r>
      <w:r>
        <w:rPr>
          <w:bCs/>
        </w:rPr>
        <w:t xml:space="preserve"> a annoncé qu</w:t>
      </w:r>
      <w:r w:rsidR="00346F1B">
        <w:rPr>
          <w:bCs/>
        </w:rPr>
        <w:t>’</w:t>
      </w:r>
      <w:r>
        <w:rPr>
          <w:bCs/>
        </w:rPr>
        <w:t>après avoir consulté Chypre et les autres coauteurs de l</w:t>
      </w:r>
      <w:r w:rsidR="00346F1B">
        <w:rPr>
          <w:bCs/>
        </w:rPr>
        <w:t>’</w:t>
      </w:r>
      <w:r w:rsidRPr="00576E5C">
        <w:rPr>
          <w:bCs/>
        </w:rPr>
        <w:t>amendement</w:t>
      </w:r>
      <w:r>
        <w:rPr>
          <w:bCs/>
        </w:rPr>
        <w:t>, celui-ci pouvait être retiré.</w:t>
      </w:r>
    </w:p>
    <w:p w14:paraId="6668E57F" w14:textId="01F74B27" w:rsidR="00576E5C" w:rsidRPr="00576E5C" w:rsidRDefault="00576E5C" w:rsidP="005C5B9B">
      <w:pPr>
        <w:pStyle w:val="Orateurengris"/>
        <w:spacing w:before="120"/>
        <w:ind w:left="709" w:hanging="709"/>
        <w:rPr>
          <w:bCs/>
        </w:rPr>
      </w:pPr>
      <w:r w:rsidRPr="00576E5C">
        <w:rPr>
          <w:bCs/>
        </w:rPr>
        <w:t xml:space="preserve">Le </w:t>
      </w:r>
      <w:r w:rsidRPr="00576E5C">
        <w:rPr>
          <w:b/>
          <w:bCs/>
        </w:rPr>
        <w:t>Président</w:t>
      </w:r>
      <w:r>
        <w:rPr>
          <w:bCs/>
        </w:rPr>
        <w:t xml:space="preserve"> s</w:t>
      </w:r>
      <w:r w:rsidR="00346F1B">
        <w:rPr>
          <w:bCs/>
        </w:rPr>
        <w:t>’</w:t>
      </w:r>
      <w:r>
        <w:rPr>
          <w:bCs/>
        </w:rPr>
        <w:t>est fait confirmer par Chypre que l</w:t>
      </w:r>
      <w:r w:rsidR="00346F1B">
        <w:rPr>
          <w:bCs/>
        </w:rPr>
        <w:t>’</w:t>
      </w:r>
      <w:r w:rsidRPr="00576E5C">
        <w:rPr>
          <w:bCs/>
        </w:rPr>
        <w:t>amendement</w:t>
      </w:r>
      <w:r>
        <w:rPr>
          <w:bCs/>
        </w:rPr>
        <w:t xml:space="preserve"> était bien retiré, et a demandé à l</w:t>
      </w:r>
      <w:r w:rsidR="00346F1B">
        <w:rPr>
          <w:bCs/>
        </w:rPr>
        <w:t>’</w:t>
      </w:r>
      <w:r>
        <w:rPr>
          <w:bCs/>
        </w:rPr>
        <w:t xml:space="preserve">Inde son avis sur son </w:t>
      </w:r>
      <w:r w:rsidRPr="00576E5C">
        <w:rPr>
          <w:bCs/>
        </w:rPr>
        <w:t>amendement</w:t>
      </w:r>
      <w:r w:rsidR="005C5B9B">
        <w:rPr>
          <w:bCs/>
        </w:rPr>
        <w:t>.</w:t>
      </w:r>
    </w:p>
    <w:p w14:paraId="1B48E2EC" w14:textId="642F97EF" w:rsidR="00576E5C" w:rsidRPr="00576E5C" w:rsidRDefault="00576E5C" w:rsidP="005C5B9B">
      <w:pPr>
        <w:pStyle w:val="Orateurengris"/>
        <w:spacing w:before="120"/>
        <w:ind w:left="709" w:hanging="709"/>
        <w:rPr>
          <w:b/>
          <w:bCs/>
        </w:rPr>
      </w:pPr>
      <w:r w:rsidRPr="00576E5C">
        <w:rPr>
          <w:bCs/>
        </w:rPr>
        <w:t>La délégation de l</w:t>
      </w:r>
      <w:r w:rsidR="00346F1B">
        <w:rPr>
          <w:bCs/>
        </w:rPr>
        <w:t>’</w:t>
      </w:r>
      <w:r>
        <w:rPr>
          <w:b/>
          <w:bCs/>
        </w:rPr>
        <w:t xml:space="preserve">Inde </w:t>
      </w:r>
      <w:r>
        <w:rPr>
          <w:bCs/>
        </w:rPr>
        <w:t>a précisé que puisque son amendement concernait la partie finale de la décision, il pouvait être inséré vers la fin.</w:t>
      </w:r>
    </w:p>
    <w:p w14:paraId="4F3F9054" w14:textId="0C642432" w:rsidR="00576E5C" w:rsidRPr="00576E5C" w:rsidRDefault="00576E5C" w:rsidP="005C5B9B">
      <w:pPr>
        <w:pStyle w:val="Orateurengris"/>
        <w:spacing w:before="120"/>
        <w:ind w:left="709" w:hanging="709"/>
        <w:rPr>
          <w:b/>
          <w:bCs/>
        </w:rPr>
      </w:pPr>
      <w:r>
        <w:rPr>
          <w:bCs/>
        </w:rPr>
        <w:t xml:space="preserve">Le </w:t>
      </w:r>
      <w:r w:rsidRPr="00576E5C">
        <w:rPr>
          <w:b/>
          <w:bCs/>
        </w:rPr>
        <w:t>Président</w:t>
      </w:r>
      <w:r>
        <w:rPr>
          <w:bCs/>
        </w:rPr>
        <w:t xml:space="preserve"> a posé la même question à la Hongrie.</w:t>
      </w:r>
    </w:p>
    <w:p w14:paraId="78CD450A" w14:textId="44438B29" w:rsidR="00576E5C" w:rsidRPr="00576E5C" w:rsidRDefault="00576E5C" w:rsidP="005C5B9B">
      <w:pPr>
        <w:pStyle w:val="Orateurengris"/>
        <w:spacing w:before="120"/>
        <w:ind w:left="709" w:hanging="709"/>
        <w:rPr>
          <w:b/>
          <w:bCs/>
        </w:rPr>
      </w:pPr>
      <w:r>
        <w:rPr>
          <w:bCs/>
        </w:rPr>
        <w:t xml:space="preserve">La </w:t>
      </w:r>
      <w:r w:rsidRPr="00576E5C">
        <w:rPr>
          <w:bCs/>
        </w:rPr>
        <w:t>délégation</w:t>
      </w:r>
      <w:r>
        <w:rPr>
          <w:bCs/>
        </w:rPr>
        <w:t xml:space="preserve"> de la </w:t>
      </w:r>
      <w:r w:rsidRPr="00576E5C">
        <w:rPr>
          <w:b/>
          <w:bCs/>
        </w:rPr>
        <w:t>Hongrie</w:t>
      </w:r>
      <w:r>
        <w:rPr>
          <w:bCs/>
        </w:rPr>
        <w:t xml:space="preserve"> souhaitait insérer son </w:t>
      </w:r>
      <w:r w:rsidRPr="00576E5C">
        <w:rPr>
          <w:bCs/>
        </w:rPr>
        <w:t>amendement</w:t>
      </w:r>
      <w:r>
        <w:rPr>
          <w:bCs/>
        </w:rPr>
        <w:t xml:space="preserve"> après le </w:t>
      </w:r>
      <w:r w:rsidRPr="00576E5C">
        <w:rPr>
          <w:bCs/>
        </w:rPr>
        <w:t>paragraphe</w:t>
      </w:r>
      <w:r>
        <w:rPr>
          <w:bCs/>
        </w:rPr>
        <w:t xml:space="preserve"> 12 du projet de décision, et donc avant la </w:t>
      </w:r>
      <w:r w:rsidRPr="00576E5C">
        <w:rPr>
          <w:bCs/>
        </w:rPr>
        <w:t xml:space="preserve">proposition </w:t>
      </w:r>
      <w:r>
        <w:rPr>
          <w:bCs/>
        </w:rPr>
        <w:t>de l</w:t>
      </w:r>
      <w:r w:rsidR="00346F1B">
        <w:rPr>
          <w:bCs/>
        </w:rPr>
        <w:t>’</w:t>
      </w:r>
      <w:r w:rsidR="005C5B9B">
        <w:rPr>
          <w:bCs/>
        </w:rPr>
        <w:t>Algérie.</w:t>
      </w:r>
    </w:p>
    <w:p w14:paraId="765FD76A" w14:textId="7F02DA2A" w:rsidR="00576E5C" w:rsidRPr="00576E5C" w:rsidRDefault="00576E5C" w:rsidP="005C5B9B">
      <w:pPr>
        <w:pStyle w:val="Orateurengris"/>
        <w:spacing w:before="120"/>
        <w:ind w:left="709" w:hanging="709"/>
        <w:rPr>
          <w:b/>
          <w:bCs/>
        </w:rPr>
      </w:pPr>
      <w:r>
        <w:rPr>
          <w:bCs/>
        </w:rPr>
        <w:t xml:space="preserve">Le </w:t>
      </w:r>
      <w:r w:rsidRPr="00576E5C">
        <w:rPr>
          <w:b/>
          <w:bCs/>
        </w:rPr>
        <w:t>Président</w:t>
      </w:r>
      <w:r>
        <w:rPr>
          <w:bCs/>
        </w:rPr>
        <w:t xml:space="preserve"> a demandé à l</w:t>
      </w:r>
      <w:r w:rsidR="00346F1B">
        <w:rPr>
          <w:bCs/>
        </w:rPr>
        <w:t>’</w:t>
      </w:r>
      <w:r>
        <w:rPr>
          <w:bCs/>
        </w:rPr>
        <w:t>Algérie si elle pouvait souscrire à cette proposition.</w:t>
      </w:r>
    </w:p>
    <w:p w14:paraId="03096155" w14:textId="6BCF28F5" w:rsidR="00576E5C" w:rsidRPr="00576E5C" w:rsidRDefault="00576E5C" w:rsidP="005C5B9B">
      <w:pPr>
        <w:pStyle w:val="Orateurengris"/>
        <w:spacing w:before="120"/>
        <w:ind w:left="709" w:hanging="709"/>
        <w:rPr>
          <w:b/>
          <w:bCs/>
        </w:rPr>
      </w:pPr>
      <w:r>
        <w:rPr>
          <w:bCs/>
        </w:rPr>
        <w:t xml:space="preserve">Le </w:t>
      </w:r>
      <w:r w:rsidRPr="00576E5C">
        <w:rPr>
          <w:bCs/>
        </w:rPr>
        <w:t>paragraphe</w:t>
      </w:r>
      <w:r>
        <w:rPr>
          <w:bCs/>
        </w:rPr>
        <w:t xml:space="preserve"> étant consacré au Secrétariat, la </w:t>
      </w:r>
      <w:r w:rsidRPr="00576E5C">
        <w:rPr>
          <w:bCs/>
        </w:rPr>
        <w:t>délégation</w:t>
      </w:r>
      <w:r>
        <w:rPr>
          <w:bCs/>
        </w:rPr>
        <w:t xml:space="preserve"> de l</w:t>
      </w:r>
      <w:r w:rsidR="00346F1B">
        <w:rPr>
          <w:bCs/>
        </w:rPr>
        <w:t>’</w:t>
      </w:r>
      <w:r w:rsidRPr="00576E5C">
        <w:rPr>
          <w:b/>
          <w:bCs/>
        </w:rPr>
        <w:t>Algérie</w:t>
      </w:r>
      <w:r>
        <w:rPr>
          <w:bCs/>
        </w:rPr>
        <w:t xml:space="preserve"> a expliqué qu</w:t>
      </w:r>
      <w:r w:rsidR="00346F1B">
        <w:rPr>
          <w:bCs/>
        </w:rPr>
        <w:t>’</w:t>
      </w:r>
      <w:r>
        <w:rPr>
          <w:bCs/>
        </w:rPr>
        <w:t xml:space="preserve">il devrait être inséré juste après le </w:t>
      </w:r>
      <w:r w:rsidRPr="00576E5C">
        <w:rPr>
          <w:bCs/>
        </w:rPr>
        <w:t>paragraphe</w:t>
      </w:r>
      <w:r w:rsidR="005C5B9B">
        <w:rPr>
          <w:bCs/>
        </w:rPr>
        <w:t xml:space="preserve"> qui mentionnait le Secrétariat.</w:t>
      </w:r>
    </w:p>
    <w:p w14:paraId="75732121" w14:textId="4AADAF50" w:rsidR="00576E5C" w:rsidRPr="00576E5C" w:rsidRDefault="00576E5C" w:rsidP="005C5B9B">
      <w:pPr>
        <w:pStyle w:val="Orateurengris"/>
        <w:spacing w:before="120"/>
        <w:ind w:left="709" w:hanging="709"/>
        <w:rPr>
          <w:bCs/>
        </w:rPr>
      </w:pPr>
      <w:r w:rsidRPr="00576E5C">
        <w:rPr>
          <w:bCs/>
        </w:rPr>
        <w:t xml:space="preserve">Évoquant </w:t>
      </w:r>
      <w:r>
        <w:rPr>
          <w:bCs/>
        </w:rPr>
        <w:t xml:space="preserve">son </w:t>
      </w:r>
      <w:r w:rsidRPr="00576E5C">
        <w:rPr>
          <w:bCs/>
        </w:rPr>
        <w:t>amendement</w:t>
      </w:r>
      <w:r>
        <w:rPr>
          <w:bCs/>
        </w:rPr>
        <w:t xml:space="preserve">, la </w:t>
      </w:r>
      <w:r w:rsidRPr="00576E5C">
        <w:rPr>
          <w:bCs/>
        </w:rPr>
        <w:t>délégation</w:t>
      </w:r>
      <w:r>
        <w:rPr>
          <w:bCs/>
        </w:rPr>
        <w:t xml:space="preserve"> de la </w:t>
      </w:r>
      <w:r w:rsidRPr="00576E5C">
        <w:rPr>
          <w:b/>
          <w:bCs/>
        </w:rPr>
        <w:t>Hongrie</w:t>
      </w:r>
      <w:r>
        <w:rPr>
          <w:bCs/>
        </w:rPr>
        <w:t xml:space="preserve"> a expliqué qu</w:t>
      </w:r>
      <w:r w:rsidR="00346F1B">
        <w:rPr>
          <w:bCs/>
        </w:rPr>
        <w:t>’</w:t>
      </w:r>
      <w:r>
        <w:rPr>
          <w:bCs/>
        </w:rPr>
        <w:t>il s</w:t>
      </w:r>
      <w:r w:rsidR="00346F1B">
        <w:rPr>
          <w:bCs/>
        </w:rPr>
        <w:t>’</w:t>
      </w:r>
      <w:r>
        <w:rPr>
          <w:bCs/>
        </w:rPr>
        <w:t>agissait d</w:t>
      </w:r>
      <w:r w:rsidR="00346F1B">
        <w:rPr>
          <w:bCs/>
        </w:rPr>
        <w:t>’</w:t>
      </w:r>
      <w:r>
        <w:rPr>
          <w:bCs/>
        </w:rPr>
        <w:t>un rappel adressé aux États parties, et elle voulait donc l</w:t>
      </w:r>
      <w:r w:rsidR="00346F1B">
        <w:rPr>
          <w:bCs/>
        </w:rPr>
        <w:t>’</w:t>
      </w:r>
      <w:r>
        <w:rPr>
          <w:bCs/>
        </w:rPr>
        <w:t xml:space="preserve">insérer après le </w:t>
      </w:r>
      <w:r w:rsidRPr="00576E5C">
        <w:rPr>
          <w:bCs/>
        </w:rPr>
        <w:t>paragraphe</w:t>
      </w:r>
      <w:r w:rsidR="005C5B9B">
        <w:rPr>
          <w:bCs/>
        </w:rPr>
        <w:t xml:space="preserve"> 12.</w:t>
      </w:r>
    </w:p>
    <w:p w14:paraId="3160A32C" w14:textId="0FFDBAEE" w:rsidR="00CF6326" w:rsidRDefault="00CF6326" w:rsidP="005C5B9B">
      <w:pPr>
        <w:pStyle w:val="Orateurengris"/>
        <w:spacing w:before="120"/>
        <w:ind w:left="709" w:hanging="709"/>
        <w:rPr>
          <w:b/>
          <w:bCs/>
        </w:rPr>
      </w:pPr>
      <w:r>
        <w:rPr>
          <w:bCs/>
        </w:rPr>
        <w:t xml:space="preserve">Le </w:t>
      </w:r>
      <w:r w:rsidRPr="00CF6326">
        <w:rPr>
          <w:b/>
          <w:bCs/>
        </w:rPr>
        <w:t>Président</w:t>
      </w:r>
      <w:r>
        <w:rPr>
          <w:bCs/>
        </w:rPr>
        <w:t xml:space="preserve"> a demandé à l</w:t>
      </w:r>
      <w:r w:rsidR="00346F1B">
        <w:rPr>
          <w:bCs/>
        </w:rPr>
        <w:t>’</w:t>
      </w:r>
      <w:r>
        <w:rPr>
          <w:bCs/>
        </w:rPr>
        <w:t>Algérie si elle pouv</w:t>
      </w:r>
      <w:r w:rsidR="005C5B9B">
        <w:rPr>
          <w:bCs/>
        </w:rPr>
        <w:t>ait souscrire à la proposition.</w:t>
      </w:r>
    </w:p>
    <w:p w14:paraId="27129841" w14:textId="518C6B2D" w:rsidR="00CF6326" w:rsidRPr="00CF6326" w:rsidRDefault="00CF6326" w:rsidP="005C5B9B">
      <w:pPr>
        <w:pStyle w:val="Orateurengris"/>
        <w:spacing w:before="120"/>
        <w:ind w:left="709" w:hanging="709"/>
        <w:rPr>
          <w:b/>
          <w:bCs/>
        </w:rPr>
      </w:pPr>
      <w:r>
        <w:rPr>
          <w:bCs/>
        </w:rPr>
        <w:t xml:space="preserve">La </w:t>
      </w:r>
      <w:r w:rsidRPr="00CF6326">
        <w:rPr>
          <w:bCs/>
        </w:rPr>
        <w:t>délégation</w:t>
      </w:r>
      <w:r>
        <w:rPr>
          <w:bCs/>
        </w:rPr>
        <w:t xml:space="preserve"> de l</w:t>
      </w:r>
      <w:r w:rsidR="00346F1B">
        <w:rPr>
          <w:bCs/>
        </w:rPr>
        <w:t>’</w:t>
      </w:r>
      <w:r w:rsidRPr="00CF6326">
        <w:rPr>
          <w:b/>
          <w:bCs/>
        </w:rPr>
        <w:t>Algérie</w:t>
      </w:r>
      <w:r>
        <w:rPr>
          <w:bCs/>
        </w:rPr>
        <w:t xml:space="preserve"> a dit souscrire à la proposition. </w:t>
      </w:r>
      <w:r w:rsidRPr="00CF6326">
        <w:rPr>
          <w:bCs/>
        </w:rPr>
        <w:t>Toutefois</w:t>
      </w:r>
      <w:r>
        <w:rPr>
          <w:bCs/>
        </w:rPr>
        <w:t>, avant l</w:t>
      </w:r>
      <w:r w:rsidR="00346F1B">
        <w:rPr>
          <w:bCs/>
        </w:rPr>
        <w:t>’</w:t>
      </w:r>
      <w:r>
        <w:rPr>
          <w:bCs/>
        </w:rPr>
        <w:t xml:space="preserve">adoption de son </w:t>
      </w:r>
      <w:r w:rsidRPr="00CF6326">
        <w:rPr>
          <w:bCs/>
        </w:rPr>
        <w:t>amendement</w:t>
      </w:r>
      <w:r>
        <w:rPr>
          <w:bCs/>
        </w:rPr>
        <w:t>, elle voulait demander au Secrétariat s</w:t>
      </w:r>
      <w:r w:rsidR="00346F1B">
        <w:rPr>
          <w:bCs/>
        </w:rPr>
        <w:t>’</w:t>
      </w:r>
      <w:r>
        <w:rPr>
          <w:bCs/>
        </w:rPr>
        <w:t xml:space="preserve">il voyait la </w:t>
      </w:r>
      <w:r w:rsidRPr="00CF6326">
        <w:rPr>
          <w:bCs/>
        </w:rPr>
        <w:t xml:space="preserve">proposition </w:t>
      </w:r>
      <w:r>
        <w:rPr>
          <w:bCs/>
        </w:rPr>
        <w:t>d</w:t>
      </w:r>
      <w:r w:rsidR="00346F1B">
        <w:rPr>
          <w:bCs/>
        </w:rPr>
        <w:t>’</w:t>
      </w:r>
      <w:r>
        <w:rPr>
          <w:bCs/>
        </w:rPr>
        <w:t>un bon œil et s</w:t>
      </w:r>
      <w:r w:rsidR="00346F1B">
        <w:rPr>
          <w:bCs/>
        </w:rPr>
        <w:t>’</w:t>
      </w:r>
      <w:r>
        <w:rPr>
          <w:bCs/>
        </w:rPr>
        <w:t>il pensait être en mesure de satisfaire la demand</w:t>
      </w:r>
      <w:r w:rsidR="005C5B9B">
        <w:rPr>
          <w:bCs/>
        </w:rPr>
        <w:t>e faite dans cette proposition.</w:t>
      </w:r>
    </w:p>
    <w:p w14:paraId="41F4E64F" w14:textId="61C1D571" w:rsidR="00CF6326" w:rsidRPr="00CF6326" w:rsidRDefault="00CF6326" w:rsidP="005C5B9B">
      <w:pPr>
        <w:pStyle w:val="Orateurengris"/>
        <w:spacing w:before="120"/>
        <w:ind w:left="709" w:hanging="709"/>
        <w:rPr>
          <w:b/>
          <w:bCs/>
        </w:rPr>
      </w:pPr>
      <w:r>
        <w:rPr>
          <w:bCs/>
        </w:rPr>
        <w:t xml:space="preserve">Le </w:t>
      </w:r>
      <w:r w:rsidRPr="00CF6326">
        <w:rPr>
          <w:b/>
          <w:bCs/>
        </w:rPr>
        <w:t>Secrétaire</w:t>
      </w:r>
      <w:r>
        <w:rPr>
          <w:bCs/>
        </w:rPr>
        <w:t xml:space="preserve"> a confirmé que le Secrétariat ser</w:t>
      </w:r>
      <w:r w:rsidR="00C1166C">
        <w:rPr>
          <w:bCs/>
        </w:rPr>
        <w:t xml:space="preserve">ait en mesure de satisfaire </w:t>
      </w:r>
      <w:r>
        <w:rPr>
          <w:bCs/>
        </w:rPr>
        <w:t>cette demande. En outre, il ne voyait aucune contradiction</w:t>
      </w:r>
      <w:r w:rsidR="00C1166C">
        <w:rPr>
          <w:bCs/>
        </w:rPr>
        <w:t xml:space="preserve"> entre cette demande et celle </w:t>
      </w:r>
      <w:r>
        <w:rPr>
          <w:bCs/>
        </w:rPr>
        <w:t>de l</w:t>
      </w:r>
      <w:r w:rsidR="00346F1B">
        <w:rPr>
          <w:bCs/>
        </w:rPr>
        <w:t>’</w:t>
      </w:r>
      <w:r w:rsidR="00C1166C">
        <w:rPr>
          <w:bCs/>
        </w:rPr>
        <w:t>Inde, car elles</w:t>
      </w:r>
      <w:r>
        <w:rPr>
          <w:bCs/>
        </w:rPr>
        <w:t xml:space="preserve"> se complétaient l</w:t>
      </w:r>
      <w:r w:rsidR="00346F1B">
        <w:rPr>
          <w:bCs/>
        </w:rPr>
        <w:t>’</w:t>
      </w:r>
      <w:r>
        <w:rPr>
          <w:bCs/>
        </w:rPr>
        <w:t>une l</w:t>
      </w:r>
      <w:r w:rsidR="00346F1B">
        <w:rPr>
          <w:bCs/>
        </w:rPr>
        <w:t>’</w:t>
      </w:r>
      <w:r w:rsidR="005C5B9B">
        <w:rPr>
          <w:bCs/>
        </w:rPr>
        <w:t>autre.</w:t>
      </w:r>
    </w:p>
    <w:p w14:paraId="490416C2" w14:textId="2BAE0D20" w:rsidR="00C1166C" w:rsidRPr="00C1166C" w:rsidRDefault="00C1166C" w:rsidP="005C5B9B">
      <w:pPr>
        <w:pStyle w:val="Orateurengris"/>
        <w:spacing w:before="120"/>
        <w:ind w:left="709" w:hanging="709"/>
        <w:rPr>
          <w:b/>
          <w:bCs/>
        </w:rPr>
      </w:pPr>
      <w:r>
        <w:rPr>
          <w:bCs/>
        </w:rPr>
        <w:t xml:space="preserve">La </w:t>
      </w:r>
      <w:r w:rsidRPr="00C1166C">
        <w:rPr>
          <w:bCs/>
        </w:rPr>
        <w:t>délégation</w:t>
      </w:r>
      <w:r>
        <w:rPr>
          <w:bCs/>
        </w:rPr>
        <w:t xml:space="preserve"> de la </w:t>
      </w:r>
      <w:r w:rsidRPr="00C1166C">
        <w:rPr>
          <w:b/>
          <w:bCs/>
        </w:rPr>
        <w:t>Palestine</w:t>
      </w:r>
      <w:r>
        <w:rPr>
          <w:bCs/>
        </w:rPr>
        <w:t xml:space="preserve"> avait le sentiment que l</w:t>
      </w:r>
      <w:r w:rsidR="00346F1B">
        <w:rPr>
          <w:bCs/>
        </w:rPr>
        <w:t>’</w:t>
      </w:r>
      <w:r w:rsidRPr="00C1166C">
        <w:rPr>
          <w:bCs/>
        </w:rPr>
        <w:t>amendement</w:t>
      </w:r>
      <w:r>
        <w:rPr>
          <w:bCs/>
        </w:rPr>
        <w:t xml:space="preserve"> de l</w:t>
      </w:r>
      <w:r w:rsidR="00346F1B">
        <w:rPr>
          <w:bCs/>
        </w:rPr>
        <w:t>’</w:t>
      </w:r>
      <w:r>
        <w:rPr>
          <w:bCs/>
        </w:rPr>
        <w:t xml:space="preserve">Inde sur le </w:t>
      </w:r>
      <w:r w:rsidRPr="00C1166C">
        <w:rPr>
          <w:bCs/>
        </w:rPr>
        <w:t>groupe de travail</w:t>
      </w:r>
      <w:r>
        <w:rPr>
          <w:bCs/>
        </w:rPr>
        <w:t>, soutenu par tous les membres, devrait être inséré juste après l</w:t>
      </w:r>
      <w:r w:rsidR="00346F1B">
        <w:rPr>
          <w:bCs/>
        </w:rPr>
        <w:t>’</w:t>
      </w:r>
      <w:r w:rsidRPr="00C1166C">
        <w:rPr>
          <w:bCs/>
        </w:rPr>
        <w:t>amendement</w:t>
      </w:r>
      <w:r>
        <w:rPr>
          <w:bCs/>
        </w:rPr>
        <w:t xml:space="preserve"> de l</w:t>
      </w:r>
      <w:r w:rsidR="00346F1B">
        <w:rPr>
          <w:bCs/>
        </w:rPr>
        <w:t>’</w:t>
      </w:r>
      <w:r w:rsidR="005C5B9B">
        <w:rPr>
          <w:bCs/>
        </w:rPr>
        <w:t>Algérie.</w:t>
      </w:r>
    </w:p>
    <w:p w14:paraId="2DC7E610" w14:textId="0A4D0F2D" w:rsidR="00C1166C" w:rsidRPr="00C1166C" w:rsidRDefault="00C1166C" w:rsidP="005C5B9B">
      <w:pPr>
        <w:pStyle w:val="Orateurengris"/>
        <w:spacing w:before="120"/>
        <w:ind w:left="709" w:hanging="709"/>
        <w:rPr>
          <w:b/>
          <w:bCs/>
        </w:rPr>
      </w:pPr>
      <w:r>
        <w:rPr>
          <w:bCs/>
        </w:rPr>
        <w:t xml:space="preserve">La </w:t>
      </w:r>
      <w:r w:rsidRPr="00C1166C">
        <w:rPr>
          <w:bCs/>
        </w:rPr>
        <w:t>délégation</w:t>
      </w:r>
      <w:r>
        <w:rPr>
          <w:bCs/>
        </w:rPr>
        <w:t xml:space="preserve"> de l</w:t>
      </w:r>
      <w:r w:rsidR="00346F1B">
        <w:rPr>
          <w:bCs/>
        </w:rPr>
        <w:t>’</w:t>
      </w:r>
      <w:r w:rsidRPr="00C1166C">
        <w:rPr>
          <w:b/>
          <w:bCs/>
        </w:rPr>
        <w:t>Inde</w:t>
      </w:r>
      <w:r>
        <w:rPr>
          <w:bCs/>
        </w:rPr>
        <w:t xml:space="preserve"> n</w:t>
      </w:r>
      <w:r w:rsidR="00346F1B">
        <w:rPr>
          <w:bCs/>
        </w:rPr>
        <w:t>’</w:t>
      </w:r>
      <w:r>
        <w:rPr>
          <w:bCs/>
        </w:rPr>
        <w:t>avait pas d</w:t>
      </w:r>
      <w:r w:rsidR="00346F1B">
        <w:rPr>
          <w:bCs/>
        </w:rPr>
        <w:t>’</w:t>
      </w:r>
      <w:r>
        <w:rPr>
          <w:bCs/>
        </w:rPr>
        <w:t xml:space="preserve">objection à la </w:t>
      </w:r>
      <w:r w:rsidRPr="00C1166C">
        <w:rPr>
          <w:bCs/>
        </w:rPr>
        <w:t xml:space="preserve">proposition </w:t>
      </w:r>
      <w:r w:rsidR="005C5B9B">
        <w:rPr>
          <w:bCs/>
        </w:rPr>
        <w:t>de la Palestine.</w:t>
      </w:r>
    </w:p>
    <w:p w14:paraId="0393E61C" w14:textId="3F3C2CC5" w:rsidR="00C1166C" w:rsidRPr="00C1166C" w:rsidRDefault="00C1166C" w:rsidP="005C5B9B">
      <w:pPr>
        <w:pStyle w:val="Orateurengris"/>
        <w:spacing w:before="120"/>
        <w:ind w:left="709" w:hanging="709"/>
        <w:rPr>
          <w:b/>
          <w:bCs/>
        </w:rPr>
      </w:pPr>
      <w:r w:rsidRPr="00C1166C">
        <w:rPr>
          <w:bCs/>
        </w:rPr>
        <w:t>Le</w:t>
      </w:r>
      <w:r>
        <w:rPr>
          <w:b/>
          <w:bCs/>
        </w:rPr>
        <w:t xml:space="preserve"> </w:t>
      </w:r>
      <w:r w:rsidRPr="00C1166C">
        <w:rPr>
          <w:b/>
          <w:bCs/>
        </w:rPr>
        <w:t>Secrétaire</w:t>
      </w:r>
      <w:r>
        <w:rPr>
          <w:b/>
          <w:bCs/>
        </w:rPr>
        <w:t xml:space="preserve"> </w:t>
      </w:r>
      <w:r>
        <w:rPr>
          <w:bCs/>
        </w:rPr>
        <w:t>a suggéré que l</w:t>
      </w:r>
      <w:r w:rsidR="00346F1B">
        <w:rPr>
          <w:bCs/>
        </w:rPr>
        <w:t>’</w:t>
      </w:r>
      <w:r w:rsidRPr="00C1166C">
        <w:rPr>
          <w:bCs/>
        </w:rPr>
        <w:t>amendement</w:t>
      </w:r>
      <w:r>
        <w:rPr>
          <w:bCs/>
        </w:rPr>
        <w:t xml:space="preserve"> de </w:t>
      </w:r>
      <w:r w:rsidR="008F1D07">
        <w:rPr>
          <w:bCs/>
        </w:rPr>
        <w:t>l</w:t>
      </w:r>
      <w:r w:rsidR="00346F1B">
        <w:rPr>
          <w:bCs/>
        </w:rPr>
        <w:t>’</w:t>
      </w:r>
      <w:r>
        <w:rPr>
          <w:bCs/>
        </w:rPr>
        <w:t xml:space="preserve">Inde, qui visait à établir un </w:t>
      </w:r>
      <w:r w:rsidRPr="00C1166C">
        <w:rPr>
          <w:bCs/>
        </w:rPr>
        <w:t>groupe de travail</w:t>
      </w:r>
      <w:r>
        <w:rPr>
          <w:bCs/>
        </w:rPr>
        <w:t xml:space="preserve"> informel </w:t>
      </w:r>
      <w:r w:rsidRPr="00C1166C">
        <w:rPr>
          <w:bCs/>
          <w:i/>
        </w:rPr>
        <w:t>ad hoc</w:t>
      </w:r>
      <w:r>
        <w:rPr>
          <w:bCs/>
        </w:rPr>
        <w:t xml:space="preserve"> à Paris au sein duquel les États parties débattraient de différents sujets, serait </w:t>
      </w:r>
      <w:r w:rsidRPr="00C1166C">
        <w:rPr>
          <w:bCs/>
        </w:rPr>
        <w:t>peut-être</w:t>
      </w:r>
      <w:r>
        <w:rPr>
          <w:bCs/>
        </w:rPr>
        <w:t xml:space="preserve"> mieux placé avant l</w:t>
      </w:r>
      <w:r w:rsidR="00346F1B">
        <w:rPr>
          <w:bCs/>
        </w:rPr>
        <w:t>’</w:t>
      </w:r>
      <w:r w:rsidRPr="00C1166C">
        <w:rPr>
          <w:bCs/>
        </w:rPr>
        <w:t>amendement</w:t>
      </w:r>
      <w:r>
        <w:rPr>
          <w:bCs/>
        </w:rPr>
        <w:t xml:space="preserve"> de l</w:t>
      </w:r>
      <w:r w:rsidR="00346F1B">
        <w:rPr>
          <w:bCs/>
        </w:rPr>
        <w:t>’</w:t>
      </w:r>
      <w:r>
        <w:rPr>
          <w:bCs/>
        </w:rPr>
        <w:t xml:space="preserve">Algérie puisque les débats du </w:t>
      </w:r>
      <w:r w:rsidRPr="00C1166C">
        <w:rPr>
          <w:bCs/>
        </w:rPr>
        <w:t>groupe de travail</w:t>
      </w:r>
      <w:r>
        <w:rPr>
          <w:bCs/>
        </w:rPr>
        <w:t xml:space="preserve"> </w:t>
      </w:r>
      <w:r w:rsidRPr="008F1D07">
        <w:rPr>
          <w:bCs/>
          <w:i/>
        </w:rPr>
        <w:t>ad hoc</w:t>
      </w:r>
      <w:r>
        <w:rPr>
          <w:bCs/>
        </w:rPr>
        <w:t xml:space="preserve"> auraient </w:t>
      </w:r>
      <w:r w:rsidRPr="00C1166C">
        <w:rPr>
          <w:bCs/>
        </w:rPr>
        <w:t>également</w:t>
      </w:r>
      <w:r>
        <w:rPr>
          <w:bCs/>
        </w:rPr>
        <w:t xml:space="preserve"> une influence sur la </w:t>
      </w:r>
      <w:r w:rsidRPr="00C1166C">
        <w:rPr>
          <w:bCs/>
        </w:rPr>
        <w:t xml:space="preserve">proposition </w:t>
      </w:r>
      <w:r>
        <w:rPr>
          <w:bCs/>
        </w:rPr>
        <w:t>que l</w:t>
      </w:r>
      <w:r w:rsidR="00346F1B">
        <w:rPr>
          <w:bCs/>
        </w:rPr>
        <w:t>’</w:t>
      </w:r>
      <w:r>
        <w:rPr>
          <w:bCs/>
        </w:rPr>
        <w:t xml:space="preserve">on demandait au </w:t>
      </w:r>
      <w:r w:rsidRPr="00C1166C">
        <w:rPr>
          <w:bCs/>
        </w:rPr>
        <w:t>Secrétariat de faire.</w:t>
      </w:r>
    </w:p>
    <w:p w14:paraId="00EC76D3" w14:textId="494BF648" w:rsidR="0010613C" w:rsidRPr="0010613C" w:rsidRDefault="0010613C" w:rsidP="005C5B9B">
      <w:pPr>
        <w:pStyle w:val="Orateurengris"/>
        <w:spacing w:before="120"/>
        <w:ind w:left="709" w:hanging="709"/>
        <w:rPr>
          <w:b/>
          <w:bCs/>
        </w:rPr>
      </w:pPr>
      <w:r>
        <w:rPr>
          <w:bCs/>
        </w:rPr>
        <w:t xml:space="preserve">La </w:t>
      </w:r>
      <w:r w:rsidRPr="0010613C">
        <w:rPr>
          <w:bCs/>
        </w:rPr>
        <w:t>délégation</w:t>
      </w:r>
      <w:r>
        <w:rPr>
          <w:bCs/>
        </w:rPr>
        <w:t xml:space="preserve"> de la </w:t>
      </w:r>
      <w:r w:rsidRPr="00ED72F4">
        <w:rPr>
          <w:b/>
          <w:bCs/>
        </w:rPr>
        <w:t>Palestine</w:t>
      </w:r>
      <w:r>
        <w:rPr>
          <w:bCs/>
        </w:rPr>
        <w:t xml:space="preserve"> avait cru comprendre</w:t>
      </w:r>
      <w:r w:rsidR="00ED72F4">
        <w:rPr>
          <w:bCs/>
        </w:rPr>
        <w:t xml:space="preserve"> que le </w:t>
      </w:r>
      <w:r w:rsidR="00ED72F4" w:rsidRPr="00ED72F4">
        <w:rPr>
          <w:bCs/>
        </w:rPr>
        <w:t>groupe de travail</w:t>
      </w:r>
      <w:r w:rsidR="00ED72F4">
        <w:rPr>
          <w:bCs/>
        </w:rPr>
        <w:t xml:space="preserve"> débattrait du projet proposé par le Secrétariat, qui – après adoption – retournerait au Secrétariat.</w:t>
      </w:r>
    </w:p>
    <w:p w14:paraId="354856F8" w14:textId="430FA11F" w:rsidR="00ED72F4" w:rsidRPr="00ED72F4" w:rsidRDefault="00ED72F4" w:rsidP="005C5B9B">
      <w:pPr>
        <w:pStyle w:val="Orateurengris"/>
        <w:spacing w:before="120"/>
        <w:ind w:left="709" w:hanging="709"/>
        <w:rPr>
          <w:b/>
          <w:bCs/>
        </w:rPr>
      </w:pPr>
      <w:r>
        <w:rPr>
          <w:bCs/>
        </w:rPr>
        <w:t xml:space="preserve">La </w:t>
      </w:r>
      <w:r w:rsidRPr="00ED72F4">
        <w:rPr>
          <w:bCs/>
        </w:rPr>
        <w:t>délégation</w:t>
      </w:r>
      <w:r>
        <w:rPr>
          <w:bCs/>
        </w:rPr>
        <w:t xml:space="preserve"> de </w:t>
      </w:r>
      <w:r w:rsidRPr="00ED72F4">
        <w:rPr>
          <w:b/>
          <w:bCs/>
        </w:rPr>
        <w:t>Cuba</w:t>
      </w:r>
      <w:r>
        <w:rPr>
          <w:bCs/>
        </w:rPr>
        <w:t xml:space="preserve"> comprenait la </w:t>
      </w:r>
      <w:r w:rsidRPr="00ED72F4">
        <w:rPr>
          <w:bCs/>
        </w:rPr>
        <w:t xml:space="preserve">proposition </w:t>
      </w:r>
      <w:r>
        <w:rPr>
          <w:bCs/>
        </w:rPr>
        <w:t>de l</w:t>
      </w:r>
      <w:r w:rsidR="00346F1B">
        <w:rPr>
          <w:bCs/>
        </w:rPr>
        <w:t>’</w:t>
      </w:r>
      <w:r>
        <w:rPr>
          <w:bCs/>
        </w:rPr>
        <w:t>Algérie, ajoutant qu</w:t>
      </w:r>
      <w:r w:rsidR="00346F1B">
        <w:rPr>
          <w:bCs/>
        </w:rPr>
        <w:t>’</w:t>
      </w:r>
      <w:r>
        <w:rPr>
          <w:bCs/>
        </w:rPr>
        <w:t>elle n</w:t>
      </w:r>
      <w:r w:rsidR="00346F1B">
        <w:rPr>
          <w:bCs/>
        </w:rPr>
        <w:t>’</w:t>
      </w:r>
      <w:r>
        <w:rPr>
          <w:bCs/>
        </w:rPr>
        <w:t xml:space="preserve">était pas en contradiction avec le travail du </w:t>
      </w:r>
      <w:r w:rsidRPr="00ED72F4">
        <w:rPr>
          <w:bCs/>
        </w:rPr>
        <w:t>groupe de travail</w:t>
      </w:r>
      <w:r>
        <w:rPr>
          <w:bCs/>
        </w:rPr>
        <w:t xml:space="preserve">. La </w:t>
      </w:r>
      <w:r w:rsidRPr="00ED72F4">
        <w:rPr>
          <w:bCs/>
        </w:rPr>
        <w:t>délégation</w:t>
      </w:r>
      <w:r>
        <w:rPr>
          <w:bCs/>
        </w:rPr>
        <w:t xml:space="preserve"> a expliqué que le groupe de travail travaillerait de façon informelle ou entre les sessions parce qu</w:t>
      </w:r>
      <w:r w:rsidR="00346F1B">
        <w:rPr>
          <w:bCs/>
        </w:rPr>
        <w:t>’</w:t>
      </w:r>
      <w:r>
        <w:rPr>
          <w:bCs/>
        </w:rPr>
        <w:t>il n</w:t>
      </w:r>
      <w:r w:rsidR="00346F1B">
        <w:rPr>
          <w:bCs/>
        </w:rPr>
        <w:t>’</w:t>
      </w:r>
      <w:r>
        <w:rPr>
          <w:bCs/>
        </w:rPr>
        <w:t xml:space="preserve">y avait pas de ressources pour établir un </w:t>
      </w:r>
      <w:r w:rsidRPr="00ED72F4">
        <w:rPr>
          <w:bCs/>
        </w:rPr>
        <w:t>groupe de travail</w:t>
      </w:r>
      <w:r>
        <w:rPr>
          <w:bCs/>
        </w:rPr>
        <w:t xml:space="preserve"> officiel. </w:t>
      </w:r>
      <w:r w:rsidRPr="00ED72F4">
        <w:rPr>
          <w:bCs/>
        </w:rPr>
        <w:t>Toutefois</w:t>
      </w:r>
      <w:r>
        <w:rPr>
          <w:bCs/>
        </w:rPr>
        <w:t>, il conviendrait qu</w:t>
      </w:r>
      <w:r w:rsidR="00346F1B">
        <w:rPr>
          <w:bCs/>
        </w:rPr>
        <w:t>’</w:t>
      </w:r>
      <w:r>
        <w:rPr>
          <w:bCs/>
        </w:rPr>
        <w:t xml:space="preserve">il y ait au moins une réunion officielle organisée, </w:t>
      </w:r>
      <w:r w:rsidRPr="00ED72F4">
        <w:rPr>
          <w:bCs/>
        </w:rPr>
        <w:t>par exemple</w:t>
      </w:r>
      <w:r>
        <w:rPr>
          <w:bCs/>
        </w:rPr>
        <w:t>, dans le cadre de la prochaine session du Comité, sous la forme d</w:t>
      </w:r>
      <w:r w:rsidR="00346F1B">
        <w:rPr>
          <w:bCs/>
        </w:rPr>
        <w:t>’</w:t>
      </w:r>
      <w:r>
        <w:rPr>
          <w:bCs/>
        </w:rPr>
        <w:t xml:space="preserve">un </w:t>
      </w:r>
      <w:r w:rsidRPr="00ED72F4">
        <w:rPr>
          <w:bCs/>
        </w:rPr>
        <w:t xml:space="preserve">événement </w:t>
      </w:r>
      <w:r>
        <w:rPr>
          <w:bCs/>
        </w:rPr>
        <w:t xml:space="preserve">parallèle dans les deux langues de travail, ou avant le début de la session du Comité, ce qui permettrait </w:t>
      </w:r>
      <w:r w:rsidR="005C5B9B">
        <w:rPr>
          <w:bCs/>
        </w:rPr>
        <w:t>aux membres</w:t>
      </w:r>
      <w:r>
        <w:rPr>
          <w:bCs/>
        </w:rPr>
        <w:t xml:space="preserve"> du Comité de parvenir à un consens</w:t>
      </w:r>
      <w:r w:rsidR="005C5B9B">
        <w:rPr>
          <w:bCs/>
        </w:rPr>
        <w:t>us sur les questions débattues.</w:t>
      </w:r>
    </w:p>
    <w:p w14:paraId="6214DADF" w14:textId="77991DD7" w:rsidR="00ED72F4" w:rsidRPr="00ED72F4" w:rsidRDefault="00ED72F4" w:rsidP="005C5B9B">
      <w:pPr>
        <w:pStyle w:val="Orateurengris"/>
        <w:spacing w:before="120"/>
        <w:ind w:left="709" w:hanging="709"/>
        <w:rPr>
          <w:b/>
          <w:bCs/>
        </w:rPr>
      </w:pPr>
      <w:r>
        <w:rPr>
          <w:bCs/>
        </w:rPr>
        <w:t xml:space="preserve">La </w:t>
      </w:r>
      <w:r w:rsidRPr="00ED72F4">
        <w:rPr>
          <w:bCs/>
        </w:rPr>
        <w:t>délégation</w:t>
      </w:r>
      <w:r>
        <w:rPr>
          <w:bCs/>
        </w:rPr>
        <w:t xml:space="preserve"> de </w:t>
      </w:r>
      <w:r w:rsidRPr="00ED72F4">
        <w:rPr>
          <w:b/>
          <w:bCs/>
        </w:rPr>
        <w:t>Chypre</w:t>
      </w:r>
      <w:r>
        <w:rPr>
          <w:bCs/>
        </w:rPr>
        <w:t xml:space="preserve"> souhaitait se joindre à l</w:t>
      </w:r>
      <w:r w:rsidR="00346F1B">
        <w:rPr>
          <w:bCs/>
        </w:rPr>
        <w:t>’</w:t>
      </w:r>
      <w:r w:rsidRPr="00ED72F4">
        <w:rPr>
          <w:bCs/>
        </w:rPr>
        <w:t>amendement</w:t>
      </w:r>
      <w:r>
        <w:rPr>
          <w:bCs/>
        </w:rPr>
        <w:t xml:space="preserve"> de l</w:t>
      </w:r>
      <w:r w:rsidR="00346F1B">
        <w:rPr>
          <w:bCs/>
        </w:rPr>
        <w:t>’</w:t>
      </w:r>
      <w:r>
        <w:rPr>
          <w:bCs/>
        </w:rPr>
        <w:t>Inde, aux termes duquel la réunion serait ouverte à tous les membres du Comité et à tous les États parties en tant qu</w:t>
      </w:r>
      <w:r w:rsidR="00346F1B">
        <w:rPr>
          <w:bCs/>
        </w:rPr>
        <w:t>’</w:t>
      </w:r>
      <w:r w:rsidR="005C5B9B">
        <w:rPr>
          <w:bCs/>
        </w:rPr>
        <w:t>observateurs.</w:t>
      </w:r>
    </w:p>
    <w:p w14:paraId="752610BF" w14:textId="5A5118A4" w:rsidR="00ED72F4" w:rsidRPr="00ED72F4" w:rsidRDefault="00E15B3B" w:rsidP="005C5B9B">
      <w:pPr>
        <w:pStyle w:val="Orateurengris"/>
        <w:spacing w:before="120"/>
        <w:ind w:left="709" w:hanging="709"/>
        <w:rPr>
          <w:b/>
          <w:bCs/>
        </w:rPr>
      </w:pPr>
      <w:r>
        <w:rPr>
          <w:bCs/>
        </w:rPr>
        <w:t>La dé</w:t>
      </w:r>
      <w:r w:rsidRPr="00E15B3B">
        <w:rPr>
          <w:bCs/>
        </w:rPr>
        <w:t>légation</w:t>
      </w:r>
      <w:r>
        <w:rPr>
          <w:bCs/>
        </w:rPr>
        <w:t xml:space="preserve"> de la </w:t>
      </w:r>
      <w:r w:rsidRPr="00E15B3B">
        <w:rPr>
          <w:b/>
          <w:bCs/>
        </w:rPr>
        <w:t>Palestine</w:t>
      </w:r>
      <w:r>
        <w:rPr>
          <w:bCs/>
        </w:rPr>
        <w:t xml:space="preserve"> a dit souscrire aux propos de Cuba, et a suggéré que cette démarche puisse prendre la même forme que celle observée </w:t>
      </w:r>
      <w:r w:rsidR="001433F2">
        <w:rPr>
          <w:bCs/>
        </w:rPr>
        <w:t>dans d</w:t>
      </w:r>
      <w:r w:rsidR="00346F1B">
        <w:rPr>
          <w:bCs/>
        </w:rPr>
        <w:t>’</w:t>
      </w:r>
      <w:r w:rsidR="001433F2">
        <w:rPr>
          <w:bCs/>
        </w:rPr>
        <w:t>autres C</w:t>
      </w:r>
      <w:r>
        <w:rPr>
          <w:bCs/>
        </w:rPr>
        <w:t>omités, à savoir, réunir, à l</w:t>
      </w:r>
      <w:r w:rsidR="00346F1B">
        <w:rPr>
          <w:bCs/>
        </w:rPr>
        <w:t>’</w:t>
      </w:r>
      <w:r>
        <w:rPr>
          <w:bCs/>
        </w:rPr>
        <w:t xml:space="preserve">ouverture de </w:t>
      </w:r>
      <w:r w:rsidR="008F1D07">
        <w:rPr>
          <w:bCs/>
        </w:rPr>
        <w:t xml:space="preserve">la </w:t>
      </w:r>
      <w:r>
        <w:rPr>
          <w:bCs/>
        </w:rPr>
        <w:t xml:space="preserve">prochaine session, un </w:t>
      </w:r>
      <w:r w:rsidRPr="00E15B3B">
        <w:rPr>
          <w:bCs/>
        </w:rPr>
        <w:t>groupe de travail</w:t>
      </w:r>
      <w:r>
        <w:rPr>
          <w:bCs/>
        </w:rPr>
        <w:t xml:space="preserve"> limité composé des membres du Comité qui </w:t>
      </w:r>
      <w:r w:rsidR="00327271">
        <w:rPr>
          <w:bCs/>
        </w:rPr>
        <w:t xml:space="preserve">réviseraient </w:t>
      </w:r>
      <w:r>
        <w:rPr>
          <w:bCs/>
        </w:rPr>
        <w:t xml:space="preserve">les propositions avant leur </w:t>
      </w:r>
      <w:r w:rsidRPr="00E15B3B">
        <w:rPr>
          <w:bCs/>
        </w:rPr>
        <w:t>présentation</w:t>
      </w:r>
      <w:r>
        <w:rPr>
          <w:bCs/>
        </w:rPr>
        <w:t xml:space="preserve"> finale au Comité. Cette réunion </w:t>
      </w:r>
      <w:r w:rsidR="00C040C2">
        <w:rPr>
          <w:bCs/>
        </w:rPr>
        <w:t xml:space="preserve">constituerait </w:t>
      </w:r>
      <w:r>
        <w:rPr>
          <w:bCs/>
        </w:rPr>
        <w:t xml:space="preserve">la réunion officielle demandée par la </w:t>
      </w:r>
      <w:r w:rsidRPr="00E15B3B">
        <w:rPr>
          <w:bCs/>
        </w:rPr>
        <w:t>délégation</w:t>
      </w:r>
      <w:r>
        <w:rPr>
          <w:bCs/>
        </w:rPr>
        <w:t xml:space="preserve"> de Cuba. S</w:t>
      </w:r>
      <w:r w:rsidR="00346F1B">
        <w:rPr>
          <w:bCs/>
        </w:rPr>
        <w:t>’</w:t>
      </w:r>
      <w:r>
        <w:rPr>
          <w:bCs/>
        </w:rPr>
        <w:t>agissant de l</w:t>
      </w:r>
      <w:r w:rsidR="00346F1B">
        <w:rPr>
          <w:bCs/>
        </w:rPr>
        <w:t>’</w:t>
      </w:r>
      <w:r w:rsidRPr="00E15B3B">
        <w:rPr>
          <w:bCs/>
        </w:rPr>
        <w:t>amendement</w:t>
      </w:r>
      <w:r>
        <w:rPr>
          <w:bCs/>
        </w:rPr>
        <w:t xml:space="preserve"> de Chypre, la </w:t>
      </w:r>
      <w:r w:rsidRPr="00E15B3B">
        <w:rPr>
          <w:bCs/>
        </w:rPr>
        <w:t>délégation</w:t>
      </w:r>
      <w:r>
        <w:rPr>
          <w:bCs/>
        </w:rPr>
        <w:t xml:space="preserve"> avait le sentiment que le libellé proposé </w:t>
      </w:r>
      <w:r w:rsidR="00327271">
        <w:rPr>
          <w:bCs/>
        </w:rPr>
        <w:t xml:space="preserve">était très général </w:t>
      </w:r>
      <w:r>
        <w:rPr>
          <w:bCs/>
        </w:rPr>
        <w:t>car il ne mettait pas d</w:t>
      </w:r>
      <w:r w:rsidR="00346F1B">
        <w:rPr>
          <w:bCs/>
        </w:rPr>
        <w:t>’</w:t>
      </w:r>
      <w:r>
        <w:rPr>
          <w:bCs/>
        </w:rPr>
        <w:t>obstac</w:t>
      </w:r>
      <w:r w:rsidR="00327271">
        <w:rPr>
          <w:bCs/>
        </w:rPr>
        <w:t>le à la présence d</w:t>
      </w:r>
      <w:r w:rsidR="00346F1B">
        <w:rPr>
          <w:bCs/>
        </w:rPr>
        <w:t>’</w:t>
      </w:r>
      <w:r w:rsidR="00327271">
        <w:rPr>
          <w:bCs/>
        </w:rPr>
        <w:t xml:space="preserve">observateurs dans le </w:t>
      </w:r>
      <w:r w:rsidR="00327271" w:rsidRPr="00327271">
        <w:rPr>
          <w:bCs/>
        </w:rPr>
        <w:t>groupe de travail</w:t>
      </w:r>
      <w:r w:rsidR="00327271">
        <w:rPr>
          <w:bCs/>
        </w:rPr>
        <w:t>. En s</w:t>
      </w:r>
      <w:r w:rsidR="00346F1B">
        <w:rPr>
          <w:bCs/>
        </w:rPr>
        <w:t>’</w:t>
      </w:r>
      <w:r w:rsidR="00327271">
        <w:rPr>
          <w:bCs/>
        </w:rPr>
        <w:t>inspirant de ce qui s</w:t>
      </w:r>
      <w:r w:rsidR="00346F1B">
        <w:rPr>
          <w:bCs/>
        </w:rPr>
        <w:t>’</w:t>
      </w:r>
      <w:r w:rsidR="00327271">
        <w:rPr>
          <w:bCs/>
        </w:rPr>
        <w:t xml:space="preserve">était fait pour la </w:t>
      </w:r>
      <w:r w:rsidR="00327271" w:rsidRPr="00327271">
        <w:rPr>
          <w:bCs/>
        </w:rPr>
        <w:t>Convention</w:t>
      </w:r>
      <w:r w:rsidR="00327271">
        <w:rPr>
          <w:bCs/>
        </w:rPr>
        <w:t xml:space="preserve"> de 1972, la </w:t>
      </w:r>
      <w:r w:rsidR="00327271" w:rsidRPr="00327271">
        <w:rPr>
          <w:bCs/>
        </w:rPr>
        <w:t>délégation</w:t>
      </w:r>
      <w:r w:rsidR="00327271">
        <w:rPr>
          <w:bCs/>
        </w:rPr>
        <w:t xml:space="preserve"> a suggéré que le </w:t>
      </w:r>
      <w:r w:rsidR="00327271" w:rsidRPr="00327271">
        <w:rPr>
          <w:bCs/>
        </w:rPr>
        <w:t>groupe de travail</w:t>
      </w:r>
      <w:r w:rsidR="00327271">
        <w:rPr>
          <w:bCs/>
        </w:rPr>
        <w:t xml:space="preserve"> informel composé dans un premier temps de membres du Comité s</w:t>
      </w:r>
      <w:r w:rsidR="00346F1B">
        <w:rPr>
          <w:bCs/>
        </w:rPr>
        <w:t>’</w:t>
      </w:r>
      <w:r w:rsidR="00327271">
        <w:rPr>
          <w:bCs/>
        </w:rPr>
        <w:t xml:space="preserve">ouvre ensuite, une fois un consensus établi, sur un groupe plus large, ouvert aux observateurs. La </w:t>
      </w:r>
      <w:r w:rsidR="00327271" w:rsidRPr="00327271">
        <w:rPr>
          <w:bCs/>
        </w:rPr>
        <w:t>délégation</w:t>
      </w:r>
      <w:r w:rsidR="00327271">
        <w:rPr>
          <w:bCs/>
        </w:rPr>
        <w:t xml:space="preserve"> a </w:t>
      </w:r>
      <w:r w:rsidR="00327271" w:rsidRPr="00327271">
        <w:rPr>
          <w:bCs/>
        </w:rPr>
        <w:t>également</w:t>
      </w:r>
      <w:r w:rsidR="00327271">
        <w:rPr>
          <w:bCs/>
        </w:rPr>
        <w:t xml:space="preserve"> </w:t>
      </w:r>
      <w:r w:rsidR="00C040C2">
        <w:rPr>
          <w:bCs/>
        </w:rPr>
        <w:t>attiré l</w:t>
      </w:r>
      <w:r w:rsidR="00346F1B">
        <w:rPr>
          <w:bCs/>
        </w:rPr>
        <w:t>’</w:t>
      </w:r>
      <w:r w:rsidR="00C040C2">
        <w:rPr>
          <w:bCs/>
        </w:rPr>
        <w:t xml:space="preserve">attention du Comité sur une </w:t>
      </w:r>
      <w:r w:rsidR="00C040C2" w:rsidRPr="00C040C2">
        <w:rPr>
          <w:bCs/>
        </w:rPr>
        <w:t>préoccupation</w:t>
      </w:r>
      <w:r w:rsidR="00C040C2">
        <w:rPr>
          <w:bCs/>
        </w:rPr>
        <w:t xml:space="preserve"> soulevée par certains observateurs concernant l</w:t>
      </w:r>
      <w:r w:rsidR="00346F1B">
        <w:rPr>
          <w:bCs/>
        </w:rPr>
        <w:t>’</w:t>
      </w:r>
      <w:r w:rsidR="00C040C2" w:rsidRPr="00C040C2">
        <w:rPr>
          <w:bCs/>
        </w:rPr>
        <w:t>amendement</w:t>
      </w:r>
      <w:r w:rsidR="00C040C2">
        <w:rPr>
          <w:bCs/>
        </w:rPr>
        <w:t xml:space="preserve"> de l</w:t>
      </w:r>
      <w:r w:rsidR="00346F1B">
        <w:rPr>
          <w:bCs/>
        </w:rPr>
        <w:t>’</w:t>
      </w:r>
      <w:r w:rsidR="00C040C2">
        <w:rPr>
          <w:bCs/>
        </w:rPr>
        <w:t xml:space="preserve">Inde au </w:t>
      </w:r>
      <w:r w:rsidR="00C040C2" w:rsidRPr="00C040C2">
        <w:rPr>
          <w:bCs/>
        </w:rPr>
        <w:t>paragraphe</w:t>
      </w:r>
      <w:r w:rsidR="00C040C2">
        <w:rPr>
          <w:bCs/>
        </w:rPr>
        <w:t xml:space="preserve"> 13. À la lecture de celui-ci, on ne saurait dire si cela déboucherait effectivement sur des amendements aux Directives opérationnelles. C</w:t>
      </w:r>
      <w:r w:rsidR="00346F1B">
        <w:rPr>
          <w:bCs/>
        </w:rPr>
        <w:t>’</w:t>
      </w:r>
      <w:r w:rsidR="00C040C2">
        <w:rPr>
          <w:bCs/>
        </w:rPr>
        <w:t xml:space="preserve">était explicite mais pas clairement exprimé. La </w:t>
      </w:r>
      <w:r w:rsidR="00C040C2" w:rsidRPr="00C040C2">
        <w:rPr>
          <w:bCs/>
        </w:rPr>
        <w:t>délégation</w:t>
      </w:r>
      <w:r w:rsidR="00C040C2">
        <w:rPr>
          <w:bCs/>
        </w:rPr>
        <w:t xml:space="preserve"> souhaitait qu</w:t>
      </w:r>
      <w:r w:rsidR="00346F1B">
        <w:rPr>
          <w:bCs/>
        </w:rPr>
        <w:t>’</w:t>
      </w:r>
      <w:r w:rsidR="00C040C2">
        <w:rPr>
          <w:bCs/>
        </w:rPr>
        <w:t xml:space="preserve">il soit clairement précisé dans le texte de la </w:t>
      </w:r>
      <w:r w:rsidR="00C040C2" w:rsidRPr="00C040C2">
        <w:rPr>
          <w:bCs/>
        </w:rPr>
        <w:t>décision</w:t>
      </w:r>
      <w:r w:rsidR="00C040C2">
        <w:rPr>
          <w:bCs/>
        </w:rPr>
        <w:t xml:space="preserve"> que le but ultime du </w:t>
      </w:r>
      <w:r w:rsidR="00C040C2" w:rsidRPr="00C040C2">
        <w:rPr>
          <w:bCs/>
        </w:rPr>
        <w:t>groupe de travail</w:t>
      </w:r>
      <w:r w:rsidR="00C040C2">
        <w:rPr>
          <w:bCs/>
        </w:rPr>
        <w:t xml:space="preserve"> était d</w:t>
      </w:r>
      <w:r w:rsidR="00346F1B">
        <w:rPr>
          <w:bCs/>
        </w:rPr>
        <w:t>’</w:t>
      </w:r>
      <w:r w:rsidR="00C040C2">
        <w:rPr>
          <w:bCs/>
        </w:rPr>
        <w:t>amender les Dir</w:t>
      </w:r>
      <w:r w:rsidR="005C5B9B">
        <w:rPr>
          <w:bCs/>
        </w:rPr>
        <w:t>ectives opérationnelles.</w:t>
      </w:r>
    </w:p>
    <w:p w14:paraId="6B649578" w14:textId="6C3CBA4D" w:rsidR="00C040C2" w:rsidRPr="00C040C2" w:rsidRDefault="00C040C2" w:rsidP="005C5B9B">
      <w:pPr>
        <w:pStyle w:val="Orateurengris"/>
        <w:spacing w:before="120"/>
        <w:ind w:left="709" w:hanging="709"/>
        <w:rPr>
          <w:b/>
          <w:bCs/>
        </w:rPr>
      </w:pPr>
      <w:r w:rsidRPr="00C040C2">
        <w:rPr>
          <w:bCs/>
        </w:rPr>
        <w:t>La délégation</w:t>
      </w:r>
      <w:r>
        <w:rPr>
          <w:bCs/>
        </w:rPr>
        <w:t xml:space="preserve"> de la </w:t>
      </w:r>
      <w:r w:rsidRPr="001F1DCB">
        <w:rPr>
          <w:b/>
          <w:bCs/>
        </w:rPr>
        <w:t>République de Corée</w:t>
      </w:r>
      <w:r>
        <w:rPr>
          <w:bCs/>
        </w:rPr>
        <w:t xml:space="preserve"> a </w:t>
      </w:r>
      <w:r w:rsidR="001F1DCB">
        <w:rPr>
          <w:bCs/>
        </w:rPr>
        <w:t>évoqué le fait qu</w:t>
      </w:r>
      <w:r w:rsidR="00346F1B">
        <w:rPr>
          <w:bCs/>
        </w:rPr>
        <w:t>’</w:t>
      </w:r>
      <w:r w:rsidR="001F1DCB">
        <w:rPr>
          <w:bCs/>
        </w:rPr>
        <w:t xml:space="preserve">un </w:t>
      </w:r>
      <w:r w:rsidR="001F1DCB" w:rsidRPr="001F1DCB">
        <w:rPr>
          <w:bCs/>
        </w:rPr>
        <w:t>groupe de travail</w:t>
      </w:r>
      <w:r w:rsidR="001F1DCB">
        <w:rPr>
          <w:bCs/>
        </w:rPr>
        <w:t xml:space="preserve"> était souvent envisagé comme une panacée alors qu</w:t>
      </w:r>
      <w:r w:rsidR="00346F1B">
        <w:rPr>
          <w:bCs/>
        </w:rPr>
        <w:t>’</w:t>
      </w:r>
      <w:r w:rsidR="001F1DCB">
        <w:rPr>
          <w:bCs/>
        </w:rPr>
        <w:t>on avait pu observer que les groupes de travail ne fonctionnaient pas aussi bien qu</w:t>
      </w:r>
      <w:r w:rsidR="00346F1B">
        <w:rPr>
          <w:bCs/>
        </w:rPr>
        <w:t>’</w:t>
      </w:r>
      <w:r w:rsidR="001F1DCB">
        <w:rPr>
          <w:bCs/>
        </w:rPr>
        <w:t>on l</w:t>
      </w:r>
      <w:r w:rsidR="00346F1B">
        <w:rPr>
          <w:bCs/>
        </w:rPr>
        <w:t>’</w:t>
      </w:r>
      <w:r w:rsidR="001F1DCB">
        <w:rPr>
          <w:bCs/>
        </w:rPr>
        <w:t>aurait souhaité. Toutefois, à condition que…</w:t>
      </w:r>
      <w:r w:rsidR="007719B5">
        <w:rPr>
          <w:bCs/>
        </w:rPr>
        <w:t xml:space="preserve"> </w:t>
      </w:r>
      <w:r w:rsidR="001F1DCB">
        <w:rPr>
          <w:bCs/>
        </w:rPr>
        <w:t>[Interruption]</w:t>
      </w:r>
    </w:p>
    <w:p w14:paraId="527066B9" w14:textId="6CF29286" w:rsidR="001F1DCB" w:rsidRPr="001F1DCB" w:rsidRDefault="001F1DCB" w:rsidP="005C5B9B">
      <w:pPr>
        <w:pStyle w:val="Orateurengris"/>
        <w:spacing w:before="120"/>
        <w:ind w:left="709" w:hanging="709"/>
        <w:rPr>
          <w:b/>
          <w:bCs/>
        </w:rPr>
      </w:pPr>
      <w:r>
        <w:rPr>
          <w:bCs/>
        </w:rPr>
        <w:t xml:space="preserve">Le </w:t>
      </w:r>
      <w:r w:rsidRPr="001F1DCB">
        <w:rPr>
          <w:b/>
          <w:bCs/>
        </w:rPr>
        <w:t>Président</w:t>
      </w:r>
      <w:r>
        <w:rPr>
          <w:bCs/>
        </w:rPr>
        <w:t xml:space="preserve"> a signalé une motion d</w:t>
      </w:r>
      <w:r w:rsidR="00346F1B">
        <w:rPr>
          <w:bCs/>
        </w:rPr>
        <w:t>’</w:t>
      </w:r>
      <w:r>
        <w:rPr>
          <w:bCs/>
        </w:rPr>
        <w:t>ordre de la part de l</w:t>
      </w:r>
      <w:r w:rsidR="00346F1B">
        <w:rPr>
          <w:bCs/>
        </w:rPr>
        <w:t>’</w:t>
      </w:r>
      <w:r w:rsidR="005C5B9B">
        <w:rPr>
          <w:bCs/>
        </w:rPr>
        <w:t>Algérie.</w:t>
      </w:r>
    </w:p>
    <w:p w14:paraId="0D8A2214" w14:textId="6D2498F3" w:rsidR="001F1DCB" w:rsidRPr="001F1DCB" w:rsidRDefault="001F1DCB" w:rsidP="005C5B9B">
      <w:pPr>
        <w:pStyle w:val="Orateurengris"/>
        <w:spacing w:before="120"/>
        <w:ind w:left="709" w:hanging="709"/>
        <w:rPr>
          <w:bCs/>
        </w:rPr>
      </w:pPr>
      <w:r w:rsidRPr="001F1DCB">
        <w:rPr>
          <w:bCs/>
        </w:rPr>
        <w:t>Pour des rai</w:t>
      </w:r>
      <w:r>
        <w:rPr>
          <w:bCs/>
        </w:rPr>
        <w:t xml:space="preserve">sons de clarté, la </w:t>
      </w:r>
      <w:r w:rsidRPr="001F1DCB">
        <w:rPr>
          <w:bCs/>
        </w:rPr>
        <w:t>délégation</w:t>
      </w:r>
      <w:r>
        <w:rPr>
          <w:bCs/>
        </w:rPr>
        <w:t xml:space="preserve"> de l</w:t>
      </w:r>
      <w:r w:rsidR="00346F1B">
        <w:rPr>
          <w:bCs/>
        </w:rPr>
        <w:t>’</w:t>
      </w:r>
      <w:r w:rsidRPr="001F1DCB">
        <w:rPr>
          <w:b/>
          <w:bCs/>
        </w:rPr>
        <w:t>Algérie</w:t>
      </w:r>
      <w:r>
        <w:rPr>
          <w:bCs/>
        </w:rPr>
        <w:t xml:space="preserve"> a demandé au Président de procéder à l</w:t>
      </w:r>
      <w:r w:rsidR="00346F1B">
        <w:rPr>
          <w:bCs/>
        </w:rPr>
        <w:t>’</w:t>
      </w:r>
      <w:r>
        <w:rPr>
          <w:bCs/>
        </w:rPr>
        <w:t xml:space="preserve">adoption des </w:t>
      </w:r>
      <w:r w:rsidRPr="001F1DCB">
        <w:rPr>
          <w:bCs/>
        </w:rPr>
        <w:t>paragraphe</w:t>
      </w:r>
      <w:r>
        <w:rPr>
          <w:bCs/>
        </w:rPr>
        <w:t xml:space="preserve">s un par un, au lieu de débattre en même temps de plusieurs </w:t>
      </w:r>
      <w:r w:rsidRPr="001F1DCB">
        <w:rPr>
          <w:bCs/>
        </w:rPr>
        <w:t>p</w:t>
      </w:r>
      <w:r>
        <w:rPr>
          <w:bCs/>
        </w:rPr>
        <w:t xml:space="preserve">aragraphes qui ne se suivaient pas, chaque </w:t>
      </w:r>
      <w:r w:rsidRPr="001F1DCB">
        <w:rPr>
          <w:bCs/>
        </w:rPr>
        <w:t>paragraphe</w:t>
      </w:r>
      <w:r>
        <w:rPr>
          <w:bCs/>
        </w:rPr>
        <w:t xml:space="preserve"> ayant une influence sur l</w:t>
      </w:r>
      <w:r w:rsidR="00346F1B">
        <w:rPr>
          <w:bCs/>
        </w:rPr>
        <w:t>’</w:t>
      </w:r>
      <w:r w:rsidR="005C5B9B">
        <w:rPr>
          <w:bCs/>
        </w:rPr>
        <w:t>autre.</w:t>
      </w:r>
    </w:p>
    <w:p w14:paraId="01B0681B" w14:textId="1794A6E4" w:rsidR="001F1DCB" w:rsidRPr="001F1DCB" w:rsidRDefault="001F1DCB" w:rsidP="005C5B9B">
      <w:pPr>
        <w:pStyle w:val="Orateurengris"/>
        <w:spacing w:before="120"/>
        <w:ind w:left="709" w:hanging="709"/>
        <w:rPr>
          <w:b/>
          <w:bCs/>
        </w:rPr>
      </w:pPr>
      <w:r>
        <w:rPr>
          <w:bCs/>
        </w:rPr>
        <w:t xml:space="preserve">Le </w:t>
      </w:r>
      <w:r w:rsidRPr="001F1DCB">
        <w:rPr>
          <w:b/>
          <w:bCs/>
        </w:rPr>
        <w:t>Président</w:t>
      </w:r>
      <w:r>
        <w:rPr>
          <w:bCs/>
        </w:rPr>
        <w:t xml:space="preserve"> a expliqué que le Secrétariat avait établi l</w:t>
      </w:r>
      <w:r w:rsidR="00346F1B">
        <w:rPr>
          <w:bCs/>
        </w:rPr>
        <w:t>’</w:t>
      </w:r>
      <w:r>
        <w:rPr>
          <w:bCs/>
        </w:rPr>
        <w:t xml:space="preserve">ordre des </w:t>
      </w:r>
      <w:r w:rsidRPr="001F1DCB">
        <w:rPr>
          <w:bCs/>
        </w:rPr>
        <w:t>p</w:t>
      </w:r>
      <w:r>
        <w:rPr>
          <w:bCs/>
        </w:rPr>
        <w:t>aragraphes car la position des amendements n</w:t>
      </w:r>
      <w:r w:rsidR="00346F1B">
        <w:rPr>
          <w:bCs/>
        </w:rPr>
        <w:t>’</w:t>
      </w:r>
      <w:r>
        <w:rPr>
          <w:bCs/>
        </w:rPr>
        <w:t>avait pas été c</w:t>
      </w:r>
      <w:r w:rsidR="005C5B9B">
        <w:rPr>
          <w:bCs/>
        </w:rPr>
        <w:t>lairement précisée.</w:t>
      </w:r>
    </w:p>
    <w:p w14:paraId="29C7EA04" w14:textId="0E208973" w:rsidR="001F1DCB" w:rsidRPr="001F1DCB" w:rsidRDefault="001F1DCB" w:rsidP="005C5B9B">
      <w:pPr>
        <w:pStyle w:val="Orateurengris"/>
        <w:spacing w:before="120"/>
        <w:ind w:left="709" w:hanging="709"/>
        <w:rPr>
          <w:b/>
          <w:bCs/>
        </w:rPr>
      </w:pPr>
      <w:r>
        <w:rPr>
          <w:bCs/>
        </w:rPr>
        <w:t xml:space="preserve">Le </w:t>
      </w:r>
      <w:r w:rsidRPr="001F1DCB">
        <w:rPr>
          <w:b/>
          <w:bCs/>
        </w:rPr>
        <w:t>Secrétaire</w:t>
      </w:r>
      <w:r>
        <w:rPr>
          <w:bCs/>
        </w:rPr>
        <w:t xml:space="preserve"> a confirmé que le Secrétariat essayait en effet d</w:t>
      </w:r>
      <w:r w:rsidR="00346F1B">
        <w:rPr>
          <w:bCs/>
        </w:rPr>
        <w:t>’</w:t>
      </w:r>
      <w:r>
        <w:rPr>
          <w:bCs/>
        </w:rPr>
        <w:t>établir l</w:t>
      </w:r>
      <w:r w:rsidR="00346F1B">
        <w:rPr>
          <w:bCs/>
        </w:rPr>
        <w:t>’</w:t>
      </w:r>
      <w:r>
        <w:rPr>
          <w:bCs/>
        </w:rPr>
        <w:t xml:space="preserve">ordre des amendements proposés. Il restait, </w:t>
      </w:r>
      <w:r w:rsidRPr="001F1DCB">
        <w:rPr>
          <w:bCs/>
        </w:rPr>
        <w:t>par exemple</w:t>
      </w:r>
      <w:r>
        <w:rPr>
          <w:bCs/>
        </w:rPr>
        <w:t>, à trouver une place pour insérer l</w:t>
      </w:r>
      <w:r w:rsidR="00346F1B">
        <w:rPr>
          <w:bCs/>
        </w:rPr>
        <w:t>’</w:t>
      </w:r>
      <w:r w:rsidRPr="001F1DCB">
        <w:rPr>
          <w:bCs/>
        </w:rPr>
        <w:t>amendement</w:t>
      </w:r>
      <w:r>
        <w:rPr>
          <w:bCs/>
        </w:rPr>
        <w:t xml:space="preserve"> de l</w:t>
      </w:r>
      <w:r w:rsidR="00346F1B">
        <w:rPr>
          <w:bCs/>
        </w:rPr>
        <w:t>’</w:t>
      </w:r>
      <w:r>
        <w:rPr>
          <w:bCs/>
        </w:rPr>
        <w:t xml:space="preserve">Autriche. Le </w:t>
      </w:r>
      <w:r w:rsidRPr="001F1DCB">
        <w:rPr>
          <w:bCs/>
        </w:rPr>
        <w:t>Secrétaire</w:t>
      </w:r>
      <w:r>
        <w:rPr>
          <w:bCs/>
        </w:rPr>
        <w:t xml:space="preserve"> a suggéré d</w:t>
      </w:r>
      <w:r w:rsidR="00346F1B">
        <w:rPr>
          <w:bCs/>
        </w:rPr>
        <w:t>’</w:t>
      </w:r>
      <w:r>
        <w:rPr>
          <w:bCs/>
        </w:rPr>
        <w:t>organiser d</w:t>
      </w:r>
      <w:r w:rsidR="00346F1B">
        <w:rPr>
          <w:bCs/>
        </w:rPr>
        <w:t>’</w:t>
      </w:r>
      <w:r>
        <w:rPr>
          <w:bCs/>
        </w:rPr>
        <w:t>abord l</w:t>
      </w:r>
      <w:r w:rsidR="00346F1B">
        <w:rPr>
          <w:bCs/>
        </w:rPr>
        <w:t>’</w:t>
      </w:r>
      <w:r>
        <w:rPr>
          <w:bCs/>
        </w:rPr>
        <w:t>ordre des amendements avant de repasser à l</w:t>
      </w:r>
      <w:r w:rsidR="00346F1B">
        <w:rPr>
          <w:bCs/>
        </w:rPr>
        <w:t>’</w:t>
      </w:r>
      <w:r>
        <w:rPr>
          <w:bCs/>
        </w:rPr>
        <w:t xml:space="preserve">adoption des </w:t>
      </w:r>
      <w:r w:rsidRPr="001F1DCB">
        <w:rPr>
          <w:bCs/>
        </w:rPr>
        <w:t>p</w:t>
      </w:r>
      <w:r w:rsidR="005C5B9B">
        <w:rPr>
          <w:bCs/>
        </w:rPr>
        <w:t>aragraphes un par un.</w:t>
      </w:r>
    </w:p>
    <w:p w14:paraId="09CF253A" w14:textId="3999D95D" w:rsidR="006D2CD1" w:rsidRPr="006D2CD1" w:rsidRDefault="006D2CD1" w:rsidP="005C5B9B">
      <w:pPr>
        <w:pStyle w:val="Orateurengris"/>
        <w:spacing w:before="120"/>
        <w:ind w:left="709" w:hanging="709"/>
        <w:rPr>
          <w:b/>
          <w:bCs/>
        </w:rPr>
      </w:pPr>
      <w:r>
        <w:rPr>
          <w:bCs/>
        </w:rPr>
        <w:t xml:space="preserve">La </w:t>
      </w:r>
      <w:r w:rsidRPr="006D2CD1">
        <w:rPr>
          <w:bCs/>
        </w:rPr>
        <w:t>délégation</w:t>
      </w:r>
      <w:r>
        <w:rPr>
          <w:bCs/>
        </w:rPr>
        <w:t xml:space="preserve"> de l</w:t>
      </w:r>
      <w:r w:rsidR="00346F1B">
        <w:rPr>
          <w:bCs/>
        </w:rPr>
        <w:t>’</w:t>
      </w:r>
      <w:r w:rsidRPr="006D2CD1">
        <w:rPr>
          <w:b/>
          <w:bCs/>
        </w:rPr>
        <w:t>Autriche</w:t>
      </w:r>
      <w:r>
        <w:rPr>
          <w:bCs/>
        </w:rPr>
        <w:t xml:space="preserve"> a suggéré d</w:t>
      </w:r>
      <w:r w:rsidR="00346F1B">
        <w:rPr>
          <w:bCs/>
        </w:rPr>
        <w:t>’</w:t>
      </w:r>
      <w:r>
        <w:rPr>
          <w:bCs/>
        </w:rPr>
        <w:t xml:space="preserve">insérer son </w:t>
      </w:r>
      <w:r w:rsidRPr="006D2CD1">
        <w:rPr>
          <w:bCs/>
        </w:rPr>
        <w:t>amendement</w:t>
      </w:r>
      <w:r>
        <w:rPr>
          <w:bCs/>
        </w:rPr>
        <w:t xml:space="preserve"> après la </w:t>
      </w:r>
      <w:r w:rsidRPr="006D2CD1">
        <w:rPr>
          <w:bCs/>
        </w:rPr>
        <w:t xml:space="preserve">proposition </w:t>
      </w:r>
      <w:r>
        <w:rPr>
          <w:bCs/>
        </w:rPr>
        <w:t xml:space="preserve">de la Hongrie. Par ailleurs, elle </w:t>
      </w:r>
      <w:r w:rsidR="00543472">
        <w:rPr>
          <w:bCs/>
        </w:rPr>
        <w:t xml:space="preserve">a signalé </w:t>
      </w:r>
      <w:r>
        <w:rPr>
          <w:bCs/>
        </w:rPr>
        <w:t>une erreur grammaticale dans l</w:t>
      </w:r>
      <w:r w:rsidR="00346F1B">
        <w:rPr>
          <w:bCs/>
        </w:rPr>
        <w:t>’</w:t>
      </w:r>
      <w:r w:rsidRPr="006D2CD1">
        <w:rPr>
          <w:bCs/>
        </w:rPr>
        <w:t>amendement</w:t>
      </w:r>
      <w:r>
        <w:rPr>
          <w:bCs/>
        </w:rPr>
        <w:t xml:space="preserve"> de l</w:t>
      </w:r>
      <w:r w:rsidR="00346F1B">
        <w:rPr>
          <w:bCs/>
        </w:rPr>
        <w:t>’</w:t>
      </w:r>
      <w:r w:rsidR="005C5B9B">
        <w:rPr>
          <w:bCs/>
        </w:rPr>
        <w:t>Inde.</w:t>
      </w:r>
    </w:p>
    <w:p w14:paraId="395E34CD" w14:textId="23ECCF57" w:rsidR="006D2CD1" w:rsidRPr="006D2CD1" w:rsidRDefault="006D2CD1" w:rsidP="005C5B9B">
      <w:pPr>
        <w:pStyle w:val="Orateurengris"/>
        <w:spacing w:before="120"/>
        <w:ind w:left="709" w:hanging="709"/>
        <w:rPr>
          <w:b/>
          <w:bCs/>
        </w:rPr>
      </w:pPr>
      <w:r>
        <w:rPr>
          <w:bCs/>
        </w:rPr>
        <w:t xml:space="preserve">Le </w:t>
      </w:r>
      <w:r w:rsidRPr="006D2CD1">
        <w:rPr>
          <w:b/>
          <w:bCs/>
        </w:rPr>
        <w:t>Président</w:t>
      </w:r>
      <w:r>
        <w:rPr>
          <w:bCs/>
        </w:rPr>
        <w:t xml:space="preserve"> a confirmé que les erreurs linguistiques et grammaticales seraient corrigées, puis il est passé au </w:t>
      </w:r>
      <w:r w:rsidRPr="006D2CD1">
        <w:rPr>
          <w:bCs/>
        </w:rPr>
        <w:t>paragraphe</w:t>
      </w:r>
      <w:r w:rsidR="005C5B9B">
        <w:rPr>
          <w:bCs/>
        </w:rPr>
        <w:t xml:space="preserve"> 12.</w:t>
      </w:r>
    </w:p>
    <w:p w14:paraId="13884E2C" w14:textId="7858932C" w:rsidR="006D2CD1" w:rsidRPr="006D2CD1" w:rsidRDefault="00543472" w:rsidP="005C5B9B">
      <w:pPr>
        <w:pStyle w:val="Orateurengris"/>
        <w:spacing w:before="120"/>
        <w:ind w:left="709" w:hanging="709"/>
        <w:rPr>
          <w:b/>
          <w:bCs/>
        </w:rPr>
      </w:pPr>
      <w:r>
        <w:rPr>
          <w:bCs/>
        </w:rPr>
        <w:t xml:space="preserve">La </w:t>
      </w:r>
      <w:r w:rsidRPr="00543472">
        <w:rPr>
          <w:bCs/>
        </w:rPr>
        <w:t>délégation</w:t>
      </w:r>
      <w:r>
        <w:rPr>
          <w:bCs/>
        </w:rPr>
        <w:t xml:space="preserve"> de la </w:t>
      </w:r>
      <w:r w:rsidRPr="00543472">
        <w:rPr>
          <w:b/>
          <w:bCs/>
        </w:rPr>
        <w:t>Turquie</w:t>
      </w:r>
      <w:r>
        <w:rPr>
          <w:bCs/>
        </w:rPr>
        <w:t xml:space="preserve"> a </w:t>
      </w:r>
      <w:r w:rsidRPr="00543472">
        <w:rPr>
          <w:bCs/>
        </w:rPr>
        <w:t>également</w:t>
      </w:r>
      <w:r>
        <w:rPr>
          <w:bCs/>
        </w:rPr>
        <w:t xml:space="preserve"> signalé une petite correction à apporter à la version française de l</w:t>
      </w:r>
      <w:r w:rsidR="00346F1B">
        <w:rPr>
          <w:bCs/>
        </w:rPr>
        <w:t>’</w:t>
      </w:r>
      <w:r w:rsidRPr="00543472">
        <w:rPr>
          <w:bCs/>
        </w:rPr>
        <w:t>amendement</w:t>
      </w:r>
      <w:r>
        <w:rPr>
          <w:bCs/>
        </w:rPr>
        <w:t xml:space="preserve"> de l</w:t>
      </w:r>
      <w:r w:rsidR="00346F1B">
        <w:rPr>
          <w:bCs/>
        </w:rPr>
        <w:t>’</w:t>
      </w:r>
      <w:r>
        <w:rPr>
          <w:bCs/>
        </w:rPr>
        <w:t>Algérie.</w:t>
      </w:r>
    </w:p>
    <w:p w14:paraId="0AF8E439" w14:textId="45AB4894" w:rsidR="00543472" w:rsidRPr="00543472" w:rsidRDefault="00543472" w:rsidP="005C5B9B">
      <w:pPr>
        <w:pStyle w:val="Orateurengris"/>
        <w:spacing w:before="120"/>
        <w:ind w:left="709" w:hanging="709"/>
        <w:rPr>
          <w:b/>
          <w:bCs/>
        </w:rPr>
      </w:pPr>
      <w:r>
        <w:rPr>
          <w:bCs/>
        </w:rPr>
        <w:t xml:space="preserve">Le </w:t>
      </w:r>
      <w:r w:rsidRPr="00543472">
        <w:rPr>
          <w:b/>
          <w:bCs/>
        </w:rPr>
        <w:t>Président</w:t>
      </w:r>
      <w:r>
        <w:rPr>
          <w:bCs/>
        </w:rPr>
        <w:t xml:space="preserve"> a assuré le Comité que le Secrétariat œuvrerait à l</w:t>
      </w:r>
      <w:r w:rsidR="00346F1B">
        <w:rPr>
          <w:bCs/>
        </w:rPr>
        <w:t>’</w:t>
      </w:r>
      <w:r>
        <w:rPr>
          <w:bCs/>
        </w:rPr>
        <w:t xml:space="preserve">harmonisation des deux versions, anglais et français, de la </w:t>
      </w:r>
      <w:r w:rsidRPr="00543472">
        <w:rPr>
          <w:bCs/>
        </w:rPr>
        <w:t>décision</w:t>
      </w:r>
      <w:r w:rsidR="005C5B9B">
        <w:rPr>
          <w:bCs/>
        </w:rPr>
        <w:t>.</w:t>
      </w:r>
    </w:p>
    <w:p w14:paraId="7540422C" w14:textId="08E7465B" w:rsidR="00543472" w:rsidRPr="00543472" w:rsidRDefault="00543472" w:rsidP="005C5B9B">
      <w:pPr>
        <w:pStyle w:val="Orateurengris"/>
        <w:spacing w:before="120"/>
        <w:ind w:left="709" w:hanging="709"/>
        <w:rPr>
          <w:b/>
          <w:bCs/>
        </w:rPr>
      </w:pPr>
      <w:r>
        <w:rPr>
          <w:bCs/>
        </w:rPr>
        <w:t xml:space="preserve">La </w:t>
      </w:r>
      <w:r w:rsidRPr="00543472">
        <w:rPr>
          <w:bCs/>
        </w:rPr>
        <w:t>délégation</w:t>
      </w:r>
      <w:r>
        <w:rPr>
          <w:bCs/>
        </w:rPr>
        <w:t xml:space="preserve"> de </w:t>
      </w:r>
      <w:r w:rsidRPr="00543472">
        <w:rPr>
          <w:b/>
          <w:bCs/>
        </w:rPr>
        <w:t>Cuba</w:t>
      </w:r>
      <w:r>
        <w:rPr>
          <w:bCs/>
        </w:rPr>
        <w:t xml:space="preserve"> a fait part de ses difficultés à suivre le débat et l</w:t>
      </w:r>
      <w:r w:rsidR="00346F1B">
        <w:rPr>
          <w:bCs/>
        </w:rPr>
        <w:t>’</w:t>
      </w:r>
      <w:r>
        <w:rPr>
          <w:bCs/>
        </w:rPr>
        <w:t>adoption des amendements, ajoutant qu</w:t>
      </w:r>
      <w:r w:rsidR="00346F1B">
        <w:rPr>
          <w:bCs/>
        </w:rPr>
        <w:t>’</w:t>
      </w:r>
      <w:r>
        <w:rPr>
          <w:bCs/>
        </w:rPr>
        <w:t xml:space="preserve">il serait </w:t>
      </w:r>
      <w:r w:rsidRPr="00543472">
        <w:rPr>
          <w:bCs/>
        </w:rPr>
        <w:t>peut-être</w:t>
      </w:r>
      <w:r>
        <w:rPr>
          <w:bCs/>
        </w:rPr>
        <w:t xml:space="preserve"> plus facile de procéder </w:t>
      </w:r>
      <w:r w:rsidRPr="00543472">
        <w:rPr>
          <w:bCs/>
        </w:rPr>
        <w:t>paragraphe</w:t>
      </w:r>
      <w:r>
        <w:rPr>
          <w:bCs/>
        </w:rPr>
        <w:t xml:space="preserve"> par </w:t>
      </w:r>
      <w:r w:rsidRPr="00543472">
        <w:rPr>
          <w:bCs/>
        </w:rPr>
        <w:t>paragraphe</w:t>
      </w:r>
      <w:r w:rsidR="005C5B9B">
        <w:rPr>
          <w:bCs/>
        </w:rPr>
        <w:t>.</w:t>
      </w:r>
    </w:p>
    <w:p w14:paraId="56E7EFDA" w14:textId="535E6612" w:rsidR="00543472" w:rsidRPr="00543472" w:rsidRDefault="00543472" w:rsidP="005C5B9B">
      <w:pPr>
        <w:pStyle w:val="Orateurengris"/>
        <w:spacing w:before="120"/>
        <w:ind w:left="709" w:hanging="709"/>
        <w:rPr>
          <w:b/>
          <w:bCs/>
        </w:rPr>
      </w:pPr>
      <w:r>
        <w:rPr>
          <w:bCs/>
        </w:rPr>
        <w:t xml:space="preserve">Le </w:t>
      </w:r>
      <w:r w:rsidRPr="00543472">
        <w:rPr>
          <w:b/>
          <w:bCs/>
        </w:rPr>
        <w:t>Président</w:t>
      </w:r>
      <w:r>
        <w:rPr>
          <w:bCs/>
        </w:rPr>
        <w:t xml:space="preserve"> est revenu au </w:t>
      </w:r>
      <w:r w:rsidRPr="00543472">
        <w:rPr>
          <w:bCs/>
        </w:rPr>
        <w:t>paragraphe</w:t>
      </w:r>
      <w:r>
        <w:rPr>
          <w:bCs/>
        </w:rPr>
        <w:t xml:space="preserve"> 12 tel que proposé par l</w:t>
      </w:r>
      <w:r w:rsidR="00346F1B">
        <w:rPr>
          <w:bCs/>
        </w:rPr>
        <w:t>’</w:t>
      </w:r>
      <w:r>
        <w:rPr>
          <w:bCs/>
        </w:rPr>
        <w:t xml:space="preserve">Algérie. </w:t>
      </w:r>
      <w:r w:rsidRPr="00543472">
        <w:rPr>
          <w:bCs/>
        </w:rPr>
        <w:t>En l</w:t>
      </w:r>
      <w:r w:rsidR="00346F1B">
        <w:rPr>
          <w:bCs/>
        </w:rPr>
        <w:t>’</w:t>
      </w:r>
      <w:r w:rsidRPr="00543472">
        <w:rPr>
          <w:bCs/>
        </w:rPr>
        <w:t>absence d</w:t>
      </w:r>
      <w:r w:rsidR="00346F1B">
        <w:rPr>
          <w:bCs/>
        </w:rPr>
        <w:t>’</w:t>
      </w:r>
      <w:r>
        <w:rPr>
          <w:bCs/>
        </w:rPr>
        <w:t xml:space="preserve">objections, il a été </w:t>
      </w:r>
      <w:r w:rsidR="008052AC">
        <w:rPr>
          <w:bCs/>
        </w:rPr>
        <w:t>dûment</w:t>
      </w:r>
      <w:r>
        <w:rPr>
          <w:bCs/>
        </w:rPr>
        <w:t xml:space="preserve"> adopté. Il est passé au </w:t>
      </w:r>
      <w:r w:rsidRPr="00543472">
        <w:rPr>
          <w:bCs/>
        </w:rPr>
        <w:t>paragraphe</w:t>
      </w:r>
      <w:r>
        <w:rPr>
          <w:bCs/>
        </w:rPr>
        <w:t xml:space="preserve"> 13 tel que proposé par l</w:t>
      </w:r>
      <w:r w:rsidR="00346F1B">
        <w:rPr>
          <w:bCs/>
        </w:rPr>
        <w:t>’</w:t>
      </w:r>
      <w:r w:rsidR="005C5B9B">
        <w:rPr>
          <w:bCs/>
        </w:rPr>
        <w:t>Inde.</w:t>
      </w:r>
    </w:p>
    <w:p w14:paraId="7E5A7917" w14:textId="786C210F" w:rsidR="00401C53" w:rsidRPr="00401C53" w:rsidRDefault="00401C53" w:rsidP="005C5B9B">
      <w:pPr>
        <w:pStyle w:val="Orateurengris"/>
        <w:spacing w:before="120"/>
        <w:ind w:left="709" w:hanging="709"/>
        <w:rPr>
          <w:b/>
          <w:bCs/>
        </w:rPr>
      </w:pPr>
      <w:r>
        <w:rPr>
          <w:bCs/>
        </w:rPr>
        <w:t xml:space="preserve">La </w:t>
      </w:r>
      <w:r w:rsidRPr="00401C53">
        <w:rPr>
          <w:bCs/>
        </w:rPr>
        <w:t>délégation</w:t>
      </w:r>
      <w:r>
        <w:rPr>
          <w:bCs/>
        </w:rPr>
        <w:t xml:space="preserve"> de la </w:t>
      </w:r>
      <w:r w:rsidRPr="00401C53">
        <w:rPr>
          <w:b/>
          <w:bCs/>
        </w:rPr>
        <w:t>Palestine</w:t>
      </w:r>
      <w:r>
        <w:rPr>
          <w:bCs/>
        </w:rPr>
        <w:t xml:space="preserve"> a signalé un potentiel problème juridique dans le </w:t>
      </w:r>
      <w:r w:rsidRPr="00401C53">
        <w:rPr>
          <w:bCs/>
        </w:rPr>
        <w:t>paragraphe</w:t>
      </w:r>
      <w:r>
        <w:rPr>
          <w:bCs/>
        </w:rPr>
        <w:t xml:space="preserve"> 13 [sur l</w:t>
      </w:r>
      <w:r w:rsidR="00346F1B">
        <w:rPr>
          <w:bCs/>
        </w:rPr>
        <w:t>’</w:t>
      </w:r>
      <w:r w:rsidRPr="00401C53">
        <w:rPr>
          <w:bCs/>
        </w:rPr>
        <w:t>établissement</w:t>
      </w:r>
      <w:r>
        <w:rPr>
          <w:bCs/>
        </w:rPr>
        <w:t xml:space="preserve"> d</w:t>
      </w:r>
      <w:r w:rsidR="00346F1B">
        <w:rPr>
          <w:bCs/>
        </w:rPr>
        <w:t>’</w:t>
      </w:r>
      <w:r>
        <w:rPr>
          <w:bCs/>
        </w:rPr>
        <w:t xml:space="preserve">un </w:t>
      </w:r>
      <w:r w:rsidRPr="00401C53">
        <w:rPr>
          <w:bCs/>
        </w:rPr>
        <w:t>groupe de travail</w:t>
      </w:r>
      <w:r>
        <w:rPr>
          <w:bCs/>
        </w:rPr>
        <w:t xml:space="preserve">] et a regretté que le Conseiller juridique ne soit pas présent. La </w:t>
      </w:r>
      <w:r w:rsidRPr="00401C53">
        <w:rPr>
          <w:bCs/>
        </w:rPr>
        <w:t>délégation</w:t>
      </w:r>
      <w:r>
        <w:rPr>
          <w:bCs/>
        </w:rPr>
        <w:t xml:space="preserve"> a expliqué que le </w:t>
      </w:r>
      <w:r w:rsidRPr="00401C53">
        <w:rPr>
          <w:bCs/>
        </w:rPr>
        <w:t>paragraphe</w:t>
      </w:r>
      <w:r>
        <w:rPr>
          <w:bCs/>
        </w:rPr>
        <w:t xml:space="preserve"> 13 ne précisait pas clairement quelle était la mission du </w:t>
      </w:r>
      <w:r w:rsidRPr="00401C53">
        <w:rPr>
          <w:bCs/>
        </w:rPr>
        <w:t>groupe de travail</w:t>
      </w:r>
      <w:r>
        <w:rPr>
          <w:bCs/>
        </w:rPr>
        <w:t>, à savoir entamer le processus de consultations qui déboucherait sur des recommandations et des amendements aux Directives opérationnelles. Ceci étant, après avoir consulté les membres du Comité et l</w:t>
      </w:r>
      <w:r w:rsidR="00346F1B">
        <w:rPr>
          <w:bCs/>
        </w:rPr>
        <w:t>’</w:t>
      </w:r>
      <w:r>
        <w:rPr>
          <w:bCs/>
        </w:rPr>
        <w:t xml:space="preserve">Inde, la </w:t>
      </w:r>
      <w:r w:rsidRPr="00401C53">
        <w:rPr>
          <w:bCs/>
        </w:rPr>
        <w:t>délégation</w:t>
      </w:r>
      <w:r>
        <w:rPr>
          <w:bCs/>
        </w:rPr>
        <w:t xml:space="preserve"> a proposé un petit </w:t>
      </w:r>
      <w:r w:rsidRPr="00401C53">
        <w:rPr>
          <w:bCs/>
        </w:rPr>
        <w:t>amendement</w:t>
      </w:r>
      <w:r>
        <w:rPr>
          <w:bCs/>
        </w:rPr>
        <w:t xml:space="preserve"> au </w:t>
      </w:r>
      <w:r w:rsidRPr="00401C53">
        <w:rPr>
          <w:bCs/>
        </w:rPr>
        <w:t>paragraphe</w:t>
      </w:r>
      <w:r>
        <w:rPr>
          <w:bCs/>
        </w:rPr>
        <w:t xml:space="preserve"> 13, ainsi rédigé : « en vue de renforcer la mise en œuvre de la </w:t>
      </w:r>
      <w:r w:rsidRPr="00401C53">
        <w:rPr>
          <w:bCs/>
        </w:rPr>
        <w:t>Convention</w:t>
      </w:r>
      <w:r>
        <w:rPr>
          <w:bCs/>
        </w:rPr>
        <w:t xml:space="preserve"> en amendant les Directives opérationnelles »</w:t>
      </w:r>
      <w:r w:rsidR="005C5B9B">
        <w:rPr>
          <w:bCs/>
        </w:rPr>
        <w:t>.</w:t>
      </w:r>
    </w:p>
    <w:p w14:paraId="45DB4717" w14:textId="7E2EF5D5" w:rsidR="007531D0" w:rsidRPr="007531D0" w:rsidRDefault="00401C53" w:rsidP="005C5B9B">
      <w:pPr>
        <w:pStyle w:val="Orateurengris"/>
        <w:spacing w:before="120"/>
        <w:ind w:left="709" w:hanging="709"/>
        <w:rPr>
          <w:b/>
          <w:bCs/>
        </w:rPr>
      </w:pPr>
      <w:r>
        <w:rPr>
          <w:bCs/>
        </w:rPr>
        <w:t xml:space="preserve">Le </w:t>
      </w:r>
      <w:r w:rsidRPr="007531D0">
        <w:rPr>
          <w:b/>
          <w:bCs/>
        </w:rPr>
        <w:t>Secrétaire</w:t>
      </w:r>
      <w:r>
        <w:rPr>
          <w:bCs/>
        </w:rPr>
        <w:t xml:space="preserve"> a expliqué que, dans sa forme</w:t>
      </w:r>
      <w:r w:rsidR="007531D0">
        <w:rPr>
          <w:bCs/>
        </w:rPr>
        <w:t xml:space="preserve"> d</w:t>
      </w:r>
      <w:r w:rsidR="00346F1B">
        <w:rPr>
          <w:bCs/>
        </w:rPr>
        <w:t>’</w:t>
      </w:r>
      <w:r w:rsidR="007531D0">
        <w:rPr>
          <w:bCs/>
        </w:rPr>
        <w:t>alors</w:t>
      </w:r>
      <w:r>
        <w:rPr>
          <w:bCs/>
        </w:rPr>
        <w:t>, l</w:t>
      </w:r>
      <w:r w:rsidR="00346F1B">
        <w:rPr>
          <w:bCs/>
        </w:rPr>
        <w:t>’</w:t>
      </w:r>
      <w:r w:rsidRPr="00401C53">
        <w:rPr>
          <w:bCs/>
        </w:rPr>
        <w:t>amendement</w:t>
      </w:r>
      <w:r>
        <w:rPr>
          <w:bCs/>
        </w:rPr>
        <w:t xml:space="preserve"> donnait l</w:t>
      </w:r>
      <w:r w:rsidR="00346F1B">
        <w:rPr>
          <w:bCs/>
        </w:rPr>
        <w:t>’</w:t>
      </w:r>
      <w:r>
        <w:rPr>
          <w:bCs/>
        </w:rPr>
        <w:t xml:space="preserve">impression que le </w:t>
      </w:r>
      <w:r w:rsidRPr="00401C53">
        <w:rPr>
          <w:bCs/>
        </w:rPr>
        <w:t>groupe de travail</w:t>
      </w:r>
      <w:r>
        <w:rPr>
          <w:bCs/>
        </w:rPr>
        <w:t xml:space="preserve"> </w:t>
      </w:r>
      <w:r w:rsidRPr="00401C53">
        <w:rPr>
          <w:bCs/>
          <w:i/>
        </w:rPr>
        <w:t>ad hoc</w:t>
      </w:r>
      <w:r>
        <w:rPr>
          <w:bCs/>
        </w:rPr>
        <w:t xml:space="preserve"> était autorisé à amender les Directives opérationnelles, ce qui n</w:t>
      </w:r>
      <w:r w:rsidR="00346F1B">
        <w:rPr>
          <w:bCs/>
        </w:rPr>
        <w:t>’</w:t>
      </w:r>
      <w:r>
        <w:rPr>
          <w:bCs/>
        </w:rPr>
        <w:t xml:space="preserve">était pas le cas. </w:t>
      </w:r>
      <w:r w:rsidR="007531D0">
        <w:rPr>
          <w:bCs/>
        </w:rPr>
        <w:t>Il présumait que l</w:t>
      </w:r>
      <w:r w:rsidR="00346F1B">
        <w:rPr>
          <w:bCs/>
        </w:rPr>
        <w:t>’</w:t>
      </w:r>
      <w:r w:rsidR="007531D0" w:rsidRPr="007531D0">
        <w:rPr>
          <w:bCs/>
        </w:rPr>
        <w:t>amendement</w:t>
      </w:r>
      <w:r w:rsidR="007531D0">
        <w:rPr>
          <w:bCs/>
        </w:rPr>
        <w:t xml:space="preserve"> visait à ce que [les conclusions du </w:t>
      </w:r>
      <w:r w:rsidR="007531D0" w:rsidRPr="007531D0">
        <w:rPr>
          <w:bCs/>
        </w:rPr>
        <w:t>groupe de travail</w:t>
      </w:r>
      <w:r w:rsidR="007531D0">
        <w:rPr>
          <w:bCs/>
        </w:rPr>
        <w:t xml:space="preserve">] soient soumises au Comité, qui à son tour soumettrait des </w:t>
      </w:r>
      <w:r w:rsidR="007531D0" w:rsidRPr="007531D0">
        <w:rPr>
          <w:bCs/>
        </w:rPr>
        <w:t>recommandations</w:t>
      </w:r>
      <w:r w:rsidR="007531D0">
        <w:rPr>
          <w:b/>
          <w:bCs/>
        </w:rPr>
        <w:t xml:space="preserve"> </w:t>
      </w:r>
      <w:r w:rsidR="007531D0">
        <w:rPr>
          <w:bCs/>
        </w:rPr>
        <w:t>à l</w:t>
      </w:r>
      <w:r w:rsidR="00346F1B">
        <w:rPr>
          <w:bCs/>
        </w:rPr>
        <w:t>’</w:t>
      </w:r>
      <w:r w:rsidR="007531D0">
        <w:rPr>
          <w:bCs/>
        </w:rPr>
        <w:t xml:space="preserve">Assemblée générale qui pourrait </w:t>
      </w:r>
      <w:r w:rsidR="007531D0" w:rsidRPr="007531D0">
        <w:rPr>
          <w:bCs/>
        </w:rPr>
        <w:t>éventuellement</w:t>
      </w:r>
      <w:r w:rsidR="007531D0">
        <w:rPr>
          <w:bCs/>
        </w:rPr>
        <w:t xml:space="preserve"> envisager de réviser </w:t>
      </w:r>
      <w:r w:rsidR="005C5B9B">
        <w:rPr>
          <w:bCs/>
        </w:rPr>
        <w:t>les Directives opérationnelles.</w:t>
      </w:r>
    </w:p>
    <w:p w14:paraId="63B90AC8" w14:textId="2AA36981" w:rsidR="007531D0" w:rsidRPr="007531D0" w:rsidRDefault="007531D0" w:rsidP="005C5B9B">
      <w:pPr>
        <w:pStyle w:val="Orateurengris"/>
        <w:spacing w:before="120"/>
        <w:ind w:left="709" w:hanging="709"/>
        <w:rPr>
          <w:b/>
          <w:bCs/>
        </w:rPr>
      </w:pPr>
      <w:r>
        <w:rPr>
          <w:bCs/>
        </w:rPr>
        <w:t xml:space="preserve">La </w:t>
      </w:r>
      <w:r w:rsidRPr="007531D0">
        <w:rPr>
          <w:bCs/>
        </w:rPr>
        <w:t>délégation</w:t>
      </w:r>
      <w:r>
        <w:rPr>
          <w:bCs/>
        </w:rPr>
        <w:t xml:space="preserve"> de la </w:t>
      </w:r>
      <w:r w:rsidRPr="007531D0">
        <w:rPr>
          <w:b/>
          <w:bCs/>
        </w:rPr>
        <w:t>Palestine</w:t>
      </w:r>
      <w:r>
        <w:rPr>
          <w:bCs/>
        </w:rPr>
        <w:t xml:space="preserve"> souscrivait pleinement à cette </w:t>
      </w:r>
      <w:r w:rsidRPr="007531D0">
        <w:rPr>
          <w:bCs/>
        </w:rPr>
        <w:t>interprétation</w:t>
      </w:r>
      <w:r w:rsidR="005C5B9B">
        <w:rPr>
          <w:bCs/>
        </w:rPr>
        <w:t>.</w:t>
      </w:r>
    </w:p>
    <w:p w14:paraId="347E8398" w14:textId="324E1443" w:rsidR="007531D0" w:rsidRDefault="007531D0" w:rsidP="005C5B9B">
      <w:pPr>
        <w:pStyle w:val="Orateurengris"/>
        <w:spacing w:before="120"/>
        <w:ind w:left="709" w:hanging="709"/>
      </w:pPr>
      <w:r>
        <w:t xml:space="preserve">La délégation de </w:t>
      </w:r>
      <w:r w:rsidRPr="007531D0">
        <w:rPr>
          <w:b/>
        </w:rPr>
        <w:t>Cuba</w:t>
      </w:r>
      <w:r>
        <w:t xml:space="preserve"> estimait que cela était en lien avec le futur débat sur la gouvernance, évoqué lors d</w:t>
      </w:r>
      <w:r w:rsidR="00346F1B">
        <w:t>’</w:t>
      </w:r>
      <w:r>
        <w:t>une précédente session et qui devrait se tenir au sein de l</w:t>
      </w:r>
      <w:r w:rsidR="00346F1B">
        <w:t>’</w:t>
      </w:r>
      <w:r>
        <w:t>Assemblée générale. Elle comprenait très bien l</w:t>
      </w:r>
      <w:r w:rsidR="00346F1B">
        <w:t>’</w:t>
      </w:r>
      <w:r>
        <w:t>éclaircissement apporté par le Secrétaire, ajoutant que les conclusions du groupe devraient passer par le Comité avant d</w:t>
      </w:r>
      <w:r w:rsidR="00346F1B">
        <w:t>’</w:t>
      </w:r>
      <w:r>
        <w:t>aller devant l</w:t>
      </w:r>
      <w:r w:rsidR="00346F1B">
        <w:t>’</w:t>
      </w:r>
      <w:r>
        <w:t xml:space="preserve">Assemblée générale qui pourrait alors modifier </w:t>
      </w:r>
      <w:r w:rsidR="005C5B9B">
        <w:t>les Directives opérationnelles.</w:t>
      </w:r>
    </w:p>
    <w:p w14:paraId="68E93695" w14:textId="309AC374" w:rsidR="007531D0" w:rsidRDefault="007531D0" w:rsidP="005C5B9B">
      <w:pPr>
        <w:pStyle w:val="Orateurengris"/>
        <w:spacing w:before="120"/>
        <w:ind w:left="709" w:hanging="709"/>
      </w:pPr>
      <w:r>
        <w:t xml:space="preserve">La délégation de </w:t>
      </w:r>
      <w:r w:rsidRPr="007531D0">
        <w:rPr>
          <w:b/>
        </w:rPr>
        <w:t>Chypre</w:t>
      </w:r>
      <w:r>
        <w:t xml:space="preserve"> estimait que l</w:t>
      </w:r>
      <w:r w:rsidR="00346F1B">
        <w:t>’</w:t>
      </w:r>
      <w:r>
        <w:t>amendement de la Palestine n</w:t>
      </w:r>
      <w:r w:rsidR="00346F1B">
        <w:t>’</w:t>
      </w:r>
      <w:r>
        <w:t xml:space="preserve">était pas très clair car il ne précisait pas comment le groupe de travail informel serait constitué, raison pour laquelle </w:t>
      </w:r>
      <w:r w:rsidR="001544ED">
        <w:t xml:space="preserve">elle </w:t>
      </w:r>
      <w:r>
        <w:t>avait souhaité inclure « ouvert à tous les États membres</w:t>
      </w:r>
      <w:r w:rsidR="001544ED">
        <w:t xml:space="preserve"> et observateurs » au </w:t>
      </w:r>
      <w:r>
        <w:t>lie</w:t>
      </w:r>
      <w:r w:rsidR="001544ED">
        <w:t>u de « et aux autres</w:t>
      </w:r>
      <w:r>
        <w:t xml:space="preserve"> États parties</w:t>
      </w:r>
      <w:r w:rsidR="001544ED">
        <w:t xml:space="preserve"> en tant qu</w:t>
      </w:r>
      <w:r w:rsidR="00346F1B">
        <w:t>’</w:t>
      </w:r>
      <w:r w:rsidR="001544ED">
        <w:t>observateurs ». L</w:t>
      </w:r>
      <w:r>
        <w:t>a délégation</w:t>
      </w:r>
      <w:r w:rsidR="001544ED">
        <w:t xml:space="preserve"> s</w:t>
      </w:r>
      <w:r w:rsidR="00346F1B">
        <w:t>’</w:t>
      </w:r>
      <w:r w:rsidR="001544ED">
        <w:t>est dite totalement d</w:t>
      </w:r>
      <w:r w:rsidR="00346F1B">
        <w:t>’</w:t>
      </w:r>
      <w:r w:rsidR="001544ED">
        <w:t xml:space="preserve">accord avec le Secrétaire en ce qui concerne </w:t>
      </w:r>
      <w:r w:rsidR="005C5B9B">
        <w:t>les Directives opérationnelles.</w:t>
      </w:r>
    </w:p>
    <w:p w14:paraId="217C5CA3" w14:textId="5A221C16" w:rsidR="001544ED" w:rsidRDefault="001544ED" w:rsidP="005C5B9B">
      <w:pPr>
        <w:pStyle w:val="Orateurengris"/>
        <w:spacing w:before="120"/>
        <w:ind w:left="709" w:hanging="709"/>
      </w:pPr>
      <w:r>
        <w:t xml:space="preserve">La délégation de la </w:t>
      </w:r>
      <w:r w:rsidRPr="001544ED">
        <w:rPr>
          <w:b/>
        </w:rPr>
        <w:t>République de Corée</w:t>
      </w:r>
      <w:r>
        <w:t xml:space="preserve"> s</w:t>
      </w:r>
      <w:r w:rsidR="00346F1B">
        <w:t>’</w:t>
      </w:r>
      <w:r>
        <w:t>interrogeait sur la nécessité d</w:t>
      </w:r>
      <w:r w:rsidR="00346F1B">
        <w:t>’</w:t>
      </w:r>
      <w:r>
        <w:t>établir un groupe de travail pour traiter de ces très importantes questions car elle avait pu observer, dans le passé que ces groupes de travail ne travaillaient pas aussi bien qu</w:t>
      </w:r>
      <w:r w:rsidR="00346F1B">
        <w:t>’</w:t>
      </w:r>
      <w:r>
        <w:t>on aurait pu l</w:t>
      </w:r>
      <w:r w:rsidR="00346F1B">
        <w:t>’</w:t>
      </w:r>
      <w:r>
        <w:t>espérer. Toutefois, à condition que le groupe de travail proposé traite l</w:t>
      </w:r>
      <w:r w:rsidR="00346F1B">
        <w:t>’</w:t>
      </w:r>
      <w:r>
        <w:t>ens</w:t>
      </w:r>
      <w:r w:rsidR="00A62E3F">
        <w:t>emble des grandes questions posa</w:t>
      </w:r>
      <w:r>
        <w:t>nt problème de façon appropriée et constructive, et soit donc à la hauteur des espérances de tous les États parties, la délégation – en tant que probable prochain Président – pourrait souscrire à l</w:t>
      </w:r>
      <w:r w:rsidR="00346F1B">
        <w:t>’</w:t>
      </w:r>
      <w:r>
        <w:t>amendement proposé par l</w:t>
      </w:r>
      <w:r w:rsidR="00346F1B">
        <w:t>’</w:t>
      </w:r>
      <w:r>
        <w:t>Inde et soutenu par la Palestine. La délégation avait également le sentiment que le groupe de travail – par souci d</w:t>
      </w:r>
      <w:r w:rsidR="00346F1B">
        <w:t>’</w:t>
      </w:r>
      <w:r>
        <w:t>efficacité – serai</w:t>
      </w:r>
      <w:r w:rsidR="00A62E3F">
        <w:t>t plus cohérent s</w:t>
      </w:r>
      <w:r w:rsidR="00346F1B">
        <w:t>’</w:t>
      </w:r>
      <w:r w:rsidR="00A62E3F">
        <w:t>il n</w:t>
      </w:r>
      <w:r w:rsidR="00346F1B">
        <w:t>’</w:t>
      </w:r>
      <w:r w:rsidR="00A62E3F">
        <w:t xml:space="preserve">était </w:t>
      </w:r>
      <w:r>
        <w:t>pas, à ce stade, à composition non limitée</w:t>
      </w:r>
      <w:r w:rsidR="00A62E3F">
        <w:t>. Si des progrès étaient réalisés, on pourrait alors ouvrir ce groupe et le transformer en forum à composition non limitée avec une réunion officiel</w:t>
      </w:r>
      <w:r w:rsidR="005C5B9B">
        <w:t>le de partage des informations.</w:t>
      </w:r>
    </w:p>
    <w:p w14:paraId="262FD665" w14:textId="601EA448" w:rsidR="00A62E3F" w:rsidRDefault="00A62E3F" w:rsidP="005C5B9B">
      <w:pPr>
        <w:pStyle w:val="Orateurengris"/>
        <w:spacing w:before="120"/>
        <w:ind w:left="709" w:hanging="709"/>
      </w:pPr>
      <w:r>
        <w:t xml:space="preserve">La délégation de la </w:t>
      </w:r>
      <w:r w:rsidRPr="00A62E3F">
        <w:rPr>
          <w:b/>
        </w:rPr>
        <w:t>Hongrie</w:t>
      </w:r>
      <w:r>
        <w:t xml:space="preserve"> a fait remarquer qu</w:t>
      </w:r>
      <w:r w:rsidR="00346F1B">
        <w:t>’</w:t>
      </w:r>
      <w:r>
        <w:t>il s</w:t>
      </w:r>
      <w:r w:rsidR="00346F1B">
        <w:t>’</w:t>
      </w:r>
      <w:r>
        <w:t>agissait là d</w:t>
      </w:r>
      <w:r w:rsidR="00346F1B">
        <w:t>’</w:t>
      </w:r>
      <w:r>
        <w:t>un point</w:t>
      </w:r>
      <w:r w:rsidR="00470232">
        <w:t xml:space="preserve"> essentiel</w:t>
      </w:r>
      <w:r>
        <w:t>. Le groupe de travail aborderait des questions de la plus grande importance pour le Comité, et devrait donc déboucher sur le consensus le plus vaste possible à ce stade du débat. Elle était donc favorable à un groupe de travail</w:t>
      </w:r>
      <w:r w:rsidR="00470232">
        <w:t xml:space="preserve"> à composition non limitée, garantissant ainsi la participation de tous les</w:t>
      </w:r>
      <w:r>
        <w:t xml:space="preserve"> membres du Comité</w:t>
      </w:r>
      <w:r w:rsidR="00470232">
        <w:t xml:space="preserve">, et des </w:t>
      </w:r>
      <w:r>
        <w:t xml:space="preserve">autres </w:t>
      </w:r>
      <w:r w:rsidR="00470232">
        <w:t>États parties en tant qu</w:t>
      </w:r>
      <w:r w:rsidR="00346F1B">
        <w:t>’</w:t>
      </w:r>
      <w:r w:rsidR="00470232">
        <w:t>observateurs. S</w:t>
      </w:r>
      <w:r w:rsidR="00346F1B">
        <w:t>’</w:t>
      </w:r>
      <w:r w:rsidR="00470232">
        <w:t>agissant du point soulevé par la Palestine sur les avis juridiques pendant les débats, la délégation a expliqué qu</w:t>
      </w:r>
      <w:r w:rsidR="00346F1B">
        <w:t>’</w:t>
      </w:r>
      <w:r w:rsidR="00470232">
        <w:t>elle comprenait que la recommandation ne visait pas à modifier les Directives opérationnelles au sein de ce groupe de travail, mais que, dans le but de pouvoir pleinement débattre des questions en jeu, un avis juridique pourrait être nécessaire. La délégation était donc favorable à la nécessaire présence d</w:t>
      </w:r>
      <w:r w:rsidR="00346F1B">
        <w:t>’</w:t>
      </w:r>
      <w:r w:rsidR="00470232">
        <w:t>un conseiller juridique pendant les travaux du groupe de travail et proposait d</w:t>
      </w:r>
      <w:r w:rsidR="00346F1B">
        <w:t>’</w:t>
      </w:r>
      <w:r w:rsidR="00470232">
        <w:t>insérer dans l</w:t>
      </w:r>
      <w:r w:rsidR="00346F1B">
        <w:t>’</w:t>
      </w:r>
      <w:r w:rsidR="00470232">
        <w:t>amendement : « avec l</w:t>
      </w:r>
      <w:r w:rsidR="00346F1B">
        <w:t>’</w:t>
      </w:r>
      <w:r w:rsidR="00470232">
        <w:t>aide du conseiller juridique ».</w:t>
      </w:r>
    </w:p>
    <w:p w14:paraId="6E41A4F4" w14:textId="30DBDD6F" w:rsidR="002C416F" w:rsidRDefault="002C416F" w:rsidP="005C5B9B">
      <w:pPr>
        <w:pStyle w:val="Orateurengris"/>
        <w:spacing w:before="120"/>
        <w:ind w:left="709" w:hanging="709"/>
      </w:pPr>
      <w:r>
        <w:t xml:space="preserve">Le </w:t>
      </w:r>
      <w:r w:rsidRPr="002C416F">
        <w:rPr>
          <w:b/>
        </w:rPr>
        <w:t>Secrétaire</w:t>
      </w:r>
      <w:r>
        <w:t xml:space="preserve"> a précisé qu</w:t>
      </w:r>
      <w:r w:rsidR="00346F1B">
        <w:t>’</w:t>
      </w:r>
      <w:r>
        <w:t xml:space="preserve">un groupe de travail </w:t>
      </w:r>
      <w:r w:rsidRPr="002C416F">
        <w:rPr>
          <w:i/>
        </w:rPr>
        <w:t>ad hoc</w:t>
      </w:r>
      <w:r>
        <w:t xml:space="preserve"> informel n</w:t>
      </w:r>
      <w:r w:rsidR="00346F1B">
        <w:t>’</w:t>
      </w:r>
      <w:r>
        <w:t>était pas un groupe de travail du Secrétariat et que la réunion devrait être organisée par les délégations elles-mêmes. Le Secrétariat pourrait être invité à y assister afin de répondre aux questions, si le groupe de travail informel le souhaitait, mais à ce stade, le Secrétariat ne saurait déléguer du personnel ou fournir des services à des séances organisées entre les ses</w:t>
      </w:r>
      <w:r w:rsidR="005C5B9B">
        <w:t>sions.</w:t>
      </w:r>
    </w:p>
    <w:p w14:paraId="5D29371C" w14:textId="669052B6" w:rsidR="002C416F" w:rsidRDefault="002C416F" w:rsidP="005C5B9B">
      <w:pPr>
        <w:pStyle w:val="Orateurengris"/>
        <w:spacing w:before="120"/>
        <w:ind w:left="709" w:hanging="709"/>
      </w:pPr>
      <w:r>
        <w:t xml:space="preserve">La délégation de la </w:t>
      </w:r>
      <w:r w:rsidRPr="002C416F">
        <w:rPr>
          <w:b/>
        </w:rPr>
        <w:t>Hongrie</w:t>
      </w:r>
      <w:r>
        <w:t>, consciente des contraintes budgétaires de l</w:t>
      </w:r>
      <w:r w:rsidR="00346F1B">
        <w:t>’</w:t>
      </w:r>
      <w:r>
        <w:t>UNESCO, a retiré son amendement, tout en insistant sur la composition no</w:t>
      </w:r>
      <w:r w:rsidR="005C5B9B">
        <w:t>n limitée du groupe de travail.</w:t>
      </w:r>
    </w:p>
    <w:p w14:paraId="53DA2F8C" w14:textId="34C52DCA" w:rsidR="007042C7" w:rsidRDefault="002C416F" w:rsidP="005C5B9B">
      <w:pPr>
        <w:pStyle w:val="Orateurengris"/>
        <w:spacing w:before="120"/>
        <w:ind w:left="709" w:hanging="709"/>
      </w:pPr>
      <w:r>
        <w:t>La délégation de l</w:t>
      </w:r>
      <w:r w:rsidR="00346F1B">
        <w:t>’</w:t>
      </w:r>
      <w:r w:rsidRPr="002C416F">
        <w:rPr>
          <w:b/>
        </w:rPr>
        <w:t>Inde</w:t>
      </w:r>
      <w:r>
        <w:t xml:space="preserve"> souhaitait souligner deux points. Premièrement, s</w:t>
      </w:r>
      <w:r w:rsidR="00346F1B">
        <w:t>’</w:t>
      </w:r>
      <w:r>
        <w:t xml:space="preserve">agissant de la nature du groupe de travail, </w:t>
      </w:r>
      <w:r w:rsidR="007042C7">
        <w:t xml:space="preserve">elle </w:t>
      </w:r>
      <w:r>
        <w:t>convenait avec le Secrétaire que le privilège d</w:t>
      </w:r>
      <w:r w:rsidR="00346F1B">
        <w:t>’</w:t>
      </w:r>
      <w:r>
        <w:t xml:space="preserve">organiser le groupe de travail appartenait au Président à venir. </w:t>
      </w:r>
      <w:r w:rsidR="007042C7">
        <w:t>Elle a précisé que l</w:t>
      </w:r>
      <w:r>
        <w:t>a responsabilité d</w:t>
      </w:r>
      <w:r w:rsidR="00346F1B">
        <w:t>’</w:t>
      </w:r>
      <w:r>
        <w:t>organiser l</w:t>
      </w:r>
      <w:r w:rsidR="007042C7">
        <w:t xml:space="preserve">a réunion ou sa logistique ne </w:t>
      </w:r>
      <w:r>
        <w:t xml:space="preserve">revenait pas </w:t>
      </w:r>
      <w:r w:rsidR="007042C7">
        <w:t>au Secrétariat, ajoutant que les remarques de la République de Corée à cet égard étaient dignes d</w:t>
      </w:r>
      <w:r w:rsidR="00346F1B">
        <w:t>’</w:t>
      </w:r>
      <w:r w:rsidR="007042C7">
        <w:t>intérêt, en particulier parce qu</w:t>
      </w:r>
      <w:r w:rsidR="00346F1B">
        <w:t>’</w:t>
      </w:r>
      <w:r w:rsidR="007042C7">
        <w:t>elle était susceptible de présider le groupe. En outre, la République de Corée avait donné des assurances de la possible ouverture du groupe de travail à une étape ultérieure. Deuxièmement, la délégation souscrivait pleinement aux remarques de la Palestine car l</w:t>
      </w:r>
      <w:r w:rsidR="00346F1B">
        <w:t>’</w:t>
      </w:r>
      <w:r w:rsidR="007042C7">
        <w:t>objectif de tout ce débat sur le point 10 était de parvenir à un meilleur système, ce qui impliquait d</w:t>
      </w:r>
      <w:r w:rsidR="00346F1B">
        <w:t>’</w:t>
      </w:r>
      <w:r w:rsidR="007042C7">
        <w:t>amender les Directives opérationnelles. Ainsi, les amendements permettraient de disposer de meilleures procédures qui pourraie</w:t>
      </w:r>
      <w:r w:rsidR="005C5B9B">
        <w:t>nt être codifiées par la suite.</w:t>
      </w:r>
    </w:p>
    <w:p w14:paraId="25DA6215" w14:textId="20F24017" w:rsidR="00A166EF" w:rsidRPr="007042C7" w:rsidRDefault="007042C7" w:rsidP="005C5B9B">
      <w:pPr>
        <w:pStyle w:val="Orateurengris"/>
        <w:spacing w:before="120"/>
        <w:ind w:left="709" w:hanging="709"/>
      </w:pPr>
      <w:r w:rsidRPr="007042C7">
        <w:t xml:space="preserve">Après avoir </w:t>
      </w:r>
      <w:r>
        <w:t>pris connaissance du deuxième amendement de la Palestine et écouté les commentaires de l</w:t>
      </w:r>
      <w:r w:rsidR="00346F1B">
        <w:t>’</w:t>
      </w:r>
      <w:r>
        <w:t xml:space="preserve">Inde, le </w:t>
      </w:r>
      <w:r w:rsidRPr="007042C7">
        <w:rPr>
          <w:b/>
        </w:rPr>
        <w:t>Secrétaire</w:t>
      </w:r>
      <w:r>
        <w:t xml:space="preserve"> avait bien compris que l</w:t>
      </w:r>
      <w:r w:rsidR="00346F1B">
        <w:t>’</w:t>
      </w:r>
      <w:r>
        <w:t>objectif final de la création d</w:t>
      </w:r>
      <w:r w:rsidR="00346F1B">
        <w:t>’</w:t>
      </w:r>
      <w:r>
        <w:t xml:space="preserve">un groupe de travail </w:t>
      </w:r>
      <w:r w:rsidRPr="00B87F05">
        <w:rPr>
          <w:i/>
        </w:rPr>
        <w:t>ad hoc</w:t>
      </w:r>
      <w:r>
        <w:t xml:space="preserve"> était d</w:t>
      </w:r>
      <w:r w:rsidR="00346F1B">
        <w:t>’</w:t>
      </w:r>
      <w:r>
        <w:t>amender les Directives opérationnelles.</w:t>
      </w:r>
      <w:r w:rsidR="00A166EF">
        <w:t xml:space="preserve"> Toutefois, le libellé laissait entendre que le groupe de travail était lui-même en mesure de le faire. Il a donc proposé de modifier l</w:t>
      </w:r>
      <w:r w:rsidR="00346F1B">
        <w:t>’</w:t>
      </w:r>
      <w:r w:rsidR="00A166EF">
        <w:t>amendement qui serait ainsi rédigé : « soumettre ses recommandations au Comité lors de sa prochaine session, afin de présenter des révisions des Directives opérationnelles à l</w:t>
      </w:r>
      <w:r w:rsidR="00346F1B">
        <w:t>’</w:t>
      </w:r>
      <w:r w:rsidR="00A166EF">
        <w:t>Assemblée générale ».</w:t>
      </w:r>
    </w:p>
    <w:p w14:paraId="436C92C1" w14:textId="73EFF98D" w:rsidR="00825F53" w:rsidRDefault="00825F53" w:rsidP="005C5B9B">
      <w:pPr>
        <w:pStyle w:val="Orateurengris"/>
        <w:spacing w:before="120"/>
        <w:ind w:left="709" w:hanging="709"/>
      </w:pPr>
      <w:r>
        <w:t xml:space="preserve">La délégation de la </w:t>
      </w:r>
      <w:r w:rsidRPr="00825F53">
        <w:rPr>
          <w:b/>
        </w:rPr>
        <w:t>Palestine</w:t>
      </w:r>
      <w:r>
        <w:t xml:space="preserve"> a remercié l</w:t>
      </w:r>
      <w:r w:rsidR="00346F1B">
        <w:t>’</w:t>
      </w:r>
      <w:r>
        <w:t>Inde et le Secrétaire pour les éclaircissements apportés, ajoutant qu</w:t>
      </w:r>
      <w:r w:rsidR="00346F1B">
        <w:t>’</w:t>
      </w:r>
      <w:r>
        <w:t>elle soutenait résolument l</w:t>
      </w:r>
      <w:r w:rsidR="00346F1B">
        <w:t>’</w:t>
      </w:r>
      <w:r>
        <w:t xml:space="preserve">amendement du Secrétariat. Elle retirait donc son amendement. Elle souscrivait également aux propos de la République de Corée selon lesquels le Président réunirait le groupe de travail </w:t>
      </w:r>
      <w:r w:rsidRPr="00825F53">
        <w:rPr>
          <w:i/>
        </w:rPr>
        <w:t>ad hoc</w:t>
      </w:r>
      <w:r>
        <w:t>, ainsi que les membres et observateurs lors d</w:t>
      </w:r>
      <w:r w:rsidR="00346F1B">
        <w:t>’</w:t>
      </w:r>
      <w:r>
        <w:t>une étape ultérieure du processus quand il le jugerait approprié. La délégation a donc suggéré de supprimer l</w:t>
      </w:r>
      <w:r w:rsidR="00346F1B">
        <w:t>’</w:t>
      </w:r>
      <w:r w:rsidR="005C5B9B">
        <w:t>amendement de Chypre.</w:t>
      </w:r>
    </w:p>
    <w:p w14:paraId="4CC9717F" w14:textId="410B6361" w:rsidR="00825F53" w:rsidRDefault="00825F53" w:rsidP="005C5B9B">
      <w:pPr>
        <w:pStyle w:val="Orateurengris"/>
        <w:spacing w:before="120"/>
        <w:ind w:left="709" w:hanging="709"/>
      </w:pPr>
      <w:r>
        <w:t>La délégation de l</w:t>
      </w:r>
      <w:r w:rsidR="00346F1B">
        <w:t>’</w:t>
      </w:r>
      <w:r w:rsidRPr="00825F53">
        <w:rPr>
          <w:b/>
        </w:rPr>
        <w:t>Autriche</w:t>
      </w:r>
      <w:r>
        <w:t xml:space="preserve"> soutenait l</w:t>
      </w:r>
      <w:r w:rsidR="00346F1B">
        <w:t>’</w:t>
      </w:r>
      <w:r>
        <w:t>amendement proposé par Chypre car elle pensait que le groupe de travail devrait accueillir tous les États parties et observateurs.</w:t>
      </w:r>
    </w:p>
    <w:p w14:paraId="3DB8405F" w14:textId="58E59188" w:rsidR="00825F53" w:rsidRDefault="00825F53" w:rsidP="005C5B9B">
      <w:pPr>
        <w:pStyle w:val="Orateurengris"/>
        <w:spacing w:before="120"/>
        <w:ind w:left="709" w:hanging="709"/>
      </w:pPr>
      <w:r>
        <w:t>La délégation de l</w:t>
      </w:r>
      <w:r w:rsidR="00346F1B">
        <w:t>’</w:t>
      </w:r>
      <w:r w:rsidRPr="00825F53">
        <w:rPr>
          <w:b/>
        </w:rPr>
        <w:t>Algérie</w:t>
      </w:r>
      <w:r>
        <w:t xml:space="preserve"> est revenue sur les remarques de la République de Corée, Présidente de la prochaine session du Comité, en </w:t>
      </w:r>
      <w:r w:rsidR="00136827">
        <w:t xml:space="preserve">signalant que ce pays ne croyait pas vraiment à la capacité du groupe de travail </w:t>
      </w:r>
      <w:r w:rsidR="00136827" w:rsidRPr="00136827">
        <w:rPr>
          <w:i/>
        </w:rPr>
        <w:t>ad hoc</w:t>
      </w:r>
      <w:r w:rsidR="00136827">
        <w:t xml:space="preserve"> à faire avancer la situation. Le fait que le pays présidant le Comité n</w:t>
      </w:r>
      <w:r w:rsidR="00346F1B">
        <w:t>’</w:t>
      </w:r>
      <w:r w:rsidR="00136827">
        <w:t>ait pas confiance dans le processus suscitait des inquiétudes car les résultats seraient entachés de doutes. En ce qui concerne la nature du groupe de travail, la délégation pensait qu</w:t>
      </w:r>
      <w:r w:rsidR="00346F1B">
        <w:t>’</w:t>
      </w:r>
      <w:r w:rsidR="00136827">
        <w:t>il devrait être ouvert à tous les États parties car la révision des Directives opérationnelles requérait le soutien de tous. La délégation a expliqué que toute conclusion du groupe de travail ou recommandation qu</w:t>
      </w:r>
      <w:r w:rsidR="00346F1B">
        <w:t>’</w:t>
      </w:r>
      <w:r w:rsidR="00136827">
        <w:t>il formulerait devrait attendre la prochaine Assemblée générale, c.-à-d.</w:t>
      </w:r>
      <w:r w:rsidR="002E18F0">
        <w:t xml:space="preserve"> </w:t>
      </w:r>
      <w:r w:rsidR="00136827">
        <w:t>il lui faudrait, au mieux, deux ans pour être opérationnelle. La délégation a par ailleurs expliqué que le Comité reposerait d</w:t>
      </w:r>
      <w:r w:rsidR="00346F1B">
        <w:t>’</w:t>
      </w:r>
      <w:r w:rsidR="00136827">
        <w:t>ici là sur la bonne volonté de chacun pour fonctionner, et donc pour respecter ce contrat moral ; tous les États parties, membres du Comité et observateurs devaient donc p</w:t>
      </w:r>
      <w:r w:rsidR="005C5B9B">
        <w:t>articiper au groupe de travail.</w:t>
      </w:r>
    </w:p>
    <w:p w14:paraId="61C425C7" w14:textId="3C111368" w:rsidR="002E18F0" w:rsidRDefault="002E18F0" w:rsidP="005C5B9B">
      <w:pPr>
        <w:pStyle w:val="Orateurengris"/>
        <w:spacing w:before="120"/>
        <w:ind w:left="709" w:hanging="709"/>
      </w:pPr>
      <w:r>
        <w:t xml:space="preserve">La </w:t>
      </w:r>
      <w:r w:rsidR="00E569BF">
        <w:t xml:space="preserve">délégation de la </w:t>
      </w:r>
      <w:r w:rsidR="00E569BF" w:rsidRPr="00E569BF">
        <w:rPr>
          <w:b/>
        </w:rPr>
        <w:t>Turquie</w:t>
      </w:r>
      <w:r w:rsidR="00E569BF">
        <w:t xml:space="preserve"> a dit souscrire pleinement aux commentaires de la République de Corée qui – en tant que Présidente à venir – présiderait le groupe de travail </w:t>
      </w:r>
      <w:r w:rsidR="00E569BF" w:rsidRPr="00486FA5">
        <w:rPr>
          <w:i/>
        </w:rPr>
        <w:t>ad hoc</w:t>
      </w:r>
      <w:r w:rsidR="00E569BF">
        <w:t xml:space="preserve">, qui devrait donc rester informel. La délégation estimait également que le groupe de travail ne devrait pas être ouvert à tous les États parties et observateurs. Elle a évoqué une expérience semblable dans laquelle elle avait présidé un groupe de travail </w:t>
      </w:r>
      <w:r w:rsidR="00E569BF" w:rsidRPr="00F9445E">
        <w:rPr>
          <w:i/>
        </w:rPr>
        <w:t>ad hoc</w:t>
      </w:r>
      <w:r w:rsidR="00E569BF">
        <w:t xml:space="preserve"> dans le cadre de la Convention de 1972, qui était ouvert à tous les membres du Comité et dont le travail s</w:t>
      </w:r>
      <w:r w:rsidR="00346F1B">
        <w:t>’</w:t>
      </w:r>
      <w:r w:rsidR="00E569BF">
        <w:t>était avéré efficace. La délégation a exprimé sa préoccupation de voir le groupe de travail ouvert à tous les États parties car il ne parviendrait alors pas à formuler de</w:t>
      </w:r>
      <w:r w:rsidR="00F9445E">
        <w:t>s recommandations concrètes. Forte de</w:t>
      </w:r>
      <w:r w:rsidR="00E569BF">
        <w:t xml:space="preserve"> son expérience avec le patrimoine mondial, la délégation a suggéré qu</w:t>
      </w:r>
      <w:r w:rsidR="00346F1B">
        <w:t>’</w:t>
      </w:r>
      <w:r w:rsidR="00E569BF">
        <w:t>un État partie puisse participer en tant qu</w:t>
      </w:r>
      <w:r w:rsidR="00346F1B">
        <w:t>’</w:t>
      </w:r>
      <w:r w:rsidR="00E569BF">
        <w:t>observateur représentant son groupe électoral</w:t>
      </w:r>
      <w:r w:rsidR="00F9445E">
        <w:t>, puis qu</w:t>
      </w:r>
      <w:r w:rsidR="00346F1B">
        <w:t>’</w:t>
      </w:r>
      <w:r w:rsidR="00F9445E">
        <w:t>il coordonne les avis et opinions des membres du groupe électoral qu</w:t>
      </w:r>
      <w:r w:rsidR="00346F1B">
        <w:t>’</w:t>
      </w:r>
      <w:r w:rsidR="00F9445E">
        <w:t>il représentait. À cet égard, elle soutenait pleinement les remarques de l</w:t>
      </w:r>
      <w:r w:rsidR="00346F1B">
        <w:t>’</w:t>
      </w:r>
      <w:r w:rsidR="00F9445E">
        <w:t>Inde. En outre, la délégation jugeait la proposition du Secrétariat mieux libellée que celle de la Palestine, en rappelant que le Comité devrait d</w:t>
      </w:r>
      <w:r w:rsidR="00346F1B">
        <w:t>’</w:t>
      </w:r>
      <w:r w:rsidR="00F9445E">
        <w:t>abor</w:t>
      </w:r>
      <w:r w:rsidR="005C5B9B">
        <w:t>d soutenir les recommandations.</w:t>
      </w:r>
    </w:p>
    <w:p w14:paraId="2049C660" w14:textId="1FC37387" w:rsidR="00F9445E" w:rsidRDefault="00F9445E" w:rsidP="005C5B9B">
      <w:pPr>
        <w:pStyle w:val="Orateurengris"/>
        <w:spacing w:before="120"/>
        <w:ind w:left="709" w:hanging="709"/>
      </w:pPr>
      <w:r>
        <w:t xml:space="preserve">Après avoir pris bonne note de la nature informelle du groupe de travail, la délégation de la </w:t>
      </w:r>
      <w:r w:rsidRPr="00F9445E">
        <w:rPr>
          <w:b/>
        </w:rPr>
        <w:t>République de Corée</w:t>
      </w:r>
      <w:r>
        <w:t xml:space="preserve"> a suggéré de laisser le prochain Président régler les détails, et ce, afin d</w:t>
      </w:r>
      <w:r w:rsidR="00346F1B">
        <w:t>’</w:t>
      </w:r>
      <w:r>
        <w:t>avancer dans l</w:t>
      </w:r>
      <w:r w:rsidR="00346F1B">
        <w:t>’</w:t>
      </w:r>
      <w:r w:rsidR="005C5B9B">
        <w:t>ordre du jour.</w:t>
      </w:r>
    </w:p>
    <w:p w14:paraId="69796CE0" w14:textId="673F8D84" w:rsidR="00F9445E" w:rsidRDefault="00F9445E" w:rsidP="005C5B9B">
      <w:pPr>
        <w:pStyle w:val="Orateurengris"/>
        <w:spacing w:before="120"/>
        <w:ind w:left="709" w:hanging="709"/>
      </w:pPr>
      <w:r>
        <w:t xml:space="preserve">La délégation de </w:t>
      </w:r>
      <w:r w:rsidRPr="00B658AF">
        <w:rPr>
          <w:b/>
        </w:rPr>
        <w:t>Chypre</w:t>
      </w:r>
      <w:r>
        <w:t xml:space="preserve"> </w:t>
      </w:r>
      <w:r w:rsidR="00B658AF">
        <w:t>était d</w:t>
      </w:r>
      <w:r w:rsidR="00346F1B">
        <w:t>’</w:t>
      </w:r>
      <w:r w:rsidR="00B658AF">
        <w:t>accord avec la République de Corée pour commencer par un groupe de travail composé des membres du Comité, qui serait suivi d</w:t>
      </w:r>
      <w:r w:rsidR="00346F1B">
        <w:t>’</w:t>
      </w:r>
      <w:r w:rsidR="00B658AF">
        <w:t>une deuxième réunion à laquelle le Président pourrait égal</w:t>
      </w:r>
      <w:r w:rsidR="005C5B9B">
        <w:t>ement convier des observateurs.</w:t>
      </w:r>
    </w:p>
    <w:p w14:paraId="34ECEAC0" w14:textId="7A0CE8EB" w:rsidR="005169F5" w:rsidRDefault="00B658AF" w:rsidP="005C5B9B">
      <w:pPr>
        <w:pStyle w:val="Orateurengris"/>
        <w:spacing w:before="120"/>
        <w:ind w:left="709" w:hanging="709"/>
      </w:pPr>
      <w:r>
        <w:t xml:space="preserve">La délégation du </w:t>
      </w:r>
      <w:r w:rsidRPr="00B658AF">
        <w:rPr>
          <w:b/>
        </w:rPr>
        <w:t>Sénégal</w:t>
      </w:r>
      <w:r>
        <w:t xml:space="preserve"> a signalé que c</w:t>
      </w:r>
      <w:r w:rsidR="00346F1B">
        <w:t>’</w:t>
      </w:r>
      <w:r>
        <w:t>était une pratique habituelle au sein de l</w:t>
      </w:r>
      <w:r w:rsidR="00346F1B">
        <w:t>’</w:t>
      </w:r>
      <w:r>
        <w:t>UNESCO de réunir des groupes de travail, ajoutant que les modalités pratiques devraient également être envisagées. Elle</w:t>
      </w:r>
      <w:r w:rsidR="005169F5">
        <w:t xml:space="preserve"> estimait</w:t>
      </w:r>
      <w:r>
        <w:t xml:space="preserve"> que les discussions à propos de la création de groupes de travail se focalisaient souvent sur de faux débats, à savoir, le groupe devrait-il être à composition limitée ou non. En général, une fois le groupe de travail</w:t>
      </w:r>
      <w:r w:rsidR="005169F5">
        <w:t xml:space="preserve"> constitué</w:t>
      </w:r>
      <w:r>
        <w:t xml:space="preserve">, ses travaux </w:t>
      </w:r>
      <w:r w:rsidR="004B517C">
        <w:t>arrivaient toujours à leur terme avec un nombre restreint d</w:t>
      </w:r>
      <w:r w:rsidR="00346F1B">
        <w:t>’</w:t>
      </w:r>
      <w:r w:rsidR="004B517C">
        <w:t xml:space="preserve">États membres. En outre, </w:t>
      </w:r>
      <w:r w:rsidR="005169F5">
        <w:t>nonobstant le fait qu</w:t>
      </w:r>
      <w:r w:rsidR="00346F1B">
        <w:t>’</w:t>
      </w:r>
      <w:r w:rsidR="005169F5">
        <w:t xml:space="preserve">inviter tout le monde rendrait une discussion sérieuse des questions en jeu quasiment impossible, </w:t>
      </w:r>
      <w:r w:rsidR="004B517C">
        <w:t>la question de la</w:t>
      </w:r>
      <w:r w:rsidR="005169F5">
        <w:t xml:space="preserve"> capacité de la salle se posait</w:t>
      </w:r>
      <w:r w:rsidR="00486FA5" w:rsidRPr="00486FA5">
        <w:t xml:space="preserve"> </w:t>
      </w:r>
      <w:r w:rsidR="00486FA5">
        <w:t>pour le pays qui organisait la réunion</w:t>
      </w:r>
      <w:r w:rsidR="004B517C">
        <w:t>. La délégation préférait donc une situation dans laquelle les membres du Comité désignaient un représentant de leur groupe régional, ce qui pouvait également inclure des observateurs, comme cela avait été le cas pour le Comité du patrimoine mondial. Ainsi, l</w:t>
      </w:r>
      <w:r w:rsidR="00346F1B">
        <w:t>’</w:t>
      </w:r>
      <w:r w:rsidR="004B517C">
        <w:t>organisation de la réunion serait flexible et laissée à l</w:t>
      </w:r>
      <w:r w:rsidR="00346F1B">
        <w:t>’</w:t>
      </w:r>
      <w:r w:rsidR="004B517C">
        <w:t xml:space="preserve">appréciation de la présidence à venir qui définirait les meilleurs principes et modalités pratiques. </w:t>
      </w:r>
      <w:r w:rsidR="005169F5">
        <w:t>S</w:t>
      </w:r>
      <w:r w:rsidR="00346F1B">
        <w:t>’</w:t>
      </w:r>
      <w:r w:rsidR="005169F5">
        <w:t>agissant de la question relative aux Directives opérationnelles, la délégation a émis des réserves car il ne s</w:t>
      </w:r>
      <w:r w:rsidR="00346F1B">
        <w:t>’</w:t>
      </w:r>
      <w:r w:rsidR="005169F5">
        <w:t>agissait que d</w:t>
      </w:r>
      <w:r w:rsidR="00346F1B">
        <w:t>’</w:t>
      </w:r>
      <w:r w:rsidR="005169F5">
        <w:t>un groupe de travail informel qui formulerait des recommandations d</w:t>
      </w:r>
      <w:r w:rsidR="00346F1B">
        <w:t>’</w:t>
      </w:r>
      <w:r w:rsidR="005169F5">
        <w:t>amender ou de ne pas amender les Directives opérationnelles et il existait déjà des procédures spécifiques pour ces éventuelles modifications. Le Comité devrait se concentrer sur le mandat du groupe de travail et ne pas surcharger l</w:t>
      </w:r>
      <w:r w:rsidR="00346F1B">
        <w:t>’</w:t>
      </w:r>
      <w:r w:rsidR="005169F5">
        <w:t>amendement de détails et de modalités pratiques inutiles, qu</w:t>
      </w:r>
      <w:r w:rsidR="00346F1B">
        <w:t>’</w:t>
      </w:r>
      <w:r w:rsidR="005169F5">
        <w:t>il conviendrait de laisser à l</w:t>
      </w:r>
      <w:r w:rsidR="00346F1B">
        <w:t>’</w:t>
      </w:r>
      <w:r w:rsidR="005169F5">
        <w:t>app</w:t>
      </w:r>
      <w:r w:rsidR="005C5B9B">
        <w:t>réciation du Président à venir.</w:t>
      </w:r>
    </w:p>
    <w:p w14:paraId="494D8B96" w14:textId="494270BD" w:rsidR="005169F5" w:rsidRDefault="005169F5" w:rsidP="005C5B9B">
      <w:pPr>
        <w:pStyle w:val="Orateurengris"/>
        <w:spacing w:before="120"/>
        <w:ind w:left="709" w:hanging="709"/>
      </w:pPr>
      <w:r>
        <w:t xml:space="preserve">Le </w:t>
      </w:r>
      <w:r w:rsidRPr="005169F5">
        <w:rPr>
          <w:b/>
        </w:rPr>
        <w:t>Président</w:t>
      </w:r>
      <w:r>
        <w:t xml:space="preserve"> a signalé une motion d</w:t>
      </w:r>
      <w:r w:rsidR="00346F1B">
        <w:t>’</w:t>
      </w:r>
      <w:r>
        <w:t>ordre de la part de la Palestine.</w:t>
      </w:r>
    </w:p>
    <w:p w14:paraId="7239F4D5" w14:textId="42EAB1F9" w:rsidR="005169F5" w:rsidRPr="005169F5" w:rsidRDefault="005169F5" w:rsidP="005C5B9B">
      <w:pPr>
        <w:pStyle w:val="Orateurengris"/>
        <w:spacing w:before="120"/>
        <w:ind w:left="709" w:hanging="709"/>
      </w:pPr>
      <w:r w:rsidRPr="005169F5">
        <w:t xml:space="preserve">La délégation de la </w:t>
      </w:r>
      <w:r w:rsidRPr="005169F5">
        <w:rPr>
          <w:b/>
        </w:rPr>
        <w:t>Palestine</w:t>
      </w:r>
      <w:r w:rsidRPr="005169F5">
        <w:t xml:space="preserve"> </w:t>
      </w:r>
      <w:r>
        <w:t>avait compris, suite à l</w:t>
      </w:r>
      <w:r w:rsidR="00346F1B">
        <w:t>’</w:t>
      </w:r>
      <w:r>
        <w:t>intervention de Chypre, que la délégation souhaitait retirer sa propositi</w:t>
      </w:r>
      <w:r w:rsidR="00E92D2D">
        <w:t xml:space="preserve">on, ce que </w:t>
      </w:r>
      <w:r>
        <w:t>le texte projeté sur l</w:t>
      </w:r>
      <w:r w:rsidR="00346F1B">
        <w:t>’</w:t>
      </w:r>
      <w:r>
        <w:t>écran</w:t>
      </w:r>
      <w:r w:rsidR="00E92D2D">
        <w:t xml:space="preserve"> devait refléter</w:t>
      </w:r>
      <w:r w:rsidR="005C5B9B">
        <w:t>.</w:t>
      </w:r>
    </w:p>
    <w:p w14:paraId="11FCCE7E" w14:textId="60715F70" w:rsidR="00E92D2D" w:rsidRDefault="00E92D2D" w:rsidP="005C5B9B">
      <w:pPr>
        <w:pStyle w:val="Orateurengris"/>
        <w:spacing w:before="120"/>
        <w:ind w:left="709" w:hanging="709"/>
      </w:pPr>
      <w:r>
        <w:t xml:space="preserve">La délégation de </w:t>
      </w:r>
      <w:r w:rsidRPr="00E92D2D">
        <w:rPr>
          <w:b/>
        </w:rPr>
        <w:t>Chypre</w:t>
      </w:r>
      <w:r>
        <w:t xml:space="preserve"> a confirmé avoir retiré son amendement.</w:t>
      </w:r>
    </w:p>
    <w:p w14:paraId="5CE63DEA" w14:textId="4B5A3D79" w:rsidR="00E92D2D" w:rsidRDefault="00E92D2D" w:rsidP="005C5B9B">
      <w:pPr>
        <w:pStyle w:val="Orateurengris"/>
        <w:spacing w:before="120"/>
        <w:ind w:left="709" w:hanging="709"/>
      </w:pPr>
      <w:r>
        <w:t xml:space="preserve">La délégation de la </w:t>
      </w:r>
      <w:r w:rsidRPr="00E92D2D">
        <w:rPr>
          <w:b/>
        </w:rPr>
        <w:t>République de Corée</w:t>
      </w:r>
      <w:r>
        <w:t xml:space="preserve"> s</w:t>
      </w:r>
      <w:r w:rsidR="00346F1B">
        <w:t>’</w:t>
      </w:r>
      <w:r w:rsidR="005C5B9B">
        <w:t>est dite satisfaite du retrait.</w:t>
      </w:r>
    </w:p>
    <w:p w14:paraId="3505C491" w14:textId="5A40FB67" w:rsidR="00E92D2D" w:rsidRDefault="00E92D2D" w:rsidP="005C5B9B">
      <w:pPr>
        <w:pStyle w:val="Orateurengris"/>
        <w:spacing w:before="120"/>
        <w:ind w:left="709" w:hanging="709"/>
      </w:pPr>
      <w:r>
        <w:t xml:space="preserve">Se référant au point soulevé par la Turquie, le </w:t>
      </w:r>
      <w:r w:rsidRPr="00E92D2D">
        <w:rPr>
          <w:b/>
        </w:rPr>
        <w:t>Secrétaire</w:t>
      </w:r>
      <w:r>
        <w:t xml:space="preserve"> avait cru comprendre que la phrase « et de soumettre ses recommandations au Comité lors de sa prochaine session afin de présenter […] » impliquait déjà que le passage deva</w:t>
      </w:r>
      <w:r w:rsidR="005C5B9B">
        <w:t>nt le Comité était obligatoire.</w:t>
      </w:r>
    </w:p>
    <w:p w14:paraId="01704884" w14:textId="42818DE8" w:rsidR="00E92D2D" w:rsidRDefault="00E92D2D" w:rsidP="005C5B9B">
      <w:pPr>
        <w:pStyle w:val="Orateurengris"/>
        <w:spacing w:before="120"/>
        <w:ind w:left="709" w:hanging="709"/>
      </w:pPr>
      <w:r>
        <w:t>La délégation de l</w:t>
      </w:r>
      <w:r w:rsidR="00346F1B">
        <w:t>’</w:t>
      </w:r>
      <w:r w:rsidRPr="00E92D2D">
        <w:rPr>
          <w:b/>
        </w:rPr>
        <w:t>Autriche</w:t>
      </w:r>
      <w:r>
        <w:t xml:space="preserve"> ne souhaitait pas aller à l</w:t>
      </w:r>
      <w:r w:rsidR="00346F1B">
        <w:t>’</w:t>
      </w:r>
      <w:r>
        <w:t xml:space="preserve">encontre du consensus. Toutefois, elle avait le sentiment que ces questions, et toute révision des Directives opérationnelles, auraient des conséquences très importantes sur la mise en œuvre de la Convention. Le groupe </w:t>
      </w:r>
      <w:r w:rsidR="00FD64A0">
        <w:t xml:space="preserve">de travail </w:t>
      </w:r>
      <w:r>
        <w:t xml:space="preserve">devrait donc être aussi inclusif </w:t>
      </w:r>
      <w:r w:rsidR="00FD64A0">
        <w:t xml:space="preserve">que possible et permettre un </w:t>
      </w:r>
      <w:r>
        <w:t xml:space="preserve">échange </w:t>
      </w:r>
      <w:r w:rsidR="00FD64A0">
        <w:t>d</w:t>
      </w:r>
      <w:r w:rsidR="00346F1B">
        <w:t>’</w:t>
      </w:r>
      <w:r w:rsidR="00FD64A0">
        <w:t xml:space="preserve">idées </w:t>
      </w:r>
      <w:r>
        <w:t xml:space="preserve">le plus </w:t>
      </w:r>
      <w:r w:rsidR="00FD64A0">
        <w:t>large possible, contribuant ainsi à la</w:t>
      </w:r>
      <w:r w:rsidR="005C5B9B">
        <w:t xml:space="preserve"> réussite du groupe de travail.</w:t>
      </w:r>
    </w:p>
    <w:p w14:paraId="601E7121" w14:textId="1DCD847C" w:rsidR="00FD64A0" w:rsidRDefault="00FD64A0" w:rsidP="005C5B9B">
      <w:pPr>
        <w:pStyle w:val="Orateurengris"/>
        <w:spacing w:before="120"/>
        <w:ind w:left="709" w:hanging="709"/>
      </w:pPr>
      <w:r>
        <w:t xml:space="preserve">Le </w:t>
      </w:r>
      <w:r w:rsidRPr="00FD64A0">
        <w:rPr>
          <w:b/>
        </w:rPr>
        <w:t>Président</w:t>
      </w:r>
      <w:r>
        <w:t xml:space="preserve"> a expliqué que la République de Corée avait proposé de régle</w:t>
      </w:r>
      <w:r w:rsidR="005C5B9B">
        <w:t>r ces détails après la session.</w:t>
      </w:r>
    </w:p>
    <w:p w14:paraId="07FC6AA1" w14:textId="5C506965" w:rsidR="00FD64A0" w:rsidRDefault="0032556A" w:rsidP="005C5B9B">
      <w:pPr>
        <w:pStyle w:val="Orateurengris"/>
        <w:spacing w:before="120"/>
        <w:ind w:left="709" w:hanging="709"/>
      </w:pPr>
      <w:r>
        <w:t>Bien que l</w:t>
      </w:r>
      <w:r w:rsidR="00FD64A0">
        <w:t xml:space="preserve">a délégation de la </w:t>
      </w:r>
      <w:r w:rsidR="00FD64A0" w:rsidRPr="00FD64A0">
        <w:rPr>
          <w:b/>
        </w:rPr>
        <w:t>Hongrie</w:t>
      </w:r>
      <w:r w:rsidR="00FD64A0">
        <w:t xml:space="preserve"> </w:t>
      </w:r>
      <w:r>
        <w:t xml:space="preserve">soutienne </w:t>
      </w:r>
      <w:r w:rsidR="00FD64A0">
        <w:t>les remarques de l</w:t>
      </w:r>
      <w:r w:rsidR="00346F1B">
        <w:t>’</w:t>
      </w:r>
      <w:r w:rsidR="00FD64A0">
        <w:t>Autriche ainsi que celles de l</w:t>
      </w:r>
      <w:r w:rsidR="00346F1B">
        <w:t>’</w:t>
      </w:r>
      <w:r>
        <w:t>Algérie, e</w:t>
      </w:r>
      <w:r w:rsidR="00FD64A0">
        <w:t>lle n</w:t>
      </w:r>
      <w:r w:rsidR="00346F1B">
        <w:t>’</w:t>
      </w:r>
      <w:r w:rsidR="00FD64A0">
        <w:t>irait pas à l</w:t>
      </w:r>
      <w:r w:rsidR="00346F1B">
        <w:t>’</w:t>
      </w:r>
      <w:r w:rsidR="00FD64A0">
        <w:t>encontre du consensus. Elle souhaitait toutefois que soient consignées ses préoccupations quant aux risques encourus si l</w:t>
      </w:r>
      <w:r w:rsidR="00346F1B">
        <w:t>’</w:t>
      </w:r>
      <w:r w:rsidR="00FD64A0">
        <w:t>on ne permettait pas aux observateurs de participer à ce groupe de travail alors que des questions très importantes y feraient l</w:t>
      </w:r>
      <w:r w:rsidR="00346F1B">
        <w:t>’</w:t>
      </w:r>
      <w:r w:rsidR="005C5B9B">
        <w:t>objet de débat.</w:t>
      </w:r>
    </w:p>
    <w:p w14:paraId="29326281" w14:textId="16AF1DB0" w:rsidR="00FD64A0" w:rsidRDefault="00FD64A0" w:rsidP="005C5B9B">
      <w:pPr>
        <w:pStyle w:val="Orateurengris"/>
        <w:spacing w:before="120"/>
        <w:ind w:left="709" w:hanging="709"/>
      </w:pPr>
      <w:r>
        <w:t xml:space="preserve">Le </w:t>
      </w:r>
      <w:r w:rsidRPr="00FD64A0">
        <w:rPr>
          <w:b/>
        </w:rPr>
        <w:t>Président</w:t>
      </w:r>
      <w:r>
        <w:t xml:space="preserve"> a demandé que </w:t>
      </w:r>
      <w:r w:rsidR="00B53B17">
        <w:t xml:space="preserve">le </w:t>
      </w:r>
      <w:r>
        <w:t>Comité prenne note des précédentes remarques formulées par la République de Corée.</w:t>
      </w:r>
    </w:p>
    <w:p w14:paraId="068C8101" w14:textId="13E8226F" w:rsidR="0032556A" w:rsidRDefault="0032556A" w:rsidP="005C5B9B">
      <w:pPr>
        <w:pStyle w:val="Orateurengris"/>
        <w:spacing w:before="120"/>
        <w:ind w:left="709" w:hanging="709"/>
      </w:pPr>
      <w:r>
        <w:t>La délégation de l</w:t>
      </w:r>
      <w:r w:rsidR="00346F1B">
        <w:t>’</w:t>
      </w:r>
      <w:r w:rsidRPr="0032556A">
        <w:rPr>
          <w:b/>
        </w:rPr>
        <w:t>Algérie</w:t>
      </w:r>
      <w:r>
        <w:t xml:space="preserve"> ne souhaitait pas non plus aller à l</w:t>
      </w:r>
      <w:r w:rsidR="00346F1B">
        <w:t>’</w:t>
      </w:r>
      <w:r>
        <w:t>encontre du consensus et accepterait les amendements tels que projetés à l</w:t>
      </w:r>
      <w:r w:rsidR="00346F1B">
        <w:t>’</w:t>
      </w:r>
      <w:r>
        <w:t>écran. Toutefois, elle souhaitait rappeler que le Comité était à la croisée des chemins, car des États membres appelaient de leurs vœux une plus grande transparence et une inclusivité renforcée à l</w:t>
      </w:r>
      <w:r w:rsidR="00346F1B">
        <w:t>’</w:t>
      </w:r>
      <w:r>
        <w:t>UNESCO afin de garantir que les décisions étaient prises de la façon la plus consensuelle possible. Elle a rappelé aux États parties, et à ceux présents lors de la dernière Assemblée générale, les difficultés rencontrées lors des discussions et de l</w:t>
      </w:r>
      <w:r w:rsidR="00346F1B">
        <w:t>’</w:t>
      </w:r>
      <w:r>
        <w:t>adoption des Directives opérationnelles, qui avaient précédemment fait l</w:t>
      </w:r>
      <w:r w:rsidR="00346F1B">
        <w:t>’</w:t>
      </w:r>
      <w:r>
        <w:t>objet d</w:t>
      </w:r>
      <w:r w:rsidR="00346F1B">
        <w:t>’</w:t>
      </w:r>
      <w:r>
        <w:t>un débat à la session du Comité à Windhoek. À ce sujet, la délégation en appelait à la sagesse, l</w:t>
      </w:r>
      <w:r w:rsidR="00346F1B">
        <w:t>’</w:t>
      </w:r>
      <w:r>
        <w:t>inclusi</w:t>
      </w:r>
      <w:r w:rsidR="005C5B9B">
        <w:t>on et la participation.</w:t>
      </w:r>
    </w:p>
    <w:p w14:paraId="4EBF09CC" w14:textId="0A58CA2C" w:rsidR="000459DA" w:rsidRDefault="000459DA" w:rsidP="005C5B9B">
      <w:pPr>
        <w:pStyle w:val="Orateurengris"/>
        <w:spacing w:before="120"/>
        <w:ind w:left="709" w:hanging="709"/>
      </w:pPr>
      <w:r>
        <w:t xml:space="preserve">Le </w:t>
      </w:r>
      <w:r w:rsidRPr="000459DA">
        <w:rPr>
          <w:b/>
        </w:rPr>
        <w:t>Président</w:t>
      </w:r>
      <w:r>
        <w:t xml:space="preserve"> a suggéré que l</w:t>
      </w:r>
      <w:r w:rsidR="00346F1B">
        <w:t>’</w:t>
      </w:r>
      <w:r>
        <w:t xml:space="preserve">on débatte des détails dans le groupe de travail </w:t>
      </w:r>
      <w:r w:rsidRPr="000459DA">
        <w:rPr>
          <w:i/>
        </w:rPr>
        <w:t>ad hoc</w:t>
      </w:r>
      <w:r w:rsidR="005C5B9B">
        <w:t>.</w:t>
      </w:r>
    </w:p>
    <w:p w14:paraId="5816DE37" w14:textId="7F113B2F" w:rsidR="000459DA" w:rsidRDefault="000459DA" w:rsidP="005C5B9B">
      <w:pPr>
        <w:pStyle w:val="Orateurengris"/>
        <w:spacing w:before="120"/>
        <w:ind w:left="709" w:hanging="709"/>
      </w:pPr>
      <w:r>
        <w:t xml:space="preserve">La délégation de </w:t>
      </w:r>
      <w:r w:rsidRPr="000459DA">
        <w:rPr>
          <w:b/>
        </w:rPr>
        <w:t>Cuba</w:t>
      </w:r>
      <w:r>
        <w:t xml:space="preserve"> a proposé d</w:t>
      </w:r>
      <w:r w:rsidR="00346F1B">
        <w:t>’</w:t>
      </w:r>
      <w:r>
        <w:t>avancer, soulignant que l</w:t>
      </w:r>
      <w:r w:rsidR="00346F1B">
        <w:t>’</w:t>
      </w:r>
      <w:r>
        <w:t>on avait passé beaucoup de temps sur cette question alors qu</w:t>
      </w:r>
      <w:r w:rsidR="00346F1B">
        <w:t>’</w:t>
      </w:r>
      <w:r>
        <w:t>il restait encore de nombreux points à traiter. Elle a rappelé que les Présidents des différents groupes régionaux étaient présents et qu</w:t>
      </w:r>
      <w:r w:rsidR="00346F1B">
        <w:t>’</w:t>
      </w:r>
      <w:r>
        <w:t>ils coordonneraient un processus de consultation au sein de leur propre groupe. Cette méthode de travail était courante à l</w:t>
      </w:r>
      <w:r w:rsidR="00346F1B">
        <w:t>’</w:t>
      </w:r>
      <w:r>
        <w:t>UNESCO, et on avait encore le temps de proposer des amendements et de suggérer des sujets de discussion par l</w:t>
      </w:r>
      <w:r w:rsidR="00346F1B">
        <w:t>’</w:t>
      </w:r>
      <w:r>
        <w:t>intermédiaire des Présidents qui pourraient parvenir à un consens</w:t>
      </w:r>
      <w:r w:rsidR="001433F2">
        <w:t>us au sein de leurs groupes.</w:t>
      </w:r>
    </w:p>
    <w:p w14:paraId="2A298BFF" w14:textId="3406B7EA" w:rsidR="001433F2" w:rsidRDefault="001433F2" w:rsidP="005C5B9B">
      <w:pPr>
        <w:pStyle w:val="Orateurengris"/>
        <w:spacing w:before="120"/>
        <w:ind w:left="709" w:hanging="709"/>
      </w:pPr>
      <w:r>
        <w:t xml:space="preserve">La délégation de </w:t>
      </w:r>
      <w:r w:rsidRPr="001433F2">
        <w:rPr>
          <w:b/>
        </w:rPr>
        <w:t>Chypre</w:t>
      </w:r>
      <w:r>
        <w:t xml:space="preserve"> souhaitait répondre à l</w:t>
      </w:r>
      <w:r w:rsidR="00346F1B">
        <w:t>’</w:t>
      </w:r>
      <w:r>
        <w:t>Autriche et à l</w:t>
      </w:r>
      <w:r w:rsidR="00346F1B">
        <w:t>’</w:t>
      </w:r>
      <w:r>
        <w:t xml:space="preserve">Algérie. Elle avait retiré son amendement compte tenu de la proposition de la </w:t>
      </w:r>
      <w:r w:rsidR="002760AA">
        <w:t>prochaine p</w:t>
      </w:r>
      <w:r w:rsidR="006A0353">
        <w:t xml:space="preserve">résidence de réunir pour une première réunion un groupe informel, puis de convier </w:t>
      </w:r>
      <w:r>
        <w:t xml:space="preserve">les États parties, </w:t>
      </w:r>
      <w:r w:rsidR="006A0353">
        <w:t xml:space="preserve">les </w:t>
      </w:r>
      <w:r>
        <w:t xml:space="preserve">observateurs et </w:t>
      </w:r>
      <w:r w:rsidR="006A0353">
        <w:t xml:space="preserve">tous les </w:t>
      </w:r>
      <w:r>
        <w:t>membres du Comité</w:t>
      </w:r>
      <w:r w:rsidR="006A0353" w:rsidRPr="006A0353">
        <w:t xml:space="preserve"> </w:t>
      </w:r>
      <w:r w:rsidR="006A0353">
        <w:t>à une deuxième réunion. On pourrait préciser, si nécessaire que ce paragraphe concernait la premièr</w:t>
      </w:r>
      <w:r w:rsidR="005C5B9B">
        <w:t>e réunion informelle du groupe.</w:t>
      </w:r>
    </w:p>
    <w:p w14:paraId="1AD3C9AF" w14:textId="4B7DAE87" w:rsidR="006A0353" w:rsidRDefault="006A0353" w:rsidP="005C5B9B">
      <w:pPr>
        <w:pStyle w:val="Orateurengris"/>
        <w:spacing w:before="120"/>
        <w:ind w:left="709" w:hanging="709"/>
      </w:pPr>
      <w:r>
        <w:t xml:space="preserve">La délégation de la </w:t>
      </w:r>
      <w:r w:rsidRPr="006A0353">
        <w:rPr>
          <w:b/>
        </w:rPr>
        <w:t>Côte d</w:t>
      </w:r>
      <w:r w:rsidR="00346F1B">
        <w:rPr>
          <w:b/>
        </w:rPr>
        <w:t>’</w:t>
      </w:r>
      <w:r w:rsidRPr="006A0353">
        <w:rPr>
          <w:b/>
        </w:rPr>
        <w:t>Ivoire</w:t>
      </w:r>
      <w:r>
        <w:t xml:space="preserve"> soutenait la proposition de la République de Corée. Elle adhérait également aux propos du Sénégal selon lesquels, une fois le groupe de travail établi, tous les autres pays auraient l</w:t>
      </w:r>
      <w:r w:rsidR="00346F1B">
        <w:t>’</w:t>
      </w:r>
      <w:r>
        <w:t>occasion d</w:t>
      </w:r>
      <w:r w:rsidR="00346F1B">
        <w:t>’</w:t>
      </w:r>
      <w:r>
        <w:t>intervenir lors de l</w:t>
      </w:r>
      <w:r w:rsidR="00346F1B">
        <w:t>’</w:t>
      </w:r>
      <w:r w:rsidR="005C5B9B">
        <w:t>Assemblée générale.</w:t>
      </w:r>
    </w:p>
    <w:p w14:paraId="60494BB0" w14:textId="7A7F3288" w:rsidR="00D8520C" w:rsidRDefault="00D8520C" w:rsidP="005C5B9B">
      <w:pPr>
        <w:pStyle w:val="Orateurengris"/>
        <w:spacing w:before="120"/>
        <w:ind w:left="709" w:hanging="709"/>
      </w:pPr>
      <w:r>
        <w:t xml:space="preserve">La délégation de la </w:t>
      </w:r>
      <w:r w:rsidRPr="00D8520C">
        <w:rPr>
          <w:b/>
        </w:rPr>
        <w:t>Turquie</w:t>
      </w:r>
      <w:r>
        <w:t xml:space="preserve"> soutenait les remarques de la République de Corée selon lesquelles le groupe de travail informel était placé sous la responsabilité de sa présidence et que les modalités devraient être laissées à l</w:t>
      </w:r>
      <w:r w:rsidR="00346F1B">
        <w:t>’</w:t>
      </w:r>
      <w:r>
        <w:t xml:space="preserve">appréciation du prochain Président. Elle avait cru comprendre que le groupe de travail </w:t>
      </w:r>
      <w:r w:rsidRPr="00D8520C">
        <w:rPr>
          <w:i/>
        </w:rPr>
        <w:t>ad hoc</w:t>
      </w:r>
      <w:r>
        <w:t xml:space="preserve"> serait ouvert à tous les membres du Comité et que la nécessité d</w:t>
      </w:r>
      <w:r w:rsidR="00346F1B">
        <w:t>’</w:t>
      </w:r>
      <w:r>
        <w:t xml:space="preserve">établir un groupe de travail à composition non limitée serait décidée par le groupe de travail </w:t>
      </w:r>
      <w:r w:rsidRPr="00D8520C">
        <w:rPr>
          <w:i/>
        </w:rPr>
        <w:t>ad hoc</w:t>
      </w:r>
      <w:r w:rsidR="005C5B9B">
        <w:t>.</w:t>
      </w:r>
    </w:p>
    <w:p w14:paraId="7D7CF257" w14:textId="4EA38F25" w:rsidR="00D8520C" w:rsidRDefault="009D2BA9" w:rsidP="005C5B9B">
      <w:pPr>
        <w:pStyle w:val="Orateurengris"/>
        <w:spacing w:before="120"/>
        <w:ind w:left="709" w:hanging="709"/>
      </w:pPr>
      <w:r>
        <w:t xml:space="preserve">La délégation de la </w:t>
      </w:r>
      <w:r w:rsidRPr="009D2BA9">
        <w:rPr>
          <w:b/>
        </w:rPr>
        <w:t>Hongrie</w:t>
      </w:r>
      <w:r>
        <w:t xml:space="preserve"> a remercié le Président des éclaircissements apportés à propos des différentes modalités du groupe de travail. Concernant le fait que tous les membres du Comité seraient invités pour la première réunion et qu</w:t>
      </w:r>
      <w:r w:rsidR="00346F1B">
        <w:t>’</w:t>
      </w:r>
      <w:r>
        <w:t>une deuxième réunion serait ouverte à tous les États parties en tant qu</w:t>
      </w:r>
      <w:r w:rsidR="00346F1B">
        <w:t>’</w:t>
      </w:r>
      <w:r>
        <w:t>observateurs, elle a déclaré que l</w:t>
      </w:r>
      <w:r w:rsidR="00346F1B">
        <w:t>’</w:t>
      </w:r>
      <w:r>
        <w:t>accord verbal devrait suffire. À</w:t>
      </w:r>
      <w:r w:rsidR="00FC2979">
        <w:t xml:space="preserve"> ce sujet</w:t>
      </w:r>
      <w:r>
        <w:t>, la dé</w:t>
      </w:r>
      <w:r w:rsidR="00FC2979">
        <w:t>légation avait le sentiment qu</w:t>
      </w:r>
      <w:r w:rsidR="00346F1B">
        <w:t>’</w:t>
      </w:r>
      <w:r w:rsidR="00FC2979">
        <w:t>il n</w:t>
      </w:r>
      <w:r w:rsidR="00346F1B">
        <w:t>’</w:t>
      </w:r>
      <w:r w:rsidR="00FC2979">
        <w:t>était pas nécessaire que le texte de la décision reflète ces détails et qu</w:t>
      </w:r>
      <w:r w:rsidR="00346F1B">
        <w:t>’</w:t>
      </w:r>
      <w:r w:rsidR="00FC2979">
        <w:t>on p</w:t>
      </w:r>
      <w:r w:rsidR="005C5B9B">
        <w:t>ouvait parvenir à un consensus.</w:t>
      </w:r>
    </w:p>
    <w:p w14:paraId="1350306B" w14:textId="5CB408F7" w:rsidR="00FC2979" w:rsidRDefault="00FC2979" w:rsidP="005C5B9B">
      <w:pPr>
        <w:pStyle w:val="Orateurengris"/>
        <w:spacing w:before="120"/>
        <w:ind w:left="709" w:hanging="709"/>
      </w:pPr>
      <w:r>
        <w:t>S</w:t>
      </w:r>
      <w:r w:rsidR="00346F1B">
        <w:t>’</w:t>
      </w:r>
      <w:r>
        <w:t>exprimant avec le plus grand respect pour la Hongrie et les autres délégations, la délégation de l</w:t>
      </w:r>
      <w:r w:rsidR="00346F1B">
        <w:t>’</w:t>
      </w:r>
      <w:r w:rsidRPr="00FC2979">
        <w:rPr>
          <w:b/>
        </w:rPr>
        <w:t>Inde</w:t>
      </w:r>
      <w:r>
        <w:t xml:space="preserve"> estimait que, sur cette question, on était allé trop loin. Après tout, la République de Corée avait aimablement pr</w:t>
      </w:r>
      <w:r w:rsidR="008D5710">
        <w:t>oposé d</w:t>
      </w:r>
      <w:r w:rsidR="00346F1B">
        <w:t>’</w:t>
      </w:r>
      <w:r w:rsidR="008D5710">
        <w:t>accueillir la réunion,</w:t>
      </w:r>
      <w:r>
        <w:t xml:space="preserve"> la responsabilité de régler les détails devrait donc lui incomber. En outre, il était courant au sein de l</w:t>
      </w:r>
      <w:r w:rsidR="00346F1B">
        <w:t>’</w:t>
      </w:r>
      <w:r>
        <w:t>UNESCO d</w:t>
      </w:r>
      <w:r w:rsidR="00346F1B">
        <w:t>’</w:t>
      </w:r>
      <w:r>
        <w:t>avoir des groupes de travail dans lesquels chaque groupe régional servait de canal de communication pour les commentaires de ses propres membres. Il n</w:t>
      </w:r>
      <w:r w:rsidR="00346F1B">
        <w:t>’</w:t>
      </w:r>
      <w:r>
        <w:t>était donc pas question d</w:t>
      </w:r>
      <w:r w:rsidR="00346F1B">
        <w:t>’</w:t>
      </w:r>
      <w:r>
        <w:t>exclusion car le Comité menait chaque jour un combat résolu en faveur de la transparence et de l</w:t>
      </w:r>
      <w:r w:rsidR="00346F1B">
        <w:t>’</w:t>
      </w:r>
      <w:r w:rsidR="005C5B9B">
        <w:t>inclusion.</w:t>
      </w:r>
    </w:p>
    <w:p w14:paraId="03F2560E" w14:textId="6696BF14" w:rsidR="008D5710" w:rsidRPr="008D5710" w:rsidRDefault="008D5710" w:rsidP="005C5B9B">
      <w:pPr>
        <w:pStyle w:val="Orateurengris"/>
        <w:spacing w:before="120"/>
        <w:ind w:left="709" w:hanging="709"/>
      </w:pPr>
      <w:r w:rsidRPr="008D5710">
        <w:t>La délégation</w:t>
      </w:r>
      <w:r>
        <w:t xml:space="preserve"> de la </w:t>
      </w:r>
      <w:r w:rsidRPr="008D5710">
        <w:rPr>
          <w:b/>
        </w:rPr>
        <w:t>République de Corée</w:t>
      </w:r>
      <w:r>
        <w:t xml:space="preserve"> a remercié l</w:t>
      </w:r>
      <w:r w:rsidR="00346F1B">
        <w:t>’</w:t>
      </w:r>
      <w:r>
        <w:t>Inde d</w:t>
      </w:r>
      <w:r w:rsidR="00346F1B">
        <w:t>’</w:t>
      </w:r>
      <w:r>
        <w:t>avoir exprimé ce qu</w:t>
      </w:r>
      <w:r w:rsidR="00346F1B">
        <w:t>’</w:t>
      </w:r>
      <w:r>
        <w:t>elle voulait dire. La délégation souhaitait préciser qu</w:t>
      </w:r>
      <w:r w:rsidR="00346F1B">
        <w:t>’</w:t>
      </w:r>
      <w:r>
        <w:t>elle ne cherchait pas à exclure qui que ce soit, elle appelait à une ouverture et une transparence multilatérales qui étaient d</w:t>
      </w:r>
      <w:r w:rsidR="00346F1B">
        <w:t>’</w:t>
      </w:r>
      <w:r>
        <w:t>une importance capitale pour la réussite de tout groupe de travail. Elle a expliqué que la réunion débuterait de façon informelle jusqu</w:t>
      </w:r>
      <w:r w:rsidR="00346F1B">
        <w:t>’</w:t>
      </w:r>
      <w:r>
        <w:t xml:space="preserve">à ce que des progrès aient été réalisés, après quoi, </w:t>
      </w:r>
      <w:proofErr w:type="gramStart"/>
      <w:r>
        <w:t>un réunion</w:t>
      </w:r>
      <w:proofErr w:type="gramEnd"/>
      <w:r>
        <w:t xml:space="preserve"> à composition non limitée pourrait être organisée si on l</w:t>
      </w:r>
      <w:r w:rsidR="00346F1B">
        <w:t>’</w:t>
      </w:r>
      <w:r>
        <w:t>estimait nécessaire. Elle a ajouté que le partage d</w:t>
      </w:r>
      <w:r w:rsidR="00346F1B">
        <w:t>’</w:t>
      </w:r>
      <w:r>
        <w:t>informations et les activités de sensibilisation étaient très importants.</w:t>
      </w:r>
    </w:p>
    <w:p w14:paraId="6EE620E3" w14:textId="0E2245C9" w:rsidR="002760AA" w:rsidRDefault="002760AA" w:rsidP="005C5B9B">
      <w:pPr>
        <w:pStyle w:val="Orateurengris"/>
        <w:spacing w:before="120"/>
        <w:ind w:left="709" w:hanging="709"/>
      </w:pPr>
      <w:r>
        <w:t>Suite à l</w:t>
      </w:r>
      <w:r w:rsidR="00346F1B">
        <w:t>’</w:t>
      </w:r>
      <w:r>
        <w:t>intervention de l</w:t>
      </w:r>
      <w:r w:rsidR="00346F1B">
        <w:t>’</w:t>
      </w:r>
      <w:r>
        <w:t xml:space="preserve">Inde et de la République de Corée, la délégation de la </w:t>
      </w:r>
      <w:r w:rsidRPr="002760AA">
        <w:rPr>
          <w:b/>
        </w:rPr>
        <w:t>Palestine</w:t>
      </w:r>
      <w:r>
        <w:t xml:space="preserve"> a proposé une motion d</w:t>
      </w:r>
      <w:r w:rsidR="00346F1B">
        <w:t>’</w:t>
      </w:r>
      <w:r>
        <w:t>ordre, suggérant de clore le débat sur ce paragrap</w:t>
      </w:r>
      <w:r w:rsidR="005C5B9B">
        <w:t>he et de passer à son adoption.</w:t>
      </w:r>
    </w:p>
    <w:p w14:paraId="66B8BA60" w14:textId="34043B36" w:rsidR="002760AA" w:rsidRDefault="002760AA" w:rsidP="005C5B9B">
      <w:pPr>
        <w:pStyle w:val="Orateurengris"/>
        <w:spacing w:before="120"/>
        <w:ind w:left="709" w:hanging="709"/>
      </w:pPr>
      <w:r>
        <w:t>La délégation de l</w:t>
      </w:r>
      <w:r w:rsidR="00346F1B">
        <w:t>’</w:t>
      </w:r>
      <w:r w:rsidRPr="002760AA">
        <w:rPr>
          <w:b/>
        </w:rPr>
        <w:t>Algérie</w:t>
      </w:r>
      <w:r>
        <w:t xml:space="preserve"> accordait toute sa confiance à la présidence de la République de Corée. Néanmoins, elle souhaitait que soit consigné le fait que certains membres du Comité étaient favorables à ce que le groupe</w:t>
      </w:r>
      <w:r w:rsidR="005C5B9B">
        <w:t xml:space="preserve"> de travail soit ouvert à tous.</w:t>
      </w:r>
    </w:p>
    <w:p w14:paraId="1A22C045" w14:textId="089AE31A" w:rsidR="002760AA" w:rsidRDefault="002760AA" w:rsidP="005C5B9B">
      <w:pPr>
        <w:pStyle w:val="Orateurengris"/>
        <w:spacing w:before="120"/>
        <w:ind w:left="709" w:hanging="709"/>
      </w:pPr>
      <w:r>
        <w:t xml:space="preserve">Le </w:t>
      </w:r>
      <w:r w:rsidRPr="002760AA">
        <w:rPr>
          <w:b/>
        </w:rPr>
        <w:t>Président</w:t>
      </w:r>
      <w:r>
        <w:t xml:space="preserve"> a procédé à l</w:t>
      </w:r>
      <w:r w:rsidR="00346F1B">
        <w:t>’</w:t>
      </w:r>
      <w:r>
        <w:t>adoption du paragraphe 13 et, en l</w:t>
      </w:r>
      <w:r w:rsidR="00346F1B">
        <w:t>’</w:t>
      </w:r>
      <w:r>
        <w:t>absence d</w:t>
      </w:r>
      <w:r w:rsidR="00346F1B">
        <w:t>’</w:t>
      </w:r>
      <w:r>
        <w:t xml:space="preserve">objections, il a été </w:t>
      </w:r>
      <w:r w:rsidR="008052AC">
        <w:t>dûment</w:t>
      </w:r>
      <w:r>
        <w:t xml:space="preserve"> adopté. Le paragraphe 15, tel que proposé par la Hongrie a également été adopté. Il est ensuite passé au paragraphe 16 et à l</w:t>
      </w:r>
      <w:r w:rsidR="00346F1B">
        <w:t>’</w:t>
      </w:r>
      <w:r>
        <w:t>amendement de l</w:t>
      </w:r>
      <w:r w:rsidR="00346F1B">
        <w:t>’</w:t>
      </w:r>
      <w:r w:rsidR="005C5B9B">
        <w:t>Autriche.</w:t>
      </w:r>
    </w:p>
    <w:p w14:paraId="56F41DE6" w14:textId="1E9814C2" w:rsidR="002760AA" w:rsidRDefault="002760AA" w:rsidP="005C5B9B">
      <w:pPr>
        <w:pStyle w:val="Orateurengris"/>
        <w:spacing w:before="120"/>
        <w:ind w:left="709" w:hanging="709"/>
      </w:pPr>
      <w:r>
        <w:t xml:space="preserve">La délégation de la </w:t>
      </w:r>
      <w:r w:rsidRPr="002760AA">
        <w:rPr>
          <w:b/>
        </w:rPr>
        <w:t>Palestine</w:t>
      </w:r>
      <w:r>
        <w:t xml:space="preserve"> a demandé à l</w:t>
      </w:r>
      <w:r w:rsidR="00346F1B">
        <w:t>’</w:t>
      </w:r>
      <w:r>
        <w:t>Autriche de préciser la logique qui sous-tendait son amendement ainsi rédigé : « Rappelle que les décisions concernant les candidatures, propositions ou demandes doivent être prises avec le plus grand soin […] »</w:t>
      </w:r>
      <w:r w:rsidR="005C5B9B">
        <w:t>.</w:t>
      </w:r>
    </w:p>
    <w:p w14:paraId="01C9E3F9" w14:textId="6147E7E5" w:rsidR="002760AA" w:rsidRDefault="002760AA" w:rsidP="005C5B9B">
      <w:pPr>
        <w:pStyle w:val="Orateurengris"/>
        <w:spacing w:before="120"/>
        <w:ind w:left="709" w:hanging="709"/>
      </w:pPr>
      <w:r>
        <w:t>La délégation de l</w:t>
      </w:r>
      <w:r w:rsidR="00346F1B">
        <w:t>’</w:t>
      </w:r>
      <w:r w:rsidRPr="00D83F64">
        <w:rPr>
          <w:b/>
        </w:rPr>
        <w:t>Autriche</w:t>
      </w:r>
      <w:r>
        <w:t xml:space="preserve"> avait le sentiment qu</w:t>
      </w:r>
      <w:r w:rsidR="00346F1B">
        <w:t>’</w:t>
      </w:r>
      <w:r>
        <w:t>il était nécessaire de préciser au Comité, particulièrement lorsqu</w:t>
      </w:r>
      <w:r w:rsidR="00346F1B">
        <w:t>’</w:t>
      </w:r>
      <w:r>
        <w:t xml:space="preserve">il </w:t>
      </w:r>
      <w:r w:rsidR="00D83F64">
        <w:t xml:space="preserve">modifiait </w:t>
      </w:r>
      <w:r>
        <w:t>les recommandations de l</w:t>
      </w:r>
      <w:r w:rsidR="00346F1B">
        <w:t>’</w:t>
      </w:r>
      <w:r>
        <w:t>Organe d</w:t>
      </w:r>
      <w:r w:rsidR="00346F1B">
        <w:t>’</w:t>
      </w:r>
      <w:r>
        <w:t xml:space="preserve">évaluation, </w:t>
      </w:r>
      <w:r w:rsidR="00D83F64">
        <w:t>qu</w:t>
      </w:r>
      <w:r w:rsidR="00346F1B">
        <w:t>’</w:t>
      </w:r>
      <w:r w:rsidR="00D83F64">
        <w:t>il était autorisé à entendre des éclaircissements mais pas à prendre en considération de nouvelles informations, comme cela avait été déclaré précédemment. Elle souhaitait donc réaffirmer cette méthode de travail établie, qui avait fait ses preuv</w:t>
      </w:r>
      <w:r w:rsidR="005C5B9B">
        <w:t>es au cours des années passées.</w:t>
      </w:r>
    </w:p>
    <w:p w14:paraId="128AA022" w14:textId="68CCB903" w:rsidR="00D83F64" w:rsidRDefault="00D83F64" w:rsidP="005C5B9B">
      <w:pPr>
        <w:pStyle w:val="Orateurengris"/>
        <w:spacing w:before="120"/>
        <w:ind w:left="709" w:hanging="709"/>
      </w:pPr>
      <w:r>
        <w:t xml:space="preserve">Le </w:t>
      </w:r>
      <w:r w:rsidRPr="00D83F64">
        <w:rPr>
          <w:b/>
        </w:rPr>
        <w:t>Président</w:t>
      </w:r>
      <w:r>
        <w:t xml:space="preserve"> avait le sentiment que la règle était déjà bien établie et qu</w:t>
      </w:r>
      <w:r w:rsidR="00346F1B">
        <w:t>’</w:t>
      </w:r>
      <w:r>
        <w:t>il s</w:t>
      </w:r>
      <w:r w:rsidR="00346F1B">
        <w:t>’</w:t>
      </w:r>
      <w:r>
        <w:t>agissait d</w:t>
      </w:r>
      <w:r w:rsidR="00346F1B">
        <w:t>’</w:t>
      </w:r>
      <w:r>
        <w:t xml:space="preserve">un </w:t>
      </w:r>
      <w:r w:rsidR="005C5B9B">
        <w:t>simple rappel.</w:t>
      </w:r>
    </w:p>
    <w:p w14:paraId="0C944160" w14:textId="314D4722" w:rsidR="00D83F64" w:rsidRDefault="00D83F64" w:rsidP="005C5B9B">
      <w:pPr>
        <w:pStyle w:val="Orateurengris"/>
        <w:spacing w:before="120"/>
        <w:ind w:left="709" w:hanging="709"/>
      </w:pPr>
      <w:r>
        <w:t xml:space="preserve">La délégation de </w:t>
      </w:r>
      <w:r w:rsidRPr="00D83F64">
        <w:rPr>
          <w:b/>
        </w:rPr>
        <w:t>Cuba</w:t>
      </w:r>
      <w:r>
        <w:t xml:space="preserve"> estimait qu</w:t>
      </w:r>
      <w:r w:rsidR="00346F1B">
        <w:t>’</w:t>
      </w:r>
      <w:r>
        <w:t>il s</w:t>
      </w:r>
      <w:r w:rsidR="00346F1B">
        <w:t>’</w:t>
      </w:r>
      <w:r>
        <w:t>agissait là d</w:t>
      </w:r>
      <w:r w:rsidR="00346F1B">
        <w:t>’</w:t>
      </w:r>
      <w:r>
        <w:t>un point très important, qui pourrait peut-être être débattu par le groupe de travail</w:t>
      </w:r>
      <w:r w:rsidR="00C9151C">
        <w:t>,</w:t>
      </w:r>
      <w:r>
        <w:t xml:space="preserve"> qui pourrait en faire une recommandation à soumettre à l</w:t>
      </w:r>
      <w:r w:rsidR="00346F1B">
        <w:t>’</w:t>
      </w:r>
      <w:r>
        <w:t>Assemblée générale. Toutefois, elle se demandait si c</w:t>
      </w:r>
      <w:r w:rsidR="00346F1B">
        <w:t>’</w:t>
      </w:r>
      <w:r>
        <w:t>était bien approprié ici, le compte-rendu de cette session pouvant très bien en faire état.</w:t>
      </w:r>
      <w:r w:rsidR="00C9151C">
        <w:t xml:space="preserve"> En tout cas</w:t>
      </w:r>
      <w:r>
        <w:t xml:space="preserve">, la délégation estimait que le Comité </w:t>
      </w:r>
      <w:r w:rsidR="00C9151C">
        <w:t xml:space="preserve">« mettait la charrue avant les bœufs » et allait </w:t>
      </w:r>
      <w:r w:rsidR="00B600B4">
        <w:t>au-delà</w:t>
      </w:r>
      <w:r w:rsidR="00C9151C">
        <w:t xml:space="preserve"> du cadre de son mandat, car il s</w:t>
      </w:r>
      <w:r w:rsidR="00346F1B">
        <w:t>’</w:t>
      </w:r>
      <w:r w:rsidR="00C9151C">
        <w:t>agissait plutôt d</w:t>
      </w:r>
      <w:r w:rsidR="00346F1B">
        <w:t>’</w:t>
      </w:r>
      <w:r w:rsidR="00C9151C">
        <w:t>un préambule au rappel d</w:t>
      </w:r>
      <w:r w:rsidR="00346F1B">
        <w:t>’</w:t>
      </w:r>
      <w:r w:rsidR="00C9151C">
        <w:t>un article spécifique que d</w:t>
      </w:r>
      <w:r w:rsidR="00346F1B">
        <w:t>’</w:t>
      </w:r>
      <w:r w:rsidR="00C9151C">
        <w:t>une décision en tant que tel. Elle a donc proposé la suppression du par</w:t>
      </w:r>
      <w:r w:rsidR="005C5B9B">
        <w:t>agraphe.</w:t>
      </w:r>
    </w:p>
    <w:p w14:paraId="65B955CF" w14:textId="605AEC66" w:rsidR="00C9151C" w:rsidRDefault="00C9151C" w:rsidP="005C5B9B">
      <w:pPr>
        <w:pStyle w:val="Orateurengris"/>
        <w:spacing w:before="120"/>
        <w:ind w:left="709" w:hanging="709"/>
      </w:pPr>
      <w:r>
        <w:t xml:space="preserve">Le </w:t>
      </w:r>
      <w:r w:rsidRPr="00C9151C">
        <w:rPr>
          <w:b/>
        </w:rPr>
        <w:t>Président</w:t>
      </w:r>
      <w:r>
        <w:t xml:space="preserve"> a demandé au Secrétariat si le paragraphe c</w:t>
      </w:r>
      <w:r w:rsidR="005C5B9B">
        <w:t>oncernait le groupe de travail.</w:t>
      </w:r>
    </w:p>
    <w:p w14:paraId="7F9A2C0D" w14:textId="00E41CE6" w:rsidR="00C9151C" w:rsidRDefault="00C9151C" w:rsidP="005C5B9B">
      <w:pPr>
        <w:pStyle w:val="Orateurengris"/>
        <w:spacing w:before="120"/>
        <w:ind w:left="709" w:hanging="709"/>
      </w:pPr>
      <w:r>
        <w:t xml:space="preserve">Le </w:t>
      </w:r>
      <w:r w:rsidRPr="00C9151C">
        <w:rPr>
          <w:b/>
        </w:rPr>
        <w:t>Secrétaire</w:t>
      </w:r>
      <w:r>
        <w:t xml:space="preserve"> avait cru comprendre que le paragraphe ne concernait pas le groupe de travail mais était un ra</w:t>
      </w:r>
      <w:r w:rsidR="005C5B9B">
        <w:t>ppel des pratiques antérieures.</w:t>
      </w:r>
    </w:p>
    <w:p w14:paraId="27C01148" w14:textId="78450303" w:rsidR="00C9151C" w:rsidRDefault="00C9151C" w:rsidP="005C5B9B">
      <w:pPr>
        <w:pStyle w:val="Orateurengris"/>
        <w:spacing w:before="120"/>
        <w:ind w:left="709" w:hanging="709"/>
      </w:pPr>
      <w:r>
        <w:t xml:space="preserve">La délégation de </w:t>
      </w:r>
      <w:r w:rsidRPr="00C9151C">
        <w:rPr>
          <w:b/>
        </w:rPr>
        <w:t>Cuba</w:t>
      </w:r>
      <w:r>
        <w:t xml:space="preserve"> a insisté pour rappeler que ce n</w:t>
      </w:r>
      <w:r w:rsidR="00346F1B">
        <w:t>’</w:t>
      </w:r>
      <w:r>
        <w:t>était pas le lieu pour un tel paragraphe car il ne s</w:t>
      </w:r>
      <w:r w:rsidR="00346F1B">
        <w:t>’</w:t>
      </w:r>
      <w:r>
        <w:t>agissait pas d</w:t>
      </w:r>
      <w:r w:rsidR="00346F1B">
        <w:t>’</w:t>
      </w:r>
      <w:r>
        <w:t>une décision mais d</w:t>
      </w:r>
      <w:r w:rsidR="00346F1B">
        <w:t>’</w:t>
      </w:r>
      <w:r>
        <w:t xml:space="preserve">un rappel du mandat du Comité. </w:t>
      </w:r>
      <w:r w:rsidR="003515BD">
        <w:t xml:space="preserve">La question pouvait être consignée dans le compte-rendu de la session et abordée par le groupe de </w:t>
      </w:r>
      <w:r w:rsidR="005C5B9B">
        <w:t>travail.</w:t>
      </w:r>
    </w:p>
    <w:p w14:paraId="6821B56C" w14:textId="0AD8236A" w:rsidR="003515BD" w:rsidRDefault="003515BD" w:rsidP="005C5B9B">
      <w:pPr>
        <w:pStyle w:val="Orateurengris"/>
        <w:spacing w:before="120"/>
        <w:ind w:left="709" w:hanging="709"/>
      </w:pPr>
      <w:r>
        <w:t xml:space="preserve">La délégation de la </w:t>
      </w:r>
      <w:r w:rsidRPr="003515BD">
        <w:rPr>
          <w:b/>
        </w:rPr>
        <w:t>Palestine</w:t>
      </w:r>
      <w:r>
        <w:t xml:space="preserve"> n</w:t>
      </w:r>
      <w:r w:rsidR="00346F1B">
        <w:t>’</w:t>
      </w:r>
      <w:r>
        <w:t>avait pas le sentiment qu</w:t>
      </w:r>
      <w:r w:rsidR="00346F1B">
        <w:t>’</w:t>
      </w:r>
      <w:r>
        <w:t>il soit nécessaire de rappeler au Comité une règle qui figurait déjà dans le Règlement intérieur, et qui ne ferait qu</w:t>
      </w:r>
      <w:r w:rsidR="00346F1B">
        <w:t>’</w:t>
      </w:r>
      <w:r>
        <w:t>ouvrir la voie à de nombreux autres rappels. La délégation était donc d</w:t>
      </w:r>
      <w:r w:rsidR="00346F1B">
        <w:t>’</w:t>
      </w:r>
      <w:r w:rsidR="005C5B9B">
        <w:t>accord avec Cuba.</w:t>
      </w:r>
    </w:p>
    <w:p w14:paraId="527F5E58" w14:textId="673FBA11" w:rsidR="003515BD" w:rsidRDefault="003515BD" w:rsidP="005C5B9B">
      <w:pPr>
        <w:pStyle w:val="Orateurengris"/>
        <w:spacing w:before="120"/>
        <w:ind w:left="709" w:hanging="709"/>
      </w:pPr>
      <w:r>
        <w:t xml:space="preserve">La délégation de la </w:t>
      </w:r>
      <w:r w:rsidRPr="003515BD">
        <w:rPr>
          <w:b/>
        </w:rPr>
        <w:t>Côte d</w:t>
      </w:r>
      <w:r w:rsidR="00346F1B">
        <w:rPr>
          <w:b/>
        </w:rPr>
        <w:t>’</w:t>
      </w:r>
      <w:r w:rsidRPr="003515BD">
        <w:rPr>
          <w:b/>
        </w:rPr>
        <w:t>Ivoire</w:t>
      </w:r>
      <w:r>
        <w:t xml:space="preserve"> a fait remarquer que le paragraphe était un rappel des méthodes de travail du Comité, méthodes que le Président rappelait au début des délibérations du Comité. Le paragraphe n</w:t>
      </w:r>
      <w:r w:rsidR="00346F1B">
        <w:t>’</w:t>
      </w:r>
      <w:r>
        <w:t>était donc pas nécessaire</w:t>
      </w:r>
      <w:r w:rsidR="005C5B9B">
        <w:t xml:space="preserve"> et pouvait être supprimé.</w:t>
      </w:r>
    </w:p>
    <w:p w14:paraId="3B79497B" w14:textId="2F9D3F58" w:rsidR="003515BD" w:rsidRDefault="003515BD" w:rsidP="005C5B9B">
      <w:pPr>
        <w:pStyle w:val="Orateurengris"/>
        <w:spacing w:before="120"/>
        <w:ind w:left="709" w:hanging="709"/>
      </w:pPr>
      <w:r>
        <w:t>Préoccupé par le temps qui s</w:t>
      </w:r>
      <w:r w:rsidR="00346F1B">
        <w:t>’</w:t>
      </w:r>
      <w:r>
        <w:t xml:space="preserve">écoulait, le </w:t>
      </w:r>
      <w:r w:rsidRPr="003515BD">
        <w:rPr>
          <w:b/>
        </w:rPr>
        <w:t>Président</w:t>
      </w:r>
      <w:r>
        <w:t xml:space="preserve"> souhaitait que l</w:t>
      </w:r>
      <w:r w:rsidR="00346F1B">
        <w:t>’</w:t>
      </w:r>
      <w:r>
        <w:t xml:space="preserve">on parvienne à </w:t>
      </w:r>
      <w:r w:rsidR="005C5B9B">
        <w:t>un consensus sur le paragraphe.</w:t>
      </w:r>
    </w:p>
    <w:p w14:paraId="0CFFD74B" w14:textId="5C4C128E" w:rsidR="003515BD" w:rsidRDefault="003515BD" w:rsidP="005C5B9B">
      <w:pPr>
        <w:pStyle w:val="Orateurengris"/>
        <w:spacing w:before="120"/>
        <w:ind w:left="709" w:hanging="709"/>
      </w:pPr>
      <w:r>
        <w:t xml:space="preserve">La délégation du </w:t>
      </w:r>
      <w:r w:rsidRPr="003515BD">
        <w:rPr>
          <w:b/>
        </w:rPr>
        <w:t>Sénégal</w:t>
      </w:r>
      <w:r>
        <w:t xml:space="preserve"> était d</w:t>
      </w:r>
      <w:r w:rsidR="00346F1B">
        <w:t>’</w:t>
      </w:r>
      <w:r>
        <w:t>accord avec le Président, le débat se prolongeait sans raison. Elle soutenait</w:t>
      </w:r>
      <w:r w:rsidR="005C5B9B">
        <w:t xml:space="preserve"> la proposition de Cuba.</w:t>
      </w:r>
    </w:p>
    <w:p w14:paraId="48267E26" w14:textId="7D0C7A98" w:rsidR="003515BD" w:rsidRDefault="003515BD" w:rsidP="005C5B9B">
      <w:pPr>
        <w:pStyle w:val="Orateurengris"/>
        <w:spacing w:before="120"/>
        <w:ind w:left="709" w:hanging="709"/>
      </w:pPr>
      <w:r>
        <w:t>La délégation de l</w:t>
      </w:r>
      <w:r w:rsidR="00346F1B">
        <w:t>’</w:t>
      </w:r>
      <w:r w:rsidRPr="003515BD">
        <w:rPr>
          <w:b/>
        </w:rPr>
        <w:t>Autriche</w:t>
      </w:r>
      <w:r>
        <w:t xml:space="preserve"> a retiré son amendement.</w:t>
      </w:r>
    </w:p>
    <w:p w14:paraId="0E0DCEB9" w14:textId="15FD2B51" w:rsidR="003515BD" w:rsidRDefault="00E8520B" w:rsidP="005C5B9B">
      <w:pPr>
        <w:pStyle w:val="Orateurengris"/>
        <w:spacing w:before="120"/>
        <w:ind w:left="709" w:hanging="709"/>
      </w:pPr>
      <w:r>
        <w:t xml:space="preserve">Le </w:t>
      </w:r>
      <w:r w:rsidRPr="00E8520B">
        <w:rPr>
          <w:b/>
        </w:rPr>
        <w:t>Président</w:t>
      </w:r>
      <w:r>
        <w:t xml:space="preserve"> a procédé à l</w:t>
      </w:r>
      <w:r w:rsidR="00346F1B">
        <w:t>’</w:t>
      </w:r>
      <w:r>
        <w:t xml:space="preserve">adoption paragraphe par paragraphe des paragraphes 16 à 26. Ils ont tous été </w:t>
      </w:r>
      <w:r w:rsidR="008052AC">
        <w:t>dûment</w:t>
      </w:r>
      <w:r>
        <w:t xml:space="preserve"> adoptés. Il est ensuite passé à l</w:t>
      </w:r>
      <w:r w:rsidR="00346F1B">
        <w:t>’</w:t>
      </w:r>
      <w:r>
        <w:t>adoption du projet de décision dans son ensemble et, en l</w:t>
      </w:r>
      <w:r w:rsidR="00346F1B">
        <w:t>’</w:t>
      </w:r>
      <w:r>
        <w:t>absence d</w:t>
      </w:r>
      <w:r w:rsidR="00346F1B">
        <w:t>’</w:t>
      </w:r>
      <w:r>
        <w:t xml:space="preserve">autres commentaires ou objections, le </w:t>
      </w:r>
      <w:r w:rsidRPr="00E8520B">
        <w:rPr>
          <w:b/>
        </w:rPr>
        <w:t>Président a déclaré la décision 11.COM 10 adoptée</w:t>
      </w:r>
      <w:r w:rsidR="005C5B9B">
        <w:t>.</w:t>
      </w:r>
    </w:p>
    <w:p w14:paraId="0A6822D6" w14:textId="658764B1" w:rsidR="00E8520B" w:rsidRPr="00E8520B" w:rsidRDefault="00E8520B" w:rsidP="00B871FF">
      <w:pPr>
        <w:pStyle w:val="Orateurengris"/>
        <w:spacing w:before="120"/>
        <w:ind w:left="709" w:hanging="709"/>
      </w:pPr>
      <w:r w:rsidRPr="00E8520B">
        <w:t xml:space="preserve">Le </w:t>
      </w:r>
      <w:r w:rsidRPr="00E8520B">
        <w:rPr>
          <w:b/>
        </w:rPr>
        <w:t>Secrétaire</w:t>
      </w:r>
      <w:r w:rsidRPr="00E8520B">
        <w:t xml:space="preserve"> a attiré l</w:t>
      </w:r>
      <w:r w:rsidR="00346F1B">
        <w:t>’</w:t>
      </w:r>
      <w:r w:rsidRPr="00E8520B">
        <w:t>attention</w:t>
      </w:r>
      <w:r>
        <w:t xml:space="preserve"> du Comité sur les points tout à fait essentiels qui devaient encore être adoptés, y compris l</w:t>
      </w:r>
      <w:r w:rsidR="00346F1B">
        <w:t>’</w:t>
      </w:r>
      <w:r>
        <w:t>élection des membres de l</w:t>
      </w:r>
      <w:r w:rsidR="00346F1B">
        <w:t>’</w:t>
      </w:r>
      <w:r>
        <w:t>Organe d</w:t>
      </w:r>
      <w:r w:rsidR="00346F1B">
        <w:t>’</w:t>
      </w:r>
      <w:r>
        <w:t>évaluation. Le Secrétaire a suggéré de passer immédiatement au vote afin que les voix puissent être comptées pendant l</w:t>
      </w:r>
      <w:r w:rsidR="00346F1B">
        <w:t>’</w:t>
      </w:r>
      <w:r w:rsidR="005C5B9B">
        <w:t>heure du déjeuner.</w:t>
      </w:r>
    </w:p>
    <w:p w14:paraId="754FD068" w14:textId="4ED5D08C" w:rsidR="008E3139" w:rsidRPr="00E8520B" w:rsidRDefault="00E8520B" w:rsidP="00B871FF">
      <w:pPr>
        <w:pStyle w:val="Orateurengris"/>
        <w:numPr>
          <w:ilvl w:val="0"/>
          <w:numId w:val="0"/>
        </w:numPr>
        <w:spacing w:before="360" w:after="60"/>
        <w:contextualSpacing/>
        <w:outlineLvl w:val="0"/>
        <w:rPr>
          <w:rFonts w:eastAsia="Cambria"/>
          <w:b/>
          <w:u w:val="single"/>
        </w:rPr>
      </w:pPr>
      <w:bookmarkStart w:id="63" w:name="Item11"/>
      <w:r w:rsidRPr="00E8520B">
        <w:rPr>
          <w:b/>
          <w:u w:val="single"/>
        </w:rPr>
        <w:t>POINT 11 DE L</w:t>
      </w:r>
      <w:r w:rsidR="00346F1B">
        <w:rPr>
          <w:b/>
          <w:u w:val="single"/>
        </w:rPr>
        <w:t>’</w:t>
      </w:r>
      <w:r w:rsidRPr="00E8520B">
        <w:rPr>
          <w:b/>
          <w:u w:val="single"/>
        </w:rPr>
        <w:t>ORDRE DU JOUR</w:t>
      </w:r>
    </w:p>
    <w:bookmarkEnd w:id="63"/>
    <w:p w14:paraId="35267879" w14:textId="1FE88988" w:rsidR="007719B5" w:rsidRPr="00E8520B" w:rsidRDefault="00E8520B" w:rsidP="00B871FF">
      <w:pPr>
        <w:pStyle w:val="Orateurengris"/>
        <w:numPr>
          <w:ilvl w:val="0"/>
          <w:numId w:val="0"/>
        </w:numPr>
        <w:contextualSpacing/>
        <w:outlineLvl w:val="0"/>
        <w:rPr>
          <w:rFonts w:eastAsiaTheme="minorEastAsia"/>
          <w:b/>
        </w:rPr>
      </w:pPr>
      <w:r w:rsidRPr="00E8520B">
        <w:rPr>
          <w:rFonts w:eastAsiaTheme="minorEastAsia"/>
          <w:b/>
        </w:rPr>
        <w:t>ÉTABLISSEMENT</w:t>
      </w:r>
      <w:r>
        <w:rPr>
          <w:rFonts w:eastAsiaTheme="minorEastAsia"/>
          <w:b/>
        </w:rPr>
        <w:t xml:space="preserve"> DE L</w:t>
      </w:r>
      <w:r w:rsidR="00346F1B">
        <w:rPr>
          <w:rFonts w:eastAsiaTheme="minorEastAsia"/>
          <w:b/>
        </w:rPr>
        <w:t>’</w:t>
      </w:r>
      <w:r>
        <w:rPr>
          <w:rFonts w:eastAsiaTheme="minorEastAsia"/>
          <w:b/>
        </w:rPr>
        <w:t>ORGANE D</w:t>
      </w:r>
      <w:r w:rsidR="00346F1B">
        <w:rPr>
          <w:rFonts w:eastAsiaTheme="minorEastAsia"/>
          <w:b/>
        </w:rPr>
        <w:t>’</w:t>
      </w:r>
      <w:r>
        <w:rPr>
          <w:rFonts w:eastAsiaTheme="minorEastAsia"/>
          <w:b/>
        </w:rPr>
        <w:t>ÉVALUATION POUR LE CYCLE 2017</w:t>
      </w:r>
    </w:p>
    <w:p w14:paraId="22B0F258" w14:textId="324250E7" w:rsidR="008E3139" w:rsidRPr="00E8520B" w:rsidRDefault="008E3139" w:rsidP="007719B5">
      <w:pPr>
        <w:pStyle w:val="Orateurengris"/>
        <w:numPr>
          <w:ilvl w:val="0"/>
          <w:numId w:val="0"/>
        </w:numPr>
        <w:spacing w:before="240" w:after="60"/>
        <w:rPr>
          <w:i/>
          <w:lang w:eastAsia="fr-FR"/>
        </w:rPr>
      </w:pPr>
      <w:r w:rsidRPr="00E8520B">
        <w:rPr>
          <w:rFonts w:eastAsiaTheme="minorEastAsia"/>
          <w:b/>
          <w:color w:val="323133"/>
          <w:lang w:eastAsia="ja-JP"/>
        </w:rPr>
        <w:tab/>
        <w:t>Document</w:t>
      </w:r>
      <w:r w:rsidRPr="00E8520B">
        <w:rPr>
          <w:b/>
        </w:rPr>
        <w:tab/>
      </w:r>
      <w:hyperlink r:id="rId46" w:history="1">
        <w:r w:rsidRPr="00E8520B">
          <w:rPr>
            <w:rStyle w:val="Hyperlink"/>
            <w:i/>
            <w:lang w:eastAsia="fr-FR"/>
          </w:rPr>
          <w:t>ITH/16/11.COM/11</w:t>
        </w:r>
      </w:hyperlink>
    </w:p>
    <w:p w14:paraId="794DE3B2" w14:textId="620D9135" w:rsidR="008E3139" w:rsidRPr="00E8520B" w:rsidRDefault="008E3139" w:rsidP="00B871FF">
      <w:pPr>
        <w:pStyle w:val="Orateurengris"/>
        <w:numPr>
          <w:ilvl w:val="0"/>
          <w:numId w:val="0"/>
        </w:numPr>
        <w:spacing w:before="60"/>
      </w:pPr>
      <w:r w:rsidRPr="00E8520B">
        <w:tab/>
      </w:r>
      <w:r w:rsidR="00E8520B">
        <w:rPr>
          <w:b/>
        </w:rPr>
        <w:t>Dé</w:t>
      </w:r>
      <w:r w:rsidRPr="00E8520B">
        <w:rPr>
          <w:b/>
        </w:rPr>
        <w:t>cision</w:t>
      </w:r>
      <w:r w:rsidRPr="00E8520B">
        <w:tab/>
      </w:r>
      <w:r w:rsidRPr="00E8520B">
        <w:rPr>
          <w:i/>
        </w:rPr>
        <w:t>11.COM 11</w:t>
      </w:r>
    </w:p>
    <w:p w14:paraId="428427B0" w14:textId="34E16C68" w:rsidR="00E8520B" w:rsidRPr="00E8520B" w:rsidRDefault="00F23047" w:rsidP="00B871FF">
      <w:pPr>
        <w:pStyle w:val="Orateurengris"/>
        <w:spacing w:before="120"/>
        <w:ind w:left="709" w:hanging="709"/>
      </w:pPr>
      <w:r>
        <w:t xml:space="preserve">Après avoir introduit le point 11, le </w:t>
      </w:r>
      <w:r w:rsidRPr="0082064A">
        <w:rPr>
          <w:b/>
        </w:rPr>
        <w:t>Secrétaire</w:t>
      </w:r>
      <w:r>
        <w:t xml:space="preserve"> a invité le Comité à adopter les termes de référence de l</w:t>
      </w:r>
      <w:r w:rsidR="00346F1B">
        <w:t>’</w:t>
      </w:r>
      <w:r>
        <w:t>Organe d</w:t>
      </w:r>
      <w:r w:rsidR="00346F1B">
        <w:t>’</w:t>
      </w:r>
      <w:r>
        <w:t>évaluation, présentés dans l</w:t>
      </w:r>
      <w:r w:rsidR="00346F1B">
        <w:t>’</w:t>
      </w:r>
      <w:r>
        <w:t>annexe 1 du document de travail 11, qui stipulaient que le Comité était désormais en charge de l</w:t>
      </w:r>
      <w:r w:rsidR="00346F1B">
        <w:t>’</w:t>
      </w:r>
      <w:r>
        <w:t>examen des demandes d</w:t>
      </w:r>
      <w:r w:rsidR="00346F1B">
        <w:t>’</w:t>
      </w:r>
      <w:r>
        <w:t>assistance internationale d</w:t>
      </w:r>
      <w:r w:rsidR="00346F1B">
        <w:t>’</w:t>
      </w:r>
      <w:r>
        <w:t>un montant supérieur à 100</w:t>
      </w:r>
      <w:r w:rsidR="00346F1B">
        <w:t> 000</w:t>
      </w:r>
      <w:r>
        <w:t xml:space="preserve"> dollars des États-Unis. L</w:t>
      </w:r>
      <w:r w:rsidR="00346F1B">
        <w:t>’</w:t>
      </w:r>
      <w:r>
        <w:t>option de renvoi déjà appliquée à la Liste représentative, s</w:t>
      </w:r>
      <w:r w:rsidR="00346F1B">
        <w:t>’</w:t>
      </w:r>
      <w:r>
        <w:t>appliquait également à la Liste de sauvegarde urgente, au Registre des meilleures pratiques de sauvegarde et aux demandes d</w:t>
      </w:r>
      <w:r w:rsidR="00346F1B">
        <w:t>’</w:t>
      </w:r>
      <w:r>
        <w:t>assistance internationale. En outre, l</w:t>
      </w:r>
      <w:r w:rsidR="00346F1B">
        <w:t>’</w:t>
      </w:r>
      <w:r>
        <w:t>Organe d</w:t>
      </w:r>
      <w:r w:rsidR="00346F1B">
        <w:t>’</w:t>
      </w:r>
      <w:r>
        <w:t xml:space="preserve">évaluation évaluerait un cas spécial, conformément à la décision 10. COM </w:t>
      </w:r>
      <w:r w:rsidR="0082064A">
        <w:t>1</w:t>
      </w:r>
      <w:r>
        <w:t xml:space="preserve">9, concernant une demande du Viet Nam visant à transférer un élément de la Liste de sauvegarde urgente à la Liste représentative. </w:t>
      </w:r>
      <w:r w:rsidR="0082064A">
        <w:t>Conformément à la décision 9.COM 11, l</w:t>
      </w:r>
      <w:r>
        <w:t>e Comité</w:t>
      </w:r>
      <w:r w:rsidR="0082064A">
        <w:t xml:space="preserve"> était donc invité à nommer deux experts et une ONG : </w:t>
      </w:r>
      <w:r>
        <w:t>un expert du groupe électoral III et un expert du groupe électoral IV, ainsi qu</w:t>
      </w:r>
      <w:r w:rsidR="00346F1B">
        <w:t>’</w:t>
      </w:r>
      <w:r>
        <w:t xml:space="preserve">une ONG du groupe électoral V(b). </w:t>
      </w:r>
      <w:r w:rsidR="0082064A">
        <w:t>Il était également demandé au Comité de renommer les neuf experts élus les années précédentes ; les candidats étaient proposés au Président de chaque groupe électoral. Conformément à la décision 9.COM 11, les États étaient encouragés à veiller à ce qu</w:t>
      </w:r>
      <w:r w:rsidR="00346F1B">
        <w:t>’</w:t>
      </w:r>
      <w:r w:rsidR="0082064A">
        <w:t>au moins deux candidatures soient proposées, et trois au maximum. Le Secrétaire a informé le Comité qu</w:t>
      </w:r>
      <w:r w:rsidR="00346F1B">
        <w:t>’</w:t>
      </w:r>
      <w:r w:rsidR="0082064A">
        <w:t>un candidat du groupe électoral III s</w:t>
      </w:r>
      <w:r w:rsidR="00346F1B">
        <w:t>’</w:t>
      </w:r>
      <w:r w:rsidR="0082064A">
        <w:t>était retiré le 1</w:t>
      </w:r>
      <w:r w:rsidR="0082064A" w:rsidRPr="0082064A">
        <w:rPr>
          <w:vertAlign w:val="superscript"/>
        </w:rPr>
        <w:t>er</w:t>
      </w:r>
      <w:r w:rsidR="0082064A">
        <w:t xml:space="preserve"> décembre, ce qui était repris dans le document révisé 11. La liste des candidats se trouvait dans l</w:t>
      </w:r>
      <w:r w:rsidR="00346F1B">
        <w:t>’</w:t>
      </w:r>
      <w:r w:rsidR="0082064A">
        <w:t>annexe 2 du document 11, avec les CV en ligne des experts et les demandes d</w:t>
      </w:r>
      <w:r w:rsidR="00346F1B">
        <w:t>’</w:t>
      </w:r>
      <w:r w:rsidR="00B871FF">
        <w:t>accréditation pour les ONG.</w:t>
      </w:r>
    </w:p>
    <w:p w14:paraId="11B973E9" w14:textId="2FEF63FE" w:rsidR="006D3D76" w:rsidRPr="006D3D76" w:rsidRDefault="0082064A" w:rsidP="00B871FF">
      <w:pPr>
        <w:pStyle w:val="Orateurengris"/>
        <w:spacing w:before="120"/>
        <w:ind w:left="709" w:hanging="709"/>
        <w:rPr>
          <w:rFonts w:cs="Times New Roman"/>
          <w:b/>
          <w:szCs w:val="24"/>
        </w:rPr>
      </w:pPr>
      <w:r w:rsidRPr="0082064A">
        <w:rPr>
          <w:rFonts w:cs="Times New Roman"/>
          <w:szCs w:val="24"/>
        </w:rPr>
        <w:t>Le</w:t>
      </w:r>
      <w:r>
        <w:rPr>
          <w:rFonts w:cs="Times New Roman"/>
          <w:b/>
          <w:szCs w:val="24"/>
        </w:rPr>
        <w:t xml:space="preserve"> Président </w:t>
      </w:r>
      <w:r>
        <w:rPr>
          <w:rFonts w:cs="Times New Roman"/>
          <w:szCs w:val="24"/>
        </w:rPr>
        <w:t xml:space="preserve">a proposé de procéder dans le même ordre que celui suivi par </w:t>
      </w:r>
      <w:r w:rsidR="006D3D76">
        <w:rPr>
          <w:rFonts w:cs="Times New Roman"/>
          <w:szCs w:val="24"/>
        </w:rPr>
        <w:t xml:space="preserve">le </w:t>
      </w:r>
      <w:r w:rsidR="006D3D76" w:rsidRPr="006D3D76">
        <w:rPr>
          <w:rFonts w:cs="Times New Roman"/>
          <w:szCs w:val="24"/>
        </w:rPr>
        <w:t>Secrétaire</w:t>
      </w:r>
      <w:r w:rsidR="006D3D76">
        <w:rPr>
          <w:rFonts w:cs="Times New Roman"/>
          <w:szCs w:val="24"/>
        </w:rPr>
        <w:t>, à savoir, examiner les termes de référence puis procéder à la nomination des trois nouveaux membres de l</w:t>
      </w:r>
      <w:r w:rsidR="00346F1B">
        <w:rPr>
          <w:rFonts w:cs="Times New Roman"/>
          <w:szCs w:val="24"/>
        </w:rPr>
        <w:t>’</w:t>
      </w:r>
      <w:r w:rsidR="006D3D76">
        <w:rPr>
          <w:rFonts w:cs="Times New Roman"/>
          <w:szCs w:val="24"/>
        </w:rPr>
        <w:t>Organe d</w:t>
      </w:r>
      <w:r w:rsidR="00346F1B">
        <w:rPr>
          <w:rFonts w:cs="Times New Roman"/>
          <w:szCs w:val="24"/>
        </w:rPr>
        <w:t>’</w:t>
      </w:r>
      <w:r w:rsidR="006D3D76">
        <w:rPr>
          <w:rFonts w:cs="Times New Roman"/>
          <w:szCs w:val="24"/>
        </w:rPr>
        <w:t>évaluation. Il a rappelé au Comité qu</w:t>
      </w:r>
      <w:r w:rsidR="00346F1B">
        <w:rPr>
          <w:rFonts w:cs="Times New Roman"/>
          <w:szCs w:val="24"/>
        </w:rPr>
        <w:t>’</w:t>
      </w:r>
      <w:r w:rsidR="006D3D76">
        <w:rPr>
          <w:rFonts w:cs="Times New Roman"/>
          <w:szCs w:val="24"/>
        </w:rPr>
        <w:t>en 2015, il avait adopté des amendements à son Règlement intérieur afin d</w:t>
      </w:r>
      <w:r w:rsidR="00346F1B">
        <w:rPr>
          <w:rFonts w:cs="Times New Roman"/>
          <w:szCs w:val="24"/>
        </w:rPr>
        <w:t>’</w:t>
      </w:r>
      <w:r w:rsidR="006D3D76">
        <w:rPr>
          <w:rFonts w:cs="Times New Roman"/>
          <w:szCs w:val="24"/>
        </w:rPr>
        <w:t xml:space="preserve">inclure des </w:t>
      </w:r>
      <w:r w:rsidR="006D3D76" w:rsidRPr="006D3D76">
        <w:rPr>
          <w:rFonts w:cs="Times New Roman"/>
          <w:szCs w:val="24"/>
        </w:rPr>
        <w:t>dispositions</w:t>
      </w:r>
      <w:r w:rsidR="006D3D76">
        <w:rPr>
          <w:rFonts w:cs="Times New Roman"/>
          <w:szCs w:val="24"/>
        </w:rPr>
        <w:t xml:space="preserve"> régissant le vote à scrutin secret, notamment l</w:t>
      </w:r>
      <w:r w:rsidR="00346F1B">
        <w:rPr>
          <w:rFonts w:cs="Times New Roman"/>
          <w:szCs w:val="24"/>
        </w:rPr>
        <w:t>’</w:t>
      </w:r>
      <w:r w:rsidR="006D3D76">
        <w:rPr>
          <w:rFonts w:cs="Times New Roman"/>
          <w:szCs w:val="24"/>
        </w:rPr>
        <w:t xml:space="preserve">article 39. </w:t>
      </w:r>
      <w:r w:rsidR="006D3D76" w:rsidRPr="006D3D76">
        <w:rPr>
          <w:rFonts w:cs="Times New Roman"/>
          <w:szCs w:val="24"/>
        </w:rPr>
        <w:t>Conformément</w:t>
      </w:r>
      <w:r w:rsidR="006D3D76">
        <w:rPr>
          <w:rFonts w:cs="Times New Roman"/>
          <w:szCs w:val="24"/>
        </w:rPr>
        <w:t xml:space="preserve"> à la section B de l</w:t>
      </w:r>
      <w:r w:rsidR="00346F1B">
        <w:rPr>
          <w:rFonts w:cs="Times New Roman"/>
          <w:szCs w:val="24"/>
        </w:rPr>
        <w:t>’</w:t>
      </w:r>
      <w:r w:rsidR="006D3D76">
        <w:rPr>
          <w:rFonts w:cs="Times New Roman"/>
          <w:szCs w:val="24"/>
        </w:rPr>
        <w:t>article 39, le vote se ferait à scrutin secret. Le Président a procédé à l</w:t>
      </w:r>
      <w:r w:rsidR="00346F1B">
        <w:rPr>
          <w:rFonts w:cs="Times New Roman"/>
          <w:szCs w:val="24"/>
        </w:rPr>
        <w:t>’</w:t>
      </w:r>
      <w:r w:rsidR="006D3D76">
        <w:rPr>
          <w:rFonts w:cs="Times New Roman"/>
          <w:szCs w:val="24"/>
        </w:rPr>
        <w:t>adoption des termes de référence de l</w:t>
      </w:r>
      <w:r w:rsidR="00346F1B">
        <w:rPr>
          <w:rFonts w:cs="Times New Roman"/>
          <w:szCs w:val="24"/>
        </w:rPr>
        <w:t>’</w:t>
      </w:r>
      <w:r w:rsidR="006D3D76">
        <w:rPr>
          <w:rFonts w:cs="Times New Roman"/>
          <w:szCs w:val="24"/>
        </w:rPr>
        <w:t>Organe d</w:t>
      </w:r>
      <w:r w:rsidR="00346F1B">
        <w:rPr>
          <w:rFonts w:cs="Times New Roman"/>
          <w:szCs w:val="24"/>
        </w:rPr>
        <w:t>’</w:t>
      </w:r>
      <w:r w:rsidR="006D3D76">
        <w:rPr>
          <w:rFonts w:cs="Times New Roman"/>
          <w:szCs w:val="24"/>
        </w:rPr>
        <w:t>évaluation, présentés dans l</w:t>
      </w:r>
      <w:r w:rsidR="00346F1B">
        <w:rPr>
          <w:rFonts w:cs="Times New Roman"/>
          <w:szCs w:val="24"/>
        </w:rPr>
        <w:t>’</w:t>
      </w:r>
      <w:r w:rsidR="006D3D76">
        <w:rPr>
          <w:rFonts w:cs="Times New Roman"/>
          <w:szCs w:val="24"/>
        </w:rPr>
        <w:t>annexe 1. En l</w:t>
      </w:r>
      <w:r w:rsidR="00346F1B">
        <w:rPr>
          <w:rFonts w:cs="Times New Roman"/>
          <w:szCs w:val="24"/>
        </w:rPr>
        <w:t>’</w:t>
      </w:r>
      <w:r w:rsidR="006D3D76">
        <w:rPr>
          <w:rFonts w:cs="Times New Roman"/>
          <w:szCs w:val="24"/>
        </w:rPr>
        <w:t>absence d</w:t>
      </w:r>
      <w:r w:rsidR="00346F1B">
        <w:rPr>
          <w:rFonts w:cs="Times New Roman"/>
          <w:szCs w:val="24"/>
        </w:rPr>
        <w:t>’</w:t>
      </w:r>
      <w:r w:rsidR="006D3D76">
        <w:rPr>
          <w:rFonts w:cs="Times New Roman"/>
          <w:szCs w:val="24"/>
        </w:rPr>
        <w:t xml:space="preserve">objections, les sept </w:t>
      </w:r>
      <w:r w:rsidR="006D3D76" w:rsidRPr="006D3D76">
        <w:rPr>
          <w:rFonts w:cs="Times New Roman"/>
          <w:szCs w:val="24"/>
        </w:rPr>
        <w:t>p</w:t>
      </w:r>
      <w:r w:rsidR="006D3D76">
        <w:rPr>
          <w:rFonts w:cs="Times New Roman"/>
          <w:szCs w:val="24"/>
        </w:rPr>
        <w:t xml:space="preserve">aragraphes et les termes de référence dans leur </w:t>
      </w:r>
      <w:r w:rsidR="006D3D76" w:rsidRPr="006D3D76">
        <w:rPr>
          <w:rFonts w:cs="Times New Roman"/>
          <w:szCs w:val="24"/>
        </w:rPr>
        <w:t>ensemble</w:t>
      </w:r>
      <w:r w:rsidR="00B871FF">
        <w:rPr>
          <w:rFonts w:cs="Times New Roman"/>
          <w:szCs w:val="24"/>
        </w:rPr>
        <w:t xml:space="preserve"> ont été adoptés.</w:t>
      </w:r>
    </w:p>
    <w:p w14:paraId="65369D06" w14:textId="24B5723A" w:rsidR="006D3D76" w:rsidRPr="00DC5A29" w:rsidRDefault="006D3D76" w:rsidP="00B871FF">
      <w:pPr>
        <w:pStyle w:val="Orateurengris"/>
        <w:tabs>
          <w:tab w:val="left" w:pos="4962"/>
        </w:tabs>
        <w:spacing w:before="120"/>
        <w:ind w:left="709" w:hanging="709"/>
        <w:rPr>
          <w:rFonts w:cs="Times New Roman"/>
          <w:b/>
          <w:szCs w:val="24"/>
        </w:rPr>
      </w:pPr>
      <w:r w:rsidRPr="00DC5A29">
        <w:rPr>
          <w:rFonts w:cs="Times New Roman"/>
          <w:szCs w:val="24"/>
        </w:rPr>
        <w:t xml:space="preserve">Le </w:t>
      </w:r>
      <w:r w:rsidRPr="00DC5A29">
        <w:rPr>
          <w:rFonts w:cs="Times New Roman"/>
          <w:b/>
          <w:szCs w:val="24"/>
        </w:rPr>
        <w:t>Secrétariat</w:t>
      </w:r>
      <w:r w:rsidRPr="00DC5A29">
        <w:rPr>
          <w:rFonts w:cs="Times New Roman"/>
          <w:szCs w:val="24"/>
        </w:rPr>
        <w:t xml:space="preserve"> a expliqué la procédure de vote par scrutin secret. Le Secrétariat</w:t>
      </w:r>
      <w:r w:rsidRPr="00DC5A29">
        <w:rPr>
          <w:rFonts w:cs="Times New Roman"/>
          <w:b/>
          <w:szCs w:val="24"/>
        </w:rPr>
        <w:t xml:space="preserve"> </w:t>
      </w:r>
      <w:r w:rsidRPr="00DC5A29">
        <w:rPr>
          <w:rFonts w:cs="Times New Roman"/>
          <w:szCs w:val="24"/>
        </w:rPr>
        <w:t>distribuerait trois bulletins à tous les Membres du Comité</w:t>
      </w:r>
      <w:r w:rsidR="009842A8" w:rsidRPr="00DC5A29">
        <w:rPr>
          <w:rFonts w:cs="Times New Roman"/>
          <w:szCs w:val="24"/>
        </w:rPr>
        <w:t xml:space="preserve"> : un pour chaque siège à pourvoir, et une enveloppe. Chaque membre devait </w:t>
      </w:r>
      <w:r w:rsidR="00586D25" w:rsidRPr="00DC5A29">
        <w:rPr>
          <w:rFonts w:cs="Times New Roman"/>
          <w:szCs w:val="24"/>
        </w:rPr>
        <w:t xml:space="preserve">se prononcer </w:t>
      </w:r>
      <w:r w:rsidR="009842A8" w:rsidRPr="00DC5A29">
        <w:rPr>
          <w:rFonts w:cs="Times New Roman"/>
          <w:szCs w:val="24"/>
        </w:rPr>
        <w:t>pour chacun des trois sièges à pourvoir, et pas uniquement pour le siège concernant son propre groupe électoral. Le candidat qui recueillerait le plus grand nombre de voix serait élu. Chaque bulletin portait le nom de tous les candidats à chaque siège. Il était dem</w:t>
      </w:r>
      <w:r w:rsidR="00F50C29" w:rsidRPr="00DC5A29">
        <w:rPr>
          <w:rFonts w:cs="Times New Roman"/>
          <w:szCs w:val="24"/>
        </w:rPr>
        <w:t>andé aux membres d</w:t>
      </w:r>
      <w:r w:rsidR="00346F1B">
        <w:rPr>
          <w:rFonts w:cs="Times New Roman"/>
          <w:szCs w:val="24"/>
        </w:rPr>
        <w:t>’</w:t>
      </w:r>
      <w:r w:rsidR="00F50C29" w:rsidRPr="00DC5A29">
        <w:rPr>
          <w:rFonts w:cs="Times New Roman"/>
          <w:szCs w:val="24"/>
        </w:rPr>
        <w:t>encercler le nom du candidat choisi</w:t>
      </w:r>
      <w:r w:rsidR="008A5E5E" w:rsidRPr="00DC5A29">
        <w:rPr>
          <w:rFonts w:cs="Times New Roman"/>
          <w:szCs w:val="24"/>
        </w:rPr>
        <w:t xml:space="preserve"> pour chaque siège à pourvoir</w:t>
      </w:r>
      <w:r w:rsidR="009842A8" w:rsidRPr="00DC5A29">
        <w:rPr>
          <w:rFonts w:cs="Times New Roman"/>
          <w:szCs w:val="24"/>
        </w:rPr>
        <w:t>, de plier les bulletins, de les placer dans l</w:t>
      </w:r>
      <w:r w:rsidR="00346F1B">
        <w:rPr>
          <w:rFonts w:cs="Times New Roman"/>
          <w:szCs w:val="24"/>
        </w:rPr>
        <w:t>’</w:t>
      </w:r>
      <w:r w:rsidR="009842A8" w:rsidRPr="00DC5A29">
        <w:rPr>
          <w:rFonts w:cs="Times New Roman"/>
          <w:szCs w:val="24"/>
        </w:rPr>
        <w:t xml:space="preserve">enveloppe </w:t>
      </w:r>
      <w:r w:rsidR="00F50C29" w:rsidRPr="00DC5A29">
        <w:rPr>
          <w:rFonts w:cs="Times New Roman"/>
          <w:szCs w:val="24"/>
        </w:rPr>
        <w:t xml:space="preserve">fournie </w:t>
      </w:r>
      <w:r w:rsidR="009842A8" w:rsidRPr="00DC5A29">
        <w:rPr>
          <w:rFonts w:cs="Times New Roman"/>
          <w:szCs w:val="24"/>
        </w:rPr>
        <w:t>et de la sceller</w:t>
      </w:r>
      <w:r w:rsidR="00F50C29" w:rsidRPr="00DC5A29">
        <w:rPr>
          <w:rFonts w:cs="Times New Roman"/>
          <w:szCs w:val="24"/>
        </w:rPr>
        <w:t xml:space="preserve">. Le </w:t>
      </w:r>
      <w:r w:rsidR="00B600B4" w:rsidRPr="00DC5A29">
        <w:rPr>
          <w:rFonts w:cs="Times New Roman"/>
          <w:szCs w:val="24"/>
        </w:rPr>
        <w:t>non-respect</w:t>
      </w:r>
      <w:r w:rsidR="00F50C29" w:rsidRPr="00DC5A29">
        <w:rPr>
          <w:rFonts w:cs="Times New Roman"/>
          <w:szCs w:val="24"/>
        </w:rPr>
        <w:t xml:space="preserve"> des instructions </w:t>
      </w:r>
      <w:r w:rsidR="00586D25" w:rsidRPr="00DC5A29">
        <w:rPr>
          <w:rFonts w:cs="Times New Roman"/>
          <w:szCs w:val="24"/>
        </w:rPr>
        <w:t xml:space="preserve">rendrait </w:t>
      </w:r>
      <w:r w:rsidR="00F50C29" w:rsidRPr="00DC5A29">
        <w:rPr>
          <w:rFonts w:cs="Times New Roman"/>
          <w:szCs w:val="24"/>
        </w:rPr>
        <w:t>le bulletin nul</w:t>
      </w:r>
      <w:r w:rsidR="008A5E5E" w:rsidRPr="00DC5A29">
        <w:rPr>
          <w:rFonts w:cs="Times New Roman"/>
          <w:szCs w:val="24"/>
        </w:rPr>
        <w:t>. Un appel nominal des membres serait fait lorsque les enveloppes pourraient être déposées dans l</w:t>
      </w:r>
      <w:r w:rsidR="00346F1B">
        <w:rPr>
          <w:rFonts w:cs="Times New Roman"/>
          <w:szCs w:val="24"/>
        </w:rPr>
        <w:t>’</w:t>
      </w:r>
      <w:r w:rsidR="00B871FF">
        <w:rPr>
          <w:rFonts w:cs="Times New Roman"/>
          <w:szCs w:val="24"/>
        </w:rPr>
        <w:t>urne sur la tribune.</w:t>
      </w:r>
    </w:p>
    <w:p w14:paraId="5F16A068" w14:textId="75881E78" w:rsidR="00586D25" w:rsidRPr="00586D25" w:rsidRDefault="00586D25" w:rsidP="00B871FF">
      <w:pPr>
        <w:pStyle w:val="Orateurengris"/>
        <w:spacing w:before="120"/>
        <w:ind w:left="709" w:hanging="709"/>
        <w:rPr>
          <w:rFonts w:cs="Times New Roman"/>
          <w:b/>
          <w:szCs w:val="24"/>
        </w:rPr>
      </w:pPr>
      <w:r w:rsidRPr="00586D25">
        <w:rPr>
          <w:rFonts w:cs="Times New Roman"/>
          <w:szCs w:val="24"/>
        </w:rPr>
        <w:t>La délégation de</w:t>
      </w:r>
      <w:r>
        <w:rPr>
          <w:rFonts w:cs="Times New Roman"/>
          <w:b/>
          <w:szCs w:val="24"/>
        </w:rPr>
        <w:t xml:space="preserve"> Cuba </w:t>
      </w:r>
      <w:r w:rsidRPr="00586D25">
        <w:rPr>
          <w:rFonts w:cs="Times New Roman"/>
          <w:szCs w:val="24"/>
        </w:rPr>
        <w:t>a demandé qui seraient les scrutateurs.</w:t>
      </w:r>
    </w:p>
    <w:p w14:paraId="0D16FA4F" w14:textId="34F0D53C" w:rsidR="00586D25" w:rsidRPr="00586D25" w:rsidRDefault="00586D25" w:rsidP="00B871FF">
      <w:pPr>
        <w:pStyle w:val="Orateurengris"/>
        <w:spacing w:before="120"/>
        <w:ind w:left="709" w:hanging="709"/>
        <w:rPr>
          <w:rFonts w:cs="Times New Roman"/>
          <w:b/>
          <w:szCs w:val="24"/>
        </w:rPr>
      </w:pPr>
      <w:r>
        <w:rPr>
          <w:rFonts w:cs="Times New Roman"/>
          <w:szCs w:val="24"/>
        </w:rPr>
        <w:t xml:space="preserve">Le </w:t>
      </w:r>
      <w:r w:rsidRPr="00586D25">
        <w:rPr>
          <w:rFonts w:cs="Times New Roman"/>
          <w:b/>
          <w:szCs w:val="24"/>
        </w:rPr>
        <w:t>Président</w:t>
      </w:r>
      <w:r>
        <w:rPr>
          <w:rFonts w:cs="Times New Roman"/>
          <w:szCs w:val="24"/>
        </w:rPr>
        <w:t xml:space="preserve"> a invité deux volontaires à assure</w:t>
      </w:r>
      <w:r w:rsidR="00B871FF">
        <w:rPr>
          <w:rFonts w:cs="Times New Roman"/>
          <w:szCs w:val="24"/>
        </w:rPr>
        <w:t>r les fonctions de scrutateurs.</w:t>
      </w:r>
    </w:p>
    <w:p w14:paraId="6CB272FE" w14:textId="7A95BF88" w:rsidR="00586D25" w:rsidRPr="00586D25" w:rsidRDefault="00586D25" w:rsidP="00B871FF">
      <w:pPr>
        <w:pStyle w:val="Orateurengris"/>
        <w:spacing w:before="120"/>
        <w:ind w:left="709" w:hanging="709"/>
        <w:rPr>
          <w:rFonts w:cs="Times New Roman"/>
          <w:b/>
          <w:szCs w:val="24"/>
        </w:rPr>
      </w:pPr>
      <w:r>
        <w:rPr>
          <w:rFonts w:cs="Times New Roman"/>
          <w:szCs w:val="24"/>
        </w:rPr>
        <w:t xml:space="preserve">La </w:t>
      </w:r>
      <w:r w:rsidRPr="00586D25">
        <w:rPr>
          <w:rFonts w:cs="Times New Roman"/>
          <w:szCs w:val="24"/>
        </w:rPr>
        <w:t>délégation</w:t>
      </w:r>
      <w:r>
        <w:rPr>
          <w:rFonts w:cs="Times New Roman"/>
          <w:szCs w:val="24"/>
        </w:rPr>
        <w:t xml:space="preserve"> de </w:t>
      </w:r>
      <w:r w:rsidRPr="00586D25">
        <w:rPr>
          <w:rFonts w:cs="Times New Roman"/>
          <w:b/>
          <w:szCs w:val="24"/>
        </w:rPr>
        <w:t>Cuba</w:t>
      </w:r>
      <w:r>
        <w:rPr>
          <w:rFonts w:cs="Times New Roman"/>
          <w:szCs w:val="24"/>
        </w:rPr>
        <w:t xml:space="preserve"> a demandé que les volontaires ne soient pas des représentants des groupes régionaux présentant des candidats, afin d</w:t>
      </w:r>
      <w:r w:rsidR="00346F1B">
        <w:rPr>
          <w:rFonts w:cs="Times New Roman"/>
          <w:szCs w:val="24"/>
        </w:rPr>
        <w:t>’</w:t>
      </w:r>
      <w:r>
        <w:rPr>
          <w:rFonts w:cs="Times New Roman"/>
          <w:szCs w:val="24"/>
        </w:rPr>
        <w:t>éviter tout conflit d</w:t>
      </w:r>
      <w:r w:rsidR="00346F1B">
        <w:rPr>
          <w:rFonts w:cs="Times New Roman"/>
          <w:szCs w:val="24"/>
        </w:rPr>
        <w:t>’</w:t>
      </w:r>
      <w:r w:rsidR="00B871FF">
        <w:rPr>
          <w:rFonts w:cs="Times New Roman"/>
          <w:szCs w:val="24"/>
        </w:rPr>
        <w:t>intérêt.</w:t>
      </w:r>
    </w:p>
    <w:p w14:paraId="7B2645A5" w14:textId="384371CD" w:rsidR="00586D25" w:rsidRPr="00586D25" w:rsidRDefault="00586D25" w:rsidP="00B871FF">
      <w:pPr>
        <w:pStyle w:val="Orateurengris"/>
        <w:spacing w:before="120"/>
        <w:ind w:left="709" w:hanging="709"/>
        <w:rPr>
          <w:rFonts w:cs="Times New Roman"/>
          <w:b/>
          <w:szCs w:val="24"/>
        </w:rPr>
      </w:pPr>
      <w:r>
        <w:rPr>
          <w:rFonts w:cs="Times New Roman"/>
          <w:szCs w:val="24"/>
        </w:rPr>
        <w:t xml:space="preserve">Le </w:t>
      </w:r>
      <w:r w:rsidRPr="00586D25">
        <w:rPr>
          <w:rFonts w:cs="Times New Roman"/>
          <w:b/>
          <w:szCs w:val="24"/>
        </w:rPr>
        <w:t>Président</w:t>
      </w:r>
      <w:r>
        <w:rPr>
          <w:rFonts w:cs="Times New Roman"/>
          <w:szCs w:val="24"/>
        </w:rPr>
        <w:t xml:space="preserve"> avait cru c</w:t>
      </w:r>
      <w:r w:rsidR="00B871FF">
        <w:rPr>
          <w:rFonts w:cs="Times New Roman"/>
          <w:szCs w:val="24"/>
        </w:rPr>
        <w:t>omprendre que ce serait le cas.</w:t>
      </w:r>
    </w:p>
    <w:p w14:paraId="17333DF4" w14:textId="3F1DA5B6" w:rsidR="00586D25" w:rsidRPr="00586D25" w:rsidRDefault="00586D25" w:rsidP="00B871FF">
      <w:pPr>
        <w:pStyle w:val="Orateurengris"/>
        <w:spacing w:before="120"/>
        <w:ind w:left="709" w:hanging="709"/>
        <w:rPr>
          <w:rFonts w:cs="Times New Roman"/>
          <w:b/>
          <w:szCs w:val="24"/>
        </w:rPr>
      </w:pPr>
      <w:r>
        <w:rPr>
          <w:rFonts w:cs="Times New Roman"/>
          <w:szCs w:val="24"/>
        </w:rPr>
        <w:t xml:space="preserve">La </w:t>
      </w:r>
      <w:r w:rsidRPr="00586D25">
        <w:rPr>
          <w:rFonts w:cs="Times New Roman"/>
          <w:szCs w:val="24"/>
        </w:rPr>
        <w:t>délégation</w:t>
      </w:r>
      <w:r>
        <w:rPr>
          <w:rFonts w:cs="Times New Roman"/>
          <w:szCs w:val="24"/>
        </w:rPr>
        <w:t xml:space="preserve"> de la </w:t>
      </w:r>
      <w:r w:rsidRPr="00586D25">
        <w:rPr>
          <w:rFonts w:cs="Times New Roman"/>
          <w:b/>
          <w:szCs w:val="24"/>
        </w:rPr>
        <w:t>Palestine</w:t>
      </w:r>
      <w:r>
        <w:rPr>
          <w:rFonts w:cs="Times New Roman"/>
          <w:szCs w:val="24"/>
        </w:rPr>
        <w:t xml:space="preserve"> a proposé que la Hongrie et l</w:t>
      </w:r>
      <w:r w:rsidR="00346F1B">
        <w:rPr>
          <w:rFonts w:cs="Times New Roman"/>
          <w:szCs w:val="24"/>
        </w:rPr>
        <w:t>’</w:t>
      </w:r>
      <w:r w:rsidRPr="00586D25">
        <w:t>Éthiopie</w:t>
      </w:r>
      <w:r>
        <w:rPr>
          <w:rFonts w:cs="Times New Roman"/>
          <w:szCs w:val="24"/>
        </w:rPr>
        <w:t xml:space="preserve"> soient scrutateurs.</w:t>
      </w:r>
    </w:p>
    <w:p w14:paraId="53DA6629" w14:textId="35CECAB2" w:rsidR="007A300E" w:rsidRPr="007A300E" w:rsidRDefault="00586D25" w:rsidP="00B871FF">
      <w:pPr>
        <w:pStyle w:val="Orateurengris"/>
        <w:spacing w:before="120"/>
        <w:ind w:left="709" w:hanging="709"/>
        <w:rPr>
          <w:rFonts w:cs="Times New Roman"/>
          <w:szCs w:val="24"/>
        </w:rPr>
      </w:pPr>
      <w:r>
        <w:rPr>
          <w:rFonts w:cs="Times New Roman"/>
          <w:szCs w:val="24"/>
        </w:rPr>
        <w:t>En l</w:t>
      </w:r>
      <w:r w:rsidR="00346F1B">
        <w:rPr>
          <w:rFonts w:cs="Times New Roman"/>
          <w:szCs w:val="24"/>
        </w:rPr>
        <w:t>’</w:t>
      </w:r>
      <w:r>
        <w:rPr>
          <w:rFonts w:cs="Times New Roman"/>
          <w:szCs w:val="24"/>
        </w:rPr>
        <w:t>absence d</w:t>
      </w:r>
      <w:r w:rsidR="00346F1B">
        <w:rPr>
          <w:rFonts w:cs="Times New Roman"/>
          <w:szCs w:val="24"/>
        </w:rPr>
        <w:t>’</w:t>
      </w:r>
      <w:r w:rsidRPr="00586D25">
        <w:rPr>
          <w:rFonts w:cs="Times New Roman"/>
          <w:szCs w:val="24"/>
        </w:rPr>
        <w:t>objections</w:t>
      </w:r>
      <w:r>
        <w:rPr>
          <w:rFonts w:cs="Times New Roman"/>
          <w:szCs w:val="24"/>
        </w:rPr>
        <w:t xml:space="preserve">, le </w:t>
      </w:r>
      <w:r w:rsidRPr="00586D25">
        <w:rPr>
          <w:rFonts w:cs="Times New Roman"/>
          <w:b/>
          <w:szCs w:val="24"/>
        </w:rPr>
        <w:t>Président</w:t>
      </w:r>
      <w:r>
        <w:rPr>
          <w:rFonts w:cs="Times New Roman"/>
          <w:szCs w:val="24"/>
        </w:rPr>
        <w:t xml:space="preserve"> a invité la Hongrie et l</w:t>
      </w:r>
      <w:r w:rsidR="00346F1B">
        <w:rPr>
          <w:rFonts w:cs="Times New Roman"/>
          <w:szCs w:val="24"/>
        </w:rPr>
        <w:t>’</w:t>
      </w:r>
      <w:r w:rsidRPr="00586D25">
        <w:t>Éthiopie</w:t>
      </w:r>
      <w:r>
        <w:rPr>
          <w:rFonts w:cs="Times New Roman"/>
          <w:szCs w:val="24"/>
        </w:rPr>
        <w:t xml:space="preserve"> à se rendre sur la tribune, et a demandé aux membres du Comité de bien vouloir confirmer qu</w:t>
      </w:r>
      <w:r w:rsidR="00346F1B">
        <w:rPr>
          <w:rFonts w:cs="Times New Roman"/>
          <w:szCs w:val="24"/>
        </w:rPr>
        <w:t>’</w:t>
      </w:r>
      <w:r>
        <w:rPr>
          <w:rFonts w:cs="Times New Roman"/>
          <w:szCs w:val="24"/>
        </w:rPr>
        <w:t>ils avaient reçu l</w:t>
      </w:r>
      <w:r w:rsidR="00B871FF">
        <w:rPr>
          <w:rFonts w:cs="Times New Roman"/>
          <w:szCs w:val="24"/>
        </w:rPr>
        <w:t>es bulletins et les enveloppes.</w:t>
      </w:r>
    </w:p>
    <w:p w14:paraId="124B568B" w14:textId="32BD8656" w:rsidR="00D464DB" w:rsidRPr="00D464DB" w:rsidRDefault="00D464DB" w:rsidP="00B871FF">
      <w:pPr>
        <w:pStyle w:val="Orateurengris"/>
        <w:spacing w:before="120"/>
        <w:ind w:left="709" w:hanging="709"/>
        <w:rPr>
          <w:rFonts w:cs="Times New Roman"/>
          <w:szCs w:val="24"/>
        </w:rPr>
      </w:pPr>
      <w:r>
        <w:rPr>
          <w:rFonts w:cs="Times New Roman"/>
          <w:szCs w:val="24"/>
        </w:rPr>
        <w:t xml:space="preserve">La </w:t>
      </w:r>
      <w:r w:rsidRPr="00D464DB">
        <w:rPr>
          <w:rFonts w:cs="Times New Roman"/>
          <w:szCs w:val="24"/>
        </w:rPr>
        <w:t>délégation</w:t>
      </w:r>
      <w:r>
        <w:rPr>
          <w:rFonts w:cs="Times New Roman"/>
          <w:szCs w:val="24"/>
        </w:rPr>
        <w:t xml:space="preserve"> de </w:t>
      </w:r>
      <w:r w:rsidRPr="00D464DB">
        <w:rPr>
          <w:rFonts w:cs="Times New Roman"/>
          <w:b/>
          <w:szCs w:val="24"/>
        </w:rPr>
        <w:t>Cuba</w:t>
      </w:r>
      <w:r>
        <w:rPr>
          <w:rFonts w:cs="Times New Roman"/>
          <w:szCs w:val="24"/>
        </w:rPr>
        <w:t xml:space="preserve"> souhaitait remercier le Mexique d</w:t>
      </w:r>
      <w:r w:rsidR="00346F1B">
        <w:rPr>
          <w:rFonts w:cs="Times New Roman"/>
          <w:szCs w:val="24"/>
        </w:rPr>
        <w:t>’</w:t>
      </w:r>
      <w:r>
        <w:rPr>
          <w:rFonts w:cs="Times New Roman"/>
          <w:szCs w:val="24"/>
        </w:rPr>
        <w:t xml:space="preserve">avoir retiré sa </w:t>
      </w:r>
      <w:r w:rsidRPr="00D464DB">
        <w:rPr>
          <w:rFonts w:cs="Times New Roman"/>
          <w:szCs w:val="24"/>
        </w:rPr>
        <w:t>candidature</w:t>
      </w:r>
      <w:r>
        <w:rPr>
          <w:rFonts w:cs="Times New Roman"/>
          <w:szCs w:val="24"/>
        </w:rPr>
        <w:t xml:space="preserve"> dans son groupe régional ; son geste permettait de parvenir à un consensus sur les noms présentés au sein du groupe.</w:t>
      </w:r>
    </w:p>
    <w:p w14:paraId="786BF8E1" w14:textId="75436107" w:rsidR="00D464DB" w:rsidRPr="00D464DB" w:rsidRDefault="00D464DB" w:rsidP="00B871FF">
      <w:pPr>
        <w:pStyle w:val="Orateurengris"/>
        <w:spacing w:before="120"/>
        <w:ind w:left="709" w:hanging="709"/>
        <w:rPr>
          <w:rFonts w:cs="Times New Roman"/>
          <w:szCs w:val="24"/>
        </w:rPr>
      </w:pPr>
      <w:r w:rsidRPr="00D464DB">
        <w:rPr>
          <w:rFonts w:cs="Times New Roman"/>
          <w:szCs w:val="24"/>
        </w:rPr>
        <w:t>La délégation</w:t>
      </w:r>
      <w:r>
        <w:rPr>
          <w:rFonts w:cs="Times New Roman"/>
          <w:szCs w:val="24"/>
        </w:rPr>
        <w:t xml:space="preserve"> de la </w:t>
      </w:r>
      <w:r w:rsidRPr="00D464DB">
        <w:rPr>
          <w:rFonts w:cs="Times New Roman"/>
          <w:b/>
          <w:szCs w:val="24"/>
        </w:rPr>
        <w:t>Colombie</w:t>
      </w:r>
      <w:r>
        <w:rPr>
          <w:rFonts w:cs="Times New Roman"/>
          <w:szCs w:val="24"/>
        </w:rPr>
        <w:t xml:space="preserve"> s</w:t>
      </w:r>
      <w:r w:rsidR="00346F1B">
        <w:rPr>
          <w:rFonts w:cs="Times New Roman"/>
          <w:szCs w:val="24"/>
        </w:rPr>
        <w:t>’</w:t>
      </w:r>
      <w:r>
        <w:rPr>
          <w:rFonts w:cs="Times New Roman"/>
          <w:szCs w:val="24"/>
        </w:rPr>
        <w:t>est jointe à Cuba pour remerc</w:t>
      </w:r>
      <w:r w:rsidR="00E44086">
        <w:rPr>
          <w:rFonts w:cs="Times New Roman"/>
          <w:szCs w:val="24"/>
        </w:rPr>
        <w:t>ier le Mexique d</w:t>
      </w:r>
      <w:r w:rsidR="00346F1B">
        <w:rPr>
          <w:rFonts w:cs="Times New Roman"/>
          <w:szCs w:val="24"/>
        </w:rPr>
        <w:t>’</w:t>
      </w:r>
      <w:r w:rsidR="00E44086">
        <w:rPr>
          <w:rFonts w:cs="Times New Roman"/>
          <w:szCs w:val="24"/>
        </w:rPr>
        <w:t>avoir permis de maintenir la</w:t>
      </w:r>
      <w:r w:rsidR="0008438E">
        <w:rPr>
          <w:rFonts w:cs="Times New Roman"/>
          <w:szCs w:val="24"/>
        </w:rPr>
        <w:t xml:space="preserve"> bonne ambiance </w:t>
      </w:r>
      <w:r w:rsidR="00E44086">
        <w:rPr>
          <w:rFonts w:cs="Times New Roman"/>
          <w:szCs w:val="24"/>
        </w:rPr>
        <w:t xml:space="preserve">au sein </w:t>
      </w:r>
      <w:r w:rsidR="00B871FF">
        <w:rPr>
          <w:rFonts w:cs="Times New Roman"/>
          <w:szCs w:val="24"/>
        </w:rPr>
        <w:t>du groupe.</w:t>
      </w:r>
    </w:p>
    <w:p w14:paraId="2A588CF3" w14:textId="30D2C146" w:rsidR="0008438E" w:rsidRPr="0008438E" w:rsidRDefault="0008438E" w:rsidP="00B871FF">
      <w:pPr>
        <w:pStyle w:val="Orateurengris"/>
        <w:spacing w:before="120"/>
        <w:ind w:left="709" w:hanging="709"/>
        <w:rPr>
          <w:rFonts w:cs="Times New Roman"/>
          <w:b/>
          <w:szCs w:val="24"/>
        </w:rPr>
      </w:pPr>
      <w:r>
        <w:rPr>
          <w:rFonts w:cs="Times New Roman"/>
          <w:szCs w:val="24"/>
        </w:rPr>
        <w:t xml:space="preserve">La </w:t>
      </w:r>
      <w:r w:rsidRPr="0008438E">
        <w:rPr>
          <w:rFonts w:cs="Times New Roman"/>
          <w:szCs w:val="24"/>
        </w:rPr>
        <w:t>délégation</w:t>
      </w:r>
      <w:r>
        <w:rPr>
          <w:rFonts w:cs="Times New Roman"/>
          <w:szCs w:val="24"/>
        </w:rPr>
        <w:t xml:space="preserve"> du </w:t>
      </w:r>
      <w:r w:rsidRPr="0008438E">
        <w:rPr>
          <w:rFonts w:cs="Times New Roman"/>
          <w:b/>
          <w:szCs w:val="24"/>
        </w:rPr>
        <w:t>Guatemala</w:t>
      </w:r>
      <w:r>
        <w:rPr>
          <w:rFonts w:cs="Times New Roman"/>
          <w:szCs w:val="24"/>
        </w:rPr>
        <w:t xml:space="preserve"> souhaitait </w:t>
      </w:r>
      <w:r w:rsidRPr="0008438E">
        <w:rPr>
          <w:rFonts w:cs="Times New Roman"/>
          <w:szCs w:val="24"/>
        </w:rPr>
        <w:t>également</w:t>
      </w:r>
      <w:r>
        <w:rPr>
          <w:rFonts w:cs="Times New Roman"/>
          <w:szCs w:val="24"/>
        </w:rPr>
        <w:t xml:space="preserve"> remercier le Mexique d</w:t>
      </w:r>
      <w:r w:rsidR="00346F1B">
        <w:rPr>
          <w:rFonts w:cs="Times New Roman"/>
          <w:szCs w:val="24"/>
        </w:rPr>
        <w:t>’</w:t>
      </w:r>
      <w:r>
        <w:rPr>
          <w:rFonts w:cs="Times New Roman"/>
          <w:szCs w:val="24"/>
        </w:rPr>
        <w:t>avoir préservé l</w:t>
      </w:r>
      <w:r w:rsidR="00346F1B">
        <w:rPr>
          <w:rFonts w:cs="Times New Roman"/>
          <w:szCs w:val="24"/>
        </w:rPr>
        <w:t>’</w:t>
      </w:r>
      <w:r>
        <w:rPr>
          <w:rFonts w:cs="Times New Roman"/>
          <w:szCs w:val="24"/>
        </w:rPr>
        <w:t>unité au sein de la régi</w:t>
      </w:r>
      <w:r w:rsidR="00B871FF">
        <w:rPr>
          <w:rFonts w:cs="Times New Roman"/>
          <w:szCs w:val="24"/>
        </w:rPr>
        <w:t>on Amérique latine et Caraïbes.</w:t>
      </w:r>
    </w:p>
    <w:p w14:paraId="76EFCD32" w14:textId="57276497" w:rsidR="0008438E" w:rsidRPr="0008438E" w:rsidRDefault="0008438E" w:rsidP="00B871FF">
      <w:pPr>
        <w:pStyle w:val="Orateurengris"/>
        <w:spacing w:before="120"/>
        <w:ind w:left="709" w:hanging="709"/>
        <w:rPr>
          <w:rFonts w:cs="Times New Roman"/>
          <w:b/>
          <w:szCs w:val="24"/>
        </w:rPr>
      </w:pPr>
      <w:r>
        <w:rPr>
          <w:rFonts w:cs="Times New Roman"/>
          <w:szCs w:val="24"/>
        </w:rPr>
        <w:t xml:space="preserve">La </w:t>
      </w:r>
      <w:r w:rsidRPr="0008438E">
        <w:rPr>
          <w:rFonts w:cs="Times New Roman"/>
          <w:szCs w:val="24"/>
        </w:rPr>
        <w:t>délégation</w:t>
      </w:r>
      <w:r>
        <w:rPr>
          <w:rFonts w:cs="Times New Roman"/>
          <w:szCs w:val="24"/>
        </w:rPr>
        <w:t xml:space="preserve"> de </w:t>
      </w:r>
      <w:r w:rsidRPr="0008438E">
        <w:rPr>
          <w:rFonts w:cs="Times New Roman"/>
          <w:b/>
          <w:szCs w:val="24"/>
        </w:rPr>
        <w:t>Sainte-Lucie</w:t>
      </w:r>
      <w:r>
        <w:rPr>
          <w:rFonts w:cs="Times New Roman"/>
          <w:szCs w:val="24"/>
        </w:rPr>
        <w:t xml:space="preserve"> s</w:t>
      </w:r>
      <w:r w:rsidR="00346F1B">
        <w:rPr>
          <w:rFonts w:cs="Times New Roman"/>
          <w:szCs w:val="24"/>
        </w:rPr>
        <w:t>’</w:t>
      </w:r>
      <w:r>
        <w:rPr>
          <w:rFonts w:cs="Times New Roman"/>
          <w:szCs w:val="24"/>
        </w:rPr>
        <w:t xml:space="preserve">est jointe à Cuba pour exprimer sa </w:t>
      </w:r>
      <w:r w:rsidRPr="0008438E">
        <w:rPr>
          <w:rFonts w:cs="Times New Roman"/>
          <w:szCs w:val="24"/>
        </w:rPr>
        <w:t>reconnaissance</w:t>
      </w:r>
      <w:r w:rsidR="00B871FF">
        <w:rPr>
          <w:rFonts w:cs="Times New Roman"/>
          <w:szCs w:val="24"/>
        </w:rPr>
        <w:t xml:space="preserve"> au Mexique.</w:t>
      </w:r>
    </w:p>
    <w:p w14:paraId="675C8464" w14:textId="5B2D25B9" w:rsidR="0008438E" w:rsidRPr="0008438E" w:rsidRDefault="0008438E" w:rsidP="00B871FF">
      <w:pPr>
        <w:pStyle w:val="Orateurengris"/>
        <w:spacing w:before="120"/>
        <w:ind w:left="709" w:hanging="709"/>
        <w:rPr>
          <w:rFonts w:cs="Times New Roman"/>
          <w:b/>
          <w:szCs w:val="24"/>
        </w:rPr>
      </w:pPr>
      <w:r>
        <w:rPr>
          <w:rFonts w:cs="Times New Roman"/>
          <w:szCs w:val="24"/>
        </w:rPr>
        <w:t xml:space="preserve">Le </w:t>
      </w:r>
      <w:r w:rsidRPr="0008438E">
        <w:rPr>
          <w:rFonts w:cs="Times New Roman"/>
          <w:b/>
          <w:szCs w:val="24"/>
        </w:rPr>
        <w:t>Président</w:t>
      </w:r>
      <w:r>
        <w:rPr>
          <w:rFonts w:cs="Times New Roman"/>
          <w:szCs w:val="24"/>
        </w:rPr>
        <w:t xml:space="preserve"> a accordé cinq minutes aux membres afin qu</w:t>
      </w:r>
      <w:r w:rsidR="00346F1B">
        <w:rPr>
          <w:rFonts w:cs="Times New Roman"/>
          <w:szCs w:val="24"/>
        </w:rPr>
        <w:t>’</w:t>
      </w:r>
      <w:r>
        <w:rPr>
          <w:rFonts w:cs="Times New Roman"/>
          <w:szCs w:val="24"/>
        </w:rPr>
        <w:t>ils encerclent les noms des candidats pour lesquels ils souhaitaient voter avant de procéder à l</w:t>
      </w:r>
      <w:r w:rsidR="00346F1B">
        <w:rPr>
          <w:rFonts w:cs="Times New Roman"/>
          <w:szCs w:val="24"/>
        </w:rPr>
        <w:t>’</w:t>
      </w:r>
      <w:r>
        <w:rPr>
          <w:rFonts w:cs="Times New Roman"/>
          <w:szCs w:val="24"/>
        </w:rPr>
        <w:t>appel à déposer les bulletins dans l</w:t>
      </w:r>
      <w:r w:rsidR="00346F1B">
        <w:rPr>
          <w:rFonts w:cs="Times New Roman"/>
          <w:szCs w:val="24"/>
        </w:rPr>
        <w:t>’</w:t>
      </w:r>
      <w:r w:rsidR="00B871FF">
        <w:rPr>
          <w:rFonts w:cs="Times New Roman"/>
          <w:szCs w:val="24"/>
        </w:rPr>
        <w:t>urne.</w:t>
      </w:r>
    </w:p>
    <w:p w14:paraId="520C11AF" w14:textId="3E93E5B1" w:rsidR="007975DD" w:rsidRPr="00E8520B" w:rsidRDefault="0008438E" w:rsidP="00B871FF">
      <w:pPr>
        <w:pStyle w:val="Orateurengris"/>
        <w:numPr>
          <w:ilvl w:val="0"/>
          <w:numId w:val="0"/>
        </w:numPr>
        <w:spacing w:before="120"/>
        <w:ind w:left="709" w:hanging="709"/>
        <w:jc w:val="center"/>
        <w:rPr>
          <w:rFonts w:cs="Times New Roman"/>
          <w:i/>
          <w:szCs w:val="24"/>
        </w:rPr>
      </w:pPr>
      <w:r>
        <w:rPr>
          <w:rFonts w:cs="Times New Roman"/>
          <w:i/>
          <w:szCs w:val="24"/>
        </w:rPr>
        <w:t>[P</w:t>
      </w:r>
      <w:r w:rsidR="007975DD" w:rsidRPr="00E8520B">
        <w:rPr>
          <w:rFonts w:cs="Times New Roman"/>
          <w:i/>
          <w:szCs w:val="24"/>
        </w:rPr>
        <w:t>ause</w:t>
      </w:r>
      <w:r>
        <w:rPr>
          <w:rFonts w:cs="Times New Roman"/>
          <w:i/>
          <w:szCs w:val="24"/>
        </w:rPr>
        <w:t xml:space="preserve"> de 5 minutes</w:t>
      </w:r>
      <w:r w:rsidR="007975DD" w:rsidRPr="00E8520B">
        <w:rPr>
          <w:rFonts w:cs="Times New Roman"/>
          <w:i/>
          <w:szCs w:val="24"/>
        </w:rPr>
        <w:t>]</w:t>
      </w:r>
    </w:p>
    <w:p w14:paraId="3627EBE7" w14:textId="0383BBFE" w:rsidR="0008438E" w:rsidRPr="0008438E" w:rsidRDefault="0008438E" w:rsidP="00B871FF">
      <w:pPr>
        <w:pStyle w:val="Orateurengris"/>
        <w:spacing w:before="120"/>
        <w:ind w:left="709" w:hanging="709"/>
        <w:rPr>
          <w:rFonts w:cs="Times New Roman"/>
          <w:b/>
          <w:szCs w:val="24"/>
        </w:rPr>
      </w:pPr>
      <w:r>
        <w:rPr>
          <w:rFonts w:cs="Times New Roman"/>
          <w:szCs w:val="24"/>
        </w:rPr>
        <w:t xml:space="preserve">Le </w:t>
      </w:r>
      <w:r w:rsidRPr="0008438E">
        <w:rPr>
          <w:rFonts w:cs="Times New Roman"/>
          <w:b/>
          <w:szCs w:val="24"/>
        </w:rPr>
        <w:t>Président</w:t>
      </w:r>
      <w:r>
        <w:rPr>
          <w:rFonts w:cs="Times New Roman"/>
          <w:szCs w:val="24"/>
        </w:rPr>
        <w:t xml:space="preserve"> a invité le Secrétariat à faire l</w:t>
      </w:r>
      <w:r w:rsidR="00346F1B">
        <w:rPr>
          <w:rFonts w:cs="Times New Roman"/>
          <w:szCs w:val="24"/>
        </w:rPr>
        <w:t>’</w:t>
      </w:r>
      <w:r>
        <w:rPr>
          <w:rFonts w:cs="Times New Roman"/>
          <w:szCs w:val="24"/>
        </w:rPr>
        <w:t xml:space="preserve">appel nominal des délégations en vue de recueillir </w:t>
      </w:r>
      <w:r w:rsidR="00B871FF">
        <w:rPr>
          <w:rFonts w:cs="Times New Roman"/>
          <w:szCs w:val="24"/>
        </w:rPr>
        <w:t>les bulletins de chaque membre.</w:t>
      </w:r>
    </w:p>
    <w:p w14:paraId="6720852A" w14:textId="0F8A7018" w:rsidR="0008438E" w:rsidRPr="0008438E" w:rsidRDefault="0008438E" w:rsidP="00B871FF">
      <w:pPr>
        <w:pStyle w:val="Orateurengris"/>
        <w:spacing w:before="120"/>
        <w:ind w:left="709" w:hanging="709"/>
        <w:rPr>
          <w:rFonts w:cs="Times New Roman"/>
          <w:b/>
          <w:szCs w:val="24"/>
        </w:rPr>
      </w:pPr>
      <w:r>
        <w:rPr>
          <w:rFonts w:cs="Times New Roman"/>
          <w:szCs w:val="24"/>
        </w:rPr>
        <w:t xml:space="preserve">Le </w:t>
      </w:r>
      <w:r w:rsidRPr="0008438E">
        <w:rPr>
          <w:rFonts w:cs="Times New Roman"/>
          <w:b/>
          <w:szCs w:val="24"/>
        </w:rPr>
        <w:t>Secrétariat</w:t>
      </w:r>
      <w:r>
        <w:rPr>
          <w:rFonts w:cs="Times New Roman"/>
          <w:b/>
          <w:szCs w:val="24"/>
        </w:rPr>
        <w:t xml:space="preserve"> </w:t>
      </w:r>
      <w:r>
        <w:rPr>
          <w:rFonts w:cs="Times New Roman"/>
          <w:szCs w:val="24"/>
        </w:rPr>
        <w:t xml:space="preserve">a enregistré les votes des </w:t>
      </w:r>
      <w:r w:rsidR="00E1313D">
        <w:rPr>
          <w:rFonts w:cs="Times New Roman"/>
          <w:szCs w:val="24"/>
        </w:rPr>
        <w:t>m</w:t>
      </w:r>
      <w:r>
        <w:rPr>
          <w:rFonts w:cs="Times New Roman"/>
          <w:szCs w:val="24"/>
        </w:rPr>
        <w:t xml:space="preserve">embres du Comité suivants : </w:t>
      </w:r>
      <w:r w:rsidR="00E1313D">
        <w:rPr>
          <w:rFonts w:cs="Times New Roman"/>
          <w:szCs w:val="24"/>
        </w:rPr>
        <w:t>Afghanistan, Algérie, Arménie, Autriche, Bulgarie, Colombie, Congo, Côte d</w:t>
      </w:r>
      <w:r w:rsidR="00346F1B">
        <w:rPr>
          <w:rFonts w:cs="Times New Roman"/>
          <w:szCs w:val="24"/>
        </w:rPr>
        <w:t>’</w:t>
      </w:r>
      <w:r w:rsidR="00E1313D">
        <w:rPr>
          <w:rFonts w:cs="Times New Roman"/>
          <w:szCs w:val="24"/>
        </w:rPr>
        <w:t xml:space="preserve">Ivoire, Cuba, Chypre, </w:t>
      </w:r>
      <w:r w:rsidR="00E1313D" w:rsidRPr="00E1313D">
        <w:t>Éthiopie</w:t>
      </w:r>
      <w:r w:rsidR="00E1313D">
        <w:rPr>
          <w:rFonts w:cs="Times New Roman"/>
          <w:szCs w:val="24"/>
        </w:rPr>
        <w:t>, Guatemala, Hongrie, Inde, Liban, Maurice, Mongolie, Palestine, Philippines, République de Corée, Sainte-Luc</w:t>
      </w:r>
      <w:r w:rsidR="00B871FF">
        <w:rPr>
          <w:rFonts w:cs="Times New Roman"/>
          <w:szCs w:val="24"/>
        </w:rPr>
        <w:t>ie, Sénégal, Turquie et Zambie.</w:t>
      </w:r>
    </w:p>
    <w:p w14:paraId="71E8BC92" w14:textId="3607C09E" w:rsidR="00E1313D" w:rsidRDefault="00E1313D" w:rsidP="00B871FF">
      <w:pPr>
        <w:pStyle w:val="Orateurengris"/>
        <w:spacing w:before="120"/>
        <w:ind w:left="709" w:hanging="709"/>
        <w:rPr>
          <w:rFonts w:cs="Times New Roman"/>
          <w:szCs w:val="24"/>
        </w:rPr>
      </w:pPr>
      <w:r>
        <w:rPr>
          <w:rFonts w:cs="Times New Roman"/>
          <w:szCs w:val="24"/>
        </w:rPr>
        <w:t xml:space="preserve">Toutes les enveloppes ayant été recueillies, le </w:t>
      </w:r>
      <w:r w:rsidRPr="00E1313D">
        <w:rPr>
          <w:rFonts w:cs="Times New Roman"/>
          <w:b/>
          <w:szCs w:val="24"/>
        </w:rPr>
        <w:t>Président</w:t>
      </w:r>
      <w:r>
        <w:rPr>
          <w:rFonts w:cs="Times New Roman"/>
          <w:szCs w:val="24"/>
        </w:rPr>
        <w:t xml:space="preserve"> a ajourné la session le temps du déjeuner.</w:t>
      </w:r>
    </w:p>
    <w:p w14:paraId="37B97331" w14:textId="4ADF7F28" w:rsidR="00CA5F42" w:rsidRPr="00E1313D" w:rsidRDefault="00E1313D" w:rsidP="002B4948">
      <w:pPr>
        <w:pStyle w:val="Orateurengris"/>
        <w:numPr>
          <w:ilvl w:val="0"/>
          <w:numId w:val="0"/>
        </w:numPr>
        <w:spacing w:before="120"/>
        <w:ind w:left="709" w:hanging="709"/>
        <w:jc w:val="center"/>
        <w:outlineLvl w:val="0"/>
        <w:rPr>
          <w:i/>
        </w:rPr>
      </w:pPr>
      <w:r w:rsidRPr="000A6378">
        <w:rPr>
          <w:rFonts w:eastAsia="Cambria"/>
          <w:i/>
        </w:rPr>
        <w:t>[</w:t>
      </w:r>
      <w:r w:rsidRPr="00E1313D">
        <w:rPr>
          <w:rFonts w:eastAsia="Cambria"/>
          <w:i/>
        </w:rPr>
        <w:t>Vendredi 2 décembre, séance de l</w:t>
      </w:r>
      <w:r w:rsidR="00346F1B">
        <w:rPr>
          <w:rFonts w:eastAsia="Cambria"/>
          <w:i/>
        </w:rPr>
        <w:t>’</w:t>
      </w:r>
      <w:r w:rsidRPr="00E1313D">
        <w:rPr>
          <w:rFonts w:eastAsia="Cambria"/>
          <w:i/>
        </w:rPr>
        <w:t>après-midi</w:t>
      </w:r>
      <w:r w:rsidR="008E3139" w:rsidRPr="00E1313D">
        <w:rPr>
          <w:i/>
        </w:rPr>
        <w:t>]</w:t>
      </w:r>
    </w:p>
    <w:p w14:paraId="0F3CF329" w14:textId="6CB50F60" w:rsidR="00E07088" w:rsidRPr="00E1313D" w:rsidRDefault="00E1313D" w:rsidP="00B871FF">
      <w:pPr>
        <w:pStyle w:val="Orateurengris"/>
        <w:numPr>
          <w:ilvl w:val="0"/>
          <w:numId w:val="0"/>
        </w:numPr>
        <w:spacing w:before="360" w:after="60"/>
        <w:ind w:left="567" w:hanging="567"/>
        <w:outlineLvl w:val="0"/>
        <w:rPr>
          <w:rFonts w:eastAsia="Cambria"/>
          <w:b/>
          <w:u w:val="single"/>
        </w:rPr>
      </w:pPr>
      <w:r>
        <w:rPr>
          <w:b/>
          <w:u w:val="single"/>
        </w:rPr>
        <w:t>POINT 11 DE L</w:t>
      </w:r>
      <w:r w:rsidR="00346F1B">
        <w:rPr>
          <w:b/>
          <w:u w:val="single"/>
        </w:rPr>
        <w:t>’</w:t>
      </w:r>
      <w:r w:rsidRPr="00E1313D">
        <w:rPr>
          <w:b/>
          <w:u w:val="single"/>
        </w:rPr>
        <w:t>ORDRE DU JOUR</w:t>
      </w:r>
      <w:r>
        <w:rPr>
          <w:b/>
          <w:u w:val="single"/>
        </w:rPr>
        <w:t xml:space="preserve"> (SUITE)</w:t>
      </w:r>
    </w:p>
    <w:p w14:paraId="0161565D" w14:textId="267359A2" w:rsidR="00E1313D" w:rsidRPr="00E1313D" w:rsidRDefault="00E1313D" w:rsidP="00B871FF">
      <w:pPr>
        <w:pStyle w:val="Orateurengris"/>
        <w:spacing w:before="120"/>
        <w:ind w:left="709" w:hanging="709"/>
        <w:rPr>
          <w:rFonts w:cs="Times New Roman"/>
          <w:szCs w:val="24"/>
        </w:rPr>
      </w:pPr>
      <w:r>
        <w:rPr>
          <w:rFonts w:cs="Times New Roman"/>
          <w:szCs w:val="24"/>
        </w:rPr>
        <w:t xml:space="preserve">Le </w:t>
      </w:r>
      <w:r w:rsidRPr="00E1313D">
        <w:rPr>
          <w:rFonts w:cs="Times New Roman"/>
          <w:b/>
          <w:szCs w:val="24"/>
        </w:rPr>
        <w:t>Président</w:t>
      </w:r>
      <w:r>
        <w:rPr>
          <w:rFonts w:cs="Times New Roman"/>
          <w:szCs w:val="24"/>
        </w:rPr>
        <w:t xml:space="preserve"> était heureux d</w:t>
      </w:r>
      <w:r w:rsidR="00346F1B">
        <w:rPr>
          <w:rFonts w:cs="Times New Roman"/>
          <w:szCs w:val="24"/>
        </w:rPr>
        <w:t>’</w:t>
      </w:r>
      <w:r>
        <w:rPr>
          <w:rFonts w:cs="Times New Roman"/>
          <w:szCs w:val="24"/>
        </w:rPr>
        <w:t>annoncer que le décompte des bulletins pour l</w:t>
      </w:r>
      <w:r w:rsidR="00346F1B">
        <w:rPr>
          <w:rFonts w:cs="Times New Roman"/>
          <w:szCs w:val="24"/>
        </w:rPr>
        <w:t>’</w:t>
      </w:r>
      <w:r>
        <w:rPr>
          <w:rFonts w:cs="Times New Roman"/>
          <w:szCs w:val="24"/>
        </w:rPr>
        <w:t>élection des nouveaux membres de l</w:t>
      </w:r>
      <w:r w:rsidR="00346F1B">
        <w:rPr>
          <w:rFonts w:cs="Times New Roman"/>
          <w:szCs w:val="24"/>
        </w:rPr>
        <w:t>’</w:t>
      </w:r>
      <w:r>
        <w:rPr>
          <w:rFonts w:cs="Times New Roman"/>
          <w:szCs w:val="24"/>
        </w:rPr>
        <w:t>Organe d</w:t>
      </w:r>
      <w:r w:rsidR="00346F1B">
        <w:rPr>
          <w:rFonts w:cs="Times New Roman"/>
          <w:szCs w:val="24"/>
        </w:rPr>
        <w:t>’</w:t>
      </w:r>
      <w:r>
        <w:rPr>
          <w:rFonts w:cs="Times New Roman"/>
          <w:szCs w:val="24"/>
        </w:rPr>
        <w:t>évaluation était achevé. Vingt-quatre membres du Comité étaient présents et avaient voté. Les candidats avaient reç</w:t>
      </w:r>
      <w:r w:rsidR="007719B5">
        <w:rPr>
          <w:rFonts w:cs="Times New Roman"/>
          <w:szCs w:val="24"/>
        </w:rPr>
        <w:t>u les nombres de voix suivants.</w:t>
      </w:r>
    </w:p>
    <w:p w14:paraId="77C82921" w14:textId="46607269" w:rsidR="00E1313D" w:rsidRPr="00E1313D" w:rsidRDefault="00E1313D" w:rsidP="00B871FF">
      <w:pPr>
        <w:pStyle w:val="Orateurengris"/>
        <w:spacing w:before="120"/>
        <w:ind w:left="709" w:hanging="709"/>
        <w:rPr>
          <w:color w:val="000000"/>
        </w:rPr>
      </w:pPr>
      <w:r w:rsidRPr="00E1313D">
        <w:rPr>
          <w:b/>
          <w:color w:val="000000"/>
        </w:rPr>
        <w:t>Groupe électoral III </w:t>
      </w:r>
      <w:r>
        <w:rPr>
          <w:color w:val="000000"/>
        </w:rPr>
        <w:t xml:space="preserve">: </w:t>
      </w:r>
      <w:r w:rsidR="00DC54CC">
        <w:rPr>
          <w:color w:val="000000"/>
        </w:rPr>
        <w:t>L</w:t>
      </w:r>
      <w:r w:rsidR="00346F1B">
        <w:rPr>
          <w:color w:val="000000"/>
        </w:rPr>
        <w:t>’</w:t>
      </w:r>
      <w:r>
        <w:rPr>
          <w:color w:val="000000"/>
        </w:rPr>
        <w:t>expert M. Nigel Encalada du Belize</w:t>
      </w:r>
      <w:r w:rsidR="00DC54CC">
        <w:rPr>
          <w:color w:val="000000"/>
        </w:rPr>
        <w:t xml:space="preserve"> avait recueilli onze voix</w:t>
      </w:r>
      <w:r>
        <w:rPr>
          <w:color w:val="000000"/>
        </w:rPr>
        <w:t xml:space="preserve">. </w:t>
      </w:r>
      <w:r w:rsidR="00DC54CC">
        <w:rPr>
          <w:color w:val="000000"/>
        </w:rPr>
        <w:t>L</w:t>
      </w:r>
      <w:r w:rsidR="00346F1B">
        <w:rPr>
          <w:color w:val="000000"/>
        </w:rPr>
        <w:t>’</w:t>
      </w:r>
      <w:r>
        <w:rPr>
          <w:color w:val="000000"/>
        </w:rPr>
        <w:t xml:space="preserve">expert </w:t>
      </w:r>
      <w:r w:rsidR="008878AA">
        <w:rPr>
          <w:b/>
          <w:color w:val="000000"/>
        </w:rPr>
        <w:t>Mme Sonia Monte</w:t>
      </w:r>
      <w:r w:rsidRPr="008878AA">
        <w:rPr>
          <w:b/>
          <w:color w:val="000000"/>
        </w:rPr>
        <w:t xml:space="preserve">cino Aguirre du Chili </w:t>
      </w:r>
      <w:r w:rsidR="00DC54CC">
        <w:rPr>
          <w:b/>
          <w:color w:val="000000"/>
        </w:rPr>
        <w:t xml:space="preserve">avait recueilli treize voix et </w:t>
      </w:r>
      <w:r w:rsidRPr="008878AA">
        <w:rPr>
          <w:b/>
          <w:color w:val="000000"/>
        </w:rPr>
        <w:t>était élue</w:t>
      </w:r>
      <w:r w:rsidR="00B871FF">
        <w:rPr>
          <w:color w:val="000000"/>
        </w:rPr>
        <w:t>.</w:t>
      </w:r>
    </w:p>
    <w:p w14:paraId="1F6D45B5" w14:textId="35A1E336" w:rsidR="008878AA" w:rsidRPr="008878AA" w:rsidRDefault="008878AA" w:rsidP="00B871FF">
      <w:pPr>
        <w:pStyle w:val="Orateurengris"/>
        <w:spacing w:before="120"/>
        <w:ind w:left="709" w:hanging="709"/>
        <w:rPr>
          <w:color w:val="000000"/>
        </w:rPr>
      </w:pPr>
      <w:r w:rsidRPr="008878AA">
        <w:rPr>
          <w:b/>
          <w:color w:val="000000"/>
        </w:rPr>
        <w:t>Groupe électoral IV </w:t>
      </w:r>
      <w:r>
        <w:rPr>
          <w:color w:val="000000"/>
        </w:rPr>
        <w:t xml:space="preserve">: </w:t>
      </w:r>
      <w:r w:rsidR="00A724A5">
        <w:rPr>
          <w:color w:val="000000"/>
        </w:rPr>
        <w:t>L</w:t>
      </w:r>
      <w:r w:rsidR="00346F1B">
        <w:rPr>
          <w:color w:val="000000"/>
        </w:rPr>
        <w:t>’</w:t>
      </w:r>
      <w:r>
        <w:rPr>
          <w:color w:val="000000"/>
        </w:rPr>
        <w:t xml:space="preserve">expert Mme Mina Amidzadeh de la </w:t>
      </w:r>
      <w:r w:rsidRPr="008878AA">
        <w:rPr>
          <w:color w:val="000000"/>
        </w:rPr>
        <w:t>République</w:t>
      </w:r>
      <w:r>
        <w:rPr>
          <w:color w:val="000000"/>
        </w:rPr>
        <w:t xml:space="preserve"> islamique d</w:t>
      </w:r>
      <w:r w:rsidR="00346F1B">
        <w:rPr>
          <w:color w:val="000000"/>
        </w:rPr>
        <w:t>’</w:t>
      </w:r>
      <w:r>
        <w:rPr>
          <w:color w:val="000000"/>
        </w:rPr>
        <w:t>Iran</w:t>
      </w:r>
      <w:r w:rsidR="00A724A5">
        <w:rPr>
          <w:color w:val="000000"/>
        </w:rPr>
        <w:t xml:space="preserve"> avait recueilli deux voix</w:t>
      </w:r>
      <w:r>
        <w:rPr>
          <w:color w:val="000000"/>
        </w:rPr>
        <w:t xml:space="preserve">. </w:t>
      </w:r>
      <w:r w:rsidR="00A724A5">
        <w:rPr>
          <w:color w:val="000000"/>
        </w:rPr>
        <w:t>L</w:t>
      </w:r>
      <w:r w:rsidR="00346F1B">
        <w:rPr>
          <w:color w:val="000000"/>
        </w:rPr>
        <w:t>’</w:t>
      </w:r>
      <w:r>
        <w:rPr>
          <w:color w:val="000000"/>
        </w:rPr>
        <w:t>expert Mme Savitri Suwansathit de la Thaïlande</w:t>
      </w:r>
      <w:r w:rsidR="00A724A5">
        <w:rPr>
          <w:color w:val="000000"/>
        </w:rPr>
        <w:t xml:space="preserve"> avait recueilli une voix. L</w:t>
      </w:r>
      <w:r w:rsidR="00346F1B">
        <w:rPr>
          <w:color w:val="000000"/>
        </w:rPr>
        <w:t>’</w:t>
      </w:r>
      <w:r>
        <w:rPr>
          <w:color w:val="000000"/>
        </w:rPr>
        <w:t xml:space="preserve">expert </w:t>
      </w:r>
      <w:r w:rsidRPr="008878AA">
        <w:rPr>
          <w:b/>
          <w:color w:val="000000"/>
        </w:rPr>
        <w:t xml:space="preserve">Mme Hien Thi Nguyen du Viet Nam </w:t>
      </w:r>
      <w:r w:rsidR="000F67FE">
        <w:rPr>
          <w:b/>
          <w:color w:val="000000"/>
        </w:rPr>
        <w:t xml:space="preserve">avait recueilli vingt et </w:t>
      </w:r>
      <w:r w:rsidR="00A724A5">
        <w:rPr>
          <w:b/>
          <w:color w:val="000000"/>
        </w:rPr>
        <w:t>une voix et</w:t>
      </w:r>
      <w:r>
        <w:rPr>
          <w:b/>
          <w:color w:val="000000"/>
        </w:rPr>
        <w:t xml:space="preserve"> </w:t>
      </w:r>
      <w:r w:rsidRPr="008878AA">
        <w:rPr>
          <w:b/>
          <w:color w:val="000000"/>
        </w:rPr>
        <w:t>était élue</w:t>
      </w:r>
      <w:r w:rsidR="00B871FF">
        <w:rPr>
          <w:color w:val="000000"/>
        </w:rPr>
        <w:t>.</w:t>
      </w:r>
    </w:p>
    <w:p w14:paraId="20F2E512" w14:textId="0BE45A29" w:rsidR="008878AA" w:rsidRPr="008878AA" w:rsidRDefault="008878AA" w:rsidP="00B871FF">
      <w:pPr>
        <w:pStyle w:val="Orateurengris"/>
        <w:spacing w:before="120"/>
        <w:ind w:left="709" w:hanging="709"/>
        <w:rPr>
          <w:color w:val="000000"/>
        </w:rPr>
      </w:pPr>
      <w:r w:rsidRPr="00A724A5">
        <w:rPr>
          <w:b/>
          <w:color w:val="000000"/>
        </w:rPr>
        <w:t>Groupe électoral V(b) </w:t>
      </w:r>
      <w:r>
        <w:rPr>
          <w:color w:val="000000"/>
        </w:rPr>
        <w:t xml:space="preserve">: </w:t>
      </w:r>
      <w:r w:rsidR="00A724A5">
        <w:rPr>
          <w:color w:val="000000"/>
        </w:rPr>
        <w:t>L</w:t>
      </w:r>
      <w:r w:rsidR="00346F1B">
        <w:rPr>
          <w:color w:val="000000"/>
        </w:rPr>
        <w:t>’</w:t>
      </w:r>
      <w:r>
        <w:rPr>
          <w:color w:val="000000"/>
        </w:rPr>
        <w:t>ONG Association des lauréats de l</w:t>
      </w:r>
      <w:r w:rsidR="00346F1B">
        <w:rPr>
          <w:color w:val="000000"/>
        </w:rPr>
        <w:t>’</w:t>
      </w:r>
      <w:r>
        <w:rPr>
          <w:color w:val="000000"/>
        </w:rPr>
        <w:t>I</w:t>
      </w:r>
      <w:r w:rsidR="00DC54CC">
        <w:rPr>
          <w:color w:val="000000"/>
        </w:rPr>
        <w:t>nstitut national des sciences de l</w:t>
      </w:r>
      <w:r w:rsidR="00346F1B">
        <w:rPr>
          <w:color w:val="000000"/>
        </w:rPr>
        <w:t>’</w:t>
      </w:r>
      <w:r>
        <w:rPr>
          <w:color w:val="000000"/>
        </w:rPr>
        <w:t xml:space="preserve">archéologie </w:t>
      </w:r>
      <w:r w:rsidR="00DC54CC">
        <w:rPr>
          <w:color w:val="000000"/>
        </w:rPr>
        <w:t xml:space="preserve">et </w:t>
      </w:r>
      <w:r>
        <w:rPr>
          <w:color w:val="000000"/>
        </w:rPr>
        <w:t xml:space="preserve">du </w:t>
      </w:r>
      <w:r w:rsidRPr="008878AA">
        <w:rPr>
          <w:color w:val="000000"/>
        </w:rPr>
        <w:t>patrimoine</w:t>
      </w:r>
      <w:r w:rsidR="00DC54CC">
        <w:rPr>
          <w:color w:val="000000"/>
        </w:rPr>
        <w:t xml:space="preserve"> (ALINSAP)</w:t>
      </w:r>
      <w:r w:rsidR="00A724A5">
        <w:rPr>
          <w:color w:val="000000"/>
        </w:rPr>
        <w:t xml:space="preserve"> avait recueilli dix voix</w:t>
      </w:r>
      <w:r w:rsidR="00DC54CC">
        <w:rPr>
          <w:color w:val="000000"/>
        </w:rPr>
        <w:t xml:space="preserve">. </w:t>
      </w:r>
      <w:r w:rsidR="00A724A5">
        <w:rPr>
          <w:color w:val="000000"/>
        </w:rPr>
        <w:t>L</w:t>
      </w:r>
      <w:r w:rsidR="00346F1B">
        <w:rPr>
          <w:color w:val="000000"/>
        </w:rPr>
        <w:t>’</w:t>
      </w:r>
      <w:r w:rsidR="00DC54CC" w:rsidRPr="00DC54CC">
        <w:rPr>
          <w:color w:val="000000"/>
        </w:rPr>
        <w:t xml:space="preserve">ONG </w:t>
      </w:r>
      <w:r w:rsidR="00DC54CC" w:rsidRPr="00DC54CC">
        <w:rPr>
          <w:b/>
          <w:color w:val="000000"/>
        </w:rPr>
        <w:t xml:space="preserve">Egyptian Society for Folk Tradition </w:t>
      </w:r>
      <w:r w:rsidR="00A724A5">
        <w:rPr>
          <w:b/>
          <w:color w:val="000000"/>
        </w:rPr>
        <w:t xml:space="preserve">avait recueilli quatorze voix et </w:t>
      </w:r>
      <w:r w:rsidR="00DC54CC" w:rsidRPr="00DC54CC">
        <w:rPr>
          <w:b/>
          <w:color w:val="000000"/>
        </w:rPr>
        <w:t>avait été élue</w:t>
      </w:r>
      <w:r w:rsidR="00B871FF">
        <w:rPr>
          <w:color w:val="000000"/>
        </w:rPr>
        <w:t>.</w:t>
      </w:r>
    </w:p>
    <w:p w14:paraId="5394CF46" w14:textId="51A31A75" w:rsidR="00A724A5" w:rsidRPr="00A724A5" w:rsidRDefault="00A724A5" w:rsidP="00B871FF">
      <w:pPr>
        <w:pStyle w:val="Orateurengris"/>
        <w:spacing w:before="120"/>
        <w:ind w:left="709" w:hanging="709"/>
        <w:rPr>
          <w:color w:val="000000"/>
        </w:rPr>
      </w:pPr>
      <w:r>
        <w:rPr>
          <w:color w:val="000000"/>
        </w:rPr>
        <w:t xml:space="preserve">Le </w:t>
      </w:r>
      <w:r w:rsidRPr="00A724A5">
        <w:rPr>
          <w:b/>
          <w:color w:val="000000"/>
        </w:rPr>
        <w:t>Président</w:t>
      </w:r>
      <w:r>
        <w:rPr>
          <w:color w:val="000000"/>
        </w:rPr>
        <w:t xml:space="preserve"> a félicité les trois nouveaux membres de l</w:t>
      </w:r>
      <w:r w:rsidR="00346F1B">
        <w:rPr>
          <w:color w:val="000000"/>
        </w:rPr>
        <w:t>’</w:t>
      </w:r>
      <w:r>
        <w:rPr>
          <w:color w:val="000000"/>
        </w:rPr>
        <w:t>Organe d</w:t>
      </w:r>
      <w:r w:rsidR="00346F1B">
        <w:rPr>
          <w:color w:val="000000"/>
        </w:rPr>
        <w:t>’</w:t>
      </w:r>
      <w:r>
        <w:rPr>
          <w:color w:val="000000"/>
        </w:rPr>
        <w:t>évaluation, et a remercié les autres candidats. Il est ensuite passé à l</w:t>
      </w:r>
      <w:r w:rsidR="00346F1B">
        <w:rPr>
          <w:color w:val="000000"/>
        </w:rPr>
        <w:t>’</w:t>
      </w:r>
      <w:r>
        <w:rPr>
          <w:color w:val="000000"/>
        </w:rPr>
        <w:t xml:space="preserve">adoption du projet de décision </w:t>
      </w:r>
      <w:r w:rsidRPr="00A724A5">
        <w:rPr>
          <w:color w:val="000000"/>
        </w:rPr>
        <w:t>paragraphe</w:t>
      </w:r>
      <w:r>
        <w:rPr>
          <w:color w:val="000000"/>
        </w:rPr>
        <w:t xml:space="preserve"> par </w:t>
      </w:r>
      <w:r w:rsidRPr="00A724A5">
        <w:rPr>
          <w:color w:val="000000"/>
        </w:rPr>
        <w:t>paragraphe</w:t>
      </w:r>
      <w:r>
        <w:rPr>
          <w:color w:val="000000"/>
        </w:rPr>
        <w:t>. En l</w:t>
      </w:r>
      <w:r w:rsidR="00346F1B">
        <w:rPr>
          <w:color w:val="000000"/>
        </w:rPr>
        <w:t>’</w:t>
      </w:r>
      <w:r>
        <w:rPr>
          <w:color w:val="000000"/>
        </w:rPr>
        <w:t>absence de commentaires ou d</w:t>
      </w:r>
      <w:r w:rsidR="00346F1B">
        <w:rPr>
          <w:color w:val="000000"/>
        </w:rPr>
        <w:t>’</w:t>
      </w:r>
      <w:r>
        <w:rPr>
          <w:color w:val="000000"/>
        </w:rPr>
        <w:t xml:space="preserve">objections, les </w:t>
      </w:r>
      <w:r w:rsidRPr="00A724A5">
        <w:rPr>
          <w:color w:val="000000"/>
        </w:rPr>
        <w:t>paragraphe</w:t>
      </w:r>
      <w:r>
        <w:rPr>
          <w:color w:val="000000"/>
        </w:rPr>
        <w:t xml:space="preserve">s 1 à 5 ont été </w:t>
      </w:r>
      <w:r w:rsidR="008052AC">
        <w:rPr>
          <w:color w:val="000000"/>
        </w:rPr>
        <w:t>dûment</w:t>
      </w:r>
      <w:r>
        <w:rPr>
          <w:color w:val="000000"/>
        </w:rPr>
        <w:t xml:space="preserve"> adoptés. Il est ensuite passé à l</w:t>
      </w:r>
      <w:r w:rsidR="00346F1B">
        <w:rPr>
          <w:color w:val="000000"/>
        </w:rPr>
        <w:t>’</w:t>
      </w:r>
      <w:r>
        <w:rPr>
          <w:color w:val="000000"/>
        </w:rPr>
        <w:t xml:space="preserve">adoption de la décision dans son ensemble. Le </w:t>
      </w:r>
      <w:r w:rsidRPr="00A724A5">
        <w:rPr>
          <w:b/>
          <w:color w:val="000000"/>
        </w:rPr>
        <w:t>Président a déclaré la décision 11.COM 11 adoptée</w:t>
      </w:r>
      <w:r w:rsidR="00B871FF">
        <w:rPr>
          <w:color w:val="000000"/>
        </w:rPr>
        <w:t>.</w:t>
      </w:r>
    </w:p>
    <w:p w14:paraId="0FD1FA61" w14:textId="609AC985" w:rsidR="00A724A5" w:rsidRPr="00A724A5" w:rsidRDefault="00A724A5" w:rsidP="00B871FF">
      <w:pPr>
        <w:pStyle w:val="Orateurengris"/>
        <w:spacing w:before="120"/>
        <w:ind w:left="709" w:hanging="709"/>
      </w:pPr>
      <w:r>
        <w:t xml:space="preserve">Le </w:t>
      </w:r>
      <w:r w:rsidRPr="00A724A5">
        <w:rPr>
          <w:b/>
        </w:rPr>
        <w:t>Président</w:t>
      </w:r>
      <w:r w:rsidR="00894670">
        <w:t xml:space="preserve"> a précisé </w:t>
      </w:r>
      <w:r>
        <w:t>que conformément à l</w:t>
      </w:r>
      <w:r w:rsidR="00346F1B">
        <w:t>’</w:t>
      </w:r>
      <w:r>
        <w:t>article 43 du Règlement intérieur, le Comité devait adopter le rapport de cette session sous forme d</w:t>
      </w:r>
      <w:r w:rsidR="00346F1B">
        <w:t>’</w:t>
      </w:r>
      <w:r>
        <w:t>une liste de décisions. Le Secrétariat avait rassemblé les décisions adoptées au cours de la semaine</w:t>
      </w:r>
      <w:r w:rsidR="00894670">
        <w:t xml:space="preserve">, à savoir, les </w:t>
      </w:r>
      <w:r>
        <w:t xml:space="preserve">décisions </w:t>
      </w:r>
      <w:r w:rsidR="00894670">
        <w:t>concernant les points 2 à 10, y compris les sous-points 10.a, 10.b et 10.c. Le Rapporteur du Comité était chargé de valider les décisions avant leur adoption plus tard au cours de la journée. Comme de coutume, le Président a proposé une pause d</w:t>
      </w:r>
      <w:r w:rsidR="00346F1B">
        <w:t>’</w:t>
      </w:r>
      <w:r w:rsidR="00894670">
        <w:t>une demi-heure afin de permettre aux membres de lire les décisions. Toutefois, compte tenu des contraintes de temps, il a proposé de poursuivre la session et, en l</w:t>
      </w:r>
      <w:r w:rsidR="00346F1B">
        <w:t>’</w:t>
      </w:r>
      <w:r w:rsidR="00894670">
        <w:t>absence d</w:t>
      </w:r>
      <w:r w:rsidR="00346F1B">
        <w:t>’</w:t>
      </w:r>
      <w:r w:rsidR="00894670">
        <w:t>objections, a demandé au Secrétaire</w:t>
      </w:r>
      <w:r w:rsidR="00B871FF">
        <w:t xml:space="preserve"> de présenter le point suivant.</w:t>
      </w:r>
    </w:p>
    <w:p w14:paraId="200BF079" w14:textId="5B552F04" w:rsidR="00E07088" w:rsidRPr="00D41873" w:rsidRDefault="00D41873" w:rsidP="00B871FF">
      <w:pPr>
        <w:pStyle w:val="Orateurengris"/>
        <w:numPr>
          <w:ilvl w:val="0"/>
          <w:numId w:val="0"/>
        </w:numPr>
        <w:spacing w:before="360" w:after="60"/>
        <w:ind w:left="567" w:hanging="567"/>
        <w:outlineLvl w:val="0"/>
        <w:rPr>
          <w:rFonts w:eastAsia="Cambria"/>
          <w:b/>
          <w:u w:val="single"/>
        </w:rPr>
      </w:pPr>
      <w:bookmarkStart w:id="64" w:name="Item12"/>
      <w:r>
        <w:rPr>
          <w:b/>
          <w:u w:val="single"/>
        </w:rPr>
        <w:t>POINT 12 DE L</w:t>
      </w:r>
      <w:r w:rsidR="00346F1B">
        <w:rPr>
          <w:b/>
          <w:u w:val="single"/>
        </w:rPr>
        <w:t>’</w:t>
      </w:r>
      <w:r w:rsidRPr="00D41873">
        <w:rPr>
          <w:b/>
          <w:u w:val="single"/>
        </w:rPr>
        <w:t>ORDRE DU JOUR</w:t>
      </w:r>
    </w:p>
    <w:bookmarkEnd w:id="64"/>
    <w:p w14:paraId="6E39336E" w14:textId="2C4C1BFC" w:rsidR="00D41873" w:rsidRPr="00D41873" w:rsidRDefault="00D41873" w:rsidP="00B871FF">
      <w:pPr>
        <w:pStyle w:val="NormalWeb"/>
        <w:keepNext/>
        <w:tabs>
          <w:tab w:val="left" w:pos="709"/>
          <w:tab w:val="left" w:pos="1418"/>
          <w:tab w:val="left" w:pos="2126"/>
          <w:tab w:val="left" w:pos="2835"/>
        </w:tabs>
        <w:spacing w:before="0" w:beforeAutospacing="0" w:after="120" w:afterAutospacing="0"/>
        <w:outlineLvl w:val="0"/>
        <w:rPr>
          <w:rFonts w:ascii="Arial" w:eastAsiaTheme="minorEastAsia" w:hAnsi="Arial" w:cs="Arial"/>
          <w:b/>
          <w:snapToGrid w:val="0"/>
          <w:color w:val="323133"/>
          <w:sz w:val="22"/>
          <w:szCs w:val="22"/>
          <w:lang w:val="fr-FR" w:eastAsia="ja-JP"/>
        </w:rPr>
      </w:pPr>
      <w:r>
        <w:rPr>
          <w:rFonts w:ascii="Arial" w:eastAsiaTheme="minorEastAsia" w:hAnsi="Arial" w:cs="Arial"/>
          <w:b/>
          <w:color w:val="323133"/>
          <w:sz w:val="22"/>
          <w:szCs w:val="22"/>
          <w:lang w:val="fr-FR" w:eastAsia="ja-JP"/>
        </w:rPr>
        <w:t>NOMBRE DE DOSSIERS SOUMIS POUR LE CYCLE 2017 ET NOMBRE DE DOSSIERS POUVANT ÊTRE TRAITÉS POUR LES CYCLES 2018 ET 2019</w:t>
      </w:r>
    </w:p>
    <w:p w14:paraId="2060E48A" w14:textId="3B7F89F1" w:rsidR="00E07088" w:rsidRPr="00D41873" w:rsidRDefault="00E07088" w:rsidP="00B871FF">
      <w:pPr>
        <w:pStyle w:val="NormalWeb"/>
        <w:keepNext/>
        <w:tabs>
          <w:tab w:val="left" w:pos="561"/>
          <w:tab w:val="left" w:pos="709"/>
          <w:tab w:val="left" w:pos="1418"/>
          <w:tab w:val="left" w:pos="2126"/>
          <w:tab w:val="left" w:pos="2835"/>
        </w:tabs>
        <w:spacing w:before="120" w:beforeAutospacing="0" w:after="60" w:afterAutospacing="0"/>
        <w:ind w:left="567" w:hanging="567"/>
        <w:rPr>
          <w:rFonts w:ascii="Arial" w:hAnsi="Arial" w:cs="Arial"/>
          <w:i/>
          <w:sz w:val="22"/>
          <w:szCs w:val="22"/>
          <w:lang w:val="fr-FR" w:eastAsia="fr-FR"/>
        </w:rPr>
      </w:pPr>
      <w:r w:rsidRPr="00D41873">
        <w:rPr>
          <w:rFonts w:ascii="Arial" w:eastAsiaTheme="minorEastAsia" w:hAnsi="Arial" w:cs="Arial"/>
          <w:b/>
          <w:snapToGrid w:val="0"/>
          <w:color w:val="323133"/>
          <w:sz w:val="22"/>
          <w:szCs w:val="22"/>
          <w:lang w:val="fr-FR" w:eastAsia="ja-JP"/>
        </w:rPr>
        <w:tab/>
      </w:r>
      <w:r w:rsidR="00B871FF">
        <w:rPr>
          <w:rFonts w:ascii="Arial" w:eastAsiaTheme="minorEastAsia" w:hAnsi="Arial" w:cs="Arial"/>
          <w:b/>
          <w:snapToGrid w:val="0"/>
          <w:color w:val="323133"/>
          <w:sz w:val="22"/>
          <w:szCs w:val="22"/>
          <w:lang w:val="fr-FR" w:eastAsia="ja-JP"/>
        </w:rPr>
        <w:tab/>
      </w:r>
      <w:r w:rsidRPr="00D41873">
        <w:rPr>
          <w:rFonts w:ascii="Arial" w:eastAsiaTheme="minorEastAsia" w:hAnsi="Arial" w:cs="Arial"/>
          <w:b/>
          <w:snapToGrid w:val="0"/>
          <w:color w:val="323133"/>
          <w:sz w:val="22"/>
          <w:szCs w:val="22"/>
          <w:lang w:val="fr-FR" w:eastAsia="ja-JP"/>
        </w:rPr>
        <w:t>Document</w:t>
      </w:r>
      <w:r w:rsidRPr="00D41873">
        <w:rPr>
          <w:rFonts w:ascii="Arial" w:hAnsi="Arial" w:cs="Arial"/>
          <w:b/>
          <w:sz w:val="22"/>
          <w:szCs w:val="22"/>
          <w:lang w:val="fr-FR"/>
        </w:rPr>
        <w:tab/>
      </w:r>
      <w:hyperlink r:id="rId47" w:history="1">
        <w:r w:rsidR="00411C80" w:rsidRPr="00D41873">
          <w:rPr>
            <w:rStyle w:val="Hyperlink"/>
            <w:rFonts w:ascii="Arial" w:hAnsi="Arial" w:cs="Arial"/>
            <w:i/>
            <w:sz w:val="22"/>
            <w:szCs w:val="22"/>
            <w:lang w:val="fr-FR" w:eastAsia="fr-FR"/>
          </w:rPr>
          <w:t>ITH/16/11.COM/12</w:t>
        </w:r>
      </w:hyperlink>
      <w:r w:rsidRPr="00D41873">
        <w:rPr>
          <w:rFonts w:ascii="Arial" w:hAnsi="Arial" w:cs="Arial"/>
          <w:i/>
          <w:sz w:val="22"/>
          <w:szCs w:val="22"/>
          <w:lang w:val="fr-FR" w:eastAsia="fr-FR"/>
        </w:rPr>
        <w:tab/>
      </w:r>
    </w:p>
    <w:p w14:paraId="1D3547B0" w14:textId="3F6A023B" w:rsidR="00E07088" w:rsidRPr="00D41873" w:rsidRDefault="00694F42" w:rsidP="00B871FF">
      <w:pPr>
        <w:keepNext/>
        <w:tabs>
          <w:tab w:val="left" w:pos="709"/>
          <w:tab w:val="left" w:pos="1418"/>
          <w:tab w:val="left" w:pos="2126"/>
          <w:tab w:val="left" w:pos="2835"/>
        </w:tabs>
        <w:spacing w:before="60" w:after="240"/>
        <w:ind w:left="567" w:hanging="567"/>
        <w:rPr>
          <w:rFonts w:ascii="Arial" w:hAnsi="Arial" w:cs="Arial"/>
          <w:i/>
          <w:sz w:val="22"/>
          <w:szCs w:val="22"/>
        </w:rPr>
      </w:pPr>
      <w:r w:rsidRPr="00D41873">
        <w:rPr>
          <w:rFonts w:ascii="Arial" w:hAnsi="Arial" w:cs="Arial"/>
          <w:b/>
          <w:sz w:val="22"/>
          <w:szCs w:val="22"/>
          <w:lang w:eastAsia="en-US"/>
        </w:rPr>
        <w:tab/>
      </w:r>
      <w:r w:rsidR="00D41873">
        <w:rPr>
          <w:rFonts w:ascii="Arial" w:hAnsi="Arial" w:cs="Arial"/>
          <w:b/>
          <w:sz w:val="22"/>
          <w:szCs w:val="22"/>
          <w:lang w:eastAsia="en-US"/>
        </w:rPr>
        <w:t>Dé</w:t>
      </w:r>
      <w:r w:rsidR="00E07088" w:rsidRPr="00D41873">
        <w:rPr>
          <w:rFonts w:ascii="Arial" w:hAnsi="Arial" w:cs="Arial"/>
          <w:b/>
          <w:sz w:val="22"/>
          <w:szCs w:val="22"/>
          <w:lang w:eastAsia="en-US"/>
        </w:rPr>
        <w:t>cision</w:t>
      </w:r>
      <w:r w:rsidR="00E07088" w:rsidRPr="00D41873">
        <w:rPr>
          <w:rFonts w:ascii="Arial" w:hAnsi="Arial" w:cs="Arial"/>
          <w:b/>
          <w:sz w:val="22"/>
          <w:szCs w:val="22"/>
        </w:rPr>
        <w:tab/>
      </w:r>
      <w:r w:rsidR="00E07088" w:rsidRPr="00D41873">
        <w:rPr>
          <w:rFonts w:ascii="Arial" w:hAnsi="Arial" w:cs="Arial"/>
          <w:i/>
          <w:sz w:val="22"/>
          <w:szCs w:val="22"/>
        </w:rPr>
        <w:t xml:space="preserve">11.COM </w:t>
      </w:r>
      <w:r w:rsidR="00411C80" w:rsidRPr="00D41873">
        <w:rPr>
          <w:rFonts w:ascii="Arial" w:hAnsi="Arial" w:cs="Arial"/>
          <w:i/>
          <w:sz w:val="22"/>
          <w:szCs w:val="22"/>
        </w:rPr>
        <w:t>12</w:t>
      </w:r>
    </w:p>
    <w:p w14:paraId="75259DF4" w14:textId="72A823C4" w:rsidR="0017102D" w:rsidRDefault="00D41873" w:rsidP="00B871FF">
      <w:pPr>
        <w:pStyle w:val="Orateurengris"/>
        <w:spacing w:before="120"/>
        <w:ind w:left="709" w:hanging="709"/>
      </w:pPr>
      <w:r>
        <w:t xml:space="preserve">Le </w:t>
      </w:r>
      <w:r w:rsidRPr="00D41873">
        <w:rPr>
          <w:b/>
        </w:rPr>
        <w:t>Secrétaire</w:t>
      </w:r>
      <w:r>
        <w:t xml:space="preserve"> a présenté le document qui abordait deux questions : i) la mise en œuvre de la décision 10.COM 13 pour les dossiers du cycle 2017, et ii) le nombre de dossiers pouvant être traités au cours des deux prochains cycles (2018 et 2019). En ce qui concerne le cycle 2017 (à partir du 31 mars 2016), le Comité</w:t>
      </w:r>
      <w:r w:rsidR="006923D1">
        <w:t xml:space="preserve"> avait, en principe, </w:t>
      </w:r>
      <w:r>
        <w:t xml:space="preserve">décidé de traiter </w:t>
      </w:r>
      <w:r w:rsidRPr="00D41873">
        <w:rPr>
          <w:b/>
        </w:rPr>
        <w:t>cinquante dossiers</w:t>
      </w:r>
      <w:r>
        <w:t xml:space="preserve"> par an (décision </w:t>
      </w:r>
      <w:r w:rsidR="006923D1">
        <w:t xml:space="preserve">8.COM 10, </w:t>
      </w:r>
      <w:r>
        <w:t>confirmé</w:t>
      </w:r>
      <w:r w:rsidR="006923D1">
        <w:t>e</w:t>
      </w:r>
      <w:r>
        <w:t xml:space="preserve"> par la décision 9.COM 12 et la décision 10.COM 13) et </w:t>
      </w:r>
      <w:r w:rsidR="006923D1">
        <w:rPr>
          <w:b/>
        </w:rPr>
        <w:t>au moins un</w:t>
      </w:r>
      <w:r w:rsidRPr="00D41873">
        <w:rPr>
          <w:b/>
        </w:rPr>
        <w:t xml:space="preserve"> dossier par État soumissionnaire</w:t>
      </w:r>
      <w:r>
        <w:t xml:space="preserve"> par cycle de deux ans, c.-à-d. le biennium 2016-2017. Le dossiers traités au cours du cycle 2017 </w:t>
      </w:r>
      <w:r w:rsidR="00743A46">
        <w:t>relèveraient de quatre catégories : i) dossiers provenant d</w:t>
      </w:r>
      <w:r w:rsidR="00346F1B">
        <w:t>’</w:t>
      </w:r>
      <w:r w:rsidR="00743A46">
        <w:t>États dont les dossiers nationaux n</w:t>
      </w:r>
      <w:r w:rsidR="00346F1B">
        <w:t>’</w:t>
      </w:r>
      <w:r w:rsidR="00743A46">
        <w:t>avaient pu être traités en 2016 ; ii) dossiers provenant d</w:t>
      </w:r>
      <w:r w:rsidR="00346F1B">
        <w:t>’</w:t>
      </w:r>
      <w:r w:rsidR="00743A46">
        <w:t>États n</w:t>
      </w:r>
      <w:r w:rsidR="00346F1B">
        <w:t>’</w:t>
      </w:r>
      <w:r w:rsidR="00743A46">
        <w:t>ayant ni élément inscrit, ni programme sélectionné, ni demande d</w:t>
      </w:r>
      <w:r w:rsidR="00346F1B">
        <w:t>’</w:t>
      </w:r>
      <w:r w:rsidR="00743A46">
        <w:t>assistance internationale approuvée</w:t>
      </w:r>
      <w:r w:rsidR="006923D1">
        <w:t>, plus les</w:t>
      </w:r>
      <w:r w:rsidR="00743A46">
        <w:t xml:space="preserve"> candidatures à la Liste de sauvegarde urgente ; iii) les dossiers multinationaux ; et iv) les dossiers des États ayant le moins d</w:t>
      </w:r>
      <w:r w:rsidR="00346F1B">
        <w:t>’</w:t>
      </w:r>
      <w:r w:rsidR="00743A46">
        <w:t>éléments inscrits, dans l</w:t>
      </w:r>
      <w:r w:rsidR="00346F1B">
        <w:t>’</w:t>
      </w:r>
      <w:r w:rsidR="00743A46">
        <w:t xml:space="preserve">ordre croissant. Il y avait 174 dossiers recevables pour le cycle 2017 (42 nouveaux dossiers et </w:t>
      </w:r>
      <w:r w:rsidR="000F67FE">
        <w:t>132 dossiers en attente) parmi lesquels 52 avaient été sélectionnés conformément aux priorités établies dans le paragraphe 34 des Directives opérationnelles. Cinquante-deux dossiers avaient été sélectionnés au lieu de cinquante car deux dossiers avaient le même niveau de priorités, le Secrétariat exerçant ainsi une certaine flexibilité conformément aux décisions 10.COM 13 et 9.COM 12. Conformément à la décision 10.COM 19, le Comité avait décidé d</w:t>
      </w:r>
      <w:r w:rsidR="00346F1B">
        <w:t>’</w:t>
      </w:r>
      <w:r w:rsidR="000F67FE">
        <w:t>examiner l</w:t>
      </w:r>
      <w:r w:rsidR="00346F1B">
        <w:t>’</w:t>
      </w:r>
      <w:r w:rsidR="000F67FE">
        <w:t xml:space="preserve">élément « le chant Xoan de la </w:t>
      </w:r>
      <w:r w:rsidR="000F67FE" w:rsidRPr="000A6378">
        <w:t xml:space="preserve">province </w:t>
      </w:r>
      <w:r w:rsidR="000F67FE">
        <w:t>de Ph</w:t>
      </w:r>
      <w:r w:rsidR="0017102D">
        <w:t>ú Tho</w:t>
      </w:r>
      <w:r w:rsidR="006923D1">
        <w:t>, Viet Nam</w:t>
      </w:r>
      <w:r w:rsidR="0017102D">
        <w:t> », bien que le plafond global adopté pour le cycle 2017 ait été atteint, afin de prendre une décision sur la demande de transfert de l</w:t>
      </w:r>
      <w:r w:rsidR="00346F1B">
        <w:t>’</w:t>
      </w:r>
      <w:r w:rsidR="0017102D">
        <w:t>élément de la Liste de sauvegarde urgente à la Liste représentative. L</w:t>
      </w:r>
      <w:r w:rsidR="00346F1B">
        <w:t>’</w:t>
      </w:r>
      <w:r w:rsidR="0017102D">
        <w:t>annexe présentait un résumé de l</w:t>
      </w:r>
      <w:r w:rsidR="00346F1B">
        <w:t>’</w:t>
      </w:r>
      <w:r w:rsidR="0017102D">
        <w:t>application de ces priorités : i) onze dossiers d</w:t>
      </w:r>
      <w:r w:rsidR="00346F1B">
        <w:t>’</w:t>
      </w:r>
      <w:r w:rsidR="0017102D">
        <w:t>États qui n</w:t>
      </w:r>
      <w:r w:rsidR="00346F1B">
        <w:t>’</w:t>
      </w:r>
      <w:r w:rsidR="0017102D">
        <w:t>avaient pas été traités en 2016 ; ii) huit dossiers d</w:t>
      </w:r>
      <w:r w:rsidR="00346F1B">
        <w:t>’</w:t>
      </w:r>
      <w:r w:rsidR="0017102D">
        <w:t>États n</w:t>
      </w:r>
      <w:r w:rsidR="00346F1B">
        <w:t>’</w:t>
      </w:r>
      <w:r w:rsidR="0017102D">
        <w:t>ayant aucun élément</w:t>
      </w:r>
      <w:r w:rsidR="006923D1">
        <w:t>,</w:t>
      </w:r>
      <w:r w:rsidR="0017102D">
        <w:t xml:space="preserve"> y compris quatre candidatures à la Liste de sauvegarde urgente, l</w:t>
      </w:r>
      <w:r w:rsidR="00346F1B">
        <w:t>’</w:t>
      </w:r>
      <w:r w:rsidR="0017102D">
        <w:t>une d</w:t>
      </w:r>
      <w:r w:rsidR="00346F1B">
        <w:t>’</w:t>
      </w:r>
      <w:r w:rsidR="0017102D">
        <w:t xml:space="preserve">entre elles étant un dossier multinational ; et iii) trois dossiers multinationaux, ce qui faisait un total de vingt-six dossiers. Les autres dossiers étaient </w:t>
      </w:r>
      <w:r w:rsidR="00CC3C17">
        <w:t xml:space="preserve">priorisés </w:t>
      </w:r>
      <w:r w:rsidR="006923D1">
        <w:t xml:space="preserve">selon le </w:t>
      </w:r>
      <w:r w:rsidR="0017102D">
        <w:t>nombre d</w:t>
      </w:r>
      <w:r w:rsidR="00346F1B">
        <w:t>’</w:t>
      </w:r>
      <w:r w:rsidR="0017102D">
        <w:t>éléments déjà inscrits</w:t>
      </w:r>
      <w:r w:rsidR="006923D1">
        <w:t>, par ordre croissant</w:t>
      </w:r>
      <w:r w:rsidR="0017102D">
        <w:t xml:space="preserve">. </w:t>
      </w:r>
      <w:r w:rsidR="006923D1">
        <w:t>Le plafond de cinquante-deux dossiers représentait donc cinquante et un États soumissionnaires, plus la candidature de l</w:t>
      </w:r>
      <w:r w:rsidR="00346F1B">
        <w:t>’</w:t>
      </w:r>
      <w:r w:rsidR="006923D1">
        <w:t xml:space="preserve">Inde (avec dix éléments inscrits) ; cinq États verraient donc leur dossier examiné à titre </w:t>
      </w:r>
      <w:r w:rsidR="00B871FF">
        <w:t>prioritaire pour le cycle 2018.</w:t>
      </w:r>
    </w:p>
    <w:p w14:paraId="3908AB45" w14:textId="07A94EA4" w:rsidR="00794D3E" w:rsidRDefault="00794D3E" w:rsidP="00B871FF">
      <w:pPr>
        <w:pStyle w:val="Orateurengris"/>
        <w:spacing w:before="120"/>
        <w:ind w:left="709" w:hanging="709"/>
      </w:pPr>
      <w:r>
        <w:t>S</w:t>
      </w:r>
      <w:r w:rsidR="00346F1B">
        <w:t>’</w:t>
      </w:r>
      <w:r>
        <w:t xml:space="preserve">agissant des cycles 2018 et 2019, le </w:t>
      </w:r>
      <w:r w:rsidRPr="00794D3E">
        <w:rPr>
          <w:b/>
        </w:rPr>
        <w:t>Secrétaire</w:t>
      </w:r>
      <w:r>
        <w:t xml:space="preserve"> a expliqué que le Comité était appelé à décider du nombre global de dossiers, en prenant en considération les ressources disponibles et limitées de l</w:t>
      </w:r>
      <w:r w:rsidR="00346F1B">
        <w:t>’</w:t>
      </w:r>
      <w:r>
        <w:t>Organe d</w:t>
      </w:r>
      <w:r w:rsidR="00346F1B">
        <w:t>’</w:t>
      </w:r>
      <w:r>
        <w:t xml:space="preserve">évaluation, du Comité et du Secrétariat. Le Comité pourrait en particulier envisager la capacité </w:t>
      </w:r>
      <w:r w:rsidR="00EF7BC2">
        <w:t xml:space="preserve">de travail </w:t>
      </w:r>
      <w:r>
        <w:t>de l</w:t>
      </w:r>
      <w:r w:rsidR="00346F1B">
        <w:t>’</w:t>
      </w:r>
      <w:r>
        <w:t>Organe d</w:t>
      </w:r>
      <w:r w:rsidR="00346F1B">
        <w:t>’</w:t>
      </w:r>
      <w:r>
        <w:t>évaluation et les ressources financières qui lui étaient allouées afin d</w:t>
      </w:r>
      <w:r w:rsidR="00346F1B">
        <w:t>’</w:t>
      </w:r>
      <w:r>
        <w:t>accomplir sa mission, mission dont le processus de travail avait fait l</w:t>
      </w:r>
      <w:r w:rsidR="00346F1B">
        <w:t>’</w:t>
      </w:r>
      <w:r>
        <w:t>objet d</w:t>
      </w:r>
      <w:r w:rsidR="00346F1B">
        <w:t>’</w:t>
      </w:r>
      <w:r>
        <w:t xml:space="preserve">un </w:t>
      </w:r>
      <w:r w:rsidR="00EF7BC2">
        <w:t xml:space="preserve">précédent </w:t>
      </w:r>
      <w:r>
        <w:t>débat. Ce processus garantissait contre toute éventuelle partialité</w:t>
      </w:r>
      <w:r w:rsidR="00173FB3">
        <w:t xml:space="preserve"> individuelle</w:t>
      </w:r>
      <w:r>
        <w:t xml:space="preserve"> </w:t>
      </w:r>
      <w:r w:rsidR="00173FB3">
        <w:t>et assurait une bonne répartition géographique. L</w:t>
      </w:r>
      <w:r w:rsidR="00346F1B">
        <w:t>’</w:t>
      </w:r>
      <w:r w:rsidR="00173FB3">
        <w:t>expérience avait démontré que, même si l</w:t>
      </w:r>
      <w:r w:rsidR="00346F1B">
        <w:t>’</w:t>
      </w:r>
      <w:r w:rsidR="00173FB3">
        <w:t>on ajoutait des membres à l</w:t>
      </w:r>
      <w:r w:rsidR="00346F1B">
        <w:t>’</w:t>
      </w:r>
      <w:r w:rsidR="00173FB3">
        <w:t>Organe d</w:t>
      </w:r>
      <w:r w:rsidR="00346F1B">
        <w:t>’</w:t>
      </w:r>
      <w:r w:rsidR="00173FB3">
        <w:t>évaluation, le temps disponible au cours d</w:t>
      </w:r>
      <w:r w:rsidR="00346F1B">
        <w:t>’</w:t>
      </w:r>
      <w:r w:rsidR="00173FB3">
        <w:t>un cycle permettait d</w:t>
      </w:r>
      <w:r w:rsidR="00346F1B">
        <w:t>’</w:t>
      </w:r>
      <w:r w:rsidR="00173FB3">
        <w:t>évaluer environ cinquante dossiers selon cette méthode. Le Secrétariat proposait donc de conserver le plafond de cinquante dossiers par cycle. Le paragraphe 8 du projet de décision reprenait le texte des décisions 10.COM 13 et 9.COM</w:t>
      </w:r>
      <w:r w:rsidR="00EF7BC2">
        <w:t xml:space="preserve"> 12 pour confirmer le principe selon lequel </w:t>
      </w:r>
      <w:r w:rsidR="00173FB3">
        <w:t>au moins un dossier par État soumissionnaire devait être traité au cours de la période 2018-2019. Il a été précisé que le plafond s</w:t>
      </w:r>
      <w:r w:rsidR="00346F1B">
        <w:t>’</w:t>
      </w:r>
      <w:r w:rsidR="00173FB3">
        <w:t xml:space="preserve">appliquait </w:t>
      </w:r>
      <w:r w:rsidR="00B871FF">
        <w:t>à tous les mécanismes combinés.</w:t>
      </w:r>
    </w:p>
    <w:p w14:paraId="6310200C" w14:textId="56C82665" w:rsidR="00EF7BC2" w:rsidRPr="00EF7BC2" w:rsidRDefault="00EF7BC2" w:rsidP="00B871FF">
      <w:pPr>
        <w:pStyle w:val="Orateurengris"/>
        <w:spacing w:before="120"/>
        <w:ind w:left="709" w:hanging="709"/>
        <w:rPr>
          <w:bCs/>
        </w:rPr>
      </w:pPr>
      <w:r>
        <w:rPr>
          <w:bCs/>
        </w:rPr>
        <w:t xml:space="preserve">Après avoir remercié le </w:t>
      </w:r>
      <w:r w:rsidRPr="00EF7BC2">
        <w:rPr>
          <w:bCs/>
        </w:rPr>
        <w:t>Secrétaire</w:t>
      </w:r>
      <w:r>
        <w:rPr>
          <w:bCs/>
        </w:rPr>
        <w:t>, et en l</w:t>
      </w:r>
      <w:r w:rsidR="00346F1B">
        <w:rPr>
          <w:bCs/>
        </w:rPr>
        <w:t>’</w:t>
      </w:r>
      <w:r>
        <w:rPr>
          <w:bCs/>
        </w:rPr>
        <w:t xml:space="preserve">absence de commentaires, le </w:t>
      </w:r>
      <w:r w:rsidRPr="00EF7BC2">
        <w:rPr>
          <w:b/>
          <w:bCs/>
        </w:rPr>
        <w:t>Président</w:t>
      </w:r>
      <w:r>
        <w:rPr>
          <w:bCs/>
        </w:rPr>
        <w:t xml:space="preserve"> a proposé de passer directement à l</w:t>
      </w:r>
      <w:r w:rsidR="00346F1B">
        <w:rPr>
          <w:bCs/>
        </w:rPr>
        <w:t>’</w:t>
      </w:r>
      <w:r>
        <w:rPr>
          <w:bCs/>
        </w:rPr>
        <w:t xml:space="preserve">adoption de la décision </w:t>
      </w:r>
      <w:r w:rsidRPr="00EF7BC2">
        <w:rPr>
          <w:bCs/>
        </w:rPr>
        <w:t>paragraphe</w:t>
      </w:r>
      <w:r>
        <w:rPr>
          <w:bCs/>
        </w:rPr>
        <w:t xml:space="preserve"> par </w:t>
      </w:r>
      <w:r w:rsidRPr="00EF7BC2">
        <w:rPr>
          <w:bCs/>
        </w:rPr>
        <w:t>paragraphe</w:t>
      </w:r>
      <w:r>
        <w:rPr>
          <w:bCs/>
        </w:rPr>
        <w:t>. En l</w:t>
      </w:r>
      <w:r w:rsidR="00346F1B">
        <w:rPr>
          <w:bCs/>
        </w:rPr>
        <w:t>’</w:t>
      </w:r>
      <w:r>
        <w:rPr>
          <w:bCs/>
        </w:rPr>
        <w:t>absence d</w:t>
      </w:r>
      <w:r w:rsidR="00346F1B">
        <w:rPr>
          <w:bCs/>
        </w:rPr>
        <w:t>’</w:t>
      </w:r>
      <w:r>
        <w:rPr>
          <w:bCs/>
        </w:rPr>
        <w:t xml:space="preserve">objections aux </w:t>
      </w:r>
      <w:r w:rsidRPr="00EF7BC2">
        <w:rPr>
          <w:bCs/>
        </w:rPr>
        <w:t>paragraphe</w:t>
      </w:r>
      <w:r>
        <w:rPr>
          <w:bCs/>
        </w:rPr>
        <w:t xml:space="preserve">s proposés, le </w:t>
      </w:r>
      <w:r w:rsidRPr="00EF7BC2">
        <w:rPr>
          <w:b/>
          <w:bCs/>
        </w:rPr>
        <w:t>Président a déclaré la décision 11.COM 12 adoptée</w:t>
      </w:r>
      <w:r w:rsidR="00B871FF">
        <w:rPr>
          <w:bCs/>
        </w:rPr>
        <w:t>.</w:t>
      </w:r>
    </w:p>
    <w:p w14:paraId="1200299B" w14:textId="3B857DC4" w:rsidR="00EF7BC2" w:rsidRPr="00EF7BC2" w:rsidRDefault="00EF7BC2" w:rsidP="00B871FF">
      <w:pPr>
        <w:pStyle w:val="Marge"/>
        <w:keepNext/>
        <w:tabs>
          <w:tab w:val="clear" w:pos="567"/>
          <w:tab w:val="left" w:pos="709"/>
          <w:tab w:val="left" w:pos="1418"/>
          <w:tab w:val="left" w:pos="2126"/>
          <w:tab w:val="left" w:pos="2835"/>
        </w:tabs>
        <w:spacing w:before="360" w:after="60"/>
        <w:ind w:left="567" w:hanging="567"/>
        <w:jc w:val="left"/>
        <w:outlineLvl w:val="0"/>
        <w:rPr>
          <w:rFonts w:cs="Arial"/>
          <w:b/>
          <w:szCs w:val="22"/>
          <w:u w:val="single"/>
        </w:rPr>
      </w:pPr>
      <w:bookmarkStart w:id="65" w:name="Item16"/>
      <w:r>
        <w:rPr>
          <w:rFonts w:cs="Arial"/>
          <w:b/>
          <w:szCs w:val="22"/>
          <w:u w:val="single"/>
        </w:rPr>
        <w:t>POINT 16 DE L</w:t>
      </w:r>
      <w:r w:rsidR="00346F1B">
        <w:rPr>
          <w:rFonts w:cs="Arial"/>
          <w:b/>
          <w:szCs w:val="22"/>
          <w:u w:val="single"/>
        </w:rPr>
        <w:t>’</w:t>
      </w:r>
      <w:r w:rsidRPr="00EF7BC2">
        <w:rPr>
          <w:rFonts w:cs="Arial"/>
          <w:b/>
          <w:szCs w:val="22"/>
          <w:u w:val="single"/>
        </w:rPr>
        <w:t>ORDRE DU JOUR</w:t>
      </w:r>
    </w:p>
    <w:bookmarkEnd w:id="65"/>
    <w:p w14:paraId="1711CD0E" w14:textId="4BD584EE" w:rsidR="00FF32CD" w:rsidRPr="00EF7BC2" w:rsidRDefault="00EF7BC2" w:rsidP="00B871FF">
      <w:pPr>
        <w:pStyle w:val="Marge"/>
        <w:keepNext/>
        <w:tabs>
          <w:tab w:val="clear" w:pos="567"/>
          <w:tab w:val="left" w:pos="709"/>
          <w:tab w:val="left" w:pos="1418"/>
          <w:tab w:val="left" w:pos="2126"/>
          <w:tab w:val="left" w:pos="2835"/>
        </w:tabs>
        <w:spacing w:after="120"/>
        <w:ind w:left="567" w:hanging="567"/>
        <w:jc w:val="left"/>
        <w:outlineLvl w:val="0"/>
        <w:rPr>
          <w:rFonts w:eastAsia="Cambria" w:cs="Arial"/>
          <w:b/>
          <w:szCs w:val="22"/>
        </w:rPr>
      </w:pPr>
      <w:r>
        <w:rPr>
          <w:rFonts w:eastAsia="Cambria" w:cs="Arial"/>
          <w:b/>
          <w:szCs w:val="22"/>
        </w:rPr>
        <w:t>DATE ET LIEU D</w:t>
      </w:r>
      <w:r w:rsidR="00B871FF">
        <w:rPr>
          <w:rFonts w:eastAsia="Cambria" w:cs="Arial"/>
          <w:b/>
          <w:szCs w:val="22"/>
        </w:rPr>
        <w:t>E LA DOUZIÈME SESSION DU COMITÉ</w:t>
      </w:r>
    </w:p>
    <w:p w14:paraId="20F45C58" w14:textId="14DDFEBC" w:rsidR="00FF32CD" w:rsidRPr="00EF7BC2" w:rsidRDefault="00B11E66" w:rsidP="00B871FF">
      <w:pPr>
        <w:pStyle w:val="NormalWeb"/>
        <w:keepNext/>
        <w:tabs>
          <w:tab w:val="left" w:pos="709"/>
          <w:tab w:val="left" w:pos="1418"/>
          <w:tab w:val="left" w:pos="2126"/>
          <w:tab w:val="left" w:pos="2835"/>
        </w:tabs>
        <w:spacing w:before="120" w:beforeAutospacing="0" w:after="60" w:afterAutospacing="0"/>
        <w:ind w:left="567" w:hanging="567"/>
        <w:rPr>
          <w:rFonts w:ascii="Arial" w:hAnsi="Arial" w:cs="Arial"/>
          <w:sz w:val="22"/>
          <w:szCs w:val="22"/>
          <w:lang w:val="fr-FR"/>
        </w:rPr>
      </w:pPr>
      <w:r w:rsidRPr="00EF7BC2">
        <w:rPr>
          <w:rFonts w:ascii="Arial" w:hAnsi="Arial" w:cs="Arial"/>
          <w:b/>
          <w:sz w:val="22"/>
          <w:szCs w:val="22"/>
          <w:lang w:val="fr-FR"/>
        </w:rPr>
        <w:tab/>
      </w:r>
      <w:r w:rsidR="00FF32CD" w:rsidRPr="00EF7BC2">
        <w:rPr>
          <w:rFonts w:ascii="Arial" w:hAnsi="Arial" w:cs="Arial"/>
          <w:b/>
          <w:sz w:val="22"/>
          <w:szCs w:val="22"/>
          <w:lang w:val="fr-FR"/>
        </w:rPr>
        <w:t>Document</w:t>
      </w:r>
      <w:r w:rsidR="00FF32CD" w:rsidRPr="00EF7BC2">
        <w:rPr>
          <w:rFonts w:ascii="Arial" w:hAnsi="Arial" w:cs="Arial"/>
          <w:b/>
          <w:sz w:val="22"/>
          <w:szCs w:val="22"/>
          <w:lang w:val="fr-FR"/>
        </w:rPr>
        <w:tab/>
      </w:r>
      <w:hyperlink r:id="rId48" w:history="1">
        <w:r w:rsidRPr="00EF7BC2">
          <w:rPr>
            <w:rStyle w:val="Hyperlink"/>
            <w:rFonts w:ascii="Arial" w:hAnsi="Arial" w:cs="Arial"/>
            <w:i/>
            <w:sz w:val="22"/>
            <w:szCs w:val="22"/>
            <w:lang w:val="fr-FR"/>
          </w:rPr>
          <w:t>ITH/16/11</w:t>
        </w:r>
        <w:r w:rsidR="00FF32CD" w:rsidRPr="00EF7BC2">
          <w:rPr>
            <w:rStyle w:val="Hyperlink"/>
            <w:rFonts w:ascii="Arial" w:hAnsi="Arial" w:cs="Arial"/>
            <w:i/>
            <w:sz w:val="22"/>
            <w:szCs w:val="22"/>
            <w:lang w:val="fr-FR"/>
          </w:rPr>
          <w:t>.COM/1</w:t>
        </w:r>
        <w:r w:rsidRPr="00EF7BC2">
          <w:rPr>
            <w:rStyle w:val="Hyperlink"/>
            <w:rFonts w:ascii="Arial" w:hAnsi="Arial" w:cs="Arial"/>
            <w:i/>
            <w:sz w:val="22"/>
            <w:szCs w:val="22"/>
            <w:lang w:val="fr-FR"/>
          </w:rPr>
          <w:t>6</w:t>
        </w:r>
      </w:hyperlink>
    </w:p>
    <w:p w14:paraId="59874FAB" w14:textId="2A72E4B6" w:rsidR="00FF32CD" w:rsidRPr="00EF7BC2" w:rsidRDefault="00B11E66" w:rsidP="00B871FF">
      <w:pPr>
        <w:keepNext/>
        <w:tabs>
          <w:tab w:val="left" w:pos="709"/>
          <w:tab w:val="left" w:pos="1418"/>
          <w:tab w:val="left" w:pos="2126"/>
          <w:tab w:val="left" w:pos="2835"/>
        </w:tabs>
        <w:spacing w:before="60" w:after="240"/>
        <w:ind w:left="567" w:hanging="567"/>
        <w:rPr>
          <w:rFonts w:ascii="Arial" w:hAnsi="Arial" w:cs="Arial"/>
          <w:i/>
          <w:sz w:val="22"/>
          <w:szCs w:val="22"/>
          <w:lang w:eastAsia="en-US"/>
        </w:rPr>
      </w:pPr>
      <w:r w:rsidRPr="00EF7BC2">
        <w:rPr>
          <w:rFonts w:ascii="Arial" w:hAnsi="Arial" w:cs="Arial"/>
          <w:b/>
          <w:sz w:val="22"/>
          <w:szCs w:val="22"/>
          <w:lang w:eastAsia="en-US"/>
        </w:rPr>
        <w:tab/>
      </w:r>
      <w:r w:rsidR="00EF7BC2">
        <w:rPr>
          <w:rFonts w:ascii="Arial" w:hAnsi="Arial" w:cs="Arial"/>
          <w:b/>
          <w:sz w:val="22"/>
          <w:szCs w:val="22"/>
          <w:lang w:eastAsia="en-US"/>
        </w:rPr>
        <w:t>Dé</w:t>
      </w:r>
      <w:r w:rsidR="00FF32CD" w:rsidRPr="00EF7BC2">
        <w:rPr>
          <w:rFonts w:ascii="Arial" w:hAnsi="Arial" w:cs="Arial"/>
          <w:b/>
          <w:sz w:val="22"/>
          <w:szCs w:val="22"/>
          <w:lang w:eastAsia="en-US"/>
        </w:rPr>
        <w:t>cision</w:t>
      </w:r>
      <w:r w:rsidR="00FF32CD" w:rsidRPr="00EF7BC2">
        <w:rPr>
          <w:rFonts w:ascii="Arial" w:hAnsi="Arial" w:cs="Arial"/>
          <w:b/>
          <w:sz w:val="22"/>
          <w:szCs w:val="22"/>
        </w:rPr>
        <w:tab/>
      </w:r>
      <w:r w:rsidRPr="00EF7BC2">
        <w:rPr>
          <w:rFonts w:ascii="Arial" w:hAnsi="Arial" w:cs="Arial"/>
          <w:i/>
          <w:sz w:val="22"/>
          <w:szCs w:val="22"/>
          <w:lang w:eastAsia="en-US"/>
        </w:rPr>
        <w:t>11.COM 16</w:t>
      </w:r>
    </w:p>
    <w:p w14:paraId="22250F75" w14:textId="4D1E94CD" w:rsidR="00EF7BC2" w:rsidRPr="00EF7BC2" w:rsidRDefault="00CE5006" w:rsidP="00B871FF">
      <w:pPr>
        <w:pStyle w:val="Orateurengris"/>
        <w:spacing w:before="120"/>
        <w:ind w:left="709" w:hanging="709"/>
      </w:pPr>
      <w:r>
        <w:t xml:space="preserve">Le </w:t>
      </w:r>
      <w:r w:rsidRPr="008B61D4">
        <w:rPr>
          <w:b/>
        </w:rPr>
        <w:t>Président</w:t>
      </w:r>
      <w:r>
        <w:t xml:space="preserve"> est passé à la décision suivante concernant la date et le lieu de la douzième session du Comité, en 2017, en faisant référence au document 16 et au projet de décision correspondant. Il a informé le Comité que le 25 août 2016, le Secrétariat avait </w:t>
      </w:r>
      <w:r w:rsidR="008B61D4">
        <w:t xml:space="preserve">reçu </w:t>
      </w:r>
      <w:r>
        <w:t>une proposition de la République de Corée</w:t>
      </w:r>
      <w:r w:rsidR="008B61D4">
        <w:t xml:space="preserve"> </w:t>
      </w:r>
      <w:r>
        <w:t>d</w:t>
      </w:r>
      <w:r w:rsidR="00346F1B">
        <w:t>’</w:t>
      </w:r>
      <w:r>
        <w:t>accueillir</w:t>
      </w:r>
      <w:r w:rsidR="00B871FF">
        <w:t xml:space="preserve"> la douzième session du Comité.</w:t>
      </w:r>
    </w:p>
    <w:p w14:paraId="144BB69D" w14:textId="717BA81F" w:rsidR="008B61D4" w:rsidRPr="008B61D4" w:rsidRDefault="008B61D4" w:rsidP="00B871FF">
      <w:pPr>
        <w:pStyle w:val="Orateurengris"/>
        <w:spacing w:before="120"/>
        <w:ind w:left="709" w:hanging="709"/>
      </w:pPr>
      <w:r>
        <w:t xml:space="preserve">Le </w:t>
      </w:r>
      <w:r w:rsidRPr="008B61D4">
        <w:rPr>
          <w:b/>
        </w:rPr>
        <w:t>Président</w:t>
      </w:r>
      <w:r>
        <w:t xml:space="preserve"> a suggéré que le Comité accepte cette aimable p</w:t>
      </w:r>
      <w:r w:rsidR="00B871FF">
        <w:t>roposition par acclamation.</w:t>
      </w:r>
    </w:p>
    <w:p w14:paraId="72201AD7" w14:textId="7B1E02C9" w:rsidR="00B11E66" w:rsidRPr="00EF7BC2" w:rsidRDefault="008B61D4" w:rsidP="00B871FF">
      <w:pPr>
        <w:pStyle w:val="Orateurengris"/>
        <w:numPr>
          <w:ilvl w:val="0"/>
          <w:numId w:val="0"/>
        </w:numPr>
        <w:spacing w:before="120"/>
        <w:ind w:left="709" w:hanging="709"/>
        <w:jc w:val="center"/>
        <w:rPr>
          <w:i/>
        </w:rPr>
      </w:pPr>
      <w:r>
        <w:rPr>
          <w:i/>
        </w:rPr>
        <w:t xml:space="preserve">[La </w:t>
      </w:r>
      <w:r w:rsidRPr="008B61D4">
        <w:rPr>
          <w:i/>
        </w:rPr>
        <w:t xml:space="preserve">proposition </w:t>
      </w:r>
      <w:r>
        <w:rPr>
          <w:i/>
        </w:rPr>
        <w:t>a été acceptée par</w:t>
      </w:r>
      <w:r w:rsidR="00B11E66" w:rsidRPr="00EF7BC2">
        <w:rPr>
          <w:i/>
        </w:rPr>
        <w:t xml:space="preserve"> acclamation]</w:t>
      </w:r>
    </w:p>
    <w:p w14:paraId="0535BE47" w14:textId="6B62B926" w:rsidR="008B61D4" w:rsidRDefault="008B61D4" w:rsidP="00B871FF">
      <w:pPr>
        <w:pStyle w:val="Orateurengris"/>
        <w:spacing w:before="120"/>
        <w:ind w:left="709" w:hanging="709"/>
      </w:pPr>
      <w:r>
        <w:t xml:space="preserve">Le </w:t>
      </w:r>
      <w:r w:rsidRPr="008B61D4">
        <w:rPr>
          <w:b/>
        </w:rPr>
        <w:t>Président</w:t>
      </w:r>
      <w:r>
        <w:t xml:space="preserve"> a remercié la République de Corée de son aimable proposition, et a invité le Secrétaire à communiquer quelques informations</w:t>
      </w:r>
      <w:r w:rsidR="00B871FF">
        <w:t xml:space="preserve"> complémentaires sur les dates.</w:t>
      </w:r>
    </w:p>
    <w:p w14:paraId="2D6427DA" w14:textId="41C81C3A" w:rsidR="008B61D4" w:rsidRDefault="008B61D4" w:rsidP="00B871FF">
      <w:pPr>
        <w:pStyle w:val="Orateurengris"/>
        <w:spacing w:before="120"/>
        <w:ind w:left="709" w:hanging="709"/>
      </w:pPr>
      <w:r>
        <w:t xml:space="preserve">Le </w:t>
      </w:r>
      <w:r w:rsidRPr="008B61D4">
        <w:rPr>
          <w:b/>
        </w:rPr>
        <w:t>Secrétaire</w:t>
      </w:r>
      <w:r>
        <w:t xml:space="preserve"> a rappelé au Comité que l</w:t>
      </w:r>
      <w:r w:rsidR="00346F1B">
        <w:t>’</w:t>
      </w:r>
      <w:r>
        <w:t>article 4.1 du Règlement intérieur stipulait que le Comité devait fixer à chaque session, en consultation avec la Directrice générale de l</w:t>
      </w:r>
      <w:r w:rsidR="00346F1B">
        <w:t>’</w:t>
      </w:r>
      <w:r>
        <w:t>UNESCO, la date et le lieu de la prochaine session. Il a informé le Comité qu</w:t>
      </w:r>
      <w:r w:rsidR="00346F1B">
        <w:t>’</w:t>
      </w:r>
      <w:r>
        <w:t>il était en mesure de confirmer avec la Directrice générale et la République de Corée que la douzième session pourrait se tenir du 4 au 8 décembre 2017. Le Secrétariat avait amendé le projet de décision en conséquence, et son équipe a projeté sur l</w:t>
      </w:r>
      <w:r w:rsidR="00346F1B">
        <w:t>’</w:t>
      </w:r>
      <w:r>
        <w:t>écran le projet de décision tel qu</w:t>
      </w:r>
      <w:r w:rsidR="00346F1B">
        <w:t>’</w:t>
      </w:r>
      <w:r w:rsidR="00B871FF">
        <w:t>amendé.</w:t>
      </w:r>
    </w:p>
    <w:p w14:paraId="743ECAD2" w14:textId="495DD061" w:rsidR="00341FE2" w:rsidRPr="00EF7BC2" w:rsidRDefault="008B61D4" w:rsidP="00B871FF">
      <w:pPr>
        <w:pStyle w:val="Orateurengris"/>
        <w:numPr>
          <w:ilvl w:val="0"/>
          <w:numId w:val="0"/>
        </w:numPr>
        <w:spacing w:before="120"/>
        <w:ind w:left="709" w:hanging="709"/>
        <w:jc w:val="center"/>
        <w:rPr>
          <w:i/>
        </w:rPr>
      </w:pPr>
      <w:r>
        <w:rPr>
          <w:i/>
        </w:rPr>
        <w:t xml:space="preserve">[Les dates ont été acceptées par </w:t>
      </w:r>
      <w:r w:rsidR="00341FE2" w:rsidRPr="00EF7BC2">
        <w:rPr>
          <w:i/>
        </w:rPr>
        <w:t>acclamation]</w:t>
      </w:r>
    </w:p>
    <w:p w14:paraId="7369AC46" w14:textId="33305949" w:rsidR="008B61D4" w:rsidRDefault="008B61D4" w:rsidP="00B871FF">
      <w:pPr>
        <w:pStyle w:val="Orateurengris"/>
        <w:spacing w:before="120"/>
        <w:ind w:left="709" w:hanging="709"/>
      </w:pPr>
      <w:r>
        <w:t>Le Président est ensuite passé à l</w:t>
      </w:r>
      <w:r w:rsidR="00346F1B">
        <w:t>’</w:t>
      </w:r>
      <w:r>
        <w:t>adoption de la décision paragraphe par paragraphe. En l</w:t>
      </w:r>
      <w:r w:rsidR="00346F1B">
        <w:t>’</w:t>
      </w:r>
      <w:r>
        <w:t>absence de commentaires ou d</w:t>
      </w:r>
      <w:r w:rsidR="00346F1B">
        <w:t>’</w:t>
      </w:r>
      <w:r>
        <w:t xml:space="preserve">objections, le </w:t>
      </w:r>
      <w:r w:rsidRPr="008B61D4">
        <w:rPr>
          <w:b/>
        </w:rPr>
        <w:t>Président a déclaré la décision 11.COM 16 adoptée tel</w:t>
      </w:r>
      <w:r>
        <w:rPr>
          <w:b/>
        </w:rPr>
        <w:t>le</w:t>
      </w:r>
      <w:r w:rsidRPr="008B61D4">
        <w:rPr>
          <w:b/>
        </w:rPr>
        <w:t xml:space="preserve"> qu</w:t>
      </w:r>
      <w:r w:rsidR="00346F1B">
        <w:rPr>
          <w:b/>
        </w:rPr>
        <w:t>’</w:t>
      </w:r>
      <w:r w:rsidRPr="008B61D4">
        <w:rPr>
          <w:b/>
        </w:rPr>
        <w:t>amendée</w:t>
      </w:r>
      <w:r w:rsidR="00B871FF">
        <w:t>.</w:t>
      </w:r>
    </w:p>
    <w:p w14:paraId="3ECDC48E" w14:textId="34294F9B" w:rsidR="008B61D4" w:rsidRDefault="008B61D4" w:rsidP="00B871FF">
      <w:pPr>
        <w:pStyle w:val="Orateurengris"/>
        <w:spacing w:before="120"/>
        <w:ind w:left="709" w:hanging="709"/>
      </w:pPr>
      <w:r>
        <w:t xml:space="preserve">La délégation de la </w:t>
      </w:r>
      <w:r w:rsidRPr="008B61D4">
        <w:rPr>
          <w:b/>
        </w:rPr>
        <w:t>République de Corée</w:t>
      </w:r>
      <w:r>
        <w:t xml:space="preserve"> a exprimé sa profonde reconnaissance au Président, au Comité et au Secrétariat pour leur travail ardu, et pour l</w:t>
      </w:r>
      <w:r w:rsidR="00346F1B">
        <w:t>’</w:t>
      </w:r>
      <w:r>
        <w:t>opportunité qui lui était donnée d</w:t>
      </w:r>
      <w:r w:rsidR="00346F1B">
        <w:t>’</w:t>
      </w:r>
      <w:r>
        <w:t>inviter le Comité dans son pays à l</w:t>
      </w:r>
      <w:r w:rsidR="00346F1B">
        <w:t>’</w:t>
      </w:r>
      <w:r>
        <w:t>occasion de la douzième session. Cette opportunité revêtait encore plus d</w:t>
      </w:r>
      <w:r w:rsidR="00346F1B">
        <w:t>’</w:t>
      </w:r>
      <w:r>
        <w:t>importance car c</w:t>
      </w:r>
      <w:r w:rsidR="00346F1B">
        <w:t>’</w:t>
      </w:r>
      <w:r>
        <w:t>était la première réunion de la Convention à se tenir en République de Corée, qui s</w:t>
      </w:r>
      <w:r w:rsidR="00346F1B">
        <w:t>’</w:t>
      </w:r>
      <w:r>
        <w:t>appuierait sur son expérience</w:t>
      </w:r>
      <w:r w:rsidR="009F424C">
        <w:t xml:space="preserve"> d</w:t>
      </w:r>
      <w:r w:rsidR="00346F1B">
        <w:t>’</w:t>
      </w:r>
      <w:r w:rsidR="009F424C">
        <w:t>hôte de plusieurs conférences internationales et sommets mondiaux, notamment le G20, le Sommet mondial sur la sécurité nucléaire et le Forum mondial de l</w:t>
      </w:r>
      <w:r w:rsidR="00346F1B">
        <w:t>’</w:t>
      </w:r>
      <w:r w:rsidR="009F424C">
        <w:t>éducation. Elle ferait tout son possible pour rendre la prochaine session enrichissante et mémorable pour tous les participants. La République de Corée avait toujours été fidèle aux programmes du patrimoine de l</w:t>
      </w:r>
      <w:r w:rsidR="00346F1B">
        <w:t>’</w:t>
      </w:r>
      <w:r w:rsidR="009F424C">
        <w:t>UNESCO et elle poursuivrait sa collaboration avec les partenaires et parties prenantes internationaux dans le cadre des Conventions culturelles de l</w:t>
      </w:r>
      <w:r w:rsidR="00346F1B">
        <w:t>’</w:t>
      </w:r>
      <w:r w:rsidR="009F424C">
        <w:t>UNESCO. La République de Corée était le pays d</w:t>
      </w:r>
      <w:r w:rsidR="00346F1B">
        <w:t>’</w:t>
      </w:r>
      <w:r w:rsidR="009F424C">
        <w:t>une grande civilisation et d</w:t>
      </w:r>
      <w:r w:rsidR="00346F1B">
        <w:t>’</w:t>
      </w:r>
      <w:r w:rsidR="009F424C">
        <w:t>une histoire millénaire, riche d</w:t>
      </w:r>
      <w:r w:rsidR="00346F1B">
        <w:t>’</w:t>
      </w:r>
      <w:r w:rsidR="009F424C">
        <w:t>un grand patrimoine matériel et immatériel à partager avec le reste du monde. La délégation était ravie que la prochaine session permette aux délégués de faire directement l</w:t>
      </w:r>
      <w:r w:rsidR="00346F1B">
        <w:t>’</w:t>
      </w:r>
      <w:r w:rsidR="009F424C">
        <w:t>expérience de la riche et dynamique culture de la Corée, et puisse découvrir Séoul, un mélange de modernité et de traditions. Elle se réjouissait d</w:t>
      </w:r>
      <w:r w:rsidR="00346F1B">
        <w:t>’</w:t>
      </w:r>
      <w:r w:rsidR="00B871FF">
        <w:t>accueillir tous les délégués.</w:t>
      </w:r>
    </w:p>
    <w:p w14:paraId="0EFE42BF" w14:textId="2F1000B7" w:rsidR="00BA1C7B" w:rsidRPr="00EF7BC2" w:rsidRDefault="008052AC" w:rsidP="00B871FF">
      <w:pPr>
        <w:pStyle w:val="Orateurengris"/>
        <w:numPr>
          <w:ilvl w:val="0"/>
          <w:numId w:val="0"/>
        </w:numPr>
        <w:spacing w:before="120"/>
        <w:ind w:left="709" w:hanging="709"/>
        <w:jc w:val="center"/>
        <w:rPr>
          <w:i/>
        </w:rPr>
      </w:pPr>
      <w:r>
        <w:rPr>
          <w:i/>
        </w:rPr>
        <w:t>[Un film sur la République de Corée a été projeté</w:t>
      </w:r>
      <w:r w:rsidR="00685AE7" w:rsidRPr="00EF7BC2">
        <w:rPr>
          <w:i/>
        </w:rPr>
        <w:t>]</w:t>
      </w:r>
    </w:p>
    <w:p w14:paraId="0AB56CB4" w14:textId="4C75821C" w:rsidR="00B11E66" w:rsidRPr="008052AC" w:rsidRDefault="008052AC" w:rsidP="00B871FF">
      <w:pPr>
        <w:pStyle w:val="Marge"/>
        <w:keepNext/>
        <w:tabs>
          <w:tab w:val="clear" w:pos="567"/>
          <w:tab w:val="left" w:pos="709"/>
          <w:tab w:val="left" w:pos="1418"/>
          <w:tab w:val="left" w:pos="2126"/>
          <w:tab w:val="left" w:pos="2835"/>
        </w:tabs>
        <w:spacing w:before="360" w:after="60"/>
        <w:ind w:left="567" w:hanging="567"/>
        <w:jc w:val="left"/>
        <w:outlineLvl w:val="0"/>
        <w:rPr>
          <w:rFonts w:cs="Arial"/>
          <w:b/>
          <w:szCs w:val="22"/>
          <w:u w:val="single"/>
        </w:rPr>
      </w:pPr>
      <w:bookmarkStart w:id="66" w:name="Item17"/>
      <w:r>
        <w:rPr>
          <w:rFonts w:cs="Arial"/>
          <w:b/>
          <w:szCs w:val="22"/>
          <w:u w:val="single"/>
        </w:rPr>
        <w:t>POINT 17 DE L</w:t>
      </w:r>
      <w:r w:rsidR="00346F1B">
        <w:rPr>
          <w:rFonts w:cs="Arial"/>
          <w:b/>
          <w:szCs w:val="22"/>
          <w:u w:val="single"/>
        </w:rPr>
        <w:t>’</w:t>
      </w:r>
      <w:r w:rsidRPr="008052AC">
        <w:rPr>
          <w:rFonts w:cs="Arial"/>
          <w:b/>
          <w:szCs w:val="22"/>
          <w:u w:val="single"/>
        </w:rPr>
        <w:t>ORDRE DU JOUR</w:t>
      </w:r>
      <w:r>
        <w:rPr>
          <w:rFonts w:cs="Arial"/>
          <w:b/>
          <w:szCs w:val="22"/>
          <w:u w:val="single"/>
        </w:rPr>
        <w:t> :</w:t>
      </w:r>
    </w:p>
    <w:bookmarkEnd w:id="66"/>
    <w:p w14:paraId="68A70243" w14:textId="75F73C29" w:rsidR="00FF32CD" w:rsidRPr="008052AC" w:rsidRDefault="008052AC" w:rsidP="00B871FF">
      <w:pPr>
        <w:pStyle w:val="Marge"/>
        <w:keepNext/>
        <w:tabs>
          <w:tab w:val="clear" w:pos="567"/>
          <w:tab w:val="left" w:pos="709"/>
          <w:tab w:val="left" w:pos="1418"/>
          <w:tab w:val="left" w:pos="2126"/>
          <w:tab w:val="left" w:pos="2835"/>
        </w:tabs>
        <w:spacing w:after="120"/>
        <w:ind w:left="567" w:hanging="567"/>
        <w:jc w:val="left"/>
        <w:outlineLvl w:val="0"/>
        <w:rPr>
          <w:rFonts w:eastAsia="Cambria" w:cs="Arial"/>
          <w:b/>
          <w:szCs w:val="22"/>
        </w:rPr>
      </w:pPr>
      <w:r>
        <w:rPr>
          <w:rFonts w:eastAsia="Cambria" w:cs="Arial"/>
          <w:b/>
          <w:szCs w:val="22"/>
        </w:rPr>
        <w:t>ÉLECTION DES MEMBRES DU BUREAU D</w:t>
      </w:r>
      <w:r w:rsidR="00B871FF">
        <w:rPr>
          <w:rFonts w:eastAsia="Cambria" w:cs="Arial"/>
          <w:b/>
          <w:szCs w:val="22"/>
        </w:rPr>
        <w:t>E LA DOUZIÈME SESSION DU COMITÉ</w:t>
      </w:r>
    </w:p>
    <w:p w14:paraId="6A0EAAD7" w14:textId="6E5AD70F" w:rsidR="00FF32CD" w:rsidRPr="008052AC" w:rsidRDefault="00BA1C7B" w:rsidP="00C62793">
      <w:pPr>
        <w:pStyle w:val="NormalWeb"/>
        <w:keepNext/>
        <w:tabs>
          <w:tab w:val="left" w:pos="709"/>
          <w:tab w:val="left" w:pos="1418"/>
          <w:tab w:val="left" w:pos="2126"/>
          <w:tab w:val="left" w:pos="2835"/>
        </w:tabs>
        <w:spacing w:before="120" w:beforeAutospacing="0" w:after="60" w:afterAutospacing="0"/>
        <w:ind w:left="709" w:hanging="709"/>
        <w:rPr>
          <w:rFonts w:ascii="Arial" w:hAnsi="Arial" w:cs="Arial"/>
          <w:sz w:val="22"/>
          <w:szCs w:val="22"/>
          <w:lang w:val="fr-FR"/>
        </w:rPr>
      </w:pPr>
      <w:r w:rsidRPr="008052AC">
        <w:rPr>
          <w:rFonts w:ascii="Arial" w:hAnsi="Arial" w:cs="Arial"/>
          <w:b/>
          <w:sz w:val="22"/>
          <w:szCs w:val="22"/>
          <w:lang w:val="fr-FR"/>
        </w:rPr>
        <w:tab/>
      </w:r>
      <w:r w:rsidR="00FF32CD" w:rsidRPr="008052AC">
        <w:rPr>
          <w:rFonts w:ascii="Arial" w:hAnsi="Arial" w:cs="Arial"/>
          <w:b/>
          <w:sz w:val="22"/>
          <w:szCs w:val="22"/>
          <w:lang w:val="fr-FR"/>
        </w:rPr>
        <w:t>Document</w:t>
      </w:r>
      <w:r w:rsidR="00FF32CD" w:rsidRPr="008052AC">
        <w:rPr>
          <w:rFonts w:ascii="Arial" w:hAnsi="Arial" w:cs="Arial"/>
          <w:b/>
          <w:sz w:val="22"/>
          <w:szCs w:val="22"/>
          <w:lang w:val="fr-FR"/>
        </w:rPr>
        <w:tab/>
      </w:r>
      <w:hyperlink r:id="rId49" w:history="1">
        <w:r w:rsidRPr="008052AC">
          <w:rPr>
            <w:rStyle w:val="Hyperlink"/>
            <w:rFonts w:ascii="Arial" w:hAnsi="Arial" w:cs="Arial"/>
            <w:i/>
            <w:sz w:val="22"/>
            <w:szCs w:val="22"/>
            <w:lang w:val="fr-FR"/>
          </w:rPr>
          <w:t>ITH/16/11</w:t>
        </w:r>
        <w:r w:rsidR="00FF32CD" w:rsidRPr="008052AC">
          <w:rPr>
            <w:rStyle w:val="Hyperlink"/>
            <w:rFonts w:ascii="Arial" w:hAnsi="Arial" w:cs="Arial"/>
            <w:i/>
            <w:sz w:val="22"/>
            <w:szCs w:val="22"/>
            <w:lang w:val="fr-FR"/>
          </w:rPr>
          <w:t>.COM/1</w:t>
        </w:r>
        <w:r w:rsidRPr="008052AC">
          <w:rPr>
            <w:rStyle w:val="Hyperlink"/>
            <w:rFonts w:ascii="Arial" w:hAnsi="Arial" w:cs="Arial"/>
            <w:i/>
            <w:sz w:val="22"/>
            <w:szCs w:val="22"/>
            <w:lang w:val="fr-FR"/>
          </w:rPr>
          <w:t>7</w:t>
        </w:r>
      </w:hyperlink>
    </w:p>
    <w:p w14:paraId="539FB7EB" w14:textId="0DD6B7D9" w:rsidR="00E32387" w:rsidRPr="008052AC" w:rsidRDefault="00BA1C7B" w:rsidP="00C62793">
      <w:pPr>
        <w:keepNext/>
        <w:tabs>
          <w:tab w:val="left" w:pos="709"/>
          <w:tab w:val="left" w:pos="1418"/>
          <w:tab w:val="left" w:pos="2126"/>
          <w:tab w:val="left" w:pos="2835"/>
        </w:tabs>
        <w:spacing w:before="60" w:after="240"/>
        <w:ind w:left="709" w:hanging="709"/>
        <w:rPr>
          <w:rFonts w:ascii="Arial" w:hAnsi="Arial" w:cs="Arial"/>
          <w:i/>
          <w:sz w:val="22"/>
          <w:szCs w:val="22"/>
          <w:lang w:eastAsia="en-US"/>
        </w:rPr>
      </w:pPr>
      <w:r w:rsidRPr="008052AC">
        <w:rPr>
          <w:rFonts w:ascii="Arial" w:hAnsi="Arial" w:cs="Arial"/>
          <w:b/>
          <w:sz w:val="22"/>
          <w:szCs w:val="22"/>
          <w:lang w:eastAsia="en-US"/>
        </w:rPr>
        <w:tab/>
      </w:r>
      <w:r w:rsidR="008052AC">
        <w:rPr>
          <w:rFonts w:ascii="Arial" w:hAnsi="Arial" w:cs="Arial"/>
          <w:b/>
          <w:sz w:val="22"/>
          <w:szCs w:val="22"/>
          <w:lang w:eastAsia="en-US"/>
        </w:rPr>
        <w:t>Dé</w:t>
      </w:r>
      <w:r w:rsidR="00FF32CD" w:rsidRPr="008052AC">
        <w:rPr>
          <w:rFonts w:ascii="Arial" w:hAnsi="Arial" w:cs="Arial"/>
          <w:b/>
          <w:sz w:val="22"/>
          <w:szCs w:val="22"/>
          <w:lang w:eastAsia="en-US"/>
        </w:rPr>
        <w:t>cision</w:t>
      </w:r>
      <w:r w:rsidR="00FF32CD" w:rsidRPr="008052AC">
        <w:rPr>
          <w:rFonts w:ascii="Arial" w:hAnsi="Arial" w:cs="Arial"/>
          <w:b/>
          <w:sz w:val="22"/>
          <w:szCs w:val="22"/>
        </w:rPr>
        <w:tab/>
      </w:r>
      <w:r w:rsidRPr="008052AC">
        <w:rPr>
          <w:rFonts w:ascii="Arial" w:hAnsi="Arial" w:cs="Arial"/>
          <w:i/>
          <w:sz w:val="22"/>
          <w:szCs w:val="22"/>
          <w:lang w:eastAsia="en-US"/>
        </w:rPr>
        <w:t>11.COM 17</w:t>
      </w:r>
    </w:p>
    <w:p w14:paraId="741B7D8A" w14:textId="1B245BB4" w:rsidR="008052AC" w:rsidRPr="008052AC" w:rsidRDefault="008052AC" w:rsidP="00613028">
      <w:pPr>
        <w:pStyle w:val="Orateurengris"/>
        <w:spacing w:before="120"/>
        <w:ind w:left="709" w:hanging="709"/>
      </w:pPr>
      <w:r>
        <w:t xml:space="preserve">La date et le lieu étant désormais décidés, le </w:t>
      </w:r>
      <w:r w:rsidRPr="008052AC">
        <w:rPr>
          <w:b/>
        </w:rPr>
        <w:t>Président</w:t>
      </w:r>
      <w:r>
        <w:t xml:space="preserve"> est passé à l</w:t>
      </w:r>
      <w:r w:rsidR="00346F1B">
        <w:t>’</w:t>
      </w:r>
      <w:r>
        <w:t>élection du prochain Bureau, en faisant référence au document 17. Il a rappelé que, conformément aux articles 12 et 13 de son Règlement intérieur, le Comité devait élire son Bureau constitué d</w:t>
      </w:r>
      <w:r w:rsidR="00346F1B">
        <w:t>’</w:t>
      </w:r>
      <w:r>
        <w:t>un Président, d</w:t>
      </w:r>
      <w:r w:rsidR="00346F1B">
        <w:t>’</w:t>
      </w:r>
      <w:r>
        <w:t>un ou plusieurs Vice-Président(s) et d</w:t>
      </w:r>
      <w:r w:rsidR="00346F1B">
        <w:t>’</w:t>
      </w:r>
      <w:r>
        <w:t>un Rapporteur qui resteraient en fonction jusqu</w:t>
      </w:r>
      <w:r w:rsidR="00346F1B">
        <w:t>’</w:t>
      </w:r>
      <w:r>
        <w:t>à la fin de la prochaine session ordinaire. Conformément à l</w:t>
      </w:r>
      <w:r w:rsidR="00346F1B">
        <w:t>’</w:t>
      </w:r>
      <w:r>
        <w:t>article 13.4, le Comité, lors de l</w:t>
      </w:r>
      <w:r w:rsidR="00346F1B">
        <w:t>’</w:t>
      </w:r>
      <w:r>
        <w:t>élection du Bureau, devait tenir dûment compte de la néce</w:t>
      </w:r>
      <w:r w:rsidR="007347E0">
        <w:t>ssité d</w:t>
      </w:r>
      <w:r w:rsidR="00346F1B">
        <w:t>’</w:t>
      </w:r>
      <w:r w:rsidR="007347E0">
        <w:t>assurer une représentation</w:t>
      </w:r>
      <w:r>
        <w:t xml:space="preserve"> géographique équitable et, dans la mesure du possible, </w:t>
      </w:r>
      <w:r w:rsidR="007347E0">
        <w:t>un équilibre entre les différents domaines du PCI. Les membres du Bureau devaient ég</w:t>
      </w:r>
      <w:r w:rsidR="00613028">
        <w:t>alement être membres du Comité.</w:t>
      </w:r>
    </w:p>
    <w:p w14:paraId="2741F8E8" w14:textId="6EFA2400" w:rsidR="007347E0" w:rsidRPr="007347E0" w:rsidRDefault="007347E0" w:rsidP="00613028">
      <w:pPr>
        <w:pStyle w:val="Orateurengris"/>
        <w:spacing w:before="120"/>
        <w:ind w:left="709" w:hanging="709"/>
        <w:rPr>
          <w:color w:val="000000"/>
        </w:rPr>
      </w:pPr>
      <w:r>
        <w:rPr>
          <w:color w:val="000000"/>
        </w:rPr>
        <w:t xml:space="preserve">La </w:t>
      </w:r>
      <w:r w:rsidRPr="007347E0">
        <w:rPr>
          <w:color w:val="000000"/>
        </w:rPr>
        <w:t>délégation</w:t>
      </w:r>
      <w:r>
        <w:rPr>
          <w:color w:val="000000"/>
        </w:rPr>
        <w:t xml:space="preserve"> de la </w:t>
      </w:r>
      <w:r w:rsidRPr="007347E0">
        <w:rPr>
          <w:b/>
          <w:color w:val="000000"/>
        </w:rPr>
        <w:t>République de Corée</w:t>
      </w:r>
      <w:r>
        <w:rPr>
          <w:color w:val="000000"/>
        </w:rPr>
        <w:t xml:space="preserve"> a proposé Son Excellence M. Byong-hyun Lee, délégué permanent de la République de Corée auprès de l</w:t>
      </w:r>
      <w:r w:rsidR="00346F1B">
        <w:rPr>
          <w:color w:val="000000"/>
        </w:rPr>
        <w:t>’</w:t>
      </w:r>
      <w:r>
        <w:rPr>
          <w:color w:val="000000"/>
        </w:rPr>
        <w:t>UNESCO, en tant que Pr</w:t>
      </w:r>
      <w:r w:rsidR="00613028">
        <w:rPr>
          <w:color w:val="000000"/>
        </w:rPr>
        <w:t>ésident de la douzième session.</w:t>
      </w:r>
    </w:p>
    <w:p w14:paraId="256A8EEC" w14:textId="13F84067" w:rsidR="002C503B" w:rsidRPr="008052AC" w:rsidRDefault="007347E0" w:rsidP="00613028">
      <w:pPr>
        <w:pStyle w:val="Orateurengris"/>
        <w:numPr>
          <w:ilvl w:val="0"/>
          <w:numId w:val="0"/>
        </w:numPr>
        <w:spacing w:before="120"/>
        <w:ind w:left="709" w:hanging="709"/>
        <w:jc w:val="center"/>
        <w:rPr>
          <w:i/>
        </w:rPr>
      </w:pPr>
      <w:r>
        <w:rPr>
          <w:bCs/>
          <w:i/>
        </w:rPr>
        <w:t xml:space="preserve">[Approbation par </w:t>
      </w:r>
      <w:r w:rsidR="002C503B" w:rsidRPr="008052AC">
        <w:rPr>
          <w:bCs/>
          <w:i/>
        </w:rPr>
        <w:t>acclamation]</w:t>
      </w:r>
    </w:p>
    <w:p w14:paraId="410B80C5" w14:textId="02EE1883" w:rsidR="007347E0" w:rsidRDefault="007347E0" w:rsidP="00613028">
      <w:pPr>
        <w:pStyle w:val="Orateurengris"/>
        <w:spacing w:before="120"/>
        <w:ind w:left="709" w:hanging="709"/>
      </w:pPr>
      <w:r>
        <w:t xml:space="preserve">Le </w:t>
      </w:r>
      <w:r w:rsidRPr="007347E0">
        <w:rPr>
          <w:b/>
        </w:rPr>
        <w:t>Président</w:t>
      </w:r>
      <w:r>
        <w:t xml:space="preserve"> a félicité S.E </w:t>
      </w:r>
      <w:r>
        <w:rPr>
          <w:color w:val="000000"/>
        </w:rPr>
        <w:t>M. Byong-hyun Lee pour son élection, en notant qu</w:t>
      </w:r>
      <w:r w:rsidR="00346F1B">
        <w:rPr>
          <w:color w:val="000000"/>
        </w:rPr>
        <w:t>’</w:t>
      </w:r>
      <w:r>
        <w:rPr>
          <w:color w:val="000000"/>
        </w:rPr>
        <w:t xml:space="preserve">il représenterait le groupe IV. Le Président a invité les membres à soumettre des propositions pour le poste de </w:t>
      </w:r>
      <w:r w:rsidRPr="007347E0">
        <w:rPr>
          <w:color w:val="000000"/>
        </w:rPr>
        <w:t>Rapporteur</w:t>
      </w:r>
      <w:r w:rsidR="00613028">
        <w:rPr>
          <w:color w:val="000000"/>
        </w:rPr>
        <w:t>.</w:t>
      </w:r>
    </w:p>
    <w:p w14:paraId="76323E2C" w14:textId="3CA552EA" w:rsidR="007347E0" w:rsidRPr="007347E0" w:rsidRDefault="007347E0" w:rsidP="00613028">
      <w:pPr>
        <w:pStyle w:val="Orateurengris"/>
        <w:spacing w:before="120"/>
        <w:ind w:left="709" w:hanging="709"/>
      </w:pPr>
      <w:r>
        <w:t xml:space="preserve">Entre-temps, le </w:t>
      </w:r>
      <w:r w:rsidRPr="007347E0">
        <w:rPr>
          <w:b/>
        </w:rPr>
        <w:t>Président</w:t>
      </w:r>
      <w:r>
        <w:t xml:space="preserve"> a également sollicité des propositions pour</w:t>
      </w:r>
      <w:r w:rsidR="00613028">
        <w:t xml:space="preserve"> les postes de Vice-Présidents.</w:t>
      </w:r>
    </w:p>
    <w:p w14:paraId="3BB98B8E" w14:textId="71131338" w:rsidR="007347E0" w:rsidRPr="007347E0" w:rsidRDefault="007347E0" w:rsidP="00613028">
      <w:pPr>
        <w:pStyle w:val="Orateurengris"/>
        <w:spacing w:before="120"/>
        <w:ind w:left="709" w:hanging="709"/>
      </w:pPr>
      <w:r>
        <w:t>Au non du groupe électoral I, la délégation de l</w:t>
      </w:r>
      <w:r w:rsidR="00346F1B">
        <w:t>’</w:t>
      </w:r>
      <w:r w:rsidRPr="007347E0">
        <w:rPr>
          <w:b/>
        </w:rPr>
        <w:t>Autriche</w:t>
      </w:r>
      <w:r w:rsidR="00613028">
        <w:t xml:space="preserve"> a proposé la Turquie.</w:t>
      </w:r>
    </w:p>
    <w:p w14:paraId="7D66091C" w14:textId="0E129E30" w:rsidR="007347E0" w:rsidRDefault="007347E0" w:rsidP="00613028">
      <w:pPr>
        <w:pStyle w:val="Orateurengris"/>
        <w:spacing w:before="120"/>
        <w:ind w:left="709" w:hanging="709"/>
      </w:pPr>
      <w:r>
        <w:t>Au nom du groupe électoral V(b), la délégation de l</w:t>
      </w:r>
      <w:r w:rsidR="00346F1B">
        <w:t>’</w:t>
      </w:r>
      <w:r w:rsidRPr="007347E0">
        <w:rPr>
          <w:b/>
        </w:rPr>
        <w:t>Algérie</w:t>
      </w:r>
      <w:r>
        <w:t xml:space="preserve"> a proposé la Palestine.</w:t>
      </w:r>
    </w:p>
    <w:p w14:paraId="458E741F" w14:textId="130B3BAD" w:rsidR="007347E0" w:rsidRDefault="007347E0" w:rsidP="00613028">
      <w:pPr>
        <w:pStyle w:val="Orateurengris"/>
        <w:spacing w:before="120"/>
        <w:ind w:left="709" w:hanging="709"/>
      </w:pPr>
      <w:r>
        <w:t xml:space="preserve">Au nom du groupe électoral III, la délégation du </w:t>
      </w:r>
      <w:r w:rsidRPr="007347E0">
        <w:rPr>
          <w:b/>
        </w:rPr>
        <w:t>Guatemala</w:t>
      </w:r>
      <w:r>
        <w:t xml:space="preserve"> a proposé la Colombie.</w:t>
      </w:r>
    </w:p>
    <w:p w14:paraId="2833CF79" w14:textId="10833BD5" w:rsidR="007347E0" w:rsidRDefault="007347E0" w:rsidP="00613028">
      <w:pPr>
        <w:pStyle w:val="Orateurengris"/>
        <w:spacing w:before="120"/>
        <w:ind w:left="709" w:hanging="709"/>
      </w:pPr>
      <w:r>
        <w:t xml:space="preserve">Au nom du groupe électoral V(a), la délégation du </w:t>
      </w:r>
      <w:r w:rsidRPr="007347E0">
        <w:rPr>
          <w:b/>
        </w:rPr>
        <w:t>Sénégal</w:t>
      </w:r>
      <w:r>
        <w:t xml:space="preserve"> a proposé la Côte d</w:t>
      </w:r>
      <w:r w:rsidR="00346F1B">
        <w:t>’</w:t>
      </w:r>
      <w:r>
        <w:t>Ivoire.</w:t>
      </w:r>
    </w:p>
    <w:p w14:paraId="74009A34" w14:textId="54209652" w:rsidR="007347E0" w:rsidRDefault="007347E0" w:rsidP="00613028">
      <w:pPr>
        <w:pStyle w:val="Orateurengris"/>
        <w:spacing w:before="120"/>
        <w:ind w:left="709" w:hanging="709"/>
      </w:pPr>
      <w:r>
        <w:t xml:space="preserve">Au nom du groupe électoral II, la délégation de la </w:t>
      </w:r>
      <w:r w:rsidRPr="003335D4">
        <w:rPr>
          <w:b/>
        </w:rPr>
        <w:t>Hongrie</w:t>
      </w:r>
      <w:r>
        <w:t xml:space="preserve"> a proposé la Bulgarie.</w:t>
      </w:r>
    </w:p>
    <w:p w14:paraId="431F5F3A" w14:textId="03D54D59" w:rsidR="003335D4" w:rsidRDefault="003335D4" w:rsidP="00613028">
      <w:pPr>
        <w:pStyle w:val="Orateurengris"/>
        <w:spacing w:before="120"/>
        <w:ind w:left="709" w:hanging="709"/>
      </w:pPr>
      <w:r>
        <w:t xml:space="preserve">Le </w:t>
      </w:r>
      <w:r w:rsidRPr="003335D4">
        <w:rPr>
          <w:b/>
        </w:rPr>
        <w:t>Président</w:t>
      </w:r>
      <w:r>
        <w:t xml:space="preserve"> est revenu au nom du Rapporteur</w:t>
      </w:r>
      <w:r w:rsidR="00613028">
        <w:t>.</w:t>
      </w:r>
    </w:p>
    <w:p w14:paraId="4ED4BFAA" w14:textId="650B897C" w:rsidR="003335D4" w:rsidRDefault="003335D4" w:rsidP="00613028">
      <w:pPr>
        <w:pStyle w:val="Orateurengris"/>
        <w:spacing w:before="120"/>
        <w:ind w:left="709" w:hanging="709"/>
      </w:pPr>
      <w:r>
        <w:t xml:space="preserve">La délégation de la </w:t>
      </w:r>
      <w:r w:rsidRPr="003335D4">
        <w:rPr>
          <w:b/>
        </w:rPr>
        <w:t>Palestine</w:t>
      </w:r>
      <w:r>
        <w:t xml:space="preserve"> a proposé M. Gábor Soós, de la délégation de la Hongrie.</w:t>
      </w:r>
    </w:p>
    <w:p w14:paraId="06A64546" w14:textId="35F7A6A1" w:rsidR="003335D4" w:rsidRDefault="003335D4" w:rsidP="00613028">
      <w:pPr>
        <w:pStyle w:val="Orateurengris"/>
        <w:spacing w:before="120"/>
        <w:ind w:left="709" w:hanging="709"/>
      </w:pPr>
      <w:r>
        <w:t xml:space="preserve">Après avoir pris note du nom, le </w:t>
      </w:r>
      <w:r w:rsidRPr="003335D4">
        <w:rPr>
          <w:b/>
        </w:rPr>
        <w:t>Président</w:t>
      </w:r>
      <w:r>
        <w:t xml:space="preserve"> a félicité M. Soós.</w:t>
      </w:r>
    </w:p>
    <w:p w14:paraId="3DA109B2" w14:textId="35CB73AE" w:rsidR="005A198F" w:rsidRPr="008052AC" w:rsidRDefault="003335D4" w:rsidP="00613028">
      <w:pPr>
        <w:pStyle w:val="Orateurengris"/>
        <w:numPr>
          <w:ilvl w:val="0"/>
          <w:numId w:val="0"/>
        </w:numPr>
        <w:spacing w:before="120"/>
        <w:ind w:left="709" w:hanging="709"/>
        <w:jc w:val="center"/>
        <w:rPr>
          <w:i/>
        </w:rPr>
      </w:pPr>
      <w:r>
        <w:rPr>
          <w:i/>
        </w:rPr>
        <w:t>[Approbation par acclamation</w:t>
      </w:r>
      <w:r w:rsidR="005A198F" w:rsidRPr="008052AC">
        <w:rPr>
          <w:i/>
        </w:rPr>
        <w:t>]</w:t>
      </w:r>
    </w:p>
    <w:p w14:paraId="559BEC10" w14:textId="4124070B" w:rsidR="003335D4" w:rsidRPr="003335D4" w:rsidRDefault="003335D4" w:rsidP="00613028">
      <w:pPr>
        <w:pStyle w:val="Orateurengris"/>
        <w:spacing w:before="120"/>
        <w:ind w:left="709" w:hanging="709"/>
      </w:pPr>
      <w:r>
        <w:t xml:space="preserve">Le </w:t>
      </w:r>
      <w:r w:rsidRPr="003335D4">
        <w:rPr>
          <w:b/>
        </w:rPr>
        <w:t>Président</w:t>
      </w:r>
      <w:r>
        <w:t xml:space="preserve"> est ensuite passé à l</w:t>
      </w:r>
      <w:r w:rsidR="00346F1B">
        <w:t>’</w:t>
      </w:r>
      <w:r>
        <w:t>adoption de la décision paragraphe par paragraphe. En l</w:t>
      </w:r>
      <w:r w:rsidR="00346F1B">
        <w:t>’</w:t>
      </w:r>
      <w:r>
        <w:t>absence de commentaires ou d</w:t>
      </w:r>
      <w:r w:rsidR="00346F1B">
        <w:t>’</w:t>
      </w:r>
      <w:r>
        <w:t xml:space="preserve">objections, le </w:t>
      </w:r>
      <w:r w:rsidRPr="003335D4">
        <w:rPr>
          <w:b/>
        </w:rPr>
        <w:t>Président a déclaré la décision 11.COM 17 adoptée</w:t>
      </w:r>
      <w:r w:rsidR="00613028">
        <w:t>.</w:t>
      </w:r>
    </w:p>
    <w:p w14:paraId="117785A1" w14:textId="56EB6420" w:rsidR="00AC33D8" w:rsidRPr="00FA7B8F" w:rsidRDefault="00FA7B8F" w:rsidP="002B4948">
      <w:pPr>
        <w:pStyle w:val="Orateurengris"/>
        <w:numPr>
          <w:ilvl w:val="0"/>
          <w:numId w:val="0"/>
        </w:numPr>
        <w:spacing w:before="360" w:after="60"/>
        <w:outlineLvl w:val="0"/>
        <w:rPr>
          <w:rFonts w:eastAsia="Cambria"/>
          <w:b/>
          <w:u w:val="single"/>
        </w:rPr>
      </w:pPr>
      <w:bookmarkStart w:id="67" w:name="Item14"/>
      <w:r>
        <w:rPr>
          <w:b/>
          <w:u w:val="single"/>
        </w:rPr>
        <w:t>POINT 14 DE L</w:t>
      </w:r>
      <w:r w:rsidR="00346F1B">
        <w:rPr>
          <w:b/>
          <w:u w:val="single"/>
        </w:rPr>
        <w:t>’</w:t>
      </w:r>
      <w:r w:rsidRPr="00FA7B8F">
        <w:rPr>
          <w:b/>
          <w:u w:val="single"/>
        </w:rPr>
        <w:t>ORDRE DU JOUR</w:t>
      </w:r>
    </w:p>
    <w:bookmarkEnd w:id="67"/>
    <w:p w14:paraId="0AC6F078" w14:textId="1F5EDFC3" w:rsidR="00A75EEA" w:rsidRPr="00FA7B8F" w:rsidRDefault="00FA7B8F" w:rsidP="002B4948">
      <w:pPr>
        <w:pStyle w:val="Orateurengris"/>
        <w:numPr>
          <w:ilvl w:val="0"/>
          <w:numId w:val="0"/>
        </w:numPr>
        <w:jc w:val="left"/>
        <w:outlineLvl w:val="0"/>
        <w:rPr>
          <w:rFonts w:eastAsiaTheme="minorEastAsia"/>
          <w:b/>
        </w:rPr>
      </w:pPr>
      <w:r>
        <w:rPr>
          <w:rFonts w:eastAsiaTheme="minorEastAsia"/>
          <w:b/>
        </w:rPr>
        <w:t xml:space="preserve">RÉUNION </w:t>
      </w:r>
      <w:r w:rsidRPr="00FA7B8F">
        <w:rPr>
          <w:rFonts w:eastAsiaTheme="minorEastAsia"/>
          <w:b/>
        </w:rPr>
        <w:t>PRÉLIMINAIRE</w:t>
      </w:r>
      <w:r>
        <w:rPr>
          <w:rFonts w:eastAsiaTheme="minorEastAsia"/>
          <w:b/>
        </w:rPr>
        <w:t xml:space="preserve"> D</w:t>
      </w:r>
      <w:r w:rsidR="00346F1B">
        <w:rPr>
          <w:rFonts w:eastAsiaTheme="minorEastAsia"/>
          <w:b/>
        </w:rPr>
        <w:t>’</w:t>
      </w:r>
      <w:r>
        <w:rPr>
          <w:rFonts w:eastAsiaTheme="minorEastAsia"/>
          <w:b/>
        </w:rPr>
        <w:t>EXPERTS SUR L</w:t>
      </w:r>
      <w:r w:rsidR="00346F1B">
        <w:rPr>
          <w:rFonts w:eastAsiaTheme="minorEastAsia"/>
          <w:b/>
        </w:rPr>
        <w:t>’</w:t>
      </w:r>
      <w:r w:rsidRPr="00FA7B8F">
        <w:rPr>
          <w:rFonts w:eastAsiaTheme="minorEastAsia"/>
          <w:b/>
        </w:rPr>
        <w:t>ÉLABORATION</w:t>
      </w:r>
      <w:r>
        <w:rPr>
          <w:rFonts w:eastAsiaTheme="minorEastAsia"/>
          <w:b/>
        </w:rPr>
        <w:t xml:space="preserve"> D</w:t>
      </w:r>
      <w:r w:rsidR="00346F1B">
        <w:rPr>
          <w:rFonts w:eastAsiaTheme="minorEastAsia"/>
          <w:b/>
        </w:rPr>
        <w:t>’</w:t>
      </w:r>
      <w:r>
        <w:rPr>
          <w:rFonts w:eastAsiaTheme="minorEastAsia"/>
          <w:b/>
        </w:rPr>
        <w:t xml:space="preserve">UN CADRE GLOBAL DE RÉSULTATS POUR LA </w:t>
      </w:r>
      <w:r w:rsidRPr="00FA7B8F">
        <w:rPr>
          <w:rFonts w:eastAsiaTheme="minorEastAsia"/>
          <w:b/>
        </w:rPr>
        <w:t>CONVENTION</w:t>
      </w:r>
    </w:p>
    <w:p w14:paraId="590D8360" w14:textId="38FD6091" w:rsidR="00A75EEA" w:rsidRPr="00FA7B8F" w:rsidRDefault="00A75EEA" w:rsidP="00C62793">
      <w:pPr>
        <w:pStyle w:val="Marge"/>
        <w:keepNext/>
        <w:tabs>
          <w:tab w:val="clear" w:pos="567"/>
          <w:tab w:val="left" w:pos="709"/>
          <w:tab w:val="left" w:pos="1418"/>
          <w:tab w:val="left" w:pos="2126"/>
          <w:tab w:val="left" w:pos="2835"/>
        </w:tabs>
        <w:spacing w:before="120" w:after="60"/>
        <w:ind w:left="709" w:hanging="709"/>
        <w:rPr>
          <w:rFonts w:cs="Arial"/>
          <w:b/>
          <w:szCs w:val="22"/>
        </w:rPr>
      </w:pPr>
      <w:r w:rsidRPr="00FA7B8F">
        <w:rPr>
          <w:b/>
        </w:rPr>
        <w:tab/>
      </w:r>
      <w:r w:rsidRPr="00FA7B8F">
        <w:rPr>
          <w:rFonts w:cs="Arial"/>
          <w:b/>
          <w:szCs w:val="22"/>
        </w:rPr>
        <w:t xml:space="preserve">Document </w:t>
      </w:r>
      <w:r w:rsidRPr="00FA7B8F">
        <w:rPr>
          <w:rFonts w:cs="Arial"/>
          <w:b/>
          <w:szCs w:val="22"/>
        </w:rPr>
        <w:tab/>
      </w:r>
      <w:hyperlink r:id="rId50" w:history="1">
        <w:r w:rsidRPr="00FA7B8F">
          <w:rPr>
            <w:rStyle w:val="Hyperlink"/>
            <w:rFonts w:cs="Arial"/>
            <w:i/>
            <w:szCs w:val="22"/>
          </w:rPr>
          <w:t>ITH/16/11.COM/14</w:t>
        </w:r>
      </w:hyperlink>
    </w:p>
    <w:p w14:paraId="1190ECE9" w14:textId="334C8A33" w:rsidR="00FA7B8F" w:rsidRPr="00FA7B8F" w:rsidRDefault="00FA7B8F" w:rsidP="00613028">
      <w:pPr>
        <w:pStyle w:val="Orateurengris"/>
        <w:spacing w:before="120"/>
        <w:ind w:left="709" w:hanging="709"/>
      </w:pPr>
      <w:r w:rsidRPr="00FA7B8F">
        <w:t xml:space="preserve">Le </w:t>
      </w:r>
      <w:r w:rsidRPr="00FA7B8F">
        <w:rPr>
          <w:b/>
        </w:rPr>
        <w:t>Président</w:t>
      </w:r>
      <w:r w:rsidRPr="00FA7B8F">
        <w:t xml:space="preserve"> est passé au point suivant de l</w:t>
      </w:r>
      <w:r w:rsidR="00346F1B">
        <w:t>’</w:t>
      </w:r>
      <w:r w:rsidRPr="00FA7B8F">
        <w:t xml:space="preserve">ordre du jour, </w:t>
      </w:r>
      <w:r>
        <w:t xml:space="preserve">soulignant </w:t>
      </w:r>
      <w:r w:rsidR="00E600BB">
        <w:t>à quel point celui-ci</w:t>
      </w:r>
      <w:r w:rsidRPr="00FA7B8F">
        <w:t xml:space="preserve"> était important pour l</w:t>
      </w:r>
      <w:r w:rsidR="00346F1B">
        <w:t>’</w:t>
      </w:r>
      <w:r w:rsidRPr="00FA7B8F">
        <w:t>avenir de la Convention</w:t>
      </w:r>
      <w:r>
        <w:t xml:space="preserve"> ainsi que </w:t>
      </w:r>
      <w:r w:rsidRPr="00FA7B8F">
        <w:t xml:space="preserve">pour mesurer son impact et </w:t>
      </w:r>
      <w:r>
        <w:t xml:space="preserve">en </w:t>
      </w:r>
      <w:r w:rsidR="00613028">
        <w:t>tirer des enseignements.</w:t>
      </w:r>
    </w:p>
    <w:p w14:paraId="2C2C3740" w14:textId="7874DA88" w:rsidR="00767323" w:rsidRPr="00FA7B8F" w:rsidRDefault="00FA7B8F" w:rsidP="00613028">
      <w:pPr>
        <w:pStyle w:val="Orateurengris"/>
        <w:spacing w:before="120"/>
        <w:ind w:left="709" w:hanging="709"/>
      </w:pPr>
      <w:r w:rsidRPr="00FA7B8F">
        <w:t xml:space="preserve">Rappelant </w:t>
      </w:r>
      <w:r>
        <w:t xml:space="preserve">le contexte, le </w:t>
      </w:r>
      <w:r w:rsidRPr="00FA7B8F">
        <w:rPr>
          <w:b/>
        </w:rPr>
        <w:t>Secrétaire</w:t>
      </w:r>
      <w:r>
        <w:t xml:space="preserve"> a expliqué que la volonté d</w:t>
      </w:r>
      <w:r w:rsidR="00346F1B">
        <w:t>’</w:t>
      </w:r>
      <w:r>
        <w:t xml:space="preserve">élaborer un cadre global pour la Convention de 2003 remontait à </w:t>
      </w:r>
      <w:r w:rsidR="00767323">
        <w:t>l</w:t>
      </w:r>
      <w:r w:rsidR="00346F1B">
        <w:t>’</w:t>
      </w:r>
      <w:r w:rsidR="00767323">
        <w:t xml:space="preserve">année </w:t>
      </w:r>
      <w:r>
        <w:t>2013 lorsque les c</w:t>
      </w:r>
      <w:r w:rsidR="002C4452">
        <w:t>onclusions de l</w:t>
      </w:r>
      <w:r w:rsidR="00346F1B">
        <w:t>’</w:t>
      </w:r>
      <w:r w:rsidR="002C4452">
        <w:t>évaluation par le</w:t>
      </w:r>
      <w:r>
        <w:t xml:space="preserve"> Service d</w:t>
      </w:r>
      <w:r w:rsidR="00346F1B">
        <w:t>’</w:t>
      </w:r>
      <w:r>
        <w:t>évaluation et d</w:t>
      </w:r>
      <w:r w:rsidR="00346F1B">
        <w:t>’</w:t>
      </w:r>
      <w:r>
        <w:t xml:space="preserve">audit (IOS) </w:t>
      </w:r>
      <w:r w:rsidR="002C4452">
        <w:rPr>
          <w:rFonts w:eastAsia="Malgun Gothic"/>
        </w:rPr>
        <w:t>du travail normatif de l</w:t>
      </w:r>
      <w:r w:rsidR="00346F1B">
        <w:rPr>
          <w:rFonts w:eastAsia="Malgun Gothic"/>
        </w:rPr>
        <w:t>’</w:t>
      </w:r>
      <w:r w:rsidR="002C4452">
        <w:rPr>
          <w:rFonts w:eastAsia="Malgun Gothic"/>
        </w:rPr>
        <w:t>UNESCO dans le domaine de la culture avaient été soumises à l</w:t>
      </w:r>
      <w:r w:rsidR="00346F1B">
        <w:rPr>
          <w:rFonts w:eastAsia="Malgun Gothic"/>
        </w:rPr>
        <w:t>’</w:t>
      </w:r>
      <w:r w:rsidR="002C4452">
        <w:rPr>
          <w:rFonts w:eastAsia="Malgun Gothic"/>
        </w:rPr>
        <w:t>attention du Comité. L</w:t>
      </w:r>
      <w:r w:rsidR="00346F1B">
        <w:rPr>
          <w:rFonts w:eastAsia="Malgun Gothic"/>
        </w:rPr>
        <w:t>’</w:t>
      </w:r>
      <w:r w:rsidR="002C4452" w:rsidRPr="002C4452">
        <w:rPr>
          <w:rFonts w:eastAsia="Malgun Gothic"/>
        </w:rPr>
        <w:t xml:space="preserve">évaluation </w:t>
      </w:r>
      <w:r w:rsidR="002C4452">
        <w:rPr>
          <w:rFonts w:eastAsia="Malgun Gothic"/>
        </w:rPr>
        <w:t>avait conclu qu</w:t>
      </w:r>
      <w:r w:rsidR="00346F1B">
        <w:rPr>
          <w:rFonts w:eastAsia="Malgun Gothic"/>
        </w:rPr>
        <w:t>’</w:t>
      </w:r>
      <w:r w:rsidR="002C4452">
        <w:rPr>
          <w:rFonts w:eastAsia="Malgun Gothic"/>
        </w:rPr>
        <w:t xml:space="preserve">un cadre global de résultats au niveau de la </w:t>
      </w:r>
      <w:r w:rsidR="002C4452" w:rsidRPr="002C4452">
        <w:rPr>
          <w:rFonts w:eastAsia="Malgun Gothic"/>
        </w:rPr>
        <w:t>Convention</w:t>
      </w:r>
      <w:r w:rsidR="002C4452">
        <w:rPr>
          <w:rFonts w:eastAsia="Malgun Gothic"/>
        </w:rPr>
        <w:t xml:space="preserve"> était nécessaire afin de tirer des « conclusions sur les progrès réalisés en matière de mise en œuvre de la </w:t>
      </w:r>
      <w:r w:rsidR="002C4452" w:rsidRPr="002C4452">
        <w:rPr>
          <w:rFonts w:eastAsia="Malgun Gothic"/>
        </w:rPr>
        <w:t>Convention</w:t>
      </w:r>
      <w:r w:rsidR="002C4452">
        <w:rPr>
          <w:rFonts w:eastAsia="Malgun Gothic"/>
        </w:rPr>
        <w:t xml:space="preserve"> ». Le Comité </w:t>
      </w:r>
      <w:r w:rsidR="00A149A5">
        <w:rPr>
          <w:rFonts w:eastAsia="Malgun Gothic"/>
        </w:rPr>
        <w:t xml:space="preserve">partageait </w:t>
      </w:r>
      <w:r w:rsidR="002C4452">
        <w:rPr>
          <w:rFonts w:eastAsia="Malgun Gothic"/>
        </w:rPr>
        <w:t>pleinement cette</w:t>
      </w:r>
      <w:r w:rsidR="00A149A5">
        <w:rPr>
          <w:rFonts w:eastAsia="Malgun Gothic"/>
        </w:rPr>
        <w:t xml:space="preserve"> opinion</w:t>
      </w:r>
      <w:r w:rsidR="002C4452">
        <w:rPr>
          <w:rFonts w:eastAsia="Malgun Gothic"/>
        </w:rPr>
        <w:t xml:space="preserve">, </w:t>
      </w:r>
      <w:r w:rsidR="00A149A5">
        <w:rPr>
          <w:rFonts w:eastAsia="Malgun Gothic"/>
        </w:rPr>
        <w:t xml:space="preserve">et </w:t>
      </w:r>
      <w:r w:rsidR="002C4452">
        <w:rPr>
          <w:rFonts w:eastAsia="Malgun Gothic"/>
        </w:rPr>
        <w:t xml:space="preserve">avait souligné que </w:t>
      </w:r>
      <w:r w:rsidR="00A149A5">
        <w:rPr>
          <w:rFonts w:eastAsia="Malgun Gothic"/>
        </w:rPr>
        <w:t>les États parties devraient participer pleinement au</w:t>
      </w:r>
      <w:r w:rsidR="002C4452">
        <w:rPr>
          <w:rFonts w:eastAsia="Malgun Gothic"/>
        </w:rPr>
        <w:t xml:space="preserve"> processus d</w:t>
      </w:r>
      <w:r w:rsidR="00346F1B">
        <w:rPr>
          <w:rFonts w:eastAsia="Malgun Gothic"/>
        </w:rPr>
        <w:t>’</w:t>
      </w:r>
      <w:r w:rsidR="002C4452" w:rsidRPr="002C4452">
        <w:rPr>
          <w:rFonts w:eastAsia="Malgun Gothic"/>
        </w:rPr>
        <w:t>élaboration</w:t>
      </w:r>
      <w:r w:rsidR="00A149A5">
        <w:rPr>
          <w:rFonts w:eastAsia="Malgun Gothic"/>
        </w:rPr>
        <w:t xml:space="preserve"> du</w:t>
      </w:r>
      <w:r w:rsidR="002C4452">
        <w:rPr>
          <w:rFonts w:eastAsia="Malgun Gothic"/>
        </w:rPr>
        <w:t xml:space="preserve"> cadre global de </w:t>
      </w:r>
      <w:r w:rsidR="00A149A5">
        <w:rPr>
          <w:rFonts w:eastAsia="Malgun Gothic"/>
        </w:rPr>
        <w:t>résultats, qu</w:t>
      </w:r>
      <w:r w:rsidR="00346F1B">
        <w:rPr>
          <w:rFonts w:eastAsia="Malgun Gothic"/>
        </w:rPr>
        <w:t>’</w:t>
      </w:r>
      <w:r w:rsidR="00A149A5">
        <w:rPr>
          <w:rFonts w:eastAsia="Malgun Gothic"/>
        </w:rPr>
        <w:t xml:space="preserve">ils devraient </w:t>
      </w:r>
      <w:r w:rsidR="00A149A5" w:rsidRPr="00A149A5">
        <w:rPr>
          <w:rFonts w:eastAsia="Malgun Gothic"/>
        </w:rPr>
        <w:t>également</w:t>
      </w:r>
      <w:r w:rsidR="00A149A5">
        <w:rPr>
          <w:rFonts w:eastAsia="Malgun Gothic"/>
        </w:rPr>
        <w:t xml:space="preserve"> diriger. Afin de garantir le processus participatif choisi par le Comité, il avait été décidé de réunir un </w:t>
      </w:r>
      <w:r w:rsidR="00A149A5" w:rsidRPr="00A149A5">
        <w:rPr>
          <w:rFonts w:eastAsia="Malgun Gothic"/>
        </w:rPr>
        <w:t>groupe de travail</w:t>
      </w:r>
      <w:r w:rsidR="00A149A5">
        <w:rPr>
          <w:rFonts w:eastAsia="Malgun Gothic"/>
        </w:rPr>
        <w:t xml:space="preserve"> </w:t>
      </w:r>
      <w:r w:rsidR="00A149A5" w:rsidRPr="00A149A5">
        <w:rPr>
          <w:rFonts w:eastAsia="Malgun Gothic"/>
        </w:rPr>
        <w:t>intergouvernemental</w:t>
      </w:r>
      <w:r w:rsidR="00A149A5">
        <w:rPr>
          <w:rFonts w:eastAsia="Malgun Gothic"/>
        </w:rPr>
        <w:t xml:space="preserve"> à composition non limitée au cours de l</w:t>
      </w:r>
      <w:r w:rsidR="00346F1B">
        <w:rPr>
          <w:rFonts w:eastAsia="Malgun Gothic"/>
        </w:rPr>
        <w:t>’</w:t>
      </w:r>
      <w:r w:rsidR="00A149A5">
        <w:rPr>
          <w:rFonts w:eastAsia="Malgun Gothic"/>
        </w:rPr>
        <w:t xml:space="preserve">année 2016. Ce projet de </w:t>
      </w:r>
      <w:r w:rsidR="00A149A5" w:rsidRPr="00A149A5">
        <w:rPr>
          <w:rFonts w:eastAsia="Malgun Gothic"/>
        </w:rPr>
        <w:t>groupe de travail</w:t>
      </w:r>
      <w:r w:rsidR="00A149A5">
        <w:rPr>
          <w:rFonts w:eastAsia="Malgun Gothic"/>
        </w:rPr>
        <w:t xml:space="preserve"> était assujetti à une condition, la réception par le Fonds du PCI de contributions volontaires supplémentaires </w:t>
      </w:r>
      <w:r w:rsidR="00602D2C">
        <w:rPr>
          <w:rFonts w:eastAsia="Malgun Gothic"/>
        </w:rPr>
        <w:t xml:space="preserve">destinées à </w:t>
      </w:r>
      <w:r w:rsidR="00A149A5">
        <w:rPr>
          <w:rFonts w:eastAsia="Malgun Gothic"/>
        </w:rPr>
        <w:t xml:space="preserve">couvrir tous les coûts et organiser la réunion ainsi que la </w:t>
      </w:r>
      <w:r w:rsidR="00A149A5" w:rsidRPr="00A149A5">
        <w:rPr>
          <w:rFonts w:eastAsia="Malgun Gothic"/>
        </w:rPr>
        <w:t>participation</w:t>
      </w:r>
      <w:r w:rsidR="00A149A5">
        <w:rPr>
          <w:rFonts w:eastAsia="Malgun Gothic"/>
        </w:rPr>
        <w:t xml:space="preserve"> d</w:t>
      </w:r>
      <w:r w:rsidR="00346F1B">
        <w:rPr>
          <w:rFonts w:eastAsia="Malgun Gothic"/>
        </w:rPr>
        <w:t>’</w:t>
      </w:r>
      <w:r w:rsidR="00A149A5">
        <w:rPr>
          <w:rFonts w:eastAsia="Malgun Gothic"/>
        </w:rPr>
        <w:t xml:space="preserve">experts du PCI originaires de pays en </w:t>
      </w:r>
      <w:r w:rsidR="00A149A5" w:rsidRPr="00A149A5">
        <w:rPr>
          <w:rFonts w:eastAsia="Malgun Gothic"/>
        </w:rPr>
        <w:t>développement</w:t>
      </w:r>
      <w:r w:rsidR="00602D2C">
        <w:rPr>
          <w:rFonts w:eastAsia="Malgun Gothic"/>
        </w:rPr>
        <w:t xml:space="preserve"> parties à la </w:t>
      </w:r>
      <w:r w:rsidR="00602D2C" w:rsidRPr="00602D2C">
        <w:rPr>
          <w:rFonts w:eastAsia="Malgun Gothic"/>
        </w:rPr>
        <w:t>Convention</w:t>
      </w:r>
      <w:r w:rsidR="00767323">
        <w:rPr>
          <w:rFonts w:eastAsia="Malgun Gothic"/>
        </w:rPr>
        <w:t xml:space="preserve">. </w:t>
      </w:r>
      <w:r w:rsidR="00602D2C">
        <w:rPr>
          <w:rFonts w:eastAsia="Malgun Gothic"/>
        </w:rPr>
        <w:t>Bien qu</w:t>
      </w:r>
      <w:r w:rsidR="00346F1B">
        <w:rPr>
          <w:rFonts w:eastAsia="Malgun Gothic"/>
        </w:rPr>
        <w:t>’</w:t>
      </w:r>
      <w:r w:rsidR="00602D2C">
        <w:rPr>
          <w:rFonts w:eastAsia="Malgun Gothic"/>
        </w:rPr>
        <w:t>aucun bailleur de fonds ne se soit manifesté à temps pour permettre l</w:t>
      </w:r>
      <w:r w:rsidR="00346F1B">
        <w:rPr>
          <w:rFonts w:eastAsia="Malgun Gothic"/>
        </w:rPr>
        <w:t>’</w:t>
      </w:r>
      <w:r w:rsidR="00602D2C" w:rsidRPr="00602D2C">
        <w:rPr>
          <w:rFonts w:eastAsia="Malgun Gothic"/>
        </w:rPr>
        <w:t>organisation</w:t>
      </w:r>
      <w:r w:rsidR="00602D2C">
        <w:rPr>
          <w:rFonts w:eastAsia="Malgun Gothic"/>
        </w:rPr>
        <w:t xml:space="preserve"> de </w:t>
      </w:r>
      <w:r w:rsidR="00767323">
        <w:rPr>
          <w:rFonts w:eastAsia="Malgun Gothic"/>
        </w:rPr>
        <w:t xml:space="preserve">cette réunion en 2016, </w:t>
      </w:r>
      <w:r w:rsidR="00602D2C">
        <w:rPr>
          <w:rFonts w:eastAsia="Malgun Gothic"/>
        </w:rPr>
        <w:t>le Comité avait accepté</w:t>
      </w:r>
      <w:r w:rsidR="00204669">
        <w:rPr>
          <w:rFonts w:eastAsia="Malgun Gothic"/>
        </w:rPr>
        <w:t>,</w:t>
      </w:r>
      <w:r w:rsidR="00602D2C">
        <w:rPr>
          <w:rFonts w:eastAsia="Malgun Gothic"/>
        </w:rPr>
        <w:t xml:space="preserve"> </w:t>
      </w:r>
      <w:r w:rsidR="00204669">
        <w:rPr>
          <w:rFonts w:eastAsia="Malgun Gothic"/>
        </w:rPr>
        <w:t xml:space="preserve">lors de la session précédente, </w:t>
      </w:r>
      <w:r w:rsidR="00602D2C">
        <w:rPr>
          <w:rFonts w:eastAsia="Malgun Gothic"/>
        </w:rPr>
        <w:t xml:space="preserve">la généreuse </w:t>
      </w:r>
      <w:r w:rsidR="00767323">
        <w:rPr>
          <w:rFonts w:eastAsia="Malgun Gothic"/>
        </w:rPr>
        <w:t>proposition</w:t>
      </w:r>
      <w:r w:rsidR="00602D2C">
        <w:rPr>
          <w:rFonts w:eastAsia="Malgun Gothic"/>
        </w:rPr>
        <w:t xml:space="preserve"> de la Commission nationale de la </w:t>
      </w:r>
      <w:r w:rsidR="00602D2C" w:rsidRPr="00602D2C">
        <w:rPr>
          <w:rFonts w:eastAsia="Malgun Gothic"/>
        </w:rPr>
        <w:t>République</w:t>
      </w:r>
      <w:r w:rsidR="00602D2C">
        <w:rPr>
          <w:rFonts w:eastAsia="Malgun Gothic"/>
        </w:rPr>
        <w:t xml:space="preserve"> populaire de Chine pour l</w:t>
      </w:r>
      <w:r w:rsidR="00346F1B">
        <w:rPr>
          <w:rFonts w:eastAsia="Malgun Gothic"/>
        </w:rPr>
        <w:t>’</w:t>
      </w:r>
      <w:r w:rsidR="00602D2C">
        <w:rPr>
          <w:rFonts w:eastAsia="Malgun Gothic"/>
        </w:rPr>
        <w:t>UNESCO d</w:t>
      </w:r>
      <w:r w:rsidR="00346F1B">
        <w:rPr>
          <w:rFonts w:eastAsia="Malgun Gothic"/>
        </w:rPr>
        <w:t>’</w:t>
      </w:r>
      <w:r w:rsidR="00602D2C">
        <w:rPr>
          <w:rFonts w:eastAsia="Malgun Gothic"/>
        </w:rPr>
        <w:t>apporter son soutien à l</w:t>
      </w:r>
      <w:r w:rsidR="00346F1B">
        <w:rPr>
          <w:rFonts w:eastAsia="Malgun Gothic"/>
        </w:rPr>
        <w:t>’</w:t>
      </w:r>
      <w:r w:rsidR="00602D2C" w:rsidRPr="00602D2C">
        <w:rPr>
          <w:rFonts w:eastAsia="Malgun Gothic"/>
        </w:rPr>
        <w:t>organisation</w:t>
      </w:r>
      <w:r w:rsidR="00602D2C">
        <w:rPr>
          <w:rFonts w:eastAsia="Malgun Gothic"/>
        </w:rPr>
        <w:t xml:space="preserve"> d</w:t>
      </w:r>
      <w:r w:rsidR="00346F1B">
        <w:rPr>
          <w:rFonts w:eastAsia="Malgun Gothic"/>
        </w:rPr>
        <w:t>’</w:t>
      </w:r>
      <w:r w:rsidR="00602D2C">
        <w:rPr>
          <w:rFonts w:eastAsia="Malgun Gothic"/>
        </w:rPr>
        <w:t>une réunion d</w:t>
      </w:r>
      <w:r w:rsidR="00346F1B">
        <w:rPr>
          <w:rFonts w:eastAsia="Malgun Gothic"/>
        </w:rPr>
        <w:t>’</w:t>
      </w:r>
      <w:r w:rsidR="00602D2C">
        <w:rPr>
          <w:rFonts w:eastAsia="Malgun Gothic"/>
        </w:rPr>
        <w:t xml:space="preserve">experts de taille plus restreinte qui pourrait élaborer un cadre </w:t>
      </w:r>
      <w:r w:rsidR="00602D2C" w:rsidRPr="00602D2C">
        <w:rPr>
          <w:rFonts w:eastAsia="Malgun Gothic"/>
        </w:rPr>
        <w:t>préliminaire</w:t>
      </w:r>
      <w:r w:rsidR="00602D2C">
        <w:rPr>
          <w:rFonts w:eastAsia="Malgun Gothic"/>
        </w:rPr>
        <w:t xml:space="preserve">. Celui-ci serait soumis </w:t>
      </w:r>
      <w:r w:rsidR="00767323">
        <w:rPr>
          <w:rFonts w:eastAsia="Malgun Gothic"/>
        </w:rPr>
        <w:t xml:space="preserve">à </w:t>
      </w:r>
      <w:r w:rsidR="00602D2C">
        <w:rPr>
          <w:rFonts w:eastAsia="Malgun Gothic"/>
        </w:rPr>
        <w:t xml:space="preserve">un </w:t>
      </w:r>
      <w:r w:rsidR="00602D2C" w:rsidRPr="00602D2C">
        <w:rPr>
          <w:rFonts w:eastAsia="Malgun Gothic"/>
        </w:rPr>
        <w:t>groupe de travail</w:t>
      </w:r>
      <w:r w:rsidR="00602D2C">
        <w:rPr>
          <w:rFonts w:eastAsia="Malgun Gothic"/>
        </w:rPr>
        <w:t xml:space="preserve"> </w:t>
      </w:r>
      <w:r w:rsidR="00602D2C" w:rsidRPr="00602D2C">
        <w:rPr>
          <w:rFonts w:eastAsia="Malgun Gothic"/>
        </w:rPr>
        <w:t>intergouvernemental</w:t>
      </w:r>
      <w:r w:rsidR="00602D2C">
        <w:rPr>
          <w:rFonts w:eastAsia="Malgun Gothic"/>
        </w:rPr>
        <w:t xml:space="preserve"> ultérieur qui pourrait bénéficier du point de vue et de l</w:t>
      </w:r>
      <w:r w:rsidR="00346F1B">
        <w:rPr>
          <w:rFonts w:eastAsia="Malgun Gothic"/>
        </w:rPr>
        <w:t>’</w:t>
      </w:r>
      <w:r w:rsidR="00602D2C">
        <w:rPr>
          <w:rFonts w:eastAsia="Malgun Gothic"/>
        </w:rPr>
        <w:t>expérience d</w:t>
      </w:r>
      <w:r w:rsidR="00346F1B">
        <w:rPr>
          <w:rFonts w:eastAsia="Malgun Gothic"/>
        </w:rPr>
        <w:t>’</w:t>
      </w:r>
      <w:r w:rsidR="00602D2C">
        <w:rPr>
          <w:rFonts w:eastAsia="Malgun Gothic"/>
        </w:rPr>
        <w:t>un groupe d</w:t>
      </w:r>
      <w:r w:rsidR="00346F1B">
        <w:rPr>
          <w:rFonts w:eastAsia="Malgun Gothic"/>
        </w:rPr>
        <w:t>’</w:t>
      </w:r>
      <w:r w:rsidR="00602D2C">
        <w:rPr>
          <w:rFonts w:eastAsia="Malgun Gothic"/>
        </w:rPr>
        <w:t xml:space="preserve">experts diversifié et </w:t>
      </w:r>
      <w:r w:rsidR="00602D2C" w:rsidRPr="00602D2C">
        <w:rPr>
          <w:rFonts w:eastAsia="Malgun Gothic"/>
        </w:rPr>
        <w:t>gé</w:t>
      </w:r>
      <w:r w:rsidR="00602D2C">
        <w:rPr>
          <w:rFonts w:eastAsia="Malgun Gothic"/>
        </w:rPr>
        <w:t>ographiquem</w:t>
      </w:r>
      <w:r w:rsidR="00767323">
        <w:rPr>
          <w:rFonts w:eastAsia="Malgun Gothic"/>
        </w:rPr>
        <w:t xml:space="preserve">ent représentatif, garantissant, </w:t>
      </w:r>
      <w:r w:rsidR="00602D2C">
        <w:rPr>
          <w:rFonts w:eastAsia="Malgun Gothic"/>
        </w:rPr>
        <w:t>dès son lancement</w:t>
      </w:r>
      <w:r w:rsidR="00767323">
        <w:rPr>
          <w:rFonts w:eastAsia="Malgun Gothic"/>
        </w:rPr>
        <w:t>,</w:t>
      </w:r>
      <w:r w:rsidR="00602D2C">
        <w:rPr>
          <w:rFonts w:eastAsia="Malgun Gothic"/>
        </w:rPr>
        <w:t xml:space="preserve"> que le cadre reflétait « le processus inclusif de consultation et de discussion » souhaité. La réunion s</w:t>
      </w:r>
      <w:r w:rsidR="00346F1B">
        <w:rPr>
          <w:rFonts w:eastAsia="Malgun Gothic"/>
        </w:rPr>
        <w:t>’</w:t>
      </w:r>
      <w:r w:rsidR="00602D2C">
        <w:rPr>
          <w:rFonts w:eastAsia="Malgun Gothic"/>
        </w:rPr>
        <w:t>était déroulée du 7 au 9 septembre 2016, à Beijing, en Chine, sous la forme d</w:t>
      </w:r>
      <w:r w:rsidR="00346F1B">
        <w:rPr>
          <w:rFonts w:eastAsia="Malgun Gothic"/>
        </w:rPr>
        <w:t>’</w:t>
      </w:r>
      <w:r w:rsidR="00602D2C">
        <w:rPr>
          <w:rFonts w:eastAsia="Malgun Gothic"/>
        </w:rPr>
        <w:t>une réunion de catégorie IV, c.-à-d. une réunion à caractère non représentatif d</w:t>
      </w:r>
      <w:r w:rsidR="00346F1B">
        <w:rPr>
          <w:rFonts w:eastAsia="Malgun Gothic"/>
        </w:rPr>
        <w:t>’</w:t>
      </w:r>
      <w:r w:rsidR="00602D2C">
        <w:rPr>
          <w:rFonts w:eastAsia="Malgun Gothic"/>
        </w:rPr>
        <w:t>experts désignés par la Directrice générale</w:t>
      </w:r>
      <w:r w:rsidR="0067053A">
        <w:rPr>
          <w:rFonts w:eastAsia="Malgun Gothic"/>
        </w:rPr>
        <w:t xml:space="preserve"> et</w:t>
      </w:r>
      <w:r w:rsidR="00767323">
        <w:rPr>
          <w:rFonts w:eastAsia="Malgun Gothic"/>
        </w:rPr>
        <w:t xml:space="preserve"> siégeant à titre personnel. Cette réunion a</w:t>
      </w:r>
      <w:r w:rsidR="00D578BD">
        <w:rPr>
          <w:rFonts w:eastAsia="Malgun Gothic"/>
        </w:rPr>
        <w:t>vait</w:t>
      </w:r>
      <w:r w:rsidR="00767323">
        <w:rPr>
          <w:rFonts w:eastAsia="Malgun Gothic"/>
        </w:rPr>
        <w:t xml:space="preserve"> rassemblé vin</w:t>
      </w:r>
      <w:r w:rsidR="00D578BD">
        <w:rPr>
          <w:rFonts w:eastAsia="Malgun Gothic"/>
        </w:rPr>
        <w:t>g</w:t>
      </w:r>
      <w:r w:rsidR="00767323">
        <w:rPr>
          <w:rFonts w:eastAsia="Malgun Gothic"/>
        </w:rPr>
        <w:t>t et un experts de différents États membres et Membres associés de l</w:t>
      </w:r>
      <w:r w:rsidR="00346F1B">
        <w:rPr>
          <w:rFonts w:eastAsia="Malgun Gothic"/>
        </w:rPr>
        <w:t>’</w:t>
      </w:r>
      <w:r w:rsidR="00767323">
        <w:rPr>
          <w:rFonts w:eastAsia="Malgun Gothic"/>
        </w:rPr>
        <w:t xml:space="preserve">UNESCO travaillant dans </w:t>
      </w:r>
      <w:r w:rsidR="00D578BD">
        <w:rPr>
          <w:rFonts w:eastAsia="Malgun Gothic"/>
        </w:rPr>
        <w:t xml:space="preserve">des </w:t>
      </w:r>
      <w:r w:rsidR="00767323" w:rsidRPr="00767323">
        <w:rPr>
          <w:rFonts w:eastAsia="Malgun Gothic"/>
        </w:rPr>
        <w:t>institutions</w:t>
      </w:r>
      <w:r w:rsidR="00767323">
        <w:rPr>
          <w:rFonts w:eastAsia="Malgun Gothic"/>
        </w:rPr>
        <w:t xml:space="preserve"> gouvernementales et non gouvernementales, des communauté</w:t>
      </w:r>
      <w:r w:rsidR="00BC14D6">
        <w:rPr>
          <w:rFonts w:eastAsia="Malgun Gothic"/>
        </w:rPr>
        <w:t xml:space="preserve">s </w:t>
      </w:r>
      <w:r w:rsidR="00B1081E">
        <w:rPr>
          <w:rFonts w:eastAsia="Malgun Gothic"/>
        </w:rPr>
        <w:t>ou des groupes de praticiens.</w:t>
      </w:r>
    </w:p>
    <w:p w14:paraId="75DE97DA" w14:textId="13B7ABCD" w:rsidR="00B1081E" w:rsidRPr="00774F90" w:rsidRDefault="00B1081E" w:rsidP="00613028">
      <w:pPr>
        <w:pStyle w:val="Orateurengris"/>
        <w:spacing w:before="120"/>
        <w:ind w:left="709" w:hanging="709"/>
        <w:rPr>
          <w:b/>
        </w:rPr>
      </w:pPr>
      <w:r w:rsidRPr="00F8345B">
        <w:t xml:space="preserve">Le </w:t>
      </w:r>
      <w:r w:rsidRPr="00F8345B">
        <w:rPr>
          <w:b/>
        </w:rPr>
        <w:t>Secrétaire</w:t>
      </w:r>
      <w:r w:rsidRPr="00F8345B">
        <w:t xml:space="preserve"> était heureux de pouvoir informer le Comité qu</w:t>
      </w:r>
      <w:r w:rsidR="00346F1B">
        <w:t>’</w:t>
      </w:r>
      <w:r w:rsidR="00204669">
        <w:t>une nouvelle fois</w:t>
      </w:r>
      <w:r w:rsidR="00F8345B" w:rsidRPr="00F8345B">
        <w:t>, la Chine, par l</w:t>
      </w:r>
      <w:r w:rsidR="00346F1B">
        <w:t>’</w:t>
      </w:r>
      <w:r w:rsidR="00F8345B" w:rsidRPr="00F8345B">
        <w:t>intermédiaire de son ministère de la Culture, avait proposé de soutenir financièrement, organiser et accueillir ce groupe de travail intergouvernemental à composition non limitée à Chengdu au début du mois de juin 2017. Ce débat, en particulier l</w:t>
      </w:r>
      <w:r w:rsidR="00204669">
        <w:t>orsqu</w:t>
      </w:r>
      <w:r w:rsidR="003A6355">
        <w:t>e l</w:t>
      </w:r>
      <w:r w:rsidR="00346F1B">
        <w:t>’</w:t>
      </w:r>
      <w:r w:rsidR="00204669">
        <w:t>on aborderait la carte de</w:t>
      </w:r>
      <w:r w:rsidR="00F8345B" w:rsidRPr="00F8345B">
        <w:t xml:space="preserve"> résultats proposée dans l</w:t>
      </w:r>
      <w:r w:rsidR="00346F1B">
        <w:t>’</w:t>
      </w:r>
      <w:r w:rsidR="00F8345B" w:rsidRPr="00F8345B">
        <w:t xml:space="preserve">annexe 1 du </w:t>
      </w:r>
      <w:hyperlink r:id="rId51" w:history="1">
        <w:r w:rsidR="00F8345B" w:rsidRPr="00F8345B">
          <w:rPr>
            <w:rStyle w:val="Hyperlink"/>
          </w:rPr>
          <w:t>document de travail 14</w:t>
        </w:r>
      </w:hyperlink>
      <w:r w:rsidR="00F8345B">
        <w:rPr>
          <w:rStyle w:val="Hyperlink"/>
          <w:u w:val="none"/>
        </w:rPr>
        <w:t xml:space="preserve">, </w:t>
      </w:r>
      <w:r w:rsidR="00F8345B" w:rsidRPr="00F8345B">
        <w:rPr>
          <w:rStyle w:val="Hyperlink"/>
          <w:color w:val="auto"/>
          <w:u w:val="none"/>
        </w:rPr>
        <w:t>serait donc essentiel</w:t>
      </w:r>
      <w:r w:rsidR="00F8345B">
        <w:rPr>
          <w:rStyle w:val="Hyperlink"/>
          <w:color w:val="auto"/>
          <w:u w:val="none"/>
        </w:rPr>
        <w:t xml:space="preserve"> pour la </w:t>
      </w:r>
      <w:r w:rsidR="00F8345B" w:rsidRPr="00F8345B">
        <w:rPr>
          <w:rStyle w:val="Hyperlink"/>
          <w:color w:val="auto"/>
          <w:u w:val="none"/>
        </w:rPr>
        <w:t>préparation</w:t>
      </w:r>
      <w:r w:rsidR="00F8345B">
        <w:rPr>
          <w:rStyle w:val="Hyperlink"/>
          <w:color w:val="auto"/>
          <w:u w:val="none"/>
        </w:rPr>
        <w:t xml:space="preserve"> des documents de travail de la réunion de juin 2017. En </w:t>
      </w:r>
      <w:r w:rsidR="00204669">
        <w:rPr>
          <w:rStyle w:val="Hyperlink"/>
          <w:color w:val="auto"/>
          <w:u w:val="none"/>
        </w:rPr>
        <w:t>faisant référence à la carte de</w:t>
      </w:r>
      <w:r w:rsidR="00F8345B">
        <w:rPr>
          <w:rStyle w:val="Hyperlink"/>
          <w:color w:val="auto"/>
          <w:u w:val="none"/>
        </w:rPr>
        <w:t xml:space="preserve"> résultats présentée dans l</w:t>
      </w:r>
      <w:r w:rsidR="00346F1B">
        <w:rPr>
          <w:rStyle w:val="Hyperlink"/>
          <w:color w:val="auto"/>
          <w:u w:val="none"/>
        </w:rPr>
        <w:t>’</w:t>
      </w:r>
      <w:r w:rsidR="00F8345B">
        <w:rPr>
          <w:rStyle w:val="Hyperlink"/>
          <w:color w:val="auto"/>
          <w:u w:val="none"/>
        </w:rPr>
        <w:t xml:space="preserve">annexe, le </w:t>
      </w:r>
      <w:r w:rsidR="00F8345B" w:rsidRPr="00F8345B">
        <w:rPr>
          <w:rStyle w:val="Hyperlink"/>
          <w:color w:val="auto"/>
          <w:u w:val="none"/>
        </w:rPr>
        <w:t>Secrétaire</w:t>
      </w:r>
      <w:r w:rsidR="00F8345B">
        <w:rPr>
          <w:rStyle w:val="Hyperlink"/>
          <w:color w:val="auto"/>
          <w:u w:val="none"/>
        </w:rPr>
        <w:t xml:space="preserve"> a expliqué que</w:t>
      </w:r>
      <w:r w:rsidR="00774F90">
        <w:rPr>
          <w:rStyle w:val="Hyperlink"/>
          <w:color w:val="auto"/>
          <w:u w:val="none"/>
        </w:rPr>
        <w:t xml:space="preserve"> lors de la </w:t>
      </w:r>
      <w:r w:rsidR="00774F90" w:rsidRPr="00774F90">
        <w:rPr>
          <w:rStyle w:val="Hyperlink"/>
          <w:color w:val="auto"/>
          <w:u w:val="none"/>
        </w:rPr>
        <w:t>préparation</w:t>
      </w:r>
      <w:r w:rsidR="00774F90">
        <w:rPr>
          <w:rStyle w:val="Hyperlink"/>
          <w:color w:val="auto"/>
          <w:u w:val="none"/>
        </w:rPr>
        <w:t xml:space="preserve"> de la réunion </w:t>
      </w:r>
      <w:r w:rsidR="00774F90" w:rsidRPr="00774F90">
        <w:rPr>
          <w:rStyle w:val="Hyperlink"/>
          <w:color w:val="auto"/>
          <w:u w:val="none"/>
        </w:rPr>
        <w:t>préliminaire</w:t>
      </w:r>
      <w:r w:rsidR="00774F90">
        <w:rPr>
          <w:rStyle w:val="Hyperlink"/>
          <w:color w:val="auto"/>
          <w:u w:val="none"/>
        </w:rPr>
        <w:t xml:space="preserve"> d</w:t>
      </w:r>
      <w:r w:rsidR="00346F1B">
        <w:rPr>
          <w:rStyle w:val="Hyperlink"/>
          <w:color w:val="auto"/>
          <w:u w:val="none"/>
        </w:rPr>
        <w:t>’</w:t>
      </w:r>
      <w:r w:rsidR="00774F90">
        <w:rPr>
          <w:rStyle w:val="Hyperlink"/>
          <w:color w:val="auto"/>
          <w:u w:val="none"/>
        </w:rPr>
        <w:t>experts, le Secrétariat avait rapidement réalisé qu</w:t>
      </w:r>
      <w:r w:rsidR="00346F1B">
        <w:rPr>
          <w:rStyle w:val="Hyperlink"/>
          <w:color w:val="auto"/>
          <w:u w:val="none"/>
        </w:rPr>
        <w:t>’</w:t>
      </w:r>
      <w:r w:rsidR="00774F90">
        <w:rPr>
          <w:rStyle w:val="Hyperlink"/>
          <w:color w:val="auto"/>
          <w:u w:val="none"/>
        </w:rPr>
        <w:t>il serait impossible de parvenir à u</w:t>
      </w:r>
      <w:r w:rsidR="00204669">
        <w:rPr>
          <w:rStyle w:val="Hyperlink"/>
          <w:color w:val="auto"/>
          <w:u w:val="none"/>
        </w:rPr>
        <w:t xml:space="preserve">n cadre de résultats, même </w:t>
      </w:r>
      <w:r w:rsidR="00774F90">
        <w:rPr>
          <w:rStyle w:val="Hyperlink"/>
          <w:color w:val="auto"/>
          <w:u w:val="none"/>
        </w:rPr>
        <w:t xml:space="preserve">un cadre </w:t>
      </w:r>
      <w:r w:rsidR="00774F90" w:rsidRPr="00774F90">
        <w:rPr>
          <w:rStyle w:val="Hyperlink"/>
          <w:color w:val="auto"/>
          <w:u w:val="none"/>
        </w:rPr>
        <w:t>préliminaire</w:t>
      </w:r>
      <w:r w:rsidR="00774F90">
        <w:rPr>
          <w:rStyle w:val="Hyperlink"/>
          <w:color w:val="auto"/>
          <w:u w:val="none"/>
        </w:rPr>
        <w:t>, en trois jours. Le Secrétariat avait donc choisi d</w:t>
      </w:r>
      <w:r w:rsidR="00346F1B">
        <w:rPr>
          <w:rStyle w:val="Hyperlink"/>
          <w:color w:val="auto"/>
          <w:u w:val="none"/>
        </w:rPr>
        <w:t>’</w:t>
      </w:r>
      <w:r w:rsidR="00774F90">
        <w:rPr>
          <w:rStyle w:val="Hyperlink"/>
          <w:color w:val="auto"/>
          <w:u w:val="none"/>
        </w:rPr>
        <w:t>orienter la réunion sur les premières étapes nécessaires à l</w:t>
      </w:r>
      <w:r w:rsidR="00346F1B">
        <w:rPr>
          <w:rStyle w:val="Hyperlink"/>
          <w:color w:val="auto"/>
          <w:u w:val="none"/>
        </w:rPr>
        <w:t>’</w:t>
      </w:r>
      <w:r w:rsidR="00774F90" w:rsidRPr="00774F90">
        <w:rPr>
          <w:rStyle w:val="Hyperlink"/>
          <w:color w:val="auto"/>
          <w:u w:val="none"/>
        </w:rPr>
        <w:t>élaboration</w:t>
      </w:r>
      <w:r w:rsidR="00774F90">
        <w:rPr>
          <w:rStyle w:val="Hyperlink"/>
          <w:color w:val="auto"/>
          <w:u w:val="none"/>
        </w:rPr>
        <w:t xml:space="preserve"> d</w:t>
      </w:r>
      <w:r w:rsidR="00346F1B">
        <w:rPr>
          <w:rStyle w:val="Hyperlink"/>
          <w:color w:val="auto"/>
          <w:u w:val="none"/>
        </w:rPr>
        <w:t>’</w:t>
      </w:r>
      <w:r w:rsidR="00774F90">
        <w:rPr>
          <w:rStyle w:val="Hyperlink"/>
          <w:color w:val="auto"/>
          <w:u w:val="none"/>
        </w:rPr>
        <w:t xml:space="preserve">un cadre de résultats, </w:t>
      </w:r>
      <w:r w:rsidR="00774F90" w:rsidRPr="00774F90">
        <w:rPr>
          <w:rStyle w:val="Hyperlink"/>
          <w:color w:val="auto"/>
          <w:u w:val="none"/>
        </w:rPr>
        <w:t>conformément</w:t>
      </w:r>
      <w:r w:rsidR="00774F90">
        <w:rPr>
          <w:rStyle w:val="Hyperlink"/>
          <w:b/>
          <w:color w:val="auto"/>
          <w:u w:val="none"/>
        </w:rPr>
        <w:t xml:space="preserve"> </w:t>
      </w:r>
      <w:r w:rsidR="00774F90">
        <w:rPr>
          <w:rStyle w:val="Hyperlink"/>
          <w:color w:val="auto"/>
          <w:u w:val="none"/>
        </w:rPr>
        <w:t xml:space="preserve">à </w:t>
      </w:r>
      <w:r w:rsidR="00F8345B" w:rsidRPr="00774F90">
        <w:rPr>
          <w:rStyle w:val="Hyperlink"/>
          <w:color w:val="auto"/>
          <w:u w:val="none"/>
        </w:rPr>
        <w:t>l</w:t>
      </w:r>
      <w:r w:rsidR="00346F1B">
        <w:rPr>
          <w:rStyle w:val="Hyperlink"/>
          <w:color w:val="auto"/>
          <w:u w:val="none"/>
        </w:rPr>
        <w:t>’</w:t>
      </w:r>
      <w:r w:rsidR="00F8345B" w:rsidRPr="00774F90">
        <w:rPr>
          <w:rStyle w:val="Hyperlink"/>
          <w:color w:val="auto"/>
          <w:u w:val="none"/>
        </w:rPr>
        <w:t xml:space="preserve">approche de gestion axée sur les résultats (GAR) </w:t>
      </w:r>
      <w:r w:rsidR="00774F90">
        <w:rPr>
          <w:rStyle w:val="Hyperlink"/>
          <w:color w:val="auto"/>
          <w:u w:val="none"/>
        </w:rPr>
        <w:t>adoptée par les Nations Unies</w:t>
      </w:r>
      <w:r w:rsidR="0021657B">
        <w:rPr>
          <w:rStyle w:val="Hyperlink"/>
          <w:color w:val="auto"/>
          <w:u w:val="none"/>
        </w:rPr>
        <w:t>. La réunion s</w:t>
      </w:r>
      <w:r w:rsidR="00346F1B">
        <w:rPr>
          <w:rStyle w:val="Hyperlink"/>
          <w:color w:val="auto"/>
          <w:u w:val="none"/>
        </w:rPr>
        <w:t>’</w:t>
      </w:r>
      <w:r w:rsidR="0021657B">
        <w:rPr>
          <w:rStyle w:val="Hyperlink"/>
          <w:color w:val="auto"/>
          <w:u w:val="none"/>
        </w:rPr>
        <w:t xml:space="preserve">était donc concentrée sur : i) </w:t>
      </w:r>
      <w:r w:rsidR="00726FFF">
        <w:rPr>
          <w:rStyle w:val="Hyperlink"/>
          <w:color w:val="auto"/>
          <w:u w:val="none"/>
        </w:rPr>
        <w:t xml:space="preserve">définir </w:t>
      </w:r>
      <w:r w:rsidR="0021657B">
        <w:rPr>
          <w:rStyle w:val="Hyperlink"/>
          <w:color w:val="auto"/>
          <w:u w:val="none"/>
        </w:rPr>
        <w:t>une vision commune de ce qu</w:t>
      </w:r>
      <w:r w:rsidR="00346F1B">
        <w:rPr>
          <w:rStyle w:val="Hyperlink"/>
          <w:color w:val="auto"/>
          <w:u w:val="none"/>
        </w:rPr>
        <w:t>’</w:t>
      </w:r>
      <w:r w:rsidR="0021657B">
        <w:rPr>
          <w:rStyle w:val="Hyperlink"/>
          <w:color w:val="auto"/>
          <w:u w:val="none"/>
        </w:rPr>
        <w:t xml:space="preserve">était le succès en matière de mise en œuvre de la </w:t>
      </w:r>
      <w:r w:rsidR="0021657B" w:rsidRPr="0021657B">
        <w:rPr>
          <w:rStyle w:val="Hyperlink"/>
          <w:color w:val="auto"/>
          <w:u w:val="none"/>
        </w:rPr>
        <w:t>Convention</w:t>
      </w:r>
      <w:r w:rsidR="00204669">
        <w:rPr>
          <w:rStyle w:val="Hyperlink"/>
          <w:color w:val="auto"/>
          <w:u w:val="none"/>
        </w:rPr>
        <w:t xml:space="preserve"> ; et ii) élaborer un modèle potentiel de carte de résultats </w:t>
      </w:r>
      <w:r w:rsidR="00726FFF">
        <w:rPr>
          <w:rStyle w:val="Hyperlink"/>
          <w:color w:val="auto"/>
          <w:u w:val="none"/>
        </w:rPr>
        <w:t xml:space="preserve">pour la </w:t>
      </w:r>
      <w:r w:rsidR="00726FFF" w:rsidRPr="00726FFF">
        <w:rPr>
          <w:rStyle w:val="Hyperlink"/>
          <w:color w:val="auto"/>
          <w:u w:val="none"/>
        </w:rPr>
        <w:t>Convention</w:t>
      </w:r>
      <w:r w:rsidR="00726FFF">
        <w:rPr>
          <w:rStyle w:val="Hyperlink"/>
          <w:color w:val="auto"/>
          <w:u w:val="none"/>
        </w:rPr>
        <w:t>. Ce qu</w:t>
      </w:r>
      <w:r w:rsidR="0067053A">
        <w:rPr>
          <w:rStyle w:val="Hyperlink"/>
          <w:color w:val="auto"/>
          <w:u w:val="none"/>
        </w:rPr>
        <w:t>e l</w:t>
      </w:r>
      <w:r w:rsidR="00346F1B">
        <w:rPr>
          <w:rStyle w:val="Hyperlink"/>
          <w:color w:val="auto"/>
          <w:u w:val="none"/>
        </w:rPr>
        <w:t>’</w:t>
      </w:r>
      <w:r w:rsidR="0067053A">
        <w:rPr>
          <w:rStyle w:val="Hyperlink"/>
          <w:color w:val="auto"/>
          <w:u w:val="none"/>
        </w:rPr>
        <w:t>on entendait par</w:t>
      </w:r>
      <w:r w:rsidR="00204669">
        <w:rPr>
          <w:rStyle w:val="Hyperlink"/>
          <w:color w:val="auto"/>
          <w:u w:val="none"/>
        </w:rPr>
        <w:t xml:space="preserve"> « carte de</w:t>
      </w:r>
      <w:r w:rsidR="00726FFF">
        <w:rPr>
          <w:rStyle w:val="Hyperlink"/>
          <w:color w:val="auto"/>
          <w:u w:val="none"/>
        </w:rPr>
        <w:t xml:space="preserve"> résultats », était, plutôt qu</w:t>
      </w:r>
      <w:r w:rsidR="00346F1B">
        <w:rPr>
          <w:rStyle w:val="Hyperlink"/>
          <w:color w:val="auto"/>
          <w:u w:val="none"/>
        </w:rPr>
        <w:t>’</w:t>
      </w:r>
      <w:r w:rsidR="00726FFF">
        <w:rPr>
          <w:rStyle w:val="Hyperlink"/>
          <w:color w:val="auto"/>
          <w:u w:val="none"/>
        </w:rPr>
        <w:t xml:space="preserve">un cadre de résultats, un organigramme ou une séquence logique qui décrivait les relations entre les intrants, les </w:t>
      </w:r>
      <w:r w:rsidR="00726FFF" w:rsidRPr="00726FFF">
        <w:rPr>
          <w:rStyle w:val="Hyperlink"/>
          <w:color w:val="auto"/>
          <w:u w:val="none"/>
        </w:rPr>
        <w:t>activités</w:t>
      </w:r>
      <w:r w:rsidR="00726FFF">
        <w:rPr>
          <w:rStyle w:val="Hyperlink"/>
          <w:color w:val="auto"/>
          <w:u w:val="none"/>
        </w:rPr>
        <w:t>, les produits, les effets et les impacts. Afin d</w:t>
      </w:r>
      <w:r w:rsidR="00346F1B">
        <w:rPr>
          <w:rStyle w:val="Hyperlink"/>
          <w:color w:val="auto"/>
          <w:u w:val="none"/>
        </w:rPr>
        <w:t>’</w:t>
      </w:r>
      <w:r w:rsidR="00726FFF">
        <w:rPr>
          <w:rStyle w:val="Hyperlink"/>
          <w:color w:val="auto"/>
          <w:u w:val="none"/>
        </w:rPr>
        <w:t>élaborer une « carte de résultats » au sein d</w:t>
      </w:r>
      <w:r w:rsidR="00346F1B">
        <w:rPr>
          <w:rStyle w:val="Hyperlink"/>
          <w:color w:val="auto"/>
          <w:u w:val="none"/>
        </w:rPr>
        <w:t>’</w:t>
      </w:r>
      <w:r w:rsidR="00726FFF">
        <w:rPr>
          <w:rStyle w:val="Hyperlink"/>
          <w:color w:val="auto"/>
          <w:u w:val="none"/>
        </w:rPr>
        <w:t xml:space="preserve">un cadre de résultats à part entière, un travail </w:t>
      </w:r>
      <w:r w:rsidR="00726FFF" w:rsidRPr="00726FFF">
        <w:rPr>
          <w:rStyle w:val="Hyperlink"/>
          <w:color w:val="auto"/>
          <w:u w:val="none"/>
        </w:rPr>
        <w:t>complémentaire</w:t>
      </w:r>
      <w:r w:rsidR="00726FFF">
        <w:rPr>
          <w:rStyle w:val="Hyperlink"/>
          <w:color w:val="auto"/>
          <w:u w:val="none"/>
        </w:rPr>
        <w:t xml:space="preserve"> était nécessaire pour identifier les hypothèses et les risques, identifier les indicateurs pertinents existants, en définir de nouveaux, etc. Ce travail était en cours et le Secrétariat espérait que d</w:t>
      </w:r>
      <w:r w:rsidR="00346F1B">
        <w:rPr>
          <w:rStyle w:val="Hyperlink"/>
          <w:color w:val="auto"/>
          <w:u w:val="none"/>
        </w:rPr>
        <w:t>’</w:t>
      </w:r>
      <w:r w:rsidR="00726FFF">
        <w:rPr>
          <w:rStyle w:val="Hyperlink"/>
          <w:color w:val="auto"/>
          <w:u w:val="none"/>
        </w:rPr>
        <w:t xml:space="preserve">ici juin 2017, grâce à la </w:t>
      </w:r>
      <w:r w:rsidR="00726FFF" w:rsidRPr="00726FFF">
        <w:rPr>
          <w:rStyle w:val="Hyperlink"/>
          <w:color w:val="auto"/>
          <w:u w:val="none"/>
        </w:rPr>
        <w:t xml:space="preserve">contribution </w:t>
      </w:r>
      <w:r w:rsidR="00726FFF">
        <w:rPr>
          <w:rStyle w:val="Hyperlink"/>
          <w:color w:val="auto"/>
          <w:u w:val="none"/>
        </w:rPr>
        <w:t>de la Chine au Fonds du PCI, il serait en mesure d</w:t>
      </w:r>
      <w:r w:rsidR="00346F1B">
        <w:rPr>
          <w:rStyle w:val="Hyperlink"/>
          <w:color w:val="auto"/>
          <w:u w:val="none"/>
        </w:rPr>
        <w:t>’</w:t>
      </w:r>
      <w:r w:rsidR="00726FFF">
        <w:rPr>
          <w:rStyle w:val="Hyperlink"/>
          <w:color w:val="auto"/>
          <w:u w:val="none"/>
        </w:rPr>
        <w:t xml:space="preserve">achever ce travail et de </w:t>
      </w:r>
      <w:r w:rsidR="00F018B1">
        <w:rPr>
          <w:rStyle w:val="Hyperlink"/>
          <w:color w:val="auto"/>
          <w:u w:val="none"/>
        </w:rPr>
        <w:t xml:space="preserve">soumettre un projet de cadre de résultats dont le groupe de travail </w:t>
      </w:r>
      <w:r w:rsidR="00F018B1" w:rsidRPr="00F018B1">
        <w:rPr>
          <w:rStyle w:val="Hyperlink"/>
          <w:color w:val="auto"/>
          <w:u w:val="none"/>
        </w:rPr>
        <w:t>intergouvernemental</w:t>
      </w:r>
      <w:r w:rsidR="00F018B1">
        <w:rPr>
          <w:rStyle w:val="Hyperlink"/>
          <w:color w:val="auto"/>
          <w:u w:val="none"/>
        </w:rPr>
        <w:t xml:space="preserve"> à composition non limitée pourrait débattre. Ce qu</w:t>
      </w:r>
      <w:r w:rsidR="00346F1B">
        <w:rPr>
          <w:rStyle w:val="Hyperlink"/>
          <w:color w:val="auto"/>
          <w:u w:val="none"/>
        </w:rPr>
        <w:t>’</w:t>
      </w:r>
      <w:r w:rsidR="00F018B1">
        <w:rPr>
          <w:rStyle w:val="Hyperlink"/>
          <w:color w:val="auto"/>
          <w:u w:val="none"/>
        </w:rPr>
        <w:t>on pouvait d</w:t>
      </w:r>
      <w:r w:rsidR="00346F1B">
        <w:rPr>
          <w:rStyle w:val="Hyperlink"/>
          <w:color w:val="auto"/>
          <w:u w:val="none"/>
        </w:rPr>
        <w:t>’</w:t>
      </w:r>
      <w:r w:rsidR="00F018B1">
        <w:rPr>
          <w:rStyle w:val="Hyperlink"/>
          <w:color w:val="auto"/>
          <w:u w:val="none"/>
        </w:rPr>
        <w:t>ores et déjà affirmer c</w:t>
      </w:r>
      <w:r w:rsidR="00346F1B">
        <w:rPr>
          <w:rStyle w:val="Hyperlink"/>
          <w:color w:val="auto"/>
          <w:u w:val="none"/>
        </w:rPr>
        <w:t>’</w:t>
      </w:r>
      <w:r w:rsidR="00F018B1">
        <w:rPr>
          <w:rStyle w:val="Hyperlink"/>
          <w:color w:val="auto"/>
          <w:u w:val="none"/>
        </w:rPr>
        <w:t>était que l</w:t>
      </w:r>
      <w:r w:rsidR="00346F1B">
        <w:rPr>
          <w:rStyle w:val="Hyperlink"/>
          <w:color w:val="auto"/>
          <w:u w:val="none"/>
        </w:rPr>
        <w:t>’</w:t>
      </w:r>
      <w:r w:rsidR="00F018B1" w:rsidRPr="00F018B1">
        <w:rPr>
          <w:rStyle w:val="Hyperlink"/>
          <w:color w:val="auto"/>
          <w:u w:val="none"/>
        </w:rPr>
        <w:t>élaboration</w:t>
      </w:r>
      <w:r w:rsidR="00F018B1">
        <w:rPr>
          <w:rStyle w:val="Hyperlink"/>
          <w:color w:val="auto"/>
          <w:u w:val="none"/>
        </w:rPr>
        <w:t xml:space="preserve"> d</w:t>
      </w:r>
      <w:r w:rsidR="00346F1B">
        <w:rPr>
          <w:rStyle w:val="Hyperlink"/>
          <w:color w:val="auto"/>
          <w:u w:val="none"/>
        </w:rPr>
        <w:t>’</w:t>
      </w:r>
      <w:r w:rsidR="00F018B1">
        <w:rPr>
          <w:rStyle w:val="Hyperlink"/>
          <w:color w:val="auto"/>
          <w:u w:val="none"/>
        </w:rPr>
        <w:t xml:space="preserve">un cadre de résultats global pour un instrument normatif international tel que la </w:t>
      </w:r>
      <w:r w:rsidR="00F018B1" w:rsidRPr="00F018B1">
        <w:rPr>
          <w:rStyle w:val="Hyperlink"/>
          <w:color w:val="auto"/>
          <w:u w:val="none"/>
        </w:rPr>
        <w:t>Convention</w:t>
      </w:r>
      <w:r w:rsidR="00F018B1">
        <w:rPr>
          <w:rStyle w:val="Hyperlink"/>
          <w:color w:val="auto"/>
          <w:u w:val="none"/>
        </w:rPr>
        <w:t xml:space="preserve"> de 2003 </w:t>
      </w:r>
      <w:r w:rsidR="009910D5">
        <w:rPr>
          <w:rStyle w:val="Hyperlink"/>
          <w:color w:val="auto"/>
          <w:u w:val="none"/>
        </w:rPr>
        <w:t>était une démarche atypique par rapport au type d</w:t>
      </w:r>
      <w:r w:rsidR="00346F1B">
        <w:rPr>
          <w:rStyle w:val="Hyperlink"/>
          <w:color w:val="auto"/>
          <w:u w:val="none"/>
        </w:rPr>
        <w:t>’</w:t>
      </w:r>
      <w:r w:rsidR="009910D5">
        <w:rPr>
          <w:rStyle w:val="Hyperlink"/>
          <w:color w:val="auto"/>
          <w:u w:val="none"/>
        </w:rPr>
        <w:t>organisations et de programmes sur lesquels était généralement axé le travail de suivi et d</w:t>
      </w:r>
      <w:r w:rsidR="00346F1B">
        <w:rPr>
          <w:rStyle w:val="Hyperlink"/>
          <w:color w:val="auto"/>
          <w:u w:val="none"/>
        </w:rPr>
        <w:t>’</w:t>
      </w:r>
      <w:r w:rsidR="009910D5" w:rsidRPr="009910D5">
        <w:rPr>
          <w:rStyle w:val="Hyperlink"/>
          <w:color w:val="auto"/>
          <w:u w:val="none"/>
        </w:rPr>
        <w:t>évaluation</w:t>
      </w:r>
      <w:r w:rsidR="009910D5">
        <w:rPr>
          <w:rStyle w:val="Hyperlink"/>
          <w:color w:val="auto"/>
          <w:u w:val="none"/>
        </w:rPr>
        <w:t xml:space="preserve">. Une </w:t>
      </w:r>
      <w:r w:rsidR="009910D5" w:rsidRPr="009910D5">
        <w:rPr>
          <w:rStyle w:val="Hyperlink"/>
          <w:color w:val="auto"/>
          <w:u w:val="none"/>
        </w:rPr>
        <w:t>Convention</w:t>
      </w:r>
      <w:r w:rsidR="009910D5">
        <w:rPr>
          <w:rStyle w:val="Hyperlink"/>
          <w:color w:val="auto"/>
          <w:u w:val="none"/>
        </w:rPr>
        <w:t xml:space="preserve"> faisait intervenir différents acteurs et nombreuse</w:t>
      </w:r>
      <w:r w:rsidR="00204669">
        <w:rPr>
          <w:rStyle w:val="Hyperlink"/>
          <w:color w:val="auto"/>
          <w:u w:val="none"/>
        </w:rPr>
        <w:t>s causes potentielles et justes. L</w:t>
      </w:r>
      <w:r w:rsidR="009910D5">
        <w:rPr>
          <w:rStyle w:val="Hyperlink"/>
          <w:color w:val="auto"/>
          <w:u w:val="none"/>
        </w:rPr>
        <w:t xml:space="preserve">es </w:t>
      </w:r>
      <w:r w:rsidR="00403D06">
        <w:rPr>
          <w:rStyle w:val="Hyperlink"/>
          <w:color w:val="auto"/>
          <w:u w:val="none"/>
        </w:rPr>
        <w:t xml:space="preserve">multiples </w:t>
      </w:r>
      <w:r w:rsidR="009910D5">
        <w:rPr>
          <w:rStyle w:val="Hyperlink"/>
          <w:color w:val="auto"/>
          <w:u w:val="none"/>
        </w:rPr>
        <w:t>effets</w:t>
      </w:r>
      <w:r w:rsidR="00204669">
        <w:rPr>
          <w:rStyle w:val="Hyperlink"/>
          <w:color w:val="auto"/>
          <w:u w:val="none"/>
        </w:rPr>
        <w:t xml:space="preserve"> et « succès » possibles pouvaie</w:t>
      </w:r>
      <w:r w:rsidR="009910D5">
        <w:rPr>
          <w:rStyle w:val="Hyperlink"/>
          <w:color w:val="auto"/>
          <w:u w:val="none"/>
        </w:rPr>
        <w:t xml:space="preserve">nt </w:t>
      </w:r>
      <w:r w:rsidR="00204669">
        <w:rPr>
          <w:rStyle w:val="Hyperlink"/>
          <w:color w:val="auto"/>
          <w:u w:val="none"/>
        </w:rPr>
        <w:t xml:space="preserve">alors </w:t>
      </w:r>
      <w:r w:rsidR="009910D5">
        <w:rPr>
          <w:rStyle w:val="Hyperlink"/>
          <w:color w:val="auto"/>
          <w:u w:val="none"/>
        </w:rPr>
        <w:t xml:space="preserve">être différents selon chaque acteur. </w:t>
      </w:r>
      <w:r w:rsidR="00403D06">
        <w:rPr>
          <w:rStyle w:val="Hyperlink"/>
          <w:color w:val="auto"/>
          <w:u w:val="none"/>
        </w:rPr>
        <w:t xml:space="preserve">La mise en œuvre de </w:t>
      </w:r>
      <w:r w:rsidR="009910D5">
        <w:rPr>
          <w:rStyle w:val="Hyperlink"/>
          <w:color w:val="auto"/>
          <w:u w:val="none"/>
        </w:rPr>
        <w:t xml:space="preserve">la </w:t>
      </w:r>
      <w:r w:rsidR="009910D5" w:rsidRPr="009910D5">
        <w:rPr>
          <w:rStyle w:val="Hyperlink"/>
          <w:color w:val="auto"/>
          <w:u w:val="none"/>
        </w:rPr>
        <w:t>Convention</w:t>
      </w:r>
      <w:r w:rsidR="009910D5">
        <w:rPr>
          <w:rStyle w:val="Hyperlink"/>
          <w:color w:val="auto"/>
          <w:u w:val="none"/>
        </w:rPr>
        <w:t xml:space="preserve"> </w:t>
      </w:r>
      <w:r w:rsidR="00403D06">
        <w:rPr>
          <w:rStyle w:val="Hyperlink"/>
          <w:color w:val="auto"/>
          <w:u w:val="none"/>
        </w:rPr>
        <w:t>ne se résumait pas à l</w:t>
      </w:r>
      <w:r w:rsidR="00346F1B">
        <w:rPr>
          <w:rStyle w:val="Hyperlink"/>
          <w:color w:val="auto"/>
          <w:u w:val="none"/>
        </w:rPr>
        <w:t>’</w:t>
      </w:r>
      <w:r w:rsidR="00403D06">
        <w:rPr>
          <w:rStyle w:val="Hyperlink"/>
          <w:color w:val="auto"/>
          <w:u w:val="none"/>
        </w:rPr>
        <w:t>exécution d</w:t>
      </w:r>
      <w:r w:rsidR="00346F1B">
        <w:rPr>
          <w:rStyle w:val="Hyperlink"/>
          <w:color w:val="auto"/>
          <w:u w:val="none"/>
        </w:rPr>
        <w:t>’</w:t>
      </w:r>
      <w:r w:rsidR="00403D06">
        <w:rPr>
          <w:rStyle w:val="Hyperlink"/>
          <w:color w:val="auto"/>
          <w:u w:val="none"/>
        </w:rPr>
        <w:t xml:space="preserve">un programme unique par une </w:t>
      </w:r>
      <w:r w:rsidR="00403D06" w:rsidRPr="00403D06">
        <w:rPr>
          <w:rStyle w:val="Hyperlink"/>
          <w:color w:val="auto"/>
          <w:u w:val="none"/>
        </w:rPr>
        <w:t>organisation</w:t>
      </w:r>
      <w:r w:rsidR="00403D06">
        <w:rPr>
          <w:rStyle w:val="Hyperlink"/>
          <w:color w:val="auto"/>
          <w:u w:val="none"/>
        </w:rPr>
        <w:t>, mais consistait en de multiples actions entreprises dans le cadre d</w:t>
      </w:r>
      <w:r w:rsidR="00346F1B">
        <w:rPr>
          <w:rStyle w:val="Hyperlink"/>
          <w:color w:val="auto"/>
          <w:u w:val="none"/>
        </w:rPr>
        <w:t>’</w:t>
      </w:r>
      <w:r w:rsidR="00403D06">
        <w:rPr>
          <w:rStyle w:val="Hyperlink"/>
          <w:color w:val="auto"/>
          <w:u w:val="none"/>
        </w:rPr>
        <w:t xml:space="preserve">un instrument normatif par différentes </w:t>
      </w:r>
      <w:r w:rsidR="00403D06" w:rsidRPr="00403D06">
        <w:rPr>
          <w:rStyle w:val="Hyperlink"/>
          <w:color w:val="auto"/>
          <w:u w:val="none"/>
        </w:rPr>
        <w:t>parties prenantes</w:t>
      </w:r>
      <w:r w:rsidR="00403D06">
        <w:rPr>
          <w:rStyle w:val="Hyperlink"/>
          <w:color w:val="auto"/>
          <w:u w:val="none"/>
        </w:rPr>
        <w:t xml:space="preserve"> aux niveaux international, national et local. La carte de résultats présentée dans l</w:t>
      </w:r>
      <w:r w:rsidR="00346F1B">
        <w:rPr>
          <w:rStyle w:val="Hyperlink"/>
          <w:color w:val="auto"/>
          <w:u w:val="none"/>
        </w:rPr>
        <w:t>’</w:t>
      </w:r>
      <w:r w:rsidR="00403D06">
        <w:rPr>
          <w:rStyle w:val="Hyperlink"/>
          <w:color w:val="auto"/>
          <w:u w:val="none"/>
        </w:rPr>
        <w:t>annexe ne constituait donc qu</w:t>
      </w:r>
      <w:r w:rsidR="00346F1B">
        <w:rPr>
          <w:rStyle w:val="Hyperlink"/>
          <w:color w:val="auto"/>
          <w:u w:val="none"/>
        </w:rPr>
        <w:t>’</w:t>
      </w:r>
      <w:r w:rsidR="00403D06">
        <w:rPr>
          <w:rStyle w:val="Hyperlink"/>
          <w:color w:val="auto"/>
          <w:u w:val="none"/>
        </w:rPr>
        <w:t xml:space="preserve">une </w:t>
      </w:r>
      <w:r w:rsidR="00403D06" w:rsidRPr="00403D06">
        <w:rPr>
          <w:rStyle w:val="Hyperlink"/>
          <w:color w:val="auto"/>
          <w:u w:val="none"/>
        </w:rPr>
        <w:t>structure</w:t>
      </w:r>
      <w:r w:rsidR="00403D06">
        <w:rPr>
          <w:rStyle w:val="Hyperlink"/>
          <w:color w:val="auto"/>
          <w:u w:val="none"/>
        </w:rPr>
        <w:t xml:space="preserve"> de base, reflet des commentaires des participants</w:t>
      </w:r>
      <w:r w:rsidR="00CD5C38">
        <w:rPr>
          <w:rStyle w:val="Hyperlink"/>
          <w:color w:val="auto"/>
          <w:u w:val="none"/>
        </w:rPr>
        <w:t xml:space="preserve"> à</w:t>
      </w:r>
      <w:r w:rsidR="00403D06">
        <w:rPr>
          <w:rStyle w:val="Hyperlink"/>
          <w:color w:val="auto"/>
          <w:u w:val="none"/>
        </w:rPr>
        <w:t xml:space="preserve"> la réunion </w:t>
      </w:r>
      <w:r w:rsidR="00403D06" w:rsidRPr="00403D06">
        <w:rPr>
          <w:rStyle w:val="Hyperlink"/>
          <w:color w:val="auto"/>
          <w:u w:val="none"/>
        </w:rPr>
        <w:t>préliminaire</w:t>
      </w:r>
      <w:r w:rsidR="00403D06">
        <w:rPr>
          <w:rStyle w:val="Hyperlink"/>
          <w:color w:val="auto"/>
          <w:u w:val="none"/>
        </w:rPr>
        <w:t xml:space="preserve"> d</w:t>
      </w:r>
      <w:r w:rsidR="00346F1B">
        <w:rPr>
          <w:rStyle w:val="Hyperlink"/>
          <w:color w:val="auto"/>
          <w:u w:val="none"/>
        </w:rPr>
        <w:t>’</w:t>
      </w:r>
      <w:r w:rsidR="00403D06">
        <w:rPr>
          <w:rStyle w:val="Hyperlink"/>
          <w:color w:val="auto"/>
          <w:u w:val="none"/>
        </w:rPr>
        <w:t>experts. Certains participants avaient estimé qu</w:t>
      </w:r>
      <w:r w:rsidR="00346F1B">
        <w:rPr>
          <w:rStyle w:val="Hyperlink"/>
          <w:color w:val="auto"/>
          <w:u w:val="none"/>
        </w:rPr>
        <w:t>’</w:t>
      </w:r>
      <w:r w:rsidR="00403D06">
        <w:rPr>
          <w:rStyle w:val="Hyperlink"/>
          <w:color w:val="auto"/>
          <w:u w:val="none"/>
        </w:rPr>
        <w:t xml:space="preserve">atteindre les objectifs de la </w:t>
      </w:r>
      <w:r w:rsidR="00403D06" w:rsidRPr="00403D06">
        <w:rPr>
          <w:rStyle w:val="Hyperlink"/>
          <w:color w:val="auto"/>
          <w:u w:val="none"/>
        </w:rPr>
        <w:t>Convention</w:t>
      </w:r>
      <w:r w:rsidR="00204669">
        <w:rPr>
          <w:rStyle w:val="Hyperlink"/>
          <w:color w:val="auto"/>
          <w:u w:val="none"/>
        </w:rPr>
        <w:t xml:space="preserve"> exposés dans son </w:t>
      </w:r>
      <w:r w:rsidR="00CD5C38">
        <w:rPr>
          <w:rStyle w:val="Hyperlink"/>
          <w:color w:val="auto"/>
          <w:u w:val="none"/>
        </w:rPr>
        <w:t>article premier</w:t>
      </w:r>
      <w:r w:rsidR="00403D06">
        <w:rPr>
          <w:rStyle w:val="Hyperlink"/>
          <w:color w:val="auto"/>
          <w:u w:val="none"/>
        </w:rPr>
        <w:t xml:space="preserve"> devrait être considéré comme l</w:t>
      </w:r>
      <w:r w:rsidR="00346F1B">
        <w:rPr>
          <w:rStyle w:val="Hyperlink"/>
          <w:color w:val="auto"/>
          <w:u w:val="none"/>
        </w:rPr>
        <w:t>’</w:t>
      </w:r>
      <w:r w:rsidR="00403D06">
        <w:rPr>
          <w:rStyle w:val="Hyperlink"/>
          <w:color w:val="auto"/>
          <w:u w:val="none"/>
        </w:rPr>
        <w:t xml:space="preserve">impact ultime de la </w:t>
      </w:r>
      <w:r w:rsidR="00403D06" w:rsidRPr="00403D06">
        <w:rPr>
          <w:rStyle w:val="Hyperlink"/>
          <w:color w:val="auto"/>
          <w:u w:val="none"/>
        </w:rPr>
        <w:t>Convention</w:t>
      </w:r>
      <w:r w:rsidR="00403D06">
        <w:rPr>
          <w:rStyle w:val="Hyperlink"/>
          <w:color w:val="auto"/>
          <w:u w:val="none"/>
        </w:rPr>
        <w:t>, tandis que d</w:t>
      </w:r>
      <w:r w:rsidR="00346F1B">
        <w:rPr>
          <w:rStyle w:val="Hyperlink"/>
          <w:color w:val="auto"/>
          <w:u w:val="none"/>
        </w:rPr>
        <w:t>’</w:t>
      </w:r>
      <w:r w:rsidR="00403D06">
        <w:rPr>
          <w:rStyle w:val="Hyperlink"/>
          <w:color w:val="auto"/>
          <w:u w:val="none"/>
        </w:rPr>
        <w:t xml:space="preserve">autres participants envisageaient </w:t>
      </w:r>
      <w:r w:rsidR="00CD5C38">
        <w:rPr>
          <w:rStyle w:val="Hyperlink"/>
          <w:color w:val="auto"/>
          <w:u w:val="none"/>
        </w:rPr>
        <w:t xml:space="preserve">la </w:t>
      </w:r>
      <w:r w:rsidR="00CD5C38" w:rsidRPr="00CD5C38">
        <w:rPr>
          <w:rStyle w:val="Hyperlink"/>
          <w:color w:val="auto"/>
          <w:u w:val="none"/>
        </w:rPr>
        <w:t>réalisation</w:t>
      </w:r>
      <w:r w:rsidR="00CD5C38">
        <w:rPr>
          <w:rStyle w:val="Hyperlink"/>
          <w:color w:val="auto"/>
          <w:u w:val="none"/>
        </w:rPr>
        <w:t xml:space="preserve"> </w:t>
      </w:r>
      <w:r w:rsidR="00403D06">
        <w:rPr>
          <w:rStyle w:val="Hyperlink"/>
          <w:color w:val="auto"/>
          <w:u w:val="none"/>
        </w:rPr>
        <w:t xml:space="preserve">de ces objectifs </w:t>
      </w:r>
      <w:r w:rsidR="00CD5C38">
        <w:rPr>
          <w:rStyle w:val="Hyperlink"/>
          <w:color w:val="auto"/>
          <w:u w:val="none"/>
        </w:rPr>
        <w:t xml:space="preserve">comme des effets à long terme contribuant à leur tour à des impacts plus vastes, comme énoncé dans le préambule. La carte de résultats tentait de concilier les deux </w:t>
      </w:r>
      <w:r w:rsidR="00CD5C38" w:rsidRPr="00CD5C38">
        <w:rPr>
          <w:rStyle w:val="Hyperlink"/>
          <w:color w:val="auto"/>
          <w:u w:val="none"/>
        </w:rPr>
        <w:t>perspectiv</w:t>
      </w:r>
      <w:r w:rsidR="00CD5C38">
        <w:rPr>
          <w:rStyle w:val="Hyperlink"/>
          <w:color w:val="auto"/>
          <w:u w:val="none"/>
        </w:rPr>
        <w:t>es. Le Secrétariat était très intéressé par le débat sur ce sujet, car les remarques du Comité</w:t>
      </w:r>
      <w:r w:rsidR="00204669">
        <w:rPr>
          <w:rStyle w:val="Hyperlink"/>
          <w:color w:val="auto"/>
          <w:u w:val="none"/>
        </w:rPr>
        <w:t xml:space="preserve"> fourniraient des orientations fort utiles p</w:t>
      </w:r>
      <w:r w:rsidR="00613028">
        <w:rPr>
          <w:rStyle w:val="Hyperlink"/>
          <w:color w:val="auto"/>
          <w:u w:val="none"/>
        </w:rPr>
        <w:t>our la poursuite de ce travail.</w:t>
      </w:r>
    </w:p>
    <w:p w14:paraId="4385827E" w14:textId="1D6833CA" w:rsidR="00204669" w:rsidRPr="00204669" w:rsidRDefault="00204669" w:rsidP="00613028">
      <w:pPr>
        <w:pStyle w:val="Orateurengris"/>
        <w:spacing w:before="120"/>
        <w:ind w:left="709" w:hanging="709"/>
      </w:pPr>
      <w:r w:rsidRPr="00204669">
        <w:t xml:space="preserve">Le </w:t>
      </w:r>
      <w:r w:rsidRPr="00204669">
        <w:rPr>
          <w:b/>
        </w:rPr>
        <w:t>Président</w:t>
      </w:r>
      <w:r w:rsidRPr="00204669">
        <w:t xml:space="preserve"> a remercié le Secrétaire</w:t>
      </w:r>
      <w:r>
        <w:t xml:space="preserve"> pour son introduction brève mais précise, il a fait remarquer que la discussion</w:t>
      </w:r>
      <w:r w:rsidR="0068641E">
        <w:t xml:space="preserve"> </w:t>
      </w:r>
      <w:r>
        <w:t>requérait l</w:t>
      </w:r>
      <w:r w:rsidR="00346F1B">
        <w:t>’</w:t>
      </w:r>
      <w:r>
        <w:t xml:space="preserve">attention du Comité et sa capacité à réfléchir </w:t>
      </w:r>
      <w:r w:rsidR="00EB19FC">
        <w:t>au-delà</w:t>
      </w:r>
      <w:r>
        <w:t xml:space="preserve"> des réalités immédiates afin de dessiner le cadre à l</w:t>
      </w:r>
      <w:r w:rsidR="00346F1B">
        <w:t>’</w:t>
      </w:r>
      <w:r>
        <w:t xml:space="preserve">aune duquel il souhaitait mesurer les changements que, selon lui, la Convention pouvait apporter. </w:t>
      </w:r>
      <w:r w:rsidR="00613028">
        <w:t>Le Président a ouvert le débat.</w:t>
      </w:r>
    </w:p>
    <w:p w14:paraId="00C9BBDD" w14:textId="0D730DCD" w:rsidR="00BA114D" w:rsidRPr="00BA114D" w:rsidRDefault="0068641E" w:rsidP="00613028">
      <w:pPr>
        <w:pStyle w:val="Orateurengris"/>
        <w:spacing w:before="120"/>
        <w:ind w:left="709" w:hanging="709"/>
        <w:rPr>
          <w:b/>
        </w:rPr>
      </w:pPr>
      <w:r>
        <w:t xml:space="preserve">La délégation de la </w:t>
      </w:r>
      <w:r w:rsidRPr="0068641E">
        <w:rPr>
          <w:b/>
        </w:rPr>
        <w:t>Turquie</w:t>
      </w:r>
      <w:r>
        <w:t xml:space="preserve"> a remercié le Secrétariat pour les documents de travail très exhaustifs qui</w:t>
      </w:r>
      <w:r w:rsidR="0067053A">
        <w:t xml:space="preserve"> donnaient matière à réflexion sur</w:t>
      </w:r>
      <w:r>
        <w:t xml:space="preserve"> cette étape initiale de l</w:t>
      </w:r>
      <w:r w:rsidR="00346F1B">
        <w:t>’</w:t>
      </w:r>
      <w:r>
        <w:t>élaboration d</w:t>
      </w:r>
      <w:r w:rsidR="00346F1B">
        <w:t>’</w:t>
      </w:r>
      <w:r>
        <w:t>un cadre global de résultats pour la Convention. Elle a également remercié la Chine pour sa contribution à l</w:t>
      </w:r>
      <w:r w:rsidR="00346F1B">
        <w:t>’</w:t>
      </w:r>
      <w:r>
        <w:t>organisation de la réunion préliminaire d</w:t>
      </w:r>
      <w:r w:rsidR="00346F1B">
        <w:t>’</w:t>
      </w:r>
      <w:r>
        <w:t xml:space="preserve">experts en septembre 2016. Les discussions, ainsi que la séquence logique et la carte de résultats </w:t>
      </w:r>
      <w:r w:rsidR="00BA114D">
        <w:t>élaborées lors de la réunion de Beijing, constituaient un solide point de départ pour les débats du groupe de travail intergouvernemental à composition non limitée. La délégation estimait qu</w:t>
      </w:r>
      <w:r w:rsidR="00346F1B">
        <w:t>’</w:t>
      </w:r>
      <w:r w:rsidR="00BA114D">
        <w:t xml:space="preserve">il convenait de distinguer les effets à court, moyen et long terme qui étaient très pertinent pour les cibles, </w:t>
      </w:r>
      <w:r w:rsidR="007E096F">
        <w:t xml:space="preserve">les </w:t>
      </w:r>
      <w:r w:rsidR="00BA114D">
        <w:t xml:space="preserve">buts et </w:t>
      </w:r>
      <w:r w:rsidR="007E096F">
        <w:t xml:space="preserve">les </w:t>
      </w:r>
      <w:r w:rsidR="00BA114D">
        <w:t>objectifs généraux de la Convention, car cela permettait de mieux se concentrer sur les effets escomptés des activités selon différentes échéances. L</w:t>
      </w:r>
      <w:r w:rsidR="00346F1B">
        <w:t>’</w:t>
      </w:r>
      <w:r w:rsidR="00BA114D">
        <w:t>impact des activités s</w:t>
      </w:r>
      <w:r w:rsidR="00346F1B">
        <w:t>’</w:t>
      </w:r>
      <w:r w:rsidR="00BA114D">
        <w:t>inscrivait ainsi mieux dans les objectifs plus vastes de la Convention, en particulier le concept de développement durable et l</w:t>
      </w:r>
      <w:r w:rsidR="00346F1B">
        <w:t>’</w:t>
      </w:r>
      <w:r w:rsidR="00BA114D">
        <w:t>Agenda 2030. L</w:t>
      </w:r>
      <w:r w:rsidR="00346F1B">
        <w:t>’</w:t>
      </w:r>
      <w:r w:rsidR="00BA114D">
        <w:t xml:space="preserve">élaboration du cadre améliorerait sans aucun doute le suivi général de la Convention en permettant de mieux se concentrer sur les effets et les impacts. Elle introduirait </w:t>
      </w:r>
      <w:r w:rsidR="007E096F">
        <w:t>également dans la gouvernance de la Convention de 2003,</w:t>
      </w:r>
      <w:r w:rsidR="00BA114D">
        <w:t xml:space="preserve"> l</w:t>
      </w:r>
      <w:r w:rsidR="00346F1B">
        <w:t>’</w:t>
      </w:r>
      <w:r w:rsidR="00BA114D">
        <w:t>approche mo</w:t>
      </w:r>
      <w:r w:rsidR="007E096F">
        <w:t>derne de la gestion axée</w:t>
      </w:r>
      <w:r w:rsidR="00BA114D">
        <w:t xml:space="preserve"> su</w:t>
      </w:r>
      <w:r w:rsidR="007E096F">
        <w:t xml:space="preserve">r les résultats, adoptée par le </w:t>
      </w:r>
      <w:r w:rsidR="00BA114D">
        <w:t>sy</w:t>
      </w:r>
      <w:r w:rsidR="007E096F">
        <w:t>s</w:t>
      </w:r>
      <w:r w:rsidR="00BA114D">
        <w:t>tème des Nations Unies</w:t>
      </w:r>
      <w:r w:rsidR="007E096F">
        <w:t>. Enfin, dernier point mains non le moindre, le cadre global de résultats constituerait également une aide précieuse pour les États parties, le Secrétariat, les ONG, les communautés et autres parties prenantes lorsqu</w:t>
      </w:r>
      <w:r w:rsidR="00346F1B">
        <w:t>’</w:t>
      </w:r>
      <w:r w:rsidR="007E096F">
        <w:t>ils plaideraient en faveur de l</w:t>
      </w:r>
      <w:r w:rsidR="00346F1B">
        <w:t>’</w:t>
      </w:r>
      <w:r w:rsidR="007E096F">
        <w:t>affectation</w:t>
      </w:r>
      <w:r w:rsidR="00613028">
        <w:t xml:space="preserve"> de fonds à différents niveaux.</w:t>
      </w:r>
    </w:p>
    <w:p w14:paraId="6EE8D66A" w14:textId="1E5CF4BD" w:rsidR="007E096F" w:rsidRPr="007E096F" w:rsidRDefault="007E096F" w:rsidP="00613028">
      <w:pPr>
        <w:pStyle w:val="Orateurengris"/>
        <w:spacing w:before="120"/>
        <w:ind w:left="709" w:hanging="709"/>
      </w:pPr>
      <w:r w:rsidRPr="007E096F">
        <w:t xml:space="preserve">La délégation </w:t>
      </w:r>
      <w:r>
        <w:t xml:space="preserve">des </w:t>
      </w:r>
      <w:r w:rsidRPr="007E096F">
        <w:rPr>
          <w:b/>
        </w:rPr>
        <w:t>Philippines</w:t>
      </w:r>
      <w:r>
        <w:t xml:space="preserve"> appréciait le travail préliminaire réalisé et la généreuse proposition de la Chine d</w:t>
      </w:r>
      <w:r w:rsidR="00346F1B">
        <w:t>’</w:t>
      </w:r>
      <w:r>
        <w:t>accueillir un groupe de travail intergouvernemental afin de poursuivre les discussion</w:t>
      </w:r>
      <w:r w:rsidR="00443DC9">
        <w:t>s</w:t>
      </w:r>
      <w:r>
        <w:t xml:space="preserve"> sur un cadre global de résultats pour la Convention. Elle </w:t>
      </w:r>
      <w:r w:rsidR="00443DC9">
        <w:t>a souligné la complexité de la tâche et suggéré une approche progressive et inclusive. La Convention avait déjà connu de nombreuses procédures de rapports qui devaient encore être optimisées. La délégation souhaitait que la prudence soit de mise dans la création de nouveaux mécanismes et obligations, ajoutant qu</w:t>
      </w:r>
      <w:r w:rsidR="00346F1B">
        <w:t>’</w:t>
      </w:r>
      <w:r w:rsidR="00443DC9">
        <w:t>en matière de PCI, les résultats pouvaient être difficiles à quantifier, car il était important de ne pas décontextualiser des éléments vivants et dynamiques de leurs communautés. C</w:t>
      </w:r>
      <w:r w:rsidR="00346F1B">
        <w:t>’</w:t>
      </w:r>
      <w:r w:rsidR="00443DC9">
        <w:t>étaient les communautés elles-mêmes qui seraient finalement dans la meilleure position pour évaluer le suc</w:t>
      </w:r>
      <w:r w:rsidR="00613028">
        <w:t>cès de tels efforts collectifs.</w:t>
      </w:r>
    </w:p>
    <w:p w14:paraId="32161D19" w14:textId="16AB8464" w:rsidR="00443DC9" w:rsidRPr="00443DC9" w:rsidRDefault="00443DC9" w:rsidP="00613028">
      <w:pPr>
        <w:pStyle w:val="Orateurengris"/>
        <w:spacing w:before="120"/>
        <w:ind w:left="709" w:hanging="709"/>
      </w:pPr>
      <w:r w:rsidRPr="00443DC9">
        <w:t>La délégation</w:t>
      </w:r>
      <w:r>
        <w:t xml:space="preserve"> de la </w:t>
      </w:r>
      <w:r w:rsidRPr="00443DC9">
        <w:rPr>
          <w:b/>
        </w:rPr>
        <w:t>Colombie</w:t>
      </w:r>
      <w:r>
        <w:t xml:space="preserve"> a remercié la Chine de mettre à disposition un espace</w:t>
      </w:r>
      <w:r w:rsidR="00B618FB">
        <w:t xml:space="preserve"> et un budget qui permettent de</w:t>
      </w:r>
      <w:r>
        <w:t xml:space="preserve"> </w:t>
      </w:r>
      <w:r w:rsidR="00B618FB">
        <w:t>débattre de</w:t>
      </w:r>
      <w:r>
        <w:t xml:space="preserve"> l</w:t>
      </w:r>
      <w:r w:rsidR="00346F1B">
        <w:t>’</w:t>
      </w:r>
      <w:r>
        <w:t>une des composantes les plus importantes de la Convention</w:t>
      </w:r>
      <w:r w:rsidR="00B618FB">
        <w:t>,</w:t>
      </w:r>
      <w:r>
        <w:t xml:space="preserve"> afin que le PCI, </w:t>
      </w:r>
      <w:r w:rsidR="00613028">
        <w:t>au-delà</w:t>
      </w:r>
      <w:r>
        <w:t xml:space="preserve"> de la simple reconnaissance de ses manifestations, fasse partie des processus du développement durable. La délégation a évoqué trois domaines qu</w:t>
      </w:r>
      <w:r w:rsidR="00346F1B">
        <w:t>’</w:t>
      </w:r>
      <w:r>
        <w:t>elle aimerait voir traités plus particulièrement dans le cadre de résultats, bien qu</w:t>
      </w:r>
      <w:r w:rsidR="00346F1B">
        <w:t>’</w:t>
      </w:r>
      <w:r>
        <w:t xml:space="preserve">ils soient abordés en général dans les activités et </w:t>
      </w:r>
      <w:r w:rsidR="00B618FB">
        <w:t xml:space="preserve">leurs </w:t>
      </w:r>
      <w:r>
        <w:t>effets. L</w:t>
      </w:r>
      <w:r w:rsidR="00346F1B">
        <w:t>’</w:t>
      </w:r>
      <w:r>
        <w:t>un des domaines prioritaires serait la recherche endogène. La délégation estimait que la consolidation interne de ces communautés devrait également être une priorité. En effet, la délégation pensait que, bien que des efforts soient déployés pour renforcer les manifestations du PCI, un tel travail devrait commencer avec le renforcement des communautés elles-mêmes. Enfin, elle estimait également qu</w:t>
      </w:r>
      <w:r w:rsidR="00346F1B">
        <w:t>’</w:t>
      </w:r>
      <w:r>
        <w:t xml:space="preserve">il était très important de continuer à explorer les façons dont </w:t>
      </w:r>
      <w:r w:rsidR="00F9130D">
        <w:t>le PCI pourrait être intégré dans le développement durable. Il était en effet nécessaire de passer de la théorie à la pratique et de voir comme</w:t>
      </w:r>
      <w:r w:rsidR="00B618FB">
        <w:t xml:space="preserve">nt le </w:t>
      </w:r>
      <w:r w:rsidR="00F9130D">
        <w:t>PCI devenait une pratique dans des domaines plus spécifiques du dév</w:t>
      </w:r>
      <w:r w:rsidR="00613028">
        <w:t>eloppement durable.</w:t>
      </w:r>
    </w:p>
    <w:p w14:paraId="02A66BE9" w14:textId="0F06D24E" w:rsidR="00B618FB" w:rsidRPr="00B618FB" w:rsidRDefault="00B618FB" w:rsidP="00613028">
      <w:pPr>
        <w:pStyle w:val="Orateurengris"/>
        <w:spacing w:before="120"/>
        <w:ind w:left="709" w:hanging="709"/>
        <w:rPr>
          <w:b/>
        </w:rPr>
      </w:pPr>
      <w:r>
        <w:t>La délégation de l</w:t>
      </w:r>
      <w:r w:rsidR="00346F1B">
        <w:t>’</w:t>
      </w:r>
      <w:r w:rsidRPr="00B618FB">
        <w:rPr>
          <w:b/>
        </w:rPr>
        <w:t>Inde</w:t>
      </w:r>
      <w:r>
        <w:t xml:space="preserve"> a remercié le Secrétariat pour son rapport sur cette importante question, ajoutant son soutien de principe à l</w:t>
      </w:r>
      <w:r w:rsidR="00346F1B">
        <w:t>’</w:t>
      </w:r>
      <w:r>
        <w:t>élaboration d</w:t>
      </w:r>
      <w:r w:rsidR="00346F1B">
        <w:t>’</w:t>
      </w:r>
      <w:r>
        <w:t>un cadre global de résultats. Elle a remercié la Chine d</w:t>
      </w:r>
      <w:r w:rsidR="00346F1B">
        <w:t>’</w:t>
      </w:r>
      <w:r>
        <w:t xml:space="preserve">avoir accueilli la réunion initiale des experts qui avaient réalisé le travail préparatoire. En outre, le PCI concernant principalement les communautés, tout cadre de résultats </w:t>
      </w:r>
      <w:r w:rsidR="000F5F6C">
        <w:t>devrait concentrer son action sur la vérification du changement apporté par la Convention à la sauvegarde des éléments par les communautés concernées. Par ailleurs, il était important de reconnaître que la mise en œuvre de tout nouveau mécanisme de mesure des résultats au niveau national nécessiterait des efforts supplémentaires de renforcement des capacités pour de nombreux pays. Les pays disposaient de capacités fort diverses pour mesurer l</w:t>
      </w:r>
      <w:r w:rsidR="00346F1B">
        <w:t>’</w:t>
      </w:r>
      <w:r w:rsidR="000F5F6C">
        <w:t xml:space="preserve">efficacité des mesures de sauvegarde. La délégation </w:t>
      </w:r>
      <w:r w:rsidR="008D28E4">
        <w:t xml:space="preserve">se réjouissait </w:t>
      </w:r>
      <w:r w:rsidR="000F5F6C">
        <w:t>de participer aux réunions d</w:t>
      </w:r>
      <w:r w:rsidR="00613028">
        <w:t>u groupe de travail à ce sujet.</w:t>
      </w:r>
    </w:p>
    <w:p w14:paraId="065870CB" w14:textId="7A445CA4" w:rsidR="000F5F6C" w:rsidRPr="000F5F6C" w:rsidRDefault="000F5F6C" w:rsidP="00613028">
      <w:pPr>
        <w:pStyle w:val="Orateurengris"/>
        <w:spacing w:before="120"/>
        <w:ind w:left="709" w:hanging="709"/>
        <w:rPr>
          <w:b/>
        </w:rPr>
      </w:pPr>
      <w:r>
        <w:t>La délégation de l</w:t>
      </w:r>
      <w:r w:rsidR="00346F1B">
        <w:t>’</w:t>
      </w:r>
      <w:r w:rsidRPr="000F5F6C">
        <w:rPr>
          <w:b/>
        </w:rPr>
        <w:t>Autriche</w:t>
      </w:r>
      <w:r>
        <w:t xml:space="preserve"> a remercié la Chine d</w:t>
      </w:r>
      <w:r w:rsidR="00346F1B">
        <w:t>’</w:t>
      </w:r>
      <w:r>
        <w:t>avoir accueilli cette importante réunion sur l</w:t>
      </w:r>
      <w:r w:rsidR="00346F1B">
        <w:t>’</w:t>
      </w:r>
      <w:r>
        <w:t>élaboration d</w:t>
      </w:r>
      <w:r w:rsidR="00346F1B">
        <w:t>’</w:t>
      </w:r>
      <w:r>
        <w:t>un cadre global de résultats qui constituait un excellent point de départ pour ce processus inclusif qui permettrait de suivre la mise en</w:t>
      </w:r>
      <w:r w:rsidR="00C16857">
        <w:t xml:space="preserve"> œuvre de la Convention. Elle était consciente </w:t>
      </w:r>
      <w:r>
        <w:t>que le processus prendrait du temps, ajoutant que le processus était aussi important que le produit. Le but était d</w:t>
      </w:r>
      <w:r w:rsidR="00346F1B">
        <w:t>’</w:t>
      </w:r>
      <w:r>
        <w:t>élaborer une vision claire, crédible et basée sur des preuves, pour la future mise en œuvre de la Convention. On pourrait trouver</w:t>
      </w:r>
      <w:r w:rsidRPr="000F5F6C">
        <w:t xml:space="preserve"> </w:t>
      </w:r>
      <w:r>
        <w:t>dans la Convention et les documents associés, les éléments constituant cette vision commune tels que le concept de sauvegarde, la participation des communautés, l</w:t>
      </w:r>
      <w:r w:rsidR="00346F1B">
        <w:t>’</w:t>
      </w:r>
      <w:r>
        <w:t>appréciation et le respect mutuels ainsi que la coopération internationale. Comme souvent dans le secteur de la culture, définir des indicateurs serait une tâche ardue, tant au niveau national qu</w:t>
      </w:r>
      <w:r w:rsidR="00346F1B">
        <w:t>’</w:t>
      </w:r>
      <w:r>
        <w:t>international. Toutefois, la délégation avait le sentiment qu</w:t>
      </w:r>
      <w:r w:rsidR="00346F1B">
        <w:t>’</w:t>
      </w:r>
      <w:r>
        <w:t>il pourrait être très utile de s</w:t>
      </w:r>
      <w:r w:rsidR="00346F1B">
        <w:t>’</w:t>
      </w:r>
      <w:r>
        <w:t>intéresser à l</w:t>
      </w:r>
      <w:r w:rsidR="00346F1B">
        <w:t>’</w:t>
      </w:r>
      <w:r>
        <w:t>impact du PCI sur l</w:t>
      </w:r>
      <w:r w:rsidR="00346F1B">
        <w:t>’</w:t>
      </w:r>
      <w:r>
        <w:t>Agenda 2030, en utilisant des synergies avec ces indicateurs</w:t>
      </w:r>
      <w:r w:rsidR="008D28E4">
        <w:t>. Elle attendait avec impatience la prochaine étape du processus et remerciait la Chine d</w:t>
      </w:r>
      <w:r w:rsidR="00346F1B">
        <w:t>’</w:t>
      </w:r>
      <w:r w:rsidR="008D28E4">
        <w:t>accueillir un groupe de travail intergouverneme</w:t>
      </w:r>
      <w:r w:rsidR="00613028">
        <w:t>ntal à composition non limitée.</w:t>
      </w:r>
    </w:p>
    <w:p w14:paraId="354DBA28" w14:textId="0ACE8D5C" w:rsidR="008D28E4" w:rsidRPr="008D28E4" w:rsidRDefault="008D28E4" w:rsidP="00613028">
      <w:pPr>
        <w:pStyle w:val="Orateurengris"/>
        <w:spacing w:before="120"/>
        <w:ind w:left="709" w:hanging="709"/>
      </w:pPr>
      <w:r w:rsidRPr="008D28E4">
        <w:t>Consta</w:t>
      </w:r>
      <w:r>
        <w:t>tant qu</w:t>
      </w:r>
      <w:r w:rsidR="00346F1B">
        <w:t>’</w:t>
      </w:r>
      <w:r>
        <w:t xml:space="preserve">aucun autre membre du Comité ne souhaitait intervenir, le </w:t>
      </w:r>
      <w:r w:rsidRPr="008D28E4">
        <w:rPr>
          <w:b/>
        </w:rPr>
        <w:t>Président</w:t>
      </w:r>
      <w:r>
        <w:t xml:space="preserve"> a donné la parole aux observateurs.</w:t>
      </w:r>
    </w:p>
    <w:p w14:paraId="44FFB339" w14:textId="2707AFBC" w:rsidR="008D28E4" w:rsidRPr="008D28E4" w:rsidRDefault="008D28E4" w:rsidP="00613028">
      <w:pPr>
        <w:pStyle w:val="Orateurengris"/>
        <w:spacing w:before="120"/>
        <w:ind w:left="709" w:hanging="709"/>
        <w:rPr>
          <w:b/>
        </w:rPr>
      </w:pPr>
      <w:r>
        <w:t xml:space="preserve">La délégation de la </w:t>
      </w:r>
      <w:r w:rsidRPr="008D28E4">
        <w:rPr>
          <w:b/>
        </w:rPr>
        <w:t>Finlande</w:t>
      </w:r>
      <w:r>
        <w:t xml:space="preserve"> a remercié le Président, le Secrétariat</w:t>
      </w:r>
      <w:r w:rsidR="002B47D1">
        <w:t xml:space="preserve"> et le pays hôte, l</w:t>
      </w:r>
      <w:r w:rsidR="00346F1B">
        <w:t>’</w:t>
      </w:r>
      <w:r w:rsidR="002B47D1">
        <w:t>Éthiopie. Elle</w:t>
      </w:r>
      <w:r>
        <w:t xml:space="preserve"> a tout particulièrement exprimé ses remerciements pour l</w:t>
      </w:r>
      <w:r w:rsidR="00346F1B">
        <w:t>’</w:t>
      </w:r>
      <w:r>
        <w:t>initiative du cadre global de résultats. La délégation, qui avait participé à la réunion de Beijing, a remercié la Chine d</w:t>
      </w:r>
      <w:r w:rsidR="00346F1B">
        <w:t>’</w:t>
      </w:r>
      <w:r>
        <w:t>avoir accueilli cette réunion. Elle estimait que le cadre offrait un grand potentiel pour les États parties afin qu</w:t>
      </w:r>
      <w:r w:rsidR="00346F1B">
        <w:t>’</w:t>
      </w:r>
      <w:r>
        <w:t>ils développent leur travail autour de la Convention</w:t>
      </w:r>
      <w:r w:rsidR="00964D33">
        <w:t xml:space="preserve"> et </w:t>
      </w:r>
      <w:r w:rsidR="002B47D1">
        <w:t xml:space="preserve">de </w:t>
      </w:r>
      <w:r w:rsidR="00964D33">
        <w:t>la sauvegarde, et leurs actions en étroite collaboration avec les communautés. Le cadre pourrait être conçu comme un outil destiné à aider le tr</w:t>
      </w:r>
      <w:r w:rsidR="002B47D1">
        <w:t>avail aux niveaux international et</w:t>
      </w:r>
      <w:r w:rsidR="00964D33">
        <w:t xml:space="preserve"> national, voire dans des contextes locaux, et permettre de révéler des liens à un niveau plus large, dans le cadre du Programme mondial des Nations Unies pour le dialogue entre les civilisations. Les rapports annuels produits tous les six ans pourraient être utilisés afin de montrer les résultats obtenus dans les pays, mais cet outil permettrait de faire bien mieux, d</w:t>
      </w:r>
      <w:r w:rsidR="00346F1B">
        <w:t>’</w:t>
      </w:r>
      <w:r w:rsidR="00964D33">
        <w:t>aller plus au cœur de la Convention ; de ne pas seulement faire rapport à l</w:t>
      </w:r>
      <w:r w:rsidR="00346F1B">
        <w:t>’</w:t>
      </w:r>
      <w:r w:rsidR="00964D33">
        <w:t xml:space="preserve">UNESCO mais </w:t>
      </w:r>
      <w:r w:rsidR="002B47D1">
        <w:t>de répondre à l</w:t>
      </w:r>
      <w:r w:rsidR="00346F1B">
        <w:t>’</w:t>
      </w:r>
      <w:r w:rsidR="002B47D1">
        <w:t>esprit de la Convention, à ses obligations et à ses recommandations de façon mesurable. La délégation se réjouissait de l</w:t>
      </w:r>
      <w:r w:rsidR="00346F1B">
        <w:t>’</w:t>
      </w:r>
      <w:r w:rsidR="00613028">
        <w:t>élaboration de cet outil.</w:t>
      </w:r>
    </w:p>
    <w:p w14:paraId="43A851AB" w14:textId="6CF140BF" w:rsidR="002B47D1" w:rsidRPr="00D068AB" w:rsidRDefault="002B47D1" w:rsidP="00613028">
      <w:pPr>
        <w:pStyle w:val="Orateurengris"/>
        <w:spacing w:before="120"/>
        <w:ind w:left="709" w:hanging="709"/>
        <w:rPr>
          <w:b/>
        </w:rPr>
      </w:pPr>
      <w:r>
        <w:t xml:space="preserve">Venant juste de se joindre au débat, la délégation de </w:t>
      </w:r>
      <w:r w:rsidRPr="002B47D1">
        <w:rPr>
          <w:b/>
        </w:rPr>
        <w:t>Cuba</w:t>
      </w:r>
      <w:r>
        <w:t xml:space="preserve"> a remarqué </w:t>
      </w:r>
      <w:r w:rsidR="00115931">
        <w:t xml:space="preserve">que </w:t>
      </w:r>
      <w:r>
        <w:t>l</w:t>
      </w:r>
      <w:r w:rsidR="00346F1B">
        <w:t>’</w:t>
      </w:r>
      <w:r>
        <w:t>UNESCO était en train de préparer des indicateurs pou</w:t>
      </w:r>
      <w:r w:rsidR="00115931">
        <w:t xml:space="preserve">r pouvoir mesurer les résultats. Toutefois, </w:t>
      </w:r>
      <w:r>
        <w:t>il était également important de prendre en considération le fait que toutes les Conventions, tous les secteurs et tous les programmes n</w:t>
      </w:r>
      <w:r w:rsidR="00346F1B">
        <w:t>’</w:t>
      </w:r>
      <w:r>
        <w:t xml:space="preserve">étaient pas mesurables de la même façon. </w:t>
      </w:r>
      <w:r w:rsidR="00115931">
        <w:t>Il était, par exemple, très facile de débattre de l</w:t>
      </w:r>
      <w:r w:rsidR="00346F1B">
        <w:t>’</w:t>
      </w:r>
      <w:r w:rsidR="00115931">
        <w:t>éradication de l</w:t>
      </w:r>
      <w:r w:rsidR="00346F1B">
        <w:t>’</w:t>
      </w:r>
      <w:r w:rsidR="00115931">
        <w:t xml:space="preserve">illettrisme, mais dans le cas du PCI, des indicateurs plus flexibles – qualitatifs et pas </w:t>
      </w:r>
      <w:r w:rsidR="00D068AB">
        <w:t xml:space="preserve">uniquement </w:t>
      </w:r>
      <w:r w:rsidR="00115931">
        <w:t xml:space="preserve">quantitatifs – étaient nécessaires car leur mise en œuvre et leur application dans différentes régions offraient une certaine latitude et </w:t>
      </w:r>
      <w:r w:rsidR="00D068AB">
        <w:t xml:space="preserve">de la </w:t>
      </w:r>
      <w:r w:rsidR="00115931">
        <w:t>flexibilité. La délégation était consciente qu</w:t>
      </w:r>
      <w:r w:rsidR="00346F1B">
        <w:t>’</w:t>
      </w:r>
      <w:r w:rsidR="00115931">
        <w:t>il s</w:t>
      </w:r>
      <w:r w:rsidR="00346F1B">
        <w:t>’</w:t>
      </w:r>
      <w:r w:rsidR="00115931">
        <w:t>agissait d</w:t>
      </w:r>
      <w:r w:rsidR="00346F1B">
        <w:t>’</w:t>
      </w:r>
      <w:r w:rsidR="00115931">
        <w:t>un processus complexe, ajoutant que dans différents secteurs de l</w:t>
      </w:r>
      <w:r w:rsidR="00346F1B">
        <w:t>’</w:t>
      </w:r>
      <w:r w:rsidR="00115931">
        <w:t>UNESCO, il était b</w:t>
      </w:r>
      <w:r w:rsidR="00D068AB">
        <w:t>eaucoup plus facile de mesurer l</w:t>
      </w:r>
      <w:r w:rsidR="00115931">
        <w:t>es résultats escomptés, mais que dans des domaines tels que la culture, qui était plus immatérielle et qualitative, la tâche était beaucoup plus</w:t>
      </w:r>
      <w:r w:rsidR="00C16857">
        <w:t xml:space="preserve"> difficile</w:t>
      </w:r>
      <w:r w:rsidR="00115931">
        <w:t xml:space="preserve">. La délégation avait donc le sentiment que la Convention et le Comité devraient </w:t>
      </w:r>
      <w:r w:rsidR="00D068AB">
        <w:t xml:space="preserve">arguer du </w:t>
      </w:r>
      <w:r w:rsidR="00115931">
        <w:t xml:space="preserve">fait que ces indicateurs, en raison de la nature même de la Convention, étaient inévitablement différents. </w:t>
      </w:r>
      <w:r w:rsidR="00D068AB">
        <w:t>La délégation se joindrait donc à l</w:t>
      </w:r>
      <w:r w:rsidR="00346F1B">
        <w:t>’</w:t>
      </w:r>
      <w:r w:rsidR="00D068AB">
        <w:t>élaboration de ce processus avec une grande prudence, en particulier dans le contexte de crise financière au sein de l</w:t>
      </w:r>
      <w:r w:rsidR="00346F1B">
        <w:t>’</w:t>
      </w:r>
      <w:r w:rsidR="00613028">
        <w:t>UNESCO.</w:t>
      </w:r>
    </w:p>
    <w:p w14:paraId="1F3B1BE0" w14:textId="087CA42A" w:rsidR="00D068AB" w:rsidRPr="00D068AB" w:rsidRDefault="00D068AB" w:rsidP="00613028">
      <w:pPr>
        <w:pStyle w:val="Orateurengris"/>
        <w:spacing w:before="120"/>
        <w:ind w:left="709" w:hanging="709"/>
      </w:pPr>
      <w:r w:rsidRPr="00D068AB">
        <w:t>La délégation</w:t>
      </w:r>
      <w:r>
        <w:t xml:space="preserve"> du </w:t>
      </w:r>
      <w:r w:rsidRPr="006A6982">
        <w:rPr>
          <w:b/>
        </w:rPr>
        <w:t>Zimbabwe</w:t>
      </w:r>
      <w:r>
        <w:t xml:space="preserve"> a félicité le Président pour </w:t>
      </w:r>
      <w:r w:rsidR="006A6982">
        <w:t>son excellent travail, le Secrétariat pour son soutien et son assistance pendant la session, et l</w:t>
      </w:r>
      <w:r w:rsidR="00346F1B">
        <w:t>’</w:t>
      </w:r>
      <w:r w:rsidR="006A6982">
        <w:t>Éthiopie pour sa merveilleuse hospitalité, ajoutant qu</w:t>
      </w:r>
      <w:r w:rsidR="00346F1B">
        <w:t>’</w:t>
      </w:r>
      <w:r w:rsidR="006A6982">
        <w:t>elle se réjouissait d</w:t>
      </w:r>
      <w:r w:rsidR="00346F1B">
        <w:t>’</w:t>
      </w:r>
      <w:r w:rsidR="006A6982">
        <w:t>assister à la prochaine session en République de Corée en 2017. La délégation a salué l</w:t>
      </w:r>
      <w:r w:rsidR="00346F1B">
        <w:t>’</w:t>
      </w:r>
      <w:r w:rsidR="006A6982">
        <w:t>initiative d</w:t>
      </w:r>
      <w:r w:rsidR="00346F1B">
        <w:t>’</w:t>
      </w:r>
      <w:r w:rsidR="006A6982">
        <w:t>élaborer un cadre de résultats pour le PCI, ce qui constituait un progrès significatif dans la conception et la construction d</w:t>
      </w:r>
      <w:r w:rsidR="00346F1B">
        <w:t>’</w:t>
      </w:r>
      <w:r w:rsidR="006A6982">
        <w:t xml:space="preserve">une bonne stratégie avec des cibles durables pour le PCI. Elle était impatiente de voir comment les résultats pourraient aider le Zimbabwe à bâtir ses propres processus en interne. </w:t>
      </w:r>
      <w:r w:rsidR="00A5145B">
        <w:t>À cet égard, elle a remercié la Chine d</w:t>
      </w:r>
      <w:r w:rsidR="00346F1B">
        <w:t>’</w:t>
      </w:r>
      <w:r w:rsidR="00A5145B">
        <w:t>avoir proposé d</w:t>
      </w:r>
      <w:r w:rsidR="00346F1B">
        <w:t>’</w:t>
      </w:r>
      <w:r w:rsidR="00A5145B">
        <w:t>accueillir la prochaine session de la réunion sur le cadre de résultats en juin 2017, et elle était impatiente d</w:t>
      </w:r>
      <w:r w:rsidR="00346F1B">
        <w:t>’</w:t>
      </w:r>
      <w:r w:rsidR="00613028">
        <w:t>en connaître les conclusions.</w:t>
      </w:r>
    </w:p>
    <w:p w14:paraId="06EF04CB" w14:textId="4CCE1250" w:rsidR="00A5145B" w:rsidRPr="00A5145B" w:rsidRDefault="00A5145B" w:rsidP="00613028">
      <w:pPr>
        <w:pStyle w:val="Orateurengris"/>
        <w:spacing w:before="120"/>
        <w:ind w:left="709" w:hanging="709"/>
        <w:rPr>
          <w:b/>
        </w:rPr>
      </w:pPr>
      <w:r w:rsidRPr="00A5145B">
        <w:t xml:space="preserve">Le </w:t>
      </w:r>
      <w:r w:rsidRPr="00A5145B">
        <w:rPr>
          <w:b/>
        </w:rPr>
        <w:t>représentant du Forum des ONG du PCI</w:t>
      </w:r>
      <w:r w:rsidR="00A45537">
        <w:t xml:space="preserve"> a salué l</w:t>
      </w:r>
      <w:r w:rsidR="00346F1B">
        <w:t>’</w:t>
      </w:r>
      <w:r>
        <w:t>élaboration d</w:t>
      </w:r>
      <w:r w:rsidR="00346F1B">
        <w:t>’</w:t>
      </w:r>
      <w:r>
        <w:t>un cadre global de résultats pour la Convention, réitérant la nécessité de mesure</w:t>
      </w:r>
      <w:r w:rsidR="00A45537">
        <w:t>r</w:t>
      </w:r>
      <w:r>
        <w:t xml:space="preserve"> le succès ou l</w:t>
      </w:r>
      <w:r w:rsidR="00346F1B">
        <w:t>’</w:t>
      </w:r>
      <w:r>
        <w:t>impact des actions mises en place au nom de la sauvegarde du PCI. L</w:t>
      </w:r>
      <w:r w:rsidR="00346F1B">
        <w:t>’</w:t>
      </w:r>
      <w:r>
        <w:t xml:space="preserve">étude des mesures, méthodologies et indicateurs pertinents était au cœur du changement incité par la sauvegarde durable. </w:t>
      </w:r>
      <w:r w:rsidR="00A45537">
        <w:t xml:space="preserve">Cette initiative </w:t>
      </w:r>
      <w:r>
        <w:t>représentait également une opportunité de jouir d</w:t>
      </w:r>
      <w:r w:rsidR="00346F1B">
        <w:t>’</w:t>
      </w:r>
      <w:r>
        <w:t>une plus grande responsabilité au sein de la Convention. Certaines ONG du Forum participaient déjà à des évaluations d</w:t>
      </w:r>
      <w:r w:rsidR="00346F1B">
        <w:t>’</w:t>
      </w:r>
      <w:r>
        <w:t xml:space="preserve">impact aux niveaux national et local, souvent réalisées à la demande des communautés et groupes eux-mêmes. Le Forum et les ONG concernées souhaitaient </w:t>
      </w:r>
      <w:r w:rsidR="00A45537">
        <w:t xml:space="preserve">prendre </w:t>
      </w:r>
      <w:r>
        <w:t xml:space="preserve">activement </w:t>
      </w:r>
      <w:r w:rsidR="00A45537">
        <w:t xml:space="preserve">part </w:t>
      </w:r>
      <w:r>
        <w:t xml:space="preserve">à tout futur groupe de travail </w:t>
      </w:r>
      <w:r w:rsidR="00A45537">
        <w:t>consacré à l</w:t>
      </w:r>
      <w:r w:rsidR="00346F1B">
        <w:t>’</w:t>
      </w:r>
      <w:r w:rsidR="00A45537">
        <w:t>élaboratio</w:t>
      </w:r>
      <w:r w:rsidR="00613028">
        <w:t>n du cadre global de résultats.</w:t>
      </w:r>
    </w:p>
    <w:p w14:paraId="65380AEC" w14:textId="0567E90E" w:rsidR="00A45537" w:rsidRPr="00A45537" w:rsidRDefault="00A45537" w:rsidP="00613028">
      <w:pPr>
        <w:pStyle w:val="Orateurengris"/>
        <w:spacing w:before="120"/>
        <w:ind w:left="709" w:hanging="709"/>
        <w:rPr>
          <w:b/>
        </w:rPr>
      </w:pPr>
      <w:r>
        <w:t xml:space="preserve">Le </w:t>
      </w:r>
      <w:r w:rsidRPr="00A45537">
        <w:rPr>
          <w:b/>
        </w:rPr>
        <w:t>Président</w:t>
      </w:r>
      <w:r>
        <w:t xml:space="preserve"> a remercié les délégués pour leurs interventions, et a procédé à l</w:t>
      </w:r>
      <w:r w:rsidR="00346F1B">
        <w:t>’</w:t>
      </w:r>
      <w:r>
        <w:t>adoption du projet de décision paragraphe par paragraphe. En l</w:t>
      </w:r>
      <w:r w:rsidR="00346F1B">
        <w:t>’</w:t>
      </w:r>
      <w:r>
        <w:t>absence d</w:t>
      </w:r>
      <w:r w:rsidR="00346F1B">
        <w:t>’</w:t>
      </w:r>
      <w:r>
        <w:t>objections ou de commentaires aux paragraphes 1 à 6, ceux-ci ont été dûment adoptés. Il a été signalé que la Turquie avait proposé un nouveau p</w:t>
      </w:r>
      <w:r w:rsidR="00613028">
        <w:t>aragraphe 7.</w:t>
      </w:r>
    </w:p>
    <w:p w14:paraId="09D18DC2" w14:textId="6E42F489" w:rsidR="00A45537" w:rsidRPr="00A45537" w:rsidRDefault="00A45537" w:rsidP="00613028">
      <w:pPr>
        <w:pStyle w:val="Orateurengris"/>
        <w:spacing w:before="120"/>
        <w:ind w:left="709" w:hanging="709"/>
        <w:rPr>
          <w:b/>
        </w:rPr>
      </w:pPr>
      <w:r>
        <w:t xml:space="preserve">La délégation de la </w:t>
      </w:r>
      <w:r w:rsidRPr="00A45537">
        <w:rPr>
          <w:b/>
        </w:rPr>
        <w:t>Turquie</w:t>
      </w:r>
      <w:r>
        <w:t xml:space="preserve"> a expliqué qu</w:t>
      </w:r>
      <w:r w:rsidR="00346F1B">
        <w:t>’</w:t>
      </w:r>
      <w:r>
        <w:t>à l</w:t>
      </w:r>
      <w:r w:rsidR="00346F1B">
        <w:t>’</w:t>
      </w:r>
      <w:r>
        <w:t>origine, l</w:t>
      </w:r>
      <w:r w:rsidR="00346F1B">
        <w:t>’</w:t>
      </w:r>
      <w:r>
        <w:t>idée était que cela aiderait le développement durable mais l</w:t>
      </w:r>
      <w:r w:rsidR="00346F1B">
        <w:t>’</w:t>
      </w:r>
      <w:r>
        <w:t xml:space="preserve">amendement avait été jugé inapproprié à cette décision </w:t>
      </w:r>
      <w:r w:rsidR="00613028">
        <w:t>et avait été finalement retiré.</w:t>
      </w:r>
    </w:p>
    <w:p w14:paraId="6F424A57" w14:textId="78FDF0CB" w:rsidR="00A45537" w:rsidRPr="00A45537" w:rsidRDefault="00A45537" w:rsidP="00613028">
      <w:pPr>
        <w:pStyle w:val="Orateurengris"/>
        <w:spacing w:before="120"/>
        <w:ind w:left="709" w:hanging="709"/>
        <w:rPr>
          <w:b/>
        </w:rPr>
      </w:pPr>
      <w:r>
        <w:t xml:space="preserve">Le </w:t>
      </w:r>
      <w:r w:rsidRPr="00A45537">
        <w:rPr>
          <w:b/>
        </w:rPr>
        <w:t>Président</w:t>
      </w:r>
      <w:r>
        <w:t xml:space="preserve"> est ensuite passé au paragraphe 7, avec un amendement mineur de la Turquie. Le paragraphe a été adopté tel qu</w:t>
      </w:r>
      <w:r w:rsidR="00346F1B">
        <w:t>’</w:t>
      </w:r>
      <w:r>
        <w:t>amendé. Le Président a fait remarquer que le Fonds du PCI n</w:t>
      </w:r>
      <w:r w:rsidR="00346F1B">
        <w:t>’</w:t>
      </w:r>
      <w:r>
        <w:t>avait pas encore reçu la contribution nécessaire à l</w:t>
      </w:r>
      <w:r w:rsidR="00346F1B">
        <w:t>’</w:t>
      </w:r>
      <w:r>
        <w:t xml:space="preserve">organisation du groupe de travail intergouvernemental à composition non limitée </w:t>
      </w:r>
      <w:r w:rsidR="00412ECB">
        <w:t>que le Comité appelait de ses vœux. Il a suggéré un amendement qui refléterait l</w:t>
      </w:r>
      <w:r w:rsidR="00346F1B">
        <w:t>’</w:t>
      </w:r>
      <w:r w:rsidR="00412ECB">
        <w:t>engagement du ministère de la Culture chinois. En l</w:t>
      </w:r>
      <w:r w:rsidR="00346F1B">
        <w:t>’</w:t>
      </w:r>
      <w:r w:rsidR="00412ECB">
        <w:t>absence d</w:t>
      </w:r>
      <w:r w:rsidR="00346F1B">
        <w:t>’</w:t>
      </w:r>
      <w:r w:rsidR="00412ECB">
        <w:t>objections, le paragraphe 8 a été adopté tel qu</w:t>
      </w:r>
      <w:r w:rsidR="00346F1B">
        <w:t>’</w:t>
      </w:r>
      <w:r w:rsidR="00412ECB">
        <w:t>amendé. Le paragraphe 9 a également été adopté. Passant à la décision dans son ensemble, et en l</w:t>
      </w:r>
      <w:r w:rsidR="00346F1B">
        <w:t>’</w:t>
      </w:r>
      <w:r w:rsidR="00412ECB">
        <w:t>absence d</w:t>
      </w:r>
      <w:r w:rsidR="00346F1B">
        <w:t>’</w:t>
      </w:r>
      <w:r w:rsidR="00412ECB">
        <w:t xml:space="preserve">objections, le </w:t>
      </w:r>
      <w:r w:rsidR="00412ECB" w:rsidRPr="00412ECB">
        <w:rPr>
          <w:b/>
        </w:rPr>
        <w:t>Président a déclaré la décision 11.COM 14 adoptée</w:t>
      </w:r>
      <w:r w:rsidR="00613028">
        <w:t>.</w:t>
      </w:r>
    </w:p>
    <w:p w14:paraId="772AC2A4" w14:textId="73B2BEE2" w:rsidR="00412ECB" w:rsidRPr="00412ECB" w:rsidRDefault="00412ECB" w:rsidP="00613028">
      <w:pPr>
        <w:pStyle w:val="Orateurengris"/>
        <w:spacing w:before="120"/>
        <w:ind w:left="709" w:hanging="709"/>
      </w:pPr>
      <w:r w:rsidRPr="00412ECB">
        <w:t>La délégation</w:t>
      </w:r>
      <w:r>
        <w:t xml:space="preserve"> de la </w:t>
      </w:r>
      <w:r w:rsidRPr="00412ECB">
        <w:rPr>
          <w:b/>
        </w:rPr>
        <w:t>Chine</w:t>
      </w:r>
      <w:r>
        <w:t xml:space="preserve"> a accueilli avec joie la décision adoptée sur le cadre global de résultats pour la Convention. Elle partageait le sentiment que le cadre global était d</w:t>
      </w:r>
      <w:r w:rsidR="00346F1B">
        <w:t>’</w:t>
      </w:r>
      <w:r>
        <w:t>une grande importance pour la mise en œuvre de la Convention, en particulier s</w:t>
      </w:r>
      <w:r w:rsidR="00346F1B">
        <w:t>’</w:t>
      </w:r>
      <w:r>
        <w:t>agissant de son intégration dans l</w:t>
      </w:r>
      <w:r w:rsidR="00346F1B">
        <w:t>’</w:t>
      </w:r>
      <w:r>
        <w:t>Agenda 2030 pour le développement durable. Ceci expliquait l</w:t>
      </w:r>
      <w:r w:rsidR="00346F1B">
        <w:t>’</w:t>
      </w:r>
      <w:r>
        <w:t>invitation of</w:t>
      </w:r>
      <w:r w:rsidR="00270E85">
        <w:t xml:space="preserve">ficielle lancée par la Chine pour accueillir le </w:t>
      </w:r>
      <w:r>
        <w:t>groupe de travail intergouvernemental à composition non limitée en juin 2017, auquel tous les délégués étaient</w:t>
      </w:r>
      <w:r w:rsidR="00270E85">
        <w:t xml:space="preserve"> conviés</w:t>
      </w:r>
      <w:r>
        <w:t xml:space="preserve">. La réunion se déroulerait en même temps que </w:t>
      </w:r>
      <w:r w:rsidR="00270E85">
        <w:t xml:space="preserve">le </w:t>
      </w:r>
      <w:r>
        <w:t>sixième Fe</w:t>
      </w:r>
      <w:r w:rsidR="00613028">
        <w:t>stival du PCI à Chengdu, Chine.</w:t>
      </w:r>
    </w:p>
    <w:p w14:paraId="63662BFE" w14:textId="7E770440" w:rsidR="00270E85" w:rsidRPr="00270E85" w:rsidRDefault="00270E85" w:rsidP="00613028">
      <w:pPr>
        <w:pStyle w:val="Orateurengris"/>
        <w:spacing w:before="120"/>
        <w:ind w:left="709" w:hanging="709"/>
        <w:rPr>
          <w:b/>
        </w:rPr>
      </w:pPr>
      <w:r w:rsidRPr="00270E85">
        <w:t>Le</w:t>
      </w:r>
      <w:r>
        <w:rPr>
          <w:b/>
        </w:rPr>
        <w:t xml:space="preserve"> Président </w:t>
      </w:r>
      <w:r>
        <w:t>a remercié la Chine pour son aimable invitation, et a invité le Secrétaire à présenter le procha</w:t>
      </w:r>
      <w:r w:rsidR="00084E3C">
        <w:t>in point de l</w:t>
      </w:r>
      <w:r w:rsidR="00346F1B">
        <w:t>’</w:t>
      </w:r>
      <w:r w:rsidR="00613028">
        <w:t>ordre du jour.</w:t>
      </w:r>
    </w:p>
    <w:p w14:paraId="517D3643" w14:textId="2EF7BD3D" w:rsidR="00AA5246" w:rsidRPr="00084E3C" w:rsidRDefault="00084E3C" w:rsidP="00613028">
      <w:pPr>
        <w:pStyle w:val="Orateurengris"/>
        <w:numPr>
          <w:ilvl w:val="0"/>
          <w:numId w:val="0"/>
        </w:numPr>
        <w:spacing w:before="360" w:after="60"/>
        <w:outlineLvl w:val="0"/>
        <w:rPr>
          <w:rFonts w:eastAsia="Cambria"/>
          <w:b/>
          <w:u w:val="single"/>
        </w:rPr>
      </w:pPr>
      <w:bookmarkStart w:id="68" w:name="Item15"/>
      <w:r>
        <w:rPr>
          <w:b/>
          <w:u w:val="single"/>
        </w:rPr>
        <w:t>POINT 14 DE L</w:t>
      </w:r>
      <w:r w:rsidR="00346F1B">
        <w:rPr>
          <w:b/>
          <w:u w:val="single"/>
        </w:rPr>
        <w:t>’</w:t>
      </w:r>
      <w:r w:rsidRPr="00084E3C">
        <w:rPr>
          <w:b/>
          <w:u w:val="single"/>
        </w:rPr>
        <w:t>ORDRE DU JOUR</w:t>
      </w:r>
    </w:p>
    <w:bookmarkEnd w:id="68"/>
    <w:p w14:paraId="11582EA2" w14:textId="7BD98A10" w:rsidR="00AA5246" w:rsidRPr="00084E3C" w:rsidRDefault="00084E3C" w:rsidP="00613028">
      <w:pPr>
        <w:pStyle w:val="Orateurengris"/>
        <w:numPr>
          <w:ilvl w:val="0"/>
          <w:numId w:val="0"/>
        </w:numPr>
        <w:outlineLvl w:val="0"/>
        <w:rPr>
          <w:rFonts w:eastAsiaTheme="minorEastAsia"/>
          <w:b/>
          <w:color w:val="323133"/>
          <w:lang w:eastAsia="ja-JP"/>
        </w:rPr>
      </w:pPr>
      <w:r>
        <w:rPr>
          <w:rFonts w:eastAsiaTheme="minorEastAsia"/>
          <w:b/>
          <w:color w:val="323133"/>
          <w:lang w:eastAsia="ja-JP"/>
        </w:rPr>
        <w:t>LE PATRIMOINE CULTUREL IMMATÉRIEL DANS LES SITUATIONS D</w:t>
      </w:r>
      <w:r w:rsidR="00346F1B">
        <w:rPr>
          <w:rFonts w:eastAsiaTheme="minorEastAsia"/>
          <w:b/>
          <w:color w:val="323133"/>
          <w:lang w:eastAsia="ja-JP"/>
        </w:rPr>
        <w:t>’</w:t>
      </w:r>
      <w:r>
        <w:rPr>
          <w:rFonts w:eastAsiaTheme="minorEastAsia"/>
          <w:b/>
          <w:color w:val="323133"/>
          <w:lang w:eastAsia="ja-JP"/>
        </w:rPr>
        <w:t>URGENCE</w:t>
      </w:r>
    </w:p>
    <w:p w14:paraId="1B69D5AF" w14:textId="575384F2" w:rsidR="00DB49E6" w:rsidRPr="00084E3C" w:rsidRDefault="00AA5246" w:rsidP="00866492">
      <w:pPr>
        <w:pStyle w:val="Orateurengris"/>
        <w:numPr>
          <w:ilvl w:val="0"/>
          <w:numId w:val="0"/>
        </w:numPr>
        <w:spacing w:after="0"/>
        <w:rPr>
          <w:rStyle w:val="Hyperlink"/>
          <w:i/>
        </w:rPr>
      </w:pPr>
      <w:r w:rsidRPr="00084E3C">
        <w:rPr>
          <w:b/>
        </w:rPr>
        <w:tab/>
        <w:t>Document</w:t>
      </w:r>
      <w:r w:rsidRPr="00084E3C">
        <w:rPr>
          <w:b/>
        </w:rPr>
        <w:tab/>
      </w:r>
      <w:hyperlink r:id="rId52" w:history="1">
        <w:r w:rsidRPr="00084E3C">
          <w:rPr>
            <w:rStyle w:val="Hyperlink"/>
            <w:i/>
          </w:rPr>
          <w:t>ITH/16/11.COM/15</w:t>
        </w:r>
      </w:hyperlink>
    </w:p>
    <w:p w14:paraId="00D4024D" w14:textId="4421FA98" w:rsidR="00A33065" w:rsidRPr="00B32DE7" w:rsidRDefault="00084E3C" w:rsidP="00613028">
      <w:pPr>
        <w:pStyle w:val="Orateurengris"/>
        <w:spacing w:before="120"/>
        <w:ind w:left="709" w:hanging="709"/>
        <w:rPr>
          <w:color w:val="000000"/>
        </w:rPr>
      </w:pPr>
      <w:r w:rsidRPr="00A33065">
        <w:rPr>
          <w:color w:val="000000"/>
        </w:rPr>
        <w:t>Le Secrétaire a expliqué que l</w:t>
      </w:r>
      <w:r w:rsidR="00346F1B">
        <w:rPr>
          <w:color w:val="000000"/>
        </w:rPr>
        <w:t>’</w:t>
      </w:r>
      <w:r w:rsidRPr="00A33065">
        <w:rPr>
          <w:color w:val="000000"/>
        </w:rPr>
        <w:t xml:space="preserve">objectif de ce point </w:t>
      </w:r>
      <w:r w:rsidR="00B32DE7">
        <w:rPr>
          <w:color w:val="000000"/>
        </w:rPr>
        <w:t>de l</w:t>
      </w:r>
      <w:r w:rsidR="00346F1B">
        <w:rPr>
          <w:color w:val="000000"/>
        </w:rPr>
        <w:t>’</w:t>
      </w:r>
      <w:r w:rsidR="00B32DE7" w:rsidRPr="00B32DE7">
        <w:rPr>
          <w:color w:val="000000"/>
        </w:rPr>
        <w:t>ordre du jour</w:t>
      </w:r>
      <w:r w:rsidR="00B32DE7">
        <w:rPr>
          <w:color w:val="000000"/>
        </w:rPr>
        <w:t xml:space="preserve"> </w:t>
      </w:r>
      <w:r w:rsidRPr="00B32DE7">
        <w:rPr>
          <w:color w:val="000000"/>
        </w:rPr>
        <w:t xml:space="preserve">était que le Comité engage une réflexion générale sur le rôle de la Convention en réponse aux </w:t>
      </w:r>
      <w:r w:rsidR="00B32DE7">
        <w:rPr>
          <w:color w:val="000000"/>
        </w:rPr>
        <w:t>« situations d</w:t>
      </w:r>
      <w:r w:rsidR="00346F1B">
        <w:rPr>
          <w:color w:val="000000"/>
        </w:rPr>
        <w:t>’</w:t>
      </w:r>
      <w:r w:rsidR="00B32DE7">
        <w:rPr>
          <w:color w:val="000000"/>
        </w:rPr>
        <w:t>urgence », un terme qui</w:t>
      </w:r>
      <w:r w:rsidRPr="00B32DE7">
        <w:rPr>
          <w:color w:val="000000"/>
        </w:rPr>
        <w:t xml:space="preserve"> englobait les conflits et les catastrophes naturelles. Ce point </w:t>
      </w:r>
      <w:r w:rsidR="0072343D" w:rsidRPr="00B32DE7">
        <w:rPr>
          <w:color w:val="000000"/>
        </w:rPr>
        <w:t>révélait toute sa pertinence dans le</w:t>
      </w:r>
      <w:r w:rsidRPr="00B32DE7">
        <w:rPr>
          <w:color w:val="000000"/>
        </w:rPr>
        <w:t xml:space="preserve"> contexte international des dernières années </w:t>
      </w:r>
      <w:r w:rsidR="0072343D" w:rsidRPr="00B32DE7">
        <w:rPr>
          <w:color w:val="000000"/>
        </w:rPr>
        <w:t>où l</w:t>
      </w:r>
      <w:r w:rsidR="00346F1B">
        <w:rPr>
          <w:color w:val="000000"/>
        </w:rPr>
        <w:t>’</w:t>
      </w:r>
      <w:r w:rsidR="0072343D" w:rsidRPr="00B32DE7">
        <w:rPr>
          <w:color w:val="000000"/>
        </w:rPr>
        <w:t>on avait malheureusement pu constater une augmentation du nombre de conflit</w:t>
      </w:r>
      <w:r w:rsidR="00B32DE7">
        <w:rPr>
          <w:color w:val="000000"/>
        </w:rPr>
        <w:t>s et de catastrophes naturelles</w:t>
      </w:r>
      <w:r w:rsidR="0072343D" w:rsidRPr="00B32DE7">
        <w:rPr>
          <w:color w:val="000000"/>
        </w:rPr>
        <w:t xml:space="preserve"> qui avaient endommagé le patrimoine culturel dans son ensemble et le PCI en particulier. Le Secrétaire a rappelé que lors de l</w:t>
      </w:r>
      <w:r w:rsidR="00346F1B">
        <w:rPr>
          <w:color w:val="000000"/>
        </w:rPr>
        <w:t>’</w:t>
      </w:r>
      <w:r w:rsidR="0072343D" w:rsidRPr="00B32DE7">
        <w:rPr>
          <w:color w:val="000000"/>
        </w:rPr>
        <w:t>Assemblée générale de juin 2016, la Grèc</w:t>
      </w:r>
      <w:r w:rsidR="00405A82">
        <w:rPr>
          <w:color w:val="000000"/>
        </w:rPr>
        <w:t>e avait lancé un appel afin que</w:t>
      </w:r>
      <w:r w:rsidR="0072343D" w:rsidRPr="00B32DE7">
        <w:rPr>
          <w:color w:val="000000"/>
        </w:rPr>
        <w:t xml:space="preserve"> l</w:t>
      </w:r>
      <w:r w:rsidR="00346F1B">
        <w:rPr>
          <w:color w:val="000000"/>
        </w:rPr>
        <w:t>’</w:t>
      </w:r>
      <w:r w:rsidR="0072343D" w:rsidRPr="00B32DE7">
        <w:rPr>
          <w:color w:val="000000"/>
        </w:rPr>
        <w:t>on délibère sur la valeur du PCI en cas de conflits armés et sur son rôle pour la réconciliation. Cet appel avait été lancé dans le cadre de l</w:t>
      </w:r>
      <w:r w:rsidR="00346F1B">
        <w:rPr>
          <w:color w:val="000000"/>
        </w:rPr>
        <w:t>’</w:t>
      </w:r>
      <w:r w:rsidR="0072343D" w:rsidRPr="00B32DE7">
        <w:rPr>
          <w:color w:val="000000"/>
        </w:rPr>
        <w:t>examen du nouveau chapitre des Directives opérationnelles sur le développement durable, qui faisait référence à plusieurs reprises aux situations d</w:t>
      </w:r>
      <w:r w:rsidR="00346F1B">
        <w:rPr>
          <w:color w:val="000000"/>
        </w:rPr>
        <w:t>’</w:t>
      </w:r>
      <w:r w:rsidR="0072343D" w:rsidRPr="00B32DE7">
        <w:rPr>
          <w:color w:val="000000"/>
        </w:rPr>
        <w:t xml:space="preserve">urgence (cf. </w:t>
      </w:r>
      <w:hyperlink r:id="rId53" w:history="1">
        <w:r w:rsidR="0072343D" w:rsidRPr="00A33065">
          <w:rPr>
            <w:rStyle w:val="Hyperlink"/>
          </w:rPr>
          <w:t>document de travail 15</w:t>
        </w:r>
      </w:hyperlink>
      <w:r w:rsidR="0072343D" w:rsidRPr="00B32DE7">
        <w:rPr>
          <w:rStyle w:val="Hyperlink"/>
          <w:color w:val="auto"/>
          <w:u w:val="none"/>
        </w:rPr>
        <w:t>)</w:t>
      </w:r>
      <w:r w:rsidR="00A33065" w:rsidRPr="00B32DE7">
        <w:rPr>
          <w:rStyle w:val="Hyperlink"/>
          <w:color w:val="auto"/>
          <w:u w:val="none"/>
        </w:rPr>
        <w:t>. En fait, le Comité avait déjà abordé la question de l</w:t>
      </w:r>
      <w:r w:rsidR="00346F1B">
        <w:rPr>
          <w:rStyle w:val="Hyperlink"/>
          <w:color w:val="auto"/>
          <w:u w:val="none"/>
        </w:rPr>
        <w:t>’</w:t>
      </w:r>
      <w:r w:rsidR="00A33065" w:rsidRPr="00B32DE7">
        <w:rPr>
          <w:rStyle w:val="Hyperlink"/>
          <w:color w:val="auto"/>
          <w:u w:val="none"/>
        </w:rPr>
        <w:t>urgence dans d</w:t>
      </w:r>
      <w:r w:rsidR="00346F1B">
        <w:rPr>
          <w:rStyle w:val="Hyperlink"/>
          <w:color w:val="auto"/>
          <w:u w:val="none"/>
        </w:rPr>
        <w:t>’</w:t>
      </w:r>
      <w:r w:rsidR="00A33065" w:rsidRPr="00B32DE7">
        <w:rPr>
          <w:rStyle w:val="Hyperlink"/>
          <w:color w:val="auto"/>
          <w:u w:val="none"/>
        </w:rPr>
        <w:t xml:space="preserve">autres débats et affiné le cadre normatif à ce sujet. Par exemple : i) </w:t>
      </w:r>
      <w:r w:rsidR="00B32DE7">
        <w:rPr>
          <w:rStyle w:val="Hyperlink"/>
          <w:color w:val="auto"/>
          <w:u w:val="none"/>
        </w:rPr>
        <w:t xml:space="preserve">par </w:t>
      </w:r>
      <w:r w:rsidR="00A33065" w:rsidRPr="00B32DE7">
        <w:rPr>
          <w:rStyle w:val="Hyperlink"/>
          <w:color w:val="auto"/>
          <w:u w:val="none"/>
        </w:rPr>
        <w:t>la définition du terme d</w:t>
      </w:r>
      <w:r w:rsidR="00346F1B">
        <w:rPr>
          <w:rStyle w:val="Hyperlink"/>
          <w:color w:val="auto"/>
          <w:u w:val="none"/>
        </w:rPr>
        <w:t>’</w:t>
      </w:r>
      <w:r w:rsidR="00A33065" w:rsidRPr="00B32DE7">
        <w:rPr>
          <w:rStyle w:val="Hyperlink"/>
          <w:color w:val="auto"/>
          <w:u w:val="none"/>
        </w:rPr>
        <w:t xml:space="preserve"> « urgence » dans le contexte du mécanisme d</w:t>
      </w:r>
      <w:r w:rsidR="00346F1B">
        <w:rPr>
          <w:rStyle w:val="Hyperlink"/>
          <w:color w:val="auto"/>
          <w:u w:val="none"/>
        </w:rPr>
        <w:t>’</w:t>
      </w:r>
      <w:r w:rsidR="00A33065" w:rsidRPr="00B32DE7">
        <w:rPr>
          <w:rStyle w:val="Hyperlink"/>
          <w:color w:val="auto"/>
          <w:u w:val="none"/>
        </w:rPr>
        <w:t>assistance internationale, qui avait jusqu</w:t>
      </w:r>
      <w:r w:rsidR="00346F1B">
        <w:rPr>
          <w:rStyle w:val="Hyperlink"/>
          <w:color w:val="auto"/>
          <w:u w:val="none"/>
        </w:rPr>
        <w:t>’</w:t>
      </w:r>
      <w:r w:rsidR="00A33065" w:rsidRPr="00B32DE7">
        <w:rPr>
          <w:rStyle w:val="Hyperlink"/>
          <w:color w:val="auto"/>
          <w:u w:val="none"/>
        </w:rPr>
        <w:t>alors déjà été utilisé trois fois ; ii) pour les critères d</w:t>
      </w:r>
      <w:r w:rsidR="00346F1B">
        <w:rPr>
          <w:rStyle w:val="Hyperlink"/>
          <w:color w:val="auto"/>
          <w:u w:val="none"/>
        </w:rPr>
        <w:t>’</w:t>
      </w:r>
      <w:r w:rsidR="00A33065" w:rsidRPr="00B32DE7">
        <w:rPr>
          <w:rStyle w:val="Hyperlink"/>
          <w:color w:val="auto"/>
          <w:u w:val="none"/>
        </w:rPr>
        <w:t>extrême urgence au titre de la Liste de sauvegarde urgente, qui restait à activer ; et iii) plus récemment, dans le nouveau chapitre sur le développement durable. En parallèle, l</w:t>
      </w:r>
      <w:r w:rsidR="00346F1B">
        <w:rPr>
          <w:rStyle w:val="Hyperlink"/>
          <w:color w:val="auto"/>
          <w:u w:val="none"/>
        </w:rPr>
        <w:t>’</w:t>
      </w:r>
      <w:r w:rsidR="00A33065" w:rsidRPr="00B32DE7">
        <w:rPr>
          <w:rStyle w:val="Hyperlink"/>
          <w:color w:val="auto"/>
          <w:u w:val="none"/>
        </w:rPr>
        <w:t>UNESCO avait été de plus en plus sollicitée pour faire partie de la réponse d</w:t>
      </w:r>
      <w:r w:rsidR="00346F1B">
        <w:rPr>
          <w:rStyle w:val="Hyperlink"/>
          <w:color w:val="auto"/>
          <w:u w:val="none"/>
        </w:rPr>
        <w:t>’</w:t>
      </w:r>
      <w:r w:rsidR="00A33065" w:rsidRPr="00B32DE7">
        <w:rPr>
          <w:rStyle w:val="Hyperlink"/>
          <w:color w:val="auto"/>
          <w:u w:val="none"/>
        </w:rPr>
        <w:t xml:space="preserve">urgence sur le terrain et avait pris des décisions pour faciliter cette tâche. </w:t>
      </w:r>
      <w:r w:rsidR="00B32DE7">
        <w:rPr>
          <w:rStyle w:val="Hyperlink"/>
          <w:color w:val="auto"/>
          <w:u w:val="none"/>
        </w:rPr>
        <w:t>En</w:t>
      </w:r>
      <w:r w:rsidR="00A33065" w:rsidRPr="00B32DE7">
        <w:rPr>
          <w:rStyle w:val="Hyperlink"/>
          <w:color w:val="auto"/>
          <w:u w:val="none"/>
        </w:rPr>
        <w:t xml:space="preserve"> particulier, </w:t>
      </w:r>
      <w:r w:rsidR="00B32DE7">
        <w:rPr>
          <w:rStyle w:val="Hyperlink"/>
          <w:color w:val="auto"/>
          <w:u w:val="none"/>
        </w:rPr>
        <w:t>s</w:t>
      </w:r>
      <w:r w:rsidR="00346F1B">
        <w:rPr>
          <w:rStyle w:val="Hyperlink"/>
          <w:color w:val="auto"/>
          <w:u w:val="none"/>
        </w:rPr>
        <w:t>’</w:t>
      </w:r>
      <w:r w:rsidR="00B32DE7">
        <w:rPr>
          <w:rStyle w:val="Hyperlink"/>
          <w:color w:val="auto"/>
          <w:u w:val="none"/>
        </w:rPr>
        <w:t xml:space="preserve">agissant des </w:t>
      </w:r>
      <w:r w:rsidR="00A33065" w:rsidRPr="00B32DE7">
        <w:rPr>
          <w:rStyle w:val="Hyperlink"/>
          <w:color w:val="auto"/>
          <w:u w:val="none"/>
        </w:rPr>
        <w:t>conflits, à sa 38</w:t>
      </w:r>
      <w:r w:rsidR="00A33065" w:rsidRPr="00B32DE7">
        <w:rPr>
          <w:rStyle w:val="Hyperlink"/>
          <w:color w:val="auto"/>
          <w:u w:val="none"/>
          <w:vertAlign w:val="superscript"/>
        </w:rPr>
        <w:t>e</w:t>
      </w:r>
      <w:r w:rsidR="00A33065" w:rsidRPr="00B32DE7">
        <w:rPr>
          <w:rStyle w:val="Hyperlink"/>
          <w:color w:val="auto"/>
          <w:u w:val="none"/>
        </w:rPr>
        <w:t xml:space="preserve"> session en Novembre 2015, la Conférence générale </w:t>
      </w:r>
      <w:r w:rsidR="00A75C80" w:rsidRPr="00B32DE7">
        <w:rPr>
          <w:rStyle w:val="Hyperlink"/>
          <w:color w:val="auto"/>
          <w:u w:val="none"/>
        </w:rPr>
        <w:t>de l</w:t>
      </w:r>
      <w:r w:rsidR="00346F1B">
        <w:rPr>
          <w:rStyle w:val="Hyperlink"/>
          <w:color w:val="auto"/>
          <w:u w:val="none"/>
        </w:rPr>
        <w:t>’</w:t>
      </w:r>
      <w:r w:rsidR="00A75C80" w:rsidRPr="00B32DE7">
        <w:rPr>
          <w:rStyle w:val="Hyperlink"/>
          <w:color w:val="auto"/>
          <w:u w:val="none"/>
        </w:rPr>
        <w:t>UNESCO avait adopté la « Stratégie de renforcement de l</w:t>
      </w:r>
      <w:r w:rsidR="00346F1B">
        <w:rPr>
          <w:rStyle w:val="Hyperlink"/>
          <w:color w:val="auto"/>
          <w:u w:val="none"/>
        </w:rPr>
        <w:t>’</w:t>
      </w:r>
      <w:r w:rsidR="00A75C80" w:rsidRPr="00B32DE7">
        <w:rPr>
          <w:rStyle w:val="Hyperlink"/>
          <w:color w:val="auto"/>
          <w:u w:val="none"/>
        </w:rPr>
        <w:t>action de l</w:t>
      </w:r>
      <w:r w:rsidR="00346F1B">
        <w:rPr>
          <w:rStyle w:val="Hyperlink"/>
          <w:color w:val="auto"/>
          <w:u w:val="none"/>
        </w:rPr>
        <w:t>’</w:t>
      </w:r>
      <w:r w:rsidR="00A75C80" w:rsidRPr="00B32DE7">
        <w:rPr>
          <w:rStyle w:val="Hyperlink"/>
          <w:color w:val="auto"/>
          <w:u w:val="none"/>
        </w:rPr>
        <w:t>UNESCO pour la protection de la culture et la promotion du pluralisme culturel en cas de conflit armé »</w:t>
      </w:r>
      <w:r w:rsidR="00A75C80">
        <w:rPr>
          <w:rStyle w:val="FootnoteReference"/>
        </w:rPr>
        <w:footnoteReference w:id="9"/>
      </w:r>
      <w:r w:rsidR="00A75C80" w:rsidRPr="00B32DE7">
        <w:rPr>
          <w:rStyle w:val="Hyperlink"/>
          <w:color w:val="auto"/>
          <w:u w:val="none"/>
        </w:rPr>
        <w:t>. Dans ce contexte, la section du PCI était de plus en plus sollicitée pour contribuer au titre de la Convention de 2003 et proposer des actions opérationnelles. Toutefois, bien que des dispositions normatives légitimant de telles actions existent, il n</w:t>
      </w:r>
      <w:r w:rsidR="00346F1B">
        <w:rPr>
          <w:rStyle w:val="Hyperlink"/>
          <w:color w:val="auto"/>
          <w:u w:val="none"/>
        </w:rPr>
        <w:t>’</w:t>
      </w:r>
      <w:r w:rsidR="00A75C80" w:rsidRPr="00B32DE7">
        <w:rPr>
          <w:rStyle w:val="Hyperlink"/>
          <w:color w:val="auto"/>
          <w:u w:val="none"/>
        </w:rPr>
        <w:t>était ni facile ni simple d</w:t>
      </w:r>
      <w:r w:rsidR="00346F1B">
        <w:rPr>
          <w:rStyle w:val="Hyperlink"/>
          <w:color w:val="auto"/>
          <w:u w:val="none"/>
        </w:rPr>
        <w:t>’</w:t>
      </w:r>
      <w:r w:rsidR="00A75C80" w:rsidRPr="00B32DE7">
        <w:rPr>
          <w:rStyle w:val="Hyperlink"/>
          <w:color w:val="auto"/>
          <w:u w:val="none"/>
        </w:rPr>
        <w:t>aller plus avant</w:t>
      </w:r>
      <w:r w:rsidR="00B32DE7">
        <w:rPr>
          <w:rStyle w:val="Hyperlink"/>
          <w:color w:val="auto"/>
          <w:u w:val="none"/>
        </w:rPr>
        <w:t xml:space="preserve"> car</w:t>
      </w:r>
      <w:r w:rsidR="00A75C80" w:rsidRPr="00B32DE7">
        <w:rPr>
          <w:rStyle w:val="Hyperlink"/>
          <w:color w:val="auto"/>
          <w:u w:val="none"/>
        </w:rPr>
        <w:t xml:space="preserve"> le PCI concernait des communautés et des individus. Le temps était donc venu pour le Comité de consacrer tout un débat au rôle du PCI dans les situations d</w:t>
      </w:r>
      <w:r w:rsidR="00346F1B">
        <w:rPr>
          <w:rStyle w:val="Hyperlink"/>
          <w:color w:val="auto"/>
          <w:u w:val="none"/>
        </w:rPr>
        <w:t>’</w:t>
      </w:r>
      <w:r w:rsidR="00A75C80" w:rsidRPr="00B32DE7">
        <w:rPr>
          <w:rStyle w:val="Hyperlink"/>
          <w:color w:val="auto"/>
          <w:u w:val="none"/>
        </w:rPr>
        <w:t>urgence</w:t>
      </w:r>
      <w:r w:rsidR="0039742F" w:rsidRPr="00B32DE7">
        <w:rPr>
          <w:rStyle w:val="Hyperlink"/>
          <w:color w:val="auto"/>
          <w:u w:val="none"/>
        </w:rPr>
        <w:t>, mais également</w:t>
      </w:r>
      <w:r w:rsidR="00B32DE7">
        <w:rPr>
          <w:rStyle w:val="Hyperlink"/>
          <w:color w:val="auto"/>
          <w:u w:val="none"/>
        </w:rPr>
        <w:t xml:space="preserve">, </w:t>
      </w:r>
      <w:r w:rsidR="0039742F" w:rsidRPr="00B32DE7">
        <w:rPr>
          <w:rStyle w:val="Hyperlink"/>
          <w:color w:val="auto"/>
          <w:u w:val="none"/>
        </w:rPr>
        <w:t>et plus particulièrement, au rôle de la Convention dans de telles situations. Le Secrétaire</w:t>
      </w:r>
      <w:r w:rsidR="00B32DE7">
        <w:rPr>
          <w:rStyle w:val="Hyperlink"/>
          <w:color w:val="auto"/>
          <w:u w:val="none"/>
        </w:rPr>
        <w:t xml:space="preserve"> souhaitait</w:t>
      </w:r>
      <w:r w:rsidR="0039742F" w:rsidRPr="00B32DE7">
        <w:rPr>
          <w:rStyle w:val="Hyperlink"/>
          <w:color w:val="auto"/>
          <w:u w:val="none"/>
        </w:rPr>
        <w:t xml:space="preserve"> souligner que le document présentait </w:t>
      </w:r>
      <w:r w:rsidR="00B32DE7">
        <w:rPr>
          <w:rStyle w:val="Hyperlink"/>
          <w:color w:val="auto"/>
          <w:u w:val="none"/>
        </w:rPr>
        <w:t xml:space="preserve">des </w:t>
      </w:r>
      <w:r w:rsidR="0039742F" w:rsidRPr="00B32DE7">
        <w:rPr>
          <w:rStyle w:val="Hyperlink"/>
          <w:color w:val="auto"/>
          <w:u w:val="none"/>
        </w:rPr>
        <w:t xml:space="preserve">considérations préliminaires pour </w:t>
      </w:r>
      <w:r w:rsidR="00B32DE7">
        <w:rPr>
          <w:rStyle w:val="Hyperlink"/>
          <w:color w:val="auto"/>
          <w:u w:val="none"/>
        </w:rPr>
        <w:t xml:space="preserve">alimenter </w:t>
      </w:r>
      <w:r w:rsidR="0039742F" w:rsidRPr="00B32DE7">
        <w:rPr>
          <w:rStyle w:val="Hyperlink"/>
          <w:color w:val="auto"/>
          <w:u w:val="none"/>
        </w:rPr>
        <w:t>le débat sur l</w:t>
      </w:r>
      <w:r w:rsidR="00346F1B">
        <w:rPr>
          <w:rStyle w:val="Hyperlink"/>
          <w:color w:val="auto"/>
          <w:u w:val="none"/>
        </w:rPr>
        <w:t>’</w:t>
      </w:r>
      <w:r w:rsidR="0039742F" w:rsidRPr="00B32DE7">
        <w:rPr>
          <w:rStyle w:val="Hyperlink"/>
          <w:color w:val="auto"/>
          <w:u w:val="none"/>
        </w:rPr>
        <w:t>approche double du PCI</w:t>
      </w:r>
      <w:r w:rsidR="00B32DE7">
        <w:rPr>
          <w:rStyle w:val="Hyperlink"/>
          <w:color w:val="auto"/>
          <w:u w:val="none"/>
        </w:rPr>
        <w:t>, à savoir, l</w:t>
      </w:r>
      <w:r w:rsidR="00346F1B">
        <w:rPr>
          <w:rStyle w:val="Hyperlink"/>
          <w:color w:val="auto"/>
          <w:u w:val="none"/>
        </w:rPr>
        <w:t>’</w:t>
      </w:r>
      <w:r w:rsidR="00B32DE7">
        <w:rPr>
          <w:rStyle w:val="Hyperlink"/>
          <w:color w:val="auto"/>
          <w:u w:val="none"/>
        </w:rPr>
        <w:t>accès aux communautés et le</w:t>
      </w:r>
      <w:r w:rsidR="0039742F" w:rsidRPr="00B32DE7">
        <w:rPr>
          <w:rStyle w:val="Hyperlink"/>
          <w:color w:val="auto"/>
          <w:u w:val="none"/>
        </w:rPr>
        <w:t xml:space="preserve"> rôle</w:t>
      </w:r>
      <w:r w:rsidR="00B32DE7">
        <w:rPr>
          <w:rStyle w:val="Hyperlink"/>
          <w:color w:val="auto"/>
          <w:u w:val="none"/>
        </w:rPr>
        <w:t xml:space="preserve"> de celles-ci</w:t>
      </w:r>
      <w:r w:rsidR="0039742F" w:rsidRPr="00B32DE7">
        <w:rPr>
          <w:rStyle w:val="Hyperlink"/>
          <w:color w:val="auto"/>
          <w:u w:val="none"/>
        </w:rPr>
        <w:t>, et la question des personnes déplacées. Toutefois, il ne prétendait en aucune mesure être exhaustif</w:t>
      </w:r>
      <w:r w:rsidR="00B32DE7" w:rsidRPr="00B32DE7">
        <w:rPr>
          <w:rStyle w:val="Hyperlink"/>
          <w:color w:val="auto"/>
          <w:u w:val="none"/>
        </w:rPr>
        <w:t xml:space="preserve">. Le projet de décision demandait principalement au Secrétariat </w:t>
      </w:r>
      <w:r w:rsidR="00B32DE7">
        <w:rPr>
          <w:rStyle w:val="Hyperlink"/>
          <w:color w:val="auto"/>
          <w:u w:val="none"/>
        </w:rPr>
        <w:t xml:space="preserve">de </w:t>
      </w:r>
      <w:r w:rsidR="00B32DE7" w:rsidRPr="00B32DE7">
        <w:rPr>
          <w:rStyle w:val="Hyperlink"/>
          <w:color w:val="auto"/>
          <w:u w:val="none"/>
        </w:rPr>
        <w:t>continuer à rassembler des connaissances et d</w:t>
      </w:r>
      <w:r w:rsidR="00346F1B">
        <w:rPr>
          <w:rStyle w:val="Hyperlink"/>
          <w:color w:val="auto"/>
          <w:u w:val="none"/>
        </w:rPr>
        <w:t>’</w:t>
      </w:r>
      <w:r w:rsidR="00B32DE7" w:rsidRPr="00B32DE7">
        <w:rPr>
          <w:rStyle w:val="Hyperlink"/>
          <w:color w:val="auto"/>
          <w:u w:val="none"/>
        </w:rPr>
        <w:t>acquérir de l</w:t>
      </w:r>
      <w:r w:rsidR="00346F1B">
        <w:rPr>
          <w:rStyle w:val="Hyperlink"/>
          <w:color w:val="auto"/>
          <w:u w:val="none"/>
        </w:rPr>
        <w:t>’</w:t>
      </w:r>
      <w:r w:rsidR="00B32DE7" w:rsidRPr="00B32DE7">
        <w:rPr>
          <w:rStyle w:val="Hyperlink"/>
          <w:color w:val="auto"/>
          <w:u w:val="none"/>
        </w:rPr>
        <w:t>expérience sur ce sujet</w:t>
      </w:r>
      <w:r w:rsidR="00B32DE7">
        <w:rPr>
          <w:rStyle w:val="Hyperlink"/>
          <w:color w:val="auto"/>
          <w:u w:val="none"/>
        </w:rPr>
        <w:t>, et</w:t>
      </w:r>
      <w:r w:rsidR="00B32DE7" w:rsidRPr="00B32DE7">
        <w:rPr>
          <w:rStyle w:val="Hyperlink"/>
          <w:color w:val="auto"/>
          <w:u w:val="none"/>
        </w:rPr>
        <w:t xml:space="preserve"> proposait de poursuivre la discussion lors de sa prochaine session en 2017 dans le but d</w:t>
      </w:r>
      <w:r w:rsidR="00346F1B">
        <w:rPr>
          <w:rStyle w:val="Hyperlink"/>
          <w:color w:val="auto"/>
          <w:u w:val="none"/>
        </w:rPr>
        <w:t>’</w:t>
      </w:r>
      <w:r w:rsidR="00B32DE7" w:rsidRPr="00B32DE7">
        <w:rPr>
          <w:rStyle w:val="Hyperlink"/>
          <w:color w:val="auto"/>
          <w:u w:val="none"/>
        </w:rPr>
        <w:t>explorer davantage les modalités opérationnelles pour la mise en œuvre de la Convention dans le</w:t>
      </w:r>
      <w:r w:rsidR="00B32DE7">
        <w:rPr>
          <w:rStyle w:val="Hyperlink"/>
          <w:color w:val="auto"/>
          <w:u w:val="none"/>
        </w:rPr>
        <w:t>s</w:t>
      </w:r>
      <w:r w:rsidR="00B32DE7" w:rsidRPr="00B32DE7">
        <w:rPr>
          <w:rStyle w:val="Hyperlink"/>
          <w:color w:val="auto"/>
          <w:u w:val="none"/>
        </w:rPr>
        <w:t xml:space="preserve"> situations d</w:t>
      </w:r>
      <w:r w:rsidR="00346F1B">
        <w:rPr>
          <w:rStyle w:val="Hyperlink"/>
          <w:color w:val="auto"/>
          <w:u w:val="none"/>
        </w:rPr>
        <w:t>’</w:t>
      </w:r>
      <w:r w:rsidR="00613028">
        <w:rPr>
          <w:rStyle w:val="Hyperlink"/>
          <w:color w:val="auto"/>
          <w:u w:val="none"/>
        </w:rPr>
        <w:t>urgence.</w:t>
      </w:r>
    </w:p>
    <w:p w14:paraId="671F3B11" w14:textId="34BDFBC2" w:rsidR="00B32DE7" w:rsidRDefault="00B32DE7" w:rsidP="00613028">
      <w:pPr>
        <w:pStyle w:val="Orateurengris"/>
        <w:spacing w:before="120"/>
        <w:ind w:left="709" w:hanging="709"/>
      </w:pPr>
      <w:r>
        <w:t xml:space="preserve">Le </w:t>
      </w:r>
      <w:r w:rsidRPr="00B32DE7">
        <w:rPr>
          <w:b/>
        </w:rPr>
        <w:t>Président</w:t>
      </w:r>
      <w:r>
        <w:t xml:space="preserve"> a</w:t>
      </w:r>
      <w:r w:rsidR="00613028">
        <w:t xml:space="preserve"> ouvert le débat.</w:t>
      </w:r>
    </w:p>
    <w:p w14:paraId="3D06CAC5" w14:textId="22A9A60A" w:rsidR="00D41C68" w:rsidRPr="00D41C68" w:rsidRDefault="00B32DE7" w:rsidP="00613028">
      <w:pPr>
        <w:pStyle w:val="Orateurengris"/>
        <w:spacing w:before="120"/>
        <w:ind w:left="709" w:hanging="709"/>
        <w:rPr>
          <w:color w:val="000000"/>
        </w:rPr>
      </w:pPr>
      <w:r>
        <w:t>En</w:t>
      </w:r>
      <w:r w:rsidR="00D41C68">
        <w:t xml:space="preserve"> tant que pays souvent victime</w:t>
      </w:r>
      <w:r>
        <w:t xml:space="preserve"> de catastrophes naturelles, la délégation des </w:t>
      </w:r>
      <w:r w:rsidRPr="00B32DE7">
        <w:rPr>
          <w:b/>
        </w:rPr>
        <w:t>Philippines</w:t>
      </w:r>
      <w:r>
        <w:t xml:space="preserve"> saluait l</w:t>
      </w:r>
      <w:r w:rsidR="00346F1B">
        <w:t>’</w:t>
      </w:r>
      <w:r>
        <w:t>inclusion de cette</w:t>
      </w:r>
      <w:r w:rsidR="00D41C68">
        <w:t xml:space="preserve"> thématique à l</w:t>
      </w:r>
      <w:r w:rsidR="00346F1B">
        <w:t>’</w:t>
      </w:r>
      <w:r w:rsidR="00D41C68">
        <w:t xml:space="preserve">ordre du jour. </w:t>
      </w:r>
      <w:r>
        <w:t>L</w:t>
      </w:r>
      <w:r w:rsidR="00346F1B">
        <w:t>’</w:t>
      </w:r>
      <w:r>
        <w:t xml:space="preserve">instabilité croissante dans le monde due aux conflits plaçait le PCI dans une situation de plus en plus difficile. </w:t>
      </w:r>
      <w:r w:rsidR="001B4B66">
        <w:t xml:space="preserve">Toutefois, elle avait </w:t>
      </w:r>
      <w:r w:rsidR="00D41C68">
        <w:t>pu remarquer</w:t>
      </w:r>
      <w:r w:rsidR="001B4B66">
        <w:t xml:space="preserve"> que, dans les situations de conflit armé ou les catastrophes naturelles, l</w:t>
      </w:r>
      <w:r w:rsidR="00346F1B">
        <w:t>’</w:t>
      </w:r>
      <w:r w:rsidR="001B4B66">
        <w:t>attention se portait principalement sur le patrimoine matériel. À cet égard, il serait important de prendre en considération le PCI dans le plan d</w:t>
      </w:r>
      <w:r w:rsidR="00346F1B">
        <w:t>’</w:t>
      </w:r>
      <w:r w:rsidR="001B4B66">
        <w:t>action de l</w:t>
      </w:r>
      <w:r w:rsidR="00346F1B">
        <w:t>’</w:t>
      </w:r>
      <w:r w:rsidR="001B4B66">
        <w:t xml:space="preserve">UNESCO dont </w:t>
      </w:r>
      <w:r w:rsidR="00D41C68">
        <w:t xml:space="preserve">le </w:t>
      </w:r>
      <w:r w:rsidR="001B4B66">
        <w:t>Conseil exécutif était en train de débattre. L</w:t>
      </w:r>
      <w:r w:rsidR="00346F1B">
        <w:t>’</w:t>
      </w:r>
      <w:r w:rsidR="001B4B66">
        <w:t>identification du PCI potentiellement menacé dans les situations d</w:t>
      </w:r>
      <w:r w:rsidR="00346F1B">
        <w:t>’</w:t>
      </w:r>
      <w:r w:rsidR="001B4B66">
        <w:t xml:space="preserve">urgence pourrait constituer une étape initiale nécessaire pour faire avancer la question de façon concrète. Certains </w:t>
      </w:r>
      <w:r w:rsidR="00D41C68">
        <w:t>types d</w:t>
      </w:r>
      <w:r w:rsidR="00346F1B">
        <w:t>’</w:t>
      </w:r>
      <w:r w:rsidR="001B4B66">
        <w:t>exercices de cartographie pourraient être envisagés en consultation avec les États parties, en particulier ceux disposant d</w:t>
      </w:r>
      <w:r w:rsidR="00346F1B">
        <w:t>’</w:t>
      </w:r>
      <w:r w:rsidR="001B4B66">
        <w:t>une expérience des situations d</w:t>
      </w:r>
      <w:r w:rsidR="00346F1B">
        <w:t>’</w:t>
      </w:r>
      <w:r w:rsidR="001B4B66">
        <w:t>urgence. La mise à disposition de l</w:t>
      </w:r>
      <w:r w:rsidR="00346F1B">
        <w:t>’</w:t>
      </w:r>
      <w:r w:rsidR="001B4B66">
        <w:t>assistance internationale et du renforcement des capacités devait être une priorité lorsque le PCI se trouvait dans un</w:t>
      </w:r>
      <w:r w:rsidR="00D41C68">
        <w:t>e situation d</w:t>
      </w:r>
      <w:r w:rsidR="00346F1B">
        <w:t>’</w:t>
      </w:r>
      <w:r w:rsidR="00D41C68">
        <w:t>urgence. U</w:t>
      </w:r>
      <w:r w:rsidR="001B4B66">
        <w:t xml:space="preserve">ne partie du Fonds du PCI pourrait </w:t>
      </w:r>
      <w:r w:rsidR="00D41C68">
        <w:t>être exclusivement destinée à la sauvegarde du patrimoine culturel immatériel en situation d</w:t>
      </w:r>
      <w:r w:rsidR="00346F1B">
        <w:t>’</w:t>
      </w:r>
      <w:r w:rsidR="00D41C68">
        <w:t>urgence. Des projets pilotes pourraient être soumis à l</w:t>
      </w:r>
      <w:r w:rsidR="00346F1B">
        <w:t>’</w:t>
      </w:r>
      <w:r w:rsidR="00D41C68">
        <w:t>examen du Comité et de l</w:t>
      </w:r>
      <w:r w:rsidR="00346F1B">
        <w:t>’</w:t>
      </w:r>
      <w:r w:rsidR="00D41C68">
        <w:t>Assemblée générale. Le Comité serait toutefois peut-être appelé à distinguer le soutien en situation de crise du soutien post-conflit et post-urgence. La délégation s</w:t>
      </w:r>
      <w:r w:rsidR="00346F1B">
        <w:t>’</w:t>
      </w:r>
      <w:r w:rsidR="00D41C68">
        <w:t>est dite impatiente d</w:t>
      </w:r>
      <w:r w:rsidR="00346F1B">
        <w:t>’</w:t>
      </w:r>
      <w:r w:rsidR="00D41C68">
        <w:t xml:space="preserve">approfondir la compréhension du sujet et de développer les activités autour </w:t>
      </w:r>
      <w:r w:rsidR="00613028">
        <w:t>de cette importante thématique.</w:t>
      </w:r>
    </w:p>
    <w:p w14:paraId="224DA7BC" w14:textId="5F023903" w:rsidR="00034112" w:rsidRPr="00034112" w:rsidRDefault="00EC1D30" w:rsidP="00613028">
      <w:pPr>
        <w:pStyle w:val="Orateurengris"/>
        <w:spacing w:before="120"/>
        <w:ind w:left="709" w:hanging="709"/>
      </w:pPr>
      <w:r>
        <w:t xml:space="preserve">La délégation de la </w:t>
      </w:r>
      <w:r w:rsidRPr="00EC1D30">
        <w:rPr>
          <w:b/>
        </w:rPr>
        <w:t>Palestine</w:t>
      </w:r>
      <w:r>
        <w:t xml:space="preserve"> a remercié les Philippines de son intervention, qui avait en partie répondu à ses préoccupations. Elle a remercié le Secrétariat pour le document et le projet de décision. Elle </w:t>
      </w:r>
      <w:r w:rsidR="009E73B3">
        <w:t xml:space="preserve">estimait que </w:t>
      </w:r>
      <w:r>
        <w:t xml:space="preserve">le sujet </w:t>
      </w:r>
      <w:r w:rsidR="009E73B3">
        <w:t xml:space="preserve">était </w:t>
      </w:r>
      <w:r>
        <w:t xml:space="preserve">très important, quoique compliqué, et </w:t>
      </w:r>
      <w:r w:rsidR="009E73B3">
        <w:t>qu</w:t>
      </w:r>
      <w:r w:rsidR="00346F1B">
        <w:t>’</w:t>
      </w:r>
      <w:r w:rsidR="009E73B3">
        <w:t>il méritai</w:t>
      </w:r>
      <w:r>
        <w:t xml:space="preserve">t </w:t>
      </w:r>
      <w:r w:rsidR="009E73B3">
        <w:t>qu</w:t>
      </w:r>
      <w:r w:rsidR="00346F1B">
        <w:t>’</w:t>
      </w:r>
      <w:r w:rsidR="009E73B3">
        <w:t xml:space="preserve">on lui accorde </w:t>
      </w:r>
      <w:r>
        <w:t xml:space="preserve">une plus grande attention. </w:t>
      </w:r>
      <w:r w:rsidR="009E73B3">
        <w:t>Les situations d</w:t>
      </w:r>
      <w:r w:rsidR="00346F1B">
        <w:t>’</w:t>
      </w:r>
      <w:r w:rsidR="009E73B3">
        <w:t>urgence couvraient un très grand nombre de situations, mais pour la délégation et sa région, elles concernaient surtout les conflits armés et les attaques terroristes. À cet égard, elle souhaitait remercier le Secrétariat pour sa volonté de poursuivre la réflexion sur ce sujet afin de pouvoir proposer des mesures concrètes à l</w:t>
      </w:r>
      <w:r w:rsidR="00346F1B">
        <w:t>’</w:t>
      </w:r>
      <w:r w:rsidR="009E73B3">
        <w:t xml:space="preserve">avenir. La délégation jugeait le projet de décision très </w:t>
      </w:r>
      <w:r w:rsidR="003427EF">
        <w:t>adapté, nécessitant peut-être un amendement mineur. Elle a ajouté qu</w:t>
      </w:r>
      <w:r w:rsidR="00346F1B">
        <w:t>’</w:t>
      </w:r>
      <w:r w:rsidR="003427EF">
        <w:t>elle espérait que l</w:t>
      </w:r>
      <w:r w:rsidR="00346F1B">
        <w:t>’</w:t>
      </w:r>
      <w:r w:rsidR="003427EF">
        <w:t>Organe d</w:t>
      </w:r>
      <w:r w:rsidR="00346F1B">
        <w:t>’</w:t>
      </w:r>
      <w:r w:rsidR="003427EF">
        <w:t>évaluation était encore présent, ainsi elle pourrait remercier ses membres et leur demander de prendre parfois en cons</w:t>
      </w:r>
      <w:r w:rsidR="00613028">
        <w:t>idération ces cas particuliers.</w:t>
      </w:r>
    </w:p>
    <w:p w14:paraId="2A759E2D" w14:textId="4611B0AB" w:rsidR="003427EF" w:rsidRDefault="003427EF" w:rsidP="00613028">
      <w:pPr>
        <w:pStyle w:val="Orateurengris"/>
        <w:spacing w:before="120"/>
        <w:ind w:left="709" w:hanging="709"/>
      </w:pPr>
      <w:r>
        <w:t>Compte tenu des conflits armés, des catastrophes naturelles et des questions de migration que le monde connaissait alors, la délégation de l</w:t>
      </w:r>
      <w:r w:rsidR="00346F1B">
        <w:t>’</w:t>
      </w:r>
      <w:r w:rsidRPr="00E56924">
        <w:rPr>
          <w:b/>
        </w:rPr>
        <w:t>Inde</w:t>
      </w:r>
      <w:r>
        <w:t xml:space="preserve"> a dit accueillir avec satisfaction les débats sur cette importante question. Elle estimait que le mécanisme d</w:t>
      </w:r>
      <w:r w:rsidR="00346F1B">
        <w:t>’</w:t>
      </w:r>
      <w:r>
        <w:t>assistance internationale prévu par cette Con</w:t>
      </w:r>
      <w:r w:rsidR="00E56924">
        <w:t>vention était important pour aider</w:t>
      </w:r>
      <w:r>
        <w:t xml:space="preserve"> les États membres à renforcer leurs capacités afin de sauvegarde</w:t>
      </w:r>
      <w:r w:rsidR="00E56924">
        <w:t>r</w:t>
      </w:r>
      <w:r>
        <w:t xml:space="preserve"> leur PCI. Elle prenait note de la présentation du Secrétaire sur la stratégie de ren</w:t>
      </w:r>
      <w:r w:rsidR="00E56924">
        <w:t xml:space="preserve">forcement </w:t>
      </w:r>
      <w:r>
        <w:t>du plan d</w:t>
      </w:r>
      <w:r w:rsidR="00346F1B">
        <w:t>’</w:t>
      </w:r>
      <w:r>
        <w:t>action de l</w:t>
      </w:r>
      <w:r w:rsidR="00346F1B">
        <w:t>’</w:t>
      </w:r>
      <w:r>
        <w:t>UNESCO pour l</w:t>
      </w:r>
      <w:r w:rsidR="00E56924">
        <w:t>a protection de la culture et la</w:t>
      </w:r>
      <w:r>
        <w:t xml:space="preserve"> promotion du pluralisme culturel</w:t>
      </w:r>
      <w:r w:rsidR="00E56924">
        <w:t xml:space="preserve"> en cas de conflit armé, et du débat à propos de cette stratégie et de ce plan d</w:t>
      </w:r>
      <w:r w:rsidR="00346F1B">
        <w:t>’</w:t>
      </w:r>
      <w:r w:rsidR="00E56924">
        <w:t>action organisé au niveau du Conseil exécutif. La délégation souscrivait à la déclaration des Philippines selon laquelle la majeure partie de l</w:t>
      </w:r>
      <w:r w:rsidR="00346F1B">
        <w:t>’</w:t>
      </w:r>
      <w:r w:rsidR="00E56924">
        <w:t>attention se portait sur le patrimoine matériel et non sur l</w:t>
      </w:r>
      <w:r w:rsidR="00346F1B">
        <w:t>’</w:t>
      </w:r>
      <w:r w:rsidR="00E56924">
        <w:t>immatériel. À ce sujet, elle souhaitait demander au Secrétariat d</w:t>
      </w:r>
      <w:r w:rsidR="00346F1B">
        <w:t>’</w:t>
      </w:r>
      <w:r w:rsidR="00E56924">
        <w:t>expliquer dans quelle mesure la Convention de 2003 avait participé à l</w:t>
      </w:r>
      <w:r w:rsidR="00346F1B">
        <w:t>’</w:t>
      </w:r>
      <w:r w:rsidR="00E56924">
        <w:t>élaboration du plan d</w:t>
      </w:r>
      <w:r w:rsidR="00346F1B">
        <w:t>’</w:t>
      </w:r>
      <w:r w:rsidR="00E56924">
        <w:t xml:space="preserve">action et de son projet de mise en œuvre. </w:t>
      </w:r>
    </w:p>
    <w:p w14:paraId="1C478E6F" w14:textId="04506547" w:rsidR="00E56924" w:rsidRDefault="00E56924" w:rsidP="00613028">
      <w:pPr>
        <w:pStyle w:val="Orateurengris"/>
        <w:spacing w:before="120"/>
        <w:ind w:left="709" w:hanging="709"/>
      </w:pPr>
      <w:r>
        <w:t xml:space="preserve">Prenant note de cette question directement adressée au Secrétariat, le </w:t>
      </w:r>
      <w:r w:rsidRPr="00E56924">
        <w:rPr>
          <w:b/>
        </w:rPr>
        <w:t>Président</w:t>
      </w:r>
      <w:r>
        <w:t xml:space="preserve"> a donné la parole au Secrétaire.</w:t>
      </w:r>
    </w:p>
    <w:p w14:paraId="1B4A0516" w14:textId="0D24A06D" w:rsidR="00E56924" w:rsidRPr="00E56924" w:rsidRDefault="00E56924" w:rsidP="00613028">
      <w:pPr>
        <w:pStyle w:val="Orateurengris"/>
        <w:spacing w:before="120"/>
        <w:ind w:left="709" w:hanging="709"/>
      </w:pPr>
      <w:r>
        <w:t xml:space="preserve">Le </w:t>
      </w:r>
      <w:r w:rsidRPr="00E56924">
        <w:rPr>
          <w:b/>
        </w:rPr>
        <w:t>Secrétaire</w:t>
      </w:r>
      <w:r>
        <w:t xml:space="preserve"> a répondu que la Convention n</w:t>
      </w:r>
      <w:r w:rsidR="00346F1B">
        <w:t>’</w:t>
      </w:r>
      <w:r>
        <w:t>avait pas été impliquée autant qu</w:t>
      </w:r>
      <w:r w:rsidR="00346F1B">
        <w:t>’</w:t>
      </w:r>
      <w:r>
        <w:t>elle aurait pu l</w:t>
      </w:r>
      <w:r w:rsidR="00346F1B">
        <w:t>’</w:t>
      </w:r>
      <w:r>
        <w:t xml:space="preserve">être, expliquant que </w:t>
      </w:r>
      <w:r w:rsidR="009E4124">
        <w:t>c</w:t>
      </w:r>
      <w:r w:rsidR="00346F1B">
        <w:t>’</w:t>
      </w:r>
      <w:r w:rsidR="009E4124">
        <w:t>était en partie lié à la capacité du Secrétariat à répondre aux appels à participation, d</w:t>
      </w:r>
      <w:r w:rsidR="00346F1B">
        <w:t>’</w:t>
      </w:r>
      <w:r w:rsidR="009E4124">
        <w:t>où le forum en cours pou</w:t>
      </w:r>
      <w:r w:rsidR="000102DE">
        <w:t>r débattre de cette question. Le</w:t>
      </w:r>
      <w:r w:rsidR="009E4124">
        <w:t xml:space="preserve"> Secrétaire a fait remarquer qu</w:t>
      </w:r>
      <w:r w:rsidR="00346F1B">
        <w:t>’</w:t>
      </w:r>
      <w:r w:rsidR="009E4124">
        <w:t>il avait été dit depuis le début que le PCI ne pouvait être traité, dans ce genre de contexte, de la même façon que le patrimoine bâti, car il s</w:t>
      </w:r>
      <w:r w:rsidR="00346F1B">
        <w:t>’</w:t>
      </w:r>
      <w:r w:rsidR="009E4124">
        <w:t>agissait d</w:t>
      </w:r>
      <w:r w:rsidR="00346F1B">
        <w:t>’</w:t>
      </w:r>
      <w:r w:rsidR="009E4124">
        <w:t>un phénomène tout à fait différent. Le même contexte ne pouvait donc s</w:t>
      </w:r>
      <w:r w:rsidR="00346F1B">
        <w:t>’</w:t>
      </w:r>
      <w:r w:rsidR="009E4124">
        <w:t>appliquer, d</w:t>
      </w:r>
      <w:r w:rsidR="00346F1B">
        <w:t>’</w:t>
      </w:r>
      <w:r w:rsidR="009E4124">
        <w:t>où la nécessité de réfléchir à des stratégies axées sur le patrimoine immatériel.</w:t>
      </w:r>
    </w:p>
    <w:p w14:paraId="32F1403B" w14:textId="2B911F9A" w:rsidR="009E4124" w:rsidRPr="009E4124" w:rsidRDefault="009E4124" w:rsidP="00613028">
      <w:pPr>
        <w:pStyle w:val="Orateurengris"/>
        <w:tabs>
          <w:tab w:val="left" w:pos="3969"/>
        </w:tabs>
        <w:spacing w:before="120"/>
        <w:ind w:left="709" w:hanging="709"/>
      </w:pPr>
      <w:r>
        <w:t xml:space="preserve">Le </w:t>
      </w:r>
      <w:r w:rsidRPr="009E4124">
        <w:rPr>
          <w:b/>
        </w:rPr>
        <w:t>Président</w:t>
      </w:r>
      <w:r>
        <w:t xml:space="preserve"> a remercié le Se</w:t>
      </w:r>
      <w:r w:rsidR="00613028">
        <w:t>crétaire pour ses explications.</w:t>
      </w:r>
    </w:p>
    <w:p w14:paraId="1A5F5CD8" w14:textId="428B8B1C" w:rsidR="00C541E8" w:rsidRPr="000102DE" w:rsidRDefault="009E4124" w:rsidP="00613028">
      <w:pPr>
        <w:pStyle w:val="Orateurengris"/>
        <w:spacing w:before="120"/>
        <w:ind w:left="709" w:hanging="709"/>
      </w:pPr>
      <w:r w:rsidRPr="000102DE">
        <w:t xml:space="preserve">La délégation de </w:t>
      </w:r>
      <w:r w:rsidRPr="000102DE">
        <w:rPr>
          <w:b/>
        </w:rPr>
        <w:t>Cuba</w:t>
      </w:r>
      <w:r w:rsidRPr="000102DE">
        <w:t xml:space="preserve"> était également extrêmement heureuse de constater l</w:t>
      </w:r>
      <w:r w:rsidR="00346F1B">
        <w:t>’</w:t>
      </w:r>
      <w:r w:rsidRPr="000102DE">
        <w:t>inclusion à l</w:t>
      </w:r>
      <w:r w:rsidR="00346F1B">
        <w:t>’</w:t>
      </w:r>
      <w:r w:rsidRPr="000102DE">
        <w:t>ordre du jour de ce sujet sur la stratégie de renforcement du rôle de l</w:t>
      </w:r>
      <w:r w:rsidR="00346F1B">
        <w:t>’</w:t>
      </w:r>
      <w:r w:rsidRPr="000102DE">
        <w:t xml:space="preserve">UNESCO dans la protection du patrimoine en cas de conflit armé. Elle a </w:t>
      </w:r>
      <w:r w:rsidR="00C231EA" w:rsidRPr="000102DE">
        <w:t xml:space="preserve">précisé </w:t>
      </w:r>
      <w:r w:rsidRPr="000102DE">
        <w:t xml:space="preserve">que le postulat de départ de cette initiative était de sauvegarder le patrimoine </w:t>
      </w:r>
      <w:r w:rsidR="00C231EA" w:rsidRPr="000102DE">
        <w:t>indépendamment du</w:t>
      </w:r>
      <w:r w:rsidR="00FA5EA3" w:rsidRPr="000102DE">
        <w:t xml:space="preserve"> contexte, car – outre les conflits armés – l</w:t>
      </w:r>
      <w:r w:rsidR="00346F1B">
        <w:t>’</w:t>
      </w:r>
      <w:r w:rsidR="00FA5EA3" w:rsidRPr="000102DE">
        <w:t xml:space="preserve">initiative concernait également les catastrophes naturelles. La délégation a expliqué que la petite île de Cuba était touchée par des phénomènes naturels </w:t>
      </w:r>
      <w:r w:rsidR="00C231EA" w:rsidRPr="000102DE">
        <w:t xml:space="preserve">qui frappaient très durement des </w:t>
      </w:r>
      <w:r w:rsidR="00FA5EA3" w:rsidRPr="000102DE">
        <w:t>îles</w:t>
      </w:r>
      <w:r w:rsidR="00C231EA" w:rsidRPr="000102DE">
        <w:t xml:space="preserve"> comme la sienne</w:t>
      </w:r>
      <w:r w:rsidR="00FA5EA3" w:rsidRPr="000102DE">
        <w:t>, une priorité pour l</w:t>
      </w:r>
      <w:r w:rsidR="00346F1B">
        <w:t>’</w:t>
      </w:r>
      <w:r w:rsidR="00FA5EA3" w:rsidRPr="000102DE">
        <w:t>UNESCO. Une des questions qui revenait toujours dans les discussions à l</w:t>
      </w:r>
      <w:r w:rsidR="00346F1B">
        <w:t>’</w:t>
      </w:r>
      <w:r w:rsidR="00FA5EA3" w:rsidRPr="000102DE">
        <w:t>UNESCO était la nécessité d</w:t>
      </w:r>
      <w:r w:rsidR="00346F1B">
        <w:t>’</w:t>
      </w:r>
      <w:r w:rsidR="00FA5EA3" w:rsidRPr="000102DE">
        <w:t>ajouter la protection du patrimoine à tous les autres sujets à débattre lors de la prochaine Conférence générale. Le mécanisme fondamental et le cadre légal établi étai</w:t>
      </w:r>
      <w:r w:rsidR="00C541E8" w:rsidRPr="000102DE">
        <w:t>en</w:t>
      </w:r>
      <w:r w:rsidR="00FA5EA3" w:rsidRPr="000102DE">
        <w:t>t la Convention, et, en tant que tel, de nouvelles propositions d</w:t>
      </w:r>
      <w:r w:rsidR="00346F1B">
        <w:t>’</w:t>
      </w:r>
      <w:r w:rsidR="00FA5EA3" w:rsidRPr="000102DE">
        <w:t>action</w:t>
      </w:r>
      <w:r w:rsidR="00C541E8" w:rsidRPr="000102DE">
        <w:t>s</w:t>
      </w:r>
      <w:r w:rsidR="00FA5EA3" w:rsidRPr="000102DE">
        <w:t xml:space="preserve"> d</w:t>
      </w:r>
      <w:r w:rsidR="00346F1B">
        <w:t>’</w:t>
      </w:r>
      <w:r w:rsidR="00FA5EA3" w:rsidRPr="000102DE">
        <w:t>urgence devaient toujours s</w:t>
      </w:r>
      <w:r w:rsidR="00346F1B">
        <w:t>’</w:t>
      </w:r>
      <w:r w:rsidR="00FA5EA3" w:rsidRPr="000102DE">
        <w:t xml:space="preserve">inscrire dans le contexte de </w:t>
      </w:r>
      <w:r w:rsidR="00C231EA" w:rsidRPr="000102DE">
        <w:t>ce cadre parce que son</w:t>
      </w:r>
      <w:r w:rsidR="00FA5EA3" w:rsidRPr="000102DE">
        <w:t xml:space="preserve"> travail était préventif et éducatif. La délégation pensait que c</w:t>
      </w:r>
      <w:r w:rsidR="00346F1B">
        <w:t>’</w:t>
      </w:r>
      <w:r w:rsidR="00FA5EA3" w:rsidRPr="000102DE">
        <w:t>était l</w:t>
      </w:r>
      <w:r w:rsidR="00346F1B">
        <w:t>’</w:t>
      </w:r>
      <w:r w:rsidR="00FA5EA3" w:rsidRPr="000102DE">
        <w:t>objectif de la Convention d</w:t>
      </w:r>
      <w:r w:rsidR="00346F1B">
        <w:t>’</w:t>
      </w:r>
      <w:r w:rsidR="00FA5EA3" w:rsidRPr="000102DE">
        <w:t>aider l</w:t>
      </w:r>
      <w:r w:rsidR="00346F1B">
        <w:t>’</w:t>
      </w:r>
      <w:r w:rsidR="00FA5EA3" w:rsidRPr="000102DE">
        <w:t xml:space="preserve">humanité à faire face à ces nouveaux défis, tels que les migrations. En effet, elle avait un rôle essentiel à jouer dans la sauvegarde du patrimoine culturel matériel et immatériel quand des centaines et des milliers de personnes </w:t>
      </w:r>
      <w:r w:rsidR="00C541E8" w:rsidRPr="000102DE">
        <w:t>étaient déplacées et, avec eux, leur patrimoine culturel immatériel et leurs traditions. Il était donc nécessaire de réfléchir à la meilleure façon dont la Convention pourrait permettre de contribuer à la stratégie de l</w:t>
      </w:r>
      <w:r w:rsidR="00346F1B">
        <w:t>’</w:t>
      </w:r>
      <w:r w:rsidR="00C541E8" w:rsidRPr="000102DE">
        <w:t>UNESCO, de renforcer la protection du patrimoine en situation d</w:t>
      </w:r>
      <w:r w:rsidR="00346F1B">
        <w:t>’</w:t>
      </w:r>
      <w:r w:rsidR="00C541E8" w:rsidRPr="000102DE">
        <w:t>urgence dans le cadre de l</w:t>
      </w:r>
      <w:r w:rsidR="00346F1B">
        <w:t>’</w:t>
      </w:r>
      <w:r w:rsidR="00C541E8" w:rsidRPr="000102DE">
        <w:t>Assemblée générale et du Comité. La délégation était consciente qu</w:t>
      </w:r>
      <w:r w:rsidR="00346F1B">
        <w:t>’</w:t>
      </w:r>
      <w:r w:rsidR="00C541E8" w:rsidRPr="000102DE">
        <w:t>il s</w:t>
      </w:r>
      <w:r w:rsidR="00346F1B">
        <w:t>’</w:t>
      </w:r>
      <w:r w:rsidR="00C541E8" w:rsidRPr="000102DE">
        <w:t>agissait d</w:t>
      </w:r>
      <w:r w:rsidR="00346F1B">
        <w:t>’</w:t>
      </w:r>
      <w:r w:rsidR="00C541E8" w:rsidRPr="000102DE">
        <w:t>un débat relativement nouveau, mais il était important qu</w:t>
      </w:r>
      <w:r w:rsidR="00346F1B">
        <w:t>’</w:t>
      </w:r>
      <w:r w:rsidR="00C541E8" w:rsidRPr="000102DE">
        <w:t>il se tienne dans le cadre de la Convention, et qu</w:t>
      </w:r>
      <w:r w:rsidR="00346F1B">
        <w:t>’</w:t>
      </w:r>
      <w:r w:rsidR="00C541E8" w:rsidRPr="000102DE">
        <w:t xml:space="preserve">il ne suffisait pas de demander des informations au Secrétariat à ce sujet. </w:t>
      </w:r>
      <w:r w:rsidR="00CF6D89" w:rsidRPr="000102DE">
        <w:t>Une réflexion collective était nécessaire pour envisager comment le Comité pourrait contribuer à la stratégie de l</w:t>
      </w:r>
      <w:r w:rsidR="00346F1B">
        <w:t>’</w:t>
      </w:r>
      <w:r w:rsidR="00CF6D89" w:rsidRPr="000102DE">
        <w:t>UNESCO de sauvegarde du PCI dans le cadre des structures législatives qui lui étaient consacrées,</w:t>
      </w:r>
      <w:r w:rsidR="00C231EA" w:rsidRPr="000102DE">
        <w:t xml:space="preserve"> plutôt que de faire appel à un</w:t>
      </w:r>
      <w:r w:rsidR="00CF6D89" w:rsidRPr="000102DE">
        <w:t xml:space="preserve"> autre organe </w:t>
      </w:r>
      <w:r w:rsidR="00613028">
        <w:t>tel que le Conseil de sécurité.</w:t>
      </w:r>
    </w:p>
    <w:p w14:paraId="35087B72" w14:textId="738334C2" w:rsidR="00C231EA" w:rsidRDefault="00C231EA" w:rsidP="00613028">
      <w:pPr>
        <w:pStyle w:val="Orateurengris"/>
        <w:spacing w:before="120"/>
        <w:ind w:left="709" w:hanging="709"/>
      </w:pPr>
      <w:r>
        <w:t xml:space="preserve">La délégation de la </w:t>
      </w:r>
      <w:r w:rsidRPr="00C231EA">
        <w:rPr>
          <w:b/>
        </w:rPr>
        <w:t>Côte d</w:t>
      </w:r>
      <w:r w:rsidR="00346F1B">
        <w:rPr>
          <w:b/>
        </w:rPr>
        <w:t>’</w:t>
      </w:r>
      <w:r w:rsidRPr="00C231EA">
        <w:rPr>
          <w:b/>
        </w:rPr>
        <w:t>Ivoire</w:t>
      </w:r>
      <w:r>
        <w:t xml:space="preserve"> a félicité le Secrétariat d</w:t>
      </w:r>
      <w:r w:rsidR="00346F1B">
        <w:t>’</w:t>
      </w:r>
      <w:r>
        <w:t>avoir ajouté ce point à l</w:t>
      </w:r>
      <w:r w:rsidR="00346F1B">
        <w:t>’</w:t>
      </w:r>
      <w:r>
        <w:t>ordre du jour, compte tenu des nombreux conflits armés et catastrophes naturelles qui avaient un impact négatif sur le patrimoine en général. La délégation a profité de l</w:t>
      </w:r>
      <w:r w:rsidR="00346F1B">
        <w:t>’</w:t>
      </w:r>
      <w:r>
        <w:t>occasion pour réitérer ses remerciements au Comité d</w:t>
      </w:r>
      <w:r w:rsidR="00346F1B">
        <w:t>’</w:t>
      </w:r>
      <w:r>
        <w:t>avoir accordé une assistance internationale destinée à aider à la réalisation de l</w:t>
      </w:r>
      <w:r w:rsidR="00346F1B">
        <w:t>’</w:t>
      </w:r>
      <w:r>
        <w:t xml:space="preserve">inventaire de son patrimoine national suite aux conflits </w:t>
      </w:r>
      <w:r w:rsidR="00613028">
        <w:t>dont le pays avait été victime.</w:t>
      </w:r>
    </w:p>
    <w:p w14:paraId="78B2483B" w14:textId="4BA94B9A" w:rsidR="00B347EC" w:rsidRPr="007156F4" w:rsidRDefault="00B347EC" w:rsidP="00613028">
      <w:pPr>
        <w:pStyle w:val="Orateurengris"/>
        <w:spacing w:before="120"/>
        <w:ind w:left="709" w:hanging="709"/>
      </w:pPr>
      <w:r w:rsidRPr="007156F4">
        <w:t>La délégation de l</w:t>
      </w:r>
      <w:r w:rsidR="00346F1B">
        <w:t>’</w:t>
      </w:r>
      <w:r w:rsidRPr="007156F4">
        <w:rPr>
          <w:b/>
        </w:rPr>
        <w:t>Autriche</w:t>
      </w:r>
      <w:r w:rsidRPr="007156F4">
        <w:t xml:space="preserve"> </w:t>
      </w:r>
      <w:r w:rsidR="00912586" w:rsidRPr="007156F4">
        <w:t>a fait remarquer que c</w:t>
      </w:r>
      <w:r w:rsidR="00346F1B">
        <w:t>’</w:t>
      </w:r>
      <w:r w:rsidR="00912586" w:rsidRPr="007156F4">
        <w:t>était probablement l</w:t>
      </w:r>
      <w:r w:rsidR="00346F1B">
        <w:t>’</w:t>
      </w:r>
      <w:r w:rsidR="00912586" w:rsidRPr="007156F4">
        <w:t>un des sujets les plus importants et les plus urgents car les conflits et les catastrophes naturelles affectaient de nombreuses régions du monde et le patrimoine matériel et immatériel était menacé, ce qui nécessitait une réponse globale. Dans ce contexte, elle appréciait les efforts déployés par la communauté internationale pour condamner le nombre cro</w:t>
      </w:r>
      <w:r w:rsidR="00571861">
        <w:t>i</w:t>
      </w:r>
      <w:r w:rsidR="00912586" w:rsidRPr="007156F4">
        <w:t>ssant d</w:t>
      </w:r>
      <w:r w:rsidR="00346F1B">
        <w:t>’</w:t>
      </w:r>
      <w:r w:rsidR="00912586" w:rsidRPr="007156F4">
        <w:t>actes délibérés de destruction du patrimoine culturel dans le monde entier. L</w:t>
      </w:r>
      <w:r w:rsidR="00346F1B">
        <w:t>’</w:t>
      </w:r>
      <w:r w:rsidR="00912586" w:rsidRPr="007156F4">
        <w:t>UNESCO, l</w:t>
      </w:r>
      <w:r w:rsidR="00346F1B">
        <w:t>’</w:t>
      </w:r>
      <w:r w:rsidR="00912586" w:rsidRPr="007156F4">
        <w:t>Union européenne, le Conseil de l</w:t>
      </w:r>
      <w:r w:rsidR="00346F1B">
        <w:t>’</w:t>
      </w:r>
      <w:r w:rsidR="00912586" w:rsidRPr="007156F4">
        <w:t>Europe, ainsi que les Nations Unies</w:t>
      </w:r>
      <w:r w:rsidR="00571861">
        <w:t>,</w:t>
      </w:r>
      <w:r w:rsidR="00912586" w:rsidRPr="007156F4">
        <w:t xml:space="preserve"> avaient unanimement </w:t>
      </w:r>
      <w:r w:rsidR="00BA774E" w:rsidRPr="007156F4">
        <w:t>appelé à la reconnaissance de normes universelles en la matière. La délégation a rappelé la Stratégie de renforcement de l</w:t>
      </w:r>
      <w:r w:rsidR="00346F1B">
        <w:t>’</w:t>
      </w:r>
      <w:r w:rsidR="00BA774E" w:rsidRPr="007156F4">
        <w:t>action de l</w:t>
      </w:r>
      <w:r w:rsidR="00346F1B">
        <w:t>’</w:t>
      </w:r>
      <w:r w:rsidR="00BA774E" w:rsidRPr="007156F4">
        <w:t>UNESCO en matière de protection de la culture et de promotion du pluralisme culturel en cas de conflit armé, adoptée par l</w:t>
      </w:r>
      <w:r w:rsidR="00346F1B">
        <w:t>’</w:t>
      </w:r>
      <w:r w:rsidR="00BA774E" w:rsidRPr="007156F4">
        <w:t>UNESCO à sa Conférence générale en 2015, qui venait s</w:t>
      </w:r>
      <w:r w:rsidR="00346F1B">
        <w:t>’</w:t>
      </w:r>
      <w:r w:rsidR="00BA774E" w:rsidRPr="007156F4">
        <w:t>ajouter à de multiples actions de l</w:t>
      </w:r>
      <w:r w:rsidR="00346F1B">
        <w:t>’</w:t>
      </w:r>
      <w:r w:rsidR="00BA774E" w:rsidRPr="007156F4">
        <w:t>UNESCO contre le trafic illicite de biens culturels et en faveur de la protection du patrimoine mondial et de la promotion de la diversité culturelle, ainsi que l</w:t>
      </w:r>
      <w:r w:rsidR="00346F1B">
        <w:t>’</w:t>
      </w:r>
      <w:r w:rsidR="00BA774E" w:rsidRPr="007156F4">
        <w:t xml:space="preserve">initiative </w:t>
      </w:r>
      <w:hyperlink r:id="rId54" w:history="1">
        <w:r w:rsidR="00BA774E" w:rsidRPr="007156F4">
          <w:rPr>
            <w:rStyle w:val="Hyperlink"/>
          </w:rPr>
          <w:t>#Unite4Heritage</w:t>
        </w:r>
      </w:hyperlink>
      <w:r w:rsidR="00BA774E" w:rsidRPr="007156F4">
        <w:rPr>
          <w:rStyle w:val="Hyperlink"/>
          <w:color w:val="auto"/>
          <w:u w:val="none"/>
        </w:rPr>
        <w:t xml:space="preserve">. En outre, elle a fait référence à la </w:t>
      </w:r>
      <w:hyperlink r:id="rId55" w:history="1">
        <w:r w:rsidR="007156F4">
          <w:rPr>
            <w:rStyle w:val="Hyperlink"/>
          </w:rPr>
          <w:t>Déclaration de Namur</w:t>
        </w:r>
      </w:hyperlink>
      <w:r w:rsidR="00BA774E" w:rsidRPr="007156F4">
        <w:rPr>
          <w:rStyle w:val="Hyperlink"/>
          <w:color w:val="auto"/>
          <w:u w:val="none"/>
        </w:rPr>
        <w:t xml:space="preserve"> des ministres de la Culture du Conseil de l</w:t>
      </w:r>
      <w:r w:rsidR="00346F1B">
        <w:rPr>
          <w:rStyle w:val="Hyperlink"/>
          <w:color w:val="auto"/>
          <w:u w:val="none"/>
        </w:rPr>
        <w:t>’</w:t>
      </w:r>
      <w:r w:rsidR="00BA774E" w:rsidRPr="007156F4">
        <w:rPr>
          <w:rStyle w:val="Hyperlink"/>
          <w:color w:val="auto"/>
          <w:u w:val="none"/>
        </w:rPr>
        <w:t xml:space="preserve">Europe </w:t>
      </w:r>
      <w:r w:rsidR="007156F4">
        <w:rPr>
          <w:rStyle w:val="Hyperlink"/>
          <w:color w:val="auto"/>
          <w:u w:val="none"/>
        </w:rPr>
        <w:t>en 2015 et aux mesures adoptée</w:t>
      </w:r>
      <w:r w:rsidR="00571861">
        <w:rPr>
          <w:rStyle w:val="Hyperlink"/>
          <w:color w:val="auto"/>
          <w:u w:val="none"/>
        </w:rPr>
        <w:t>s</w:t>
      </w:r>
      <w:r w:rsidR="007156F4">
        <w:rPr>
          <w:rStyle w:val="Hyperlink"/>
          <w:color w:val="auto"/>
          <w:u w:val="none"/>
        </w:rPr>
        <w:t xml:space="preserve"> par l</w:t>
      </w:r>
      <w:r w:rsidR="00346F1B">
        <w:rPr>
          <w:rStyle w:val="Hyperlink"/>
          <w:color w:val="auto"/>
          <w:u w:val="none"/>
        </w:rPr>
        <w:t>’</w:t>
      </w:r>
      <w:r w:rsidR="007156F4">
        <w:rPr>
          <w:rStyle w:val="Hyperlink"/>
          <w:color w:val="auto"/>
          <w:u w:val="none"/>
        </w:rPr>
        <w:t xml:space="preserve">Union européenne sur le </w:t>
      </w:r>
      <w:r w:rsidR="007156F4" w:rsidRPr="007156F4">
        <w:rPr>
          <w:rStyle w:val="Hyperlink"/>
          <w:color w:val="auto"/>
          <w:u w:val="none"/>
        </w:rPr>
        <w:t>patrimoine</w:t>
      </w:r>
      <w:r w:rsidR="007156F4">
        <w:rPr>
          <w:rStyle w:val="Hyperlink"/>
          <w:color w:val="auto"/>
          <w:u w:val="none"/>
        </w:rPr>
        <w:t xml:space="preserve"> culturel en tant que ressource stratégique pour une Europe durable. Elle souscrivait pleinement à la position de l</w:t>
      </w:r>
      <w:r w:rsidR="00346F1B">
        <w:rPr>
          <w:rStyle w:val="Hyperlink"/>
          <w:color w:val="auto"/>
          <w:u w:val="none"/>
        </w:rPr>
        <w:t>’</w:t>
      </w:r>
      <w:r w:rsidR="007156F4">
        <w:rPr>
          <w:rStyle w:val="Hyperlink"/>
          <w:color w:val="auto"/>
          <w:u w:val="none"/>
        </w:rPr>
        <w:t xml:space="preserve">UNESCO qui considérait les actions contre le </w:t>
      </w:r>
      <w:r w:rsidR="007156F4" w:rsidRPr="007156F4">
        <w:rPr>
          <w:rStyle w:val="Hyperlink"/>
          <w:color w:val="auto"/>
          <w:u w:val="none"/>
        </w:rPr>
        <w:t>patrimoine</w:t>
      </w:r>
      <w:r w:rsidR="007156F4">
        <w:rPr>
          <w:rStyle w:val="Hyperlink"/>
          <w:color w:val="auto"/>
          <w:u w:val="none"/>
        </w:rPr>
        <w:t xml:space="preserve"> </w:t>
      </w:r>
      <w:r w:rsidR="007156F4" w:rsidRPr="007156F4">
        <w:rPr>
          <w:rStyle w:val="Hyperlink"/>
          <w:color w:val="auto"/>
          <w:u w:val="none"/>
        </w:rPr>
        <w:t>culturel</w:t>
      </w:r>
      <w:r w:rsidR="007156F4">
        <w:rPr>
          <w:rStyle w:val="Hyperlink"/>
          <w:color w:val="auto"/>
          <w:u w:val="none"/>
        </w:rPr>
        <w:t>, matériel ou immatériel, comme des crimes contre l</w:t>
      </w:r>
      <w:r w:rsidR="00346F1B">
        <w:rPr>
          <w:rStyle w:val="Hyperlink"/>
          <w:color w:val="auto"/>
          <w:u w:val="none"/>
        </w:rPr>
        <w:t>’</w:t>
      </w:r>
      <w:r w:rsidR="007156F4">
        <w:rPr>
          <w:rStyle w:val="Hyperlink"/>
          <w:color w:val="auto"/>
          <w:u w:val="none"/>
        </w:rPr>
        <w:t xml:space="preserve">humanité. La solidarité </w:t>
      </w:r>
      <w:r w:rsidR="007156F4" w:rsidRPr="007156F4">
        <w:rPr>
          <w:rStyle w:val="Hyperlink"/>
          <w:color w:val="auto"/>
          <w:u w:val="none"/>
        </w:rPr>
        <w:t xml:space="preserve">internationale </w:t>
      </w:r>
      <w:r w:rsidR="007156F4">
        <w:rPr>
          <w:rStyle w:val="Hyperlink"/>
          <w:color w:val="auto"/>
          <w:u w:val="none"/>
        </w:rPr>
        <w:t xml:space="preserve">et le </w:t>
      </w:r>
      <w:r w:rsidR="007156F4" w:rsidRPr="007156F4">
        <w:rPr>
          <w:rStyle w:val="Hyperlink"/>
          <w:color w:val="auto"/>
          <w:u w:val="none"/>
        </w:rPr>
        <w:t xml:space="preserve">renforcement </w:t>
      </w:r>
      <w:r w:rsidR="007156F4">
        <w:rPr>
          <w:rStyle w:val="Hyperlink"/>
          <w:color w:val="auto"/>
          <w:u w:val="none"/>
        </w:rPr>
        <w:t xml:space="preserve">de la </w:t>
      </w:r>
      <w:r w:rsidR="007156F4" w:rsidRPr="007156F4">
        <w:rPr>
          <w:rStyle w:val="Hyperlink"/>
          <w:color w:val="auto"/>
          <w:u w:val="none"/>
        </w:rPr>
        <w:t>coopération</w:t>
      </w:r>
      <w:r w:rsidR="007156F4">
        <w:rPr>
          <w:rStyle w:val="Hyperlink"/>
          <w:color w:val="auto"/>
          <w:u w:val="none"/>
        </w:rPr>
        <w:t xml:space="preserve"> </w:t>
      </w:r>
      <w:r w:rsidR="007156F4" w:rsidRPr="007156F4">
        <w:rPr>
          <w:rStyle w:val="Hyperlink"/>
          <w:color w:val="auto"/>
          <w:u w:val="none"/>
        </w:rPr>
        <w:t xml:space="preserve">internationale </w:t>
      </w:r>
      <w:r w:rsidR="007156F4">
        <w:rPr>
          <w:rStyle w:val="Hyperlink"/>
          <w:color w:val="auto"/>
          <w:u w:val="none"/>
        </w:rPr>
        <w:t xml:space="preserve">étaient </w:t>
      </w:r>
      <w:r w:rsidR="007156F4" w:rsidRPr="007156F4">
        <w:rPr>
          <w:rStyle w:val="Hyperlink"/>
          <w:color w:val="auto"/>
          <w:u w:val="none"/>
        </w:rPr>
        <w:t xml:space="preserve">nécessaires </w:t>
      </w:r>
      <w:r w:rsidR="007156F4">
        <w:rPr>
          <w:rStyle w:val="Hyperlink"/>
          <w:color w:val="auto"/>
          <w:u w:val="none"/>
        </w:rPr>
        <w:t xml:space="preserve">pour prévenir et </w:t>
      </w:r>
      <w:r w:rsidR="00571861">
        <w:rPr>
          <w:rStyle w:val="Hyperlink"/>
          <w:color w:val="auto"/>
          <w:u w:val="none"/>
        </w:rPr>
        <w:t xml:space="preserve">mettre un terme à de tels actes de destruction. Cette </w:t>
      </w:r>
      <w:r w:rsidR="007156F4">
        <w:rPr>
          <w:rStyle w:val="Hyperlink"/>
          <w:color w:val="auto"/>
          <w:u w:val="none"/>
        </w:rPr>
        <w:t xml:space="preserve">coopération </w:t>
      </w:r>
      <w:r w:rsidR="00571861">
        <w:rPr>
          <w:rStyle w:val="Hyperlink"/>
          <w:color w:val="auto"/>
          <w:u w:val="none"/>
        </w:rPr>
        <w:t>n</w:t>
      </w:r>
      <w:r w:rsidR="00346F1B">
        <w:rPr>
          <w:rStyle w:val="Hyperlink"/>
          <w:color w:val="auto"/>
          <w:u w:val="none"/>
        </w:rPr>
        <w:t>’</w:t>
      </w:r>
      <w:r w:rsidR="00571861">
        <w:rPr>
          <w:rStyle w:val="Hyperlink"/>
          <w:color w:val="auto"/>
          <w:u w:val="none"/>
        </w:rPr>
        <w:t xml:space="preserve">impliquait </w:t>
      </w:r>
      <w:r w:rsidR="007156F4">
        <w:rPr>
          <w:rStyle w:val="Hyperlink"/>
          <w:color w:val="auto"/>
          <w:u w:val="none"/>
        </w:rPr>
        <w:t xml:space="preserve">pas uniquement des </w:t>
      </w:r>
      <w:r w:rsidR="007156F4" w:rsidRPr="007156F4">
        <w:rPr>
          <w:rStyle w:val="Hyperlink"/>
          <w:color w:val="auto"/>
          <w:u w:val="none"/>
        </w:rPr>
        <w:t>parties prenantes</w:t>
      </w:r>
      <w:r w:rsidR="007156F4">
        <w:rPr>
          <w:rStyle w:val="Hyperlink"/>
          <w:color w:val="auto"/>
          <w:u w:val="none"/>
        </w:rPr>
        <w:t xml:space="preserve"> institutionnelles mais </w:t>
      </w:r>
      <w:r w:rsidR="007156F4" w:rsidRPr="007156F4">
        <w:rPr>
          <w:rStyle w:val="Hyperlink"/>
          <w:color w:val="auto"/>
          <w:u w:val="none"/>
        </w:rPr>
        <w:t>également</w:t>
      </w:r>
      <w:r w:rsidR="007156F4">
        <w:rPr>
          <w:rStyle w:val="Hyperlink"/>
          <w:color w:val="auto"/>
          <w:u w:val="none"/>
        </w:rPr>
        <w:t xml:space="preserve"> des représentants des professionnels du </w:t>
      </w:r>
      <w:r w:rsidR="007156F4" w:rsidRPr="007156F4">
        <w:rPr>
          <w:rStyle w:val="Hyperlink"/>
          <w:color w:val="auto"/>
          <w:u w:val="none"/>
        </w:rPr>
        <w:t>patrimoine</w:t>
      </w:r>
      <w:r w:rsidR="007156F4">
        <w:rPr>
          <w:rStyle w:val="Hyperlink"/>
          <w:color w:val="auto"/>
          <w:u w:val="none"/>
        </w:rPr>
        <w:t xml:space="preserve"> et de la société civile aux niveaux international, national, et local. Afin de conclure sur une note positive, la </w:t>
      </w:r>
      <w:r w:rsidR="007156F4" w:rsidRPr="007156F4">
        <w:rPr>
          <w:rStyle w:val="Hyperlink"/>
          <w:color w:val="auto"/>
          <w:u w:val="none"/>
        </w:rPr>
        <w:t>délégation</w:t>
      </w:r>
      <w:r w:rsidR="007156F4">
        <w:rPr>
          <w:rStyle w:val="Hyperlink"/>
          <w:color w:val="auto"/>
          <w:u w:val="none"/>
        </w:rPr>
        <w:t xml:space="preserve"> a évoqué le potentiel du PCI de surmonter les conflits, d</w:t>
      </w:r>
      <w:r w:rsidR="00346F1B">
        <w:rPr>
          <w:rStyle w:val="Hyperlink"/>
          <w:color w:val="auto"/>
          <w:u w:val="none"/>
        </w:rPr>
        <w:t>’</w:t>
      </w:r>
      <w:r w:rsidR="007156F4">
        <w:rPr>
          <w:rStyle w:val="Hyperlink"/>
          <w:color w:val="auto"/>
          <w:u w:val="none"/>
        </w:rPr>
        <w:t>améliorer la cohésion social</w:t>
      </w:r>
      <w:r w:rsidR="00E904A9">
        <w:rPr>
          <w:rStyle w:val="Hyperlink"/>
          <w:color w:val="auto"/>
          <w:u w:val="none"/>
        </w:rPr>
        <w:t>e et</w:t>
      </w:r>
      <w:r w:rsidR="007156F4">
        <w:rPr>
          <w:rStyle w:val="Hyperlink"/>
          <w:color w:val="auto"/>
          <w:u w:val="none"/>
        </w:rPr>
        <w:t xml:space="preserve"> de faciliter le dialogue. Dans son </w:t>
      </w:r>
      <w:r w:rsidR="007156F4" w:rsidRPr="007156F4">
        <w:rPr>
          <w:rStyle w:val="Hyperlink"/>
          <w:color w:val="auto"/>
          <w:u w:val="none"/>
        </w:rPr>
        <w:t>amendement</w:t>
      </w:r>
      <w:r w:rsidR="007156F4">
        <w:rPr>
          <w:rStyle w:val="Hyperlink"/>
          <w:color w:val="auto"/>
          <w:u w:val="none"/>
        </w:rPr>
        <w:t xml:space="preserve">, la </w:t>
      </w:r>
      <w:r w:rsidR="007156F4" w:rsidRPr="007156F4">
        <w:rPr>
          <w:rStyle w:val="Hyperlink"/>
          <w:color w:val="auto"/>
          <w:u w:val="none"/>
        </w:rPr>
        <w:t>délégation</w:t>
      </w:r>
      <w:r w:rsidR="007156F4">
        <w:rPr>
          <w:rStyle w:val="Hyperlink"/>
          <w:color w:val="auto"/>
          <w:u w:val="none"/>
        </w:rPr>
        <w:t xml:space="preserve"> </w:t>
      </w:r>
      <w:r w:rsidR="00571861">
        <w:rPr>
          <w:rStyle w:val="Hyperlink"/>
          <w:color w:val="auto"/>
          <w:u w:val="none"/>
        </w:rPr>
        <w:t xml:space="preserve">demandait au Secrétariat de préparer des </w:t>
      </w:r>
      <w:r w:rsidR="00571861" w:rsidRPr="00571861">
        <w:rPr>
          <w:rStyle w:val="Hyperlink"/>
          <w:color w:val="auto"/>
          <w:u w:val="none"/>
        </w:rPr>
        <w:t>orientations</w:t>
      </w:r>
      <w:r w:rsidR="00571861">
        <w:rPr>
          <w:rStyle w:val="Hyperlink"/>
          <w:color w:val="auto"/>
          <w:u w:val="none"/>
        </w:rPr>
        <w:t xml:space="preserve"> devant guider la mise en œuvre des principes de la </w:t>
      </w:r>
      <w:r w:rsidR="00571861" w:rsidRPr="00571861">
        <w:rPr>
          <w:rStyle w:val="Hyperlink"/>
          <w:color w:val="auto"/>
          <w:u w:val="none"/>
        </w:rPr>
        <w:t>Convention</w:t>
      </w:r>
      <w:r w:rsidR="00571861">
        <w:rPr>
          <w:rStyle w:val="Hyperlink"/>
          <w:color w:val="auto"/>
          <w:u w:val="none"/>
        </w:rPr>
        <w:t xml:space="preserve"> dans les situations d</w:t>
      </w:r>
      <w:r w:rsidR="00346F1B">
        <w:rPr>
          <w:rStyle w:val="Hyperlink"/>
          <w:color w:val="auto"/>
          <w:u w:val="none"/>
        </w:rPr>
        <w:t>’</w:t>
      </w:r>
      <w:r w:rsidR="00571861">
        <w:rPr>
          <w:rStyle w:val="Hyperlink"/>
          <w:color w:val="auto"/>
          <w:u w:val="none"/>
        </w:rPr>
        <w:t>urgence, qui ferai</w:t>
      </w:r>
      <w:r w:rsidR="00E904A9">
        <w:rPr>
          <w:rStyle w:val="Hyperlink"/>
          <w:color w:val="auto"/>
          <w:u w:val="none"/>
        </w:rPr>
        <w:t>en</w:t>
      </w:r>
      <w:r w:rsidR="00571861">
        <w:rPr>
          <w:rStyle w:val="Hyperlink"/>
          <w:color w:val="auto"/>
          <w:u w:val="none"/>
        </w:rPr>
        <w:t>t l</w:t>
      </w:r>
      <w:r w:rsidR="00346F1B">
        <w:rPr>
          <w:rStyle w:val="Hyperlink"/>
          <w:color w:val="auto"/>
          <w:u w:val="none"/>
        </w:rPr>
        <w:t>’</w:t>
      </w:r>
      <w:r w:rsidR="00571861">
        <w:rPr>
          <w:rStyle w:val="Hyperlink"/>
          <w:color w:val="auto"/>
          <w:u w:val="none"/>
        </w:rPr>
        <w:t>objet d</w:t>
      </w:r>
      <w:r w:rsidR="00346F1B">
        <w:rPr>
          <w:rStyle w:val="Hyperlink"/>
          <w:color w:val="auto"/>
          <w:u w:val="none"/>
        </w:rPr>
        <w:t>’</w:t>
      </w:r>
      <w:r w:rsidR="00571861">
        <w:rPr>
          <w:rStyle w:val="Hyperlink"/>
          <w:color w:val="auto"/>
          <w:u w:val="none"/>
        </w:rPr>
        <w:t xml:space="preserve">un débat lors de </w:t>
      </w:r>
      <w:r w:rsidR="00613028">
        <w:rPr>
          <w:rStyle w:val="Hyperlink"/>
          <w:color w:val="auto"/>
          <w:u w:val="none"/>
        </w:rPr>
        <w:t>sa prochaine session en 2017.</w:t>
      </w:r>
    </w:p>
    <w:p w14:paraId="45828B6C" w14:textId="3A201D38" w:rsidR="00571861" w:rsidRPr="00571861" w:rsidRDefault="00571861" w:rsidP="00613028">
      <w:pPr>
        <w:pStyle w:val="Orateurengris"/>
        <w:spacing w:before="120"/>
        <w:ind w:left="709" w:hanging="709"/>
      </w:pPr>
      <w:r w:rsidRPr="00571861">
        <w:t xml:space="preserve">La délégation de la </w:t>
      </w:r>
      <w:r w:rsidRPr="00571861">
        <w:rPr>
          <w:b/>
        </w:rPr>
        <w:t>Turquie</w:t>
      </w:r>
      <w:r w:rsidRPr="00571861">
        <w:t xml:space="preserve"> </w:t>
      </w:r>
      <w:r>
        <w:t>a remercié le Secrétariat pour ce document de travail succinct. Elle a évoqué le nombre croissant de communautés et de pays confrontés à l</w:t>
      </w:r>
      <w:r w:rsidR="00346F1B">
        <w:t>’</w:t>
      </w:r>
      <w:r>
        <w:t>urgence de protéger la viabilité de leurs pratiques du PCI</w:t>
      </w:r>
      <w:r w:rsidR="0027659D">
        <w:t>, ce qui</w:t>
      </w:r>
      <w:r>
        <w:t xml:space="preserve"> </w:t>
      </w:r>
      <w:r w:rsidR="008D589A">
        <w:t xml:space="preserve">obligeait </w:t>
      </w:r>
      <w:r>
        <w:t xml:space="preserve">la Convention à </w:t>
      </w:r>
      <w:r w:rsidR="0027659D">
        <w:t xml:space="preserve">être mieux armée afin de pouvoir apporter des réponses à ces situations. </w:t>
      </w:r>
      <w:r w:rsidR="008D589A">
        <w:t xml:space="preserve">Bien </w:t>
      </w:r>
      <w:r w:rsidR="0027659D">
        <w:t xml:space="preserve">que la viabilité des pratiques du PCI et des traditions des communautés </w:t>
      </w:r>
      <w:r w:rsidR="008D589A">
        <w:t>soit menacée dans les situations d</w:t>
      </w:r>
      <w:r w:rsidR="00346F1B">
        <w:t>’</w:t>
      </w:r>
      <w:r w:rsidR="008D589A">
        <w:t>urgence</w:t>
      </w:r>
      <w:r w:rsidR="0027659D">
        <w:t xml:space="preserve">, ces pratiques pouvaient </w:t>
      </w:r>
      <w:r w:rsidR="008D589A">
        <w:t xml:space="preserve">être </w:t>
      </w:r>
      <w:r w:rsidR="0027659D">
        <w:t>utilisées pour mobiliser les communautés afin qu</w:t>
      </w:r>
      <w:r w:rsidR="00346F1B">
        <w:t>’</w:t>
      </w:r>
      <w:r w:rsidR="0027659D">
        <w:t>elles résistent mieux aux défis</w:t>
      </w:r>
      <w:r w:rsidR="008D589A">
        <w:t xml:space="preserve"> auxquels elles étaient confrontées</w:t>
      </w:r>
      <w:r w:rsidR="0027659D">
        <w:t>. En encourageant le pluralisme culturel et en renforçant la cohésion sociale, le PCI avait le potentiel de contribuer à l</w:t>
      </w:r>
      <w:r w:rsidR="00346F1B">
        <w:t>’</w:t>
      </w:r>
      <w:r w:rsidR="0027659D">
        <w:t>édification de la paix et aux efforts de résolution des conflits. La délégation était heureuse de constater que les projets d</w:t>
      </w:r>
      <w:r w:rsidR="00346F1B">
        <w:t>’</w:t>
      </w:r>
      <w:r w:rsidR="0027659D">
        <w:t>assistance d</w:t>
      </w:r>
      <w:r w:rsidR="00346F1B">
        <w:t>’</w:t>
      </w:r>
      <w:r w:rsidR="0027659D">
        <w:t>urgence au Mali et en Côte d</w:t>
      </w:r>
      <w:r w:rsidR="00346F1B">
        <w:t>’</w:t>
      </w:r>
      <w:r w:rsidR="0027659D">
        <w:t>Ivoire avaient été mis en œuvre</w:t>
      </w:r>
      <w:r w:rsidR="008D589A">
        <w:t xml:space="preserve"> avec </w:t>
      </w:r>
      <w:r w:rsidR="0027659D">
        <w:t>cette approche. Le sujet étant récent pour les Conventions culturelles, les études de cas semblaient démontrer une absence d</w:t>
      </w:r>
      <w:r w:rsidR="00346F1B">
        <w:t>’</w:t>
      </w:r>
      <w:r w:rsidR="0027659D">
        <w:t>expérience en ce qui concerne le PCI dans les situations d</w:t>
      </w:r>
      <w:r w:rsidR="00346F1B">
        <w:t>’</w:t>
      </w:r>
      <w:r w:rsidR="0027659D">
        <w:t>urgence. La délégation attendait du Secrétariat qu</w:t>
      </w:r>
      <w:r w:rsidR="00346F1B">
        <w:t>’</w:t>
      </w:r>
      <w:r w:rsidR="0027659D">
        <w:t xml:space="preserve">il poursuive ses efforts afin de recueillir davantage de données et </w:t>
      </w:r>
      <w:r w:rsidR="000F4D28">
        <w:t xml:space="preserve">de </w:t>
      </w:r>
      <w:r w:rsidR="0027659D">
        <w:t>les présenter</w:t>
      </w:r>
      <w:r w:rsidR="000F4D28">
        <w:t xml:space="preserve"> aux prochaines sessions du Comité. On devrait également débattre des procédures accélérées d</w:t>
      </w:r>
      <w:r w:rsidR="00346F1B">
        <w:t>’</w:t>
      </w:r>
      <w:r w:rsidR="000F4D28">
        <w:t>assistance d</w:t>
      </w:r>
      <w:r w:rsidR="00346F1B">
        <w:t>’</w:t>
      </w:r>
      <w:r w:rsidR="000F4D28">
        <w:t>urgence qui permettraient de faciliter et d</w:t>
      </w:r>
      <w:r w:rsidR="00346F1B">
        <w:t>’</w:t>
      </w:r>
      <w:r w:rsidR="000F4D28">
        <w:t>accélérer l</w:t>
      </w:r>
      <w:r w:rsidR="00346F1B">
        <w:t>’</w:t>
      </w:r>
      <w:r w:rsidR="000F4D28">
        <w:t>assistance pendant les situations d</w:t>
      </w:r>
      <w:r w:rsidR="00346F1B">
        <w:t>’</w:t>
      </w:r>
      <w:r w:rsidR="000F4D28">
        <w:t>urgence, en particulier sous la forme d</w:t>
      </w:r>
      <w:r w:rsidR="00346F1B">
        <w:t>’</w:t>
      </w:r>
      <w:r w:rsidR="000F4D28">
        <w:t>un mécanisme de réponse d</w:t>
      </w:r>
      <w:r w:rsidR="00346F1B">
        <w:t>’</w:t>
      </w:r>
      <w:r w:rsidR="000F4D28">
        <w:t>urgence rapide, en lieu et place de l</w:t>
      </w:r>
      <w:r w:rsidR="00346F1B">
        <w:t>’</w:t>
      </w:r>
      <w:r w:rsidR="000F4D28">
        <w:t>assistance post-urgence. La délégation souhaitait entendre le Secrétariat à ce sujet. Enfin, les problèmes liés aux conflits armés, en particulier dans sa région, étaient essentiels mais les situations d</w:t>
      </w:r>
      <w:r w:rsidR="00346F1B">
        <w:t>’</w:t>
      </w:r>
      <w:r w:rsidR="000F4D28">
        <w:t xml:space="preserve">urgence ne se limitaient ni aux conflits armés, ni à une région du globe. Une approche mondiale devrait donc </w:t>
      </w:r>
      <w:r w:rsidR="00E904A9">
        <w:t xml:space="preserve">être </w:t>
      </w:r>
      <w:r w:rsidR="000F4D28">
        <w:t>adoptée. Dans ce contexte, on devrait tout particulièrement s</w:t>
      </w:r>
      <w:r w:rsidR="00346F1B">
        <w:t>’</w:t>
      </w:r>
      <w:r w:rsidR="000F4D28">
        <w:t>attacher à garantir la viabilité du PCI des pe</w:t>
      </w:r>
      <w:r w:rsidR="00E904A9">
        <w:t xml:space="preserve">rsonnes déplacées. À </w:t>
      </w:r>
      <w:r w:rsidR="000F4D28">
        <w:t xml:space="preserve">ce sujet, </w:t>
      </w:r>
      <w:r w:rsidR="00E904A9">
        <w:t>la délégation souhaitait faire part au Comité d</w:t>
      </w:r>
      <w:r w:rsidR="00346F1B">
        <w:t>’</w:t>
      </w:r>
      <w:r w:rsidR="000F4D28">
        <w:t xml:space="preserve">un nouveau projet élaboré par sa Commission nationale. </w:t>
      </w:r>
      <w:r w:rsidR="004D6C6A">
        <w:t xml:space="preserve">[Autre intervenant] Le </w:t>
      </w:r>
      <w:r w:rsidR="004D6C6A" w:rsidRPr="004D6C6A">
        <w:rPr>
          <w:b/>
        </w:rPr>
        <w:t>Président de la Commission nationale de l</w:t>
      </w:r>
      <w:r w:rsidR="00346F1B">
        <w:rPr>
          <w:b/>
        </w:rPr>
        <w:t>’</w:t>
      </w:r>
      <w:r w:rsidR="004D6C6A" w:rsidRPr="004D6C6A">
        <w:rPr>
          <w:b/>
        </w:rPr>
        <w:t>UNESCO</w:t>
      </w:r>
      <w:r w:rsidR="004D6C6A">
        <w:t xml:space="preserve"> a évoqué les trois millions de réfugiés syriens présents en Turquie depuis le début du conflit armé en Syrie. La Commission nationale avait mené des travaux de recherches dans les camps de réfugiés avec la participation de comités d</w:t>
      </w:r>
      <w:r w:rsidR="00346F1B">
        <w:t>’</w:t>
      </w:r>
      <w:r w:rsidR="004D6C6A">
        <w:t>experts dans les domaines de l</w:t>
      </w:r>
      <w:r w:rsidR="00346F1B">
        <w:t>’</w:t>
      </w:r>
      <w:r w:rsidR="004D6C6A">
        <w:t>éducation, de l</w:t>
      </w:r>
      <w:r w:rsidR="00346F1B">
        <w:t>’</w:t>
      </w:r>
      <w:r w:rsidR="004D6C6A">
        <w:t>égalité des genr</w:t>
      </w:r>
      <w:r w:rsidR="006711E3">
        <w:t xml:space="preserve">es, de la diversité culturelle et </w:t>
      </w:r>
      <w:r w:rsidR="004D6C6A">
        <w:t>du PCI</w:t>
      </w:r>
      <w:r w:rsidR="008D589A">
        <w:t>,</w:t>
      </w:r>
      <w:r w:rsidR="00FB72EE">
        <w:t xml:space="preserve"> ainsi que de</w:t>
      </w:r>
      <w:r w:rsidR="004D6C6A">
        <w:t xml:space="preserve"> spécialistes du programme MOST</w:t>
      </w:r>
      <w:r w:rsidR="006711E3">
        <w:rPr>
          <w:rStyle w:val="FootnoteReference"/>
        </w:rPr>
        <w:footnoteReference w:id="10"/>
      </w:r>
      <w:r w:rsidR="004D6C6A">
        <w:t>.</w:t>
      </w:r>
      <w:r w:rsidR="006711E3">
        <w:t xml:space="preserve"> Suite à ces travaux sur le terrain, la Commission avait acquis des connaissances générales sur le patrimoine des populations concernées, et avait pu conseiller la Direction des réfugiés. Celle-ci avait mis à di</w:t>
      </w:r>
      <w:r w:rsidR="00FB72EE">
        <w:t xml:space="preserve">sposition des réfugiés des installations et équipements </w:t>
      </w:r>
      <w:r w:rsidR="006711E3">
        <w:t>afin qu</w:t>
      </w:r>
      <w:r w:rsidR="00346F1B">
        <w:t>’</w:t>
      </w:r>
      <w:r w:rsidR="006711E3">
        <w:t>ils puissent pratiquer leur PCI dans le camp. L</w:t>
      </w:r>
      <w:r w:rsidR="00346F1B">
        <w:t>’</w:t>
      </w:r>
      <w:r w:rsidR="006711E3">
        <w:t>expérience acquise à l</w:t>
      </w:r>
      <w:r w:rsidR="00346F1B">
        <w:t>’</w:t>
      </w:r>
      <w:r w:rsidR="006711E3">
        <w:t xml:space="preserve">occasion de ce projet avait permis </w:t>
      </w:r>
      <w:r w:rsidR="00FB72EE">
        <w:t>de préparer</w:t>
      </w:r>
      <w:r w:rsidR="00E904A9">
        <w:t xml:space="preserve"> le présent débat sur ce sujet</w:t>
      </w:r>
      <w:r w:rsidR="00613028">
        <w:t>.</w:t>
      </w:r>
    </w:p>
    <w:p w14:paraId="76D34B39" w14:textId="3A439D13" w:rsidR="00FB72EE" w:rsidRPr="00FB72EE" w:rsidRDefault="00FB72EE" w:rsidP="00613028">
      <w:pPr>
        <w:pStyle w:val="Orateurengris"/>
        <w:spacing w:before="120"/>
        <w:ind w:left="709" w:hanging="709"/>
      </w:pPr>
      <w:r w:rsidRPr="00FB72EE">
        <w:t xml:space="preserve">Le </w:t>
      </w:r>
      <w:r w:rsidRPr="00FB72EE">
        <w:rPr>
          <w:b/>
        </w:rPr>
        <w:t>Président</w:t>
      </w:r>
      <w:r w:rsidRPr="00FB72EE">
        <w:t xml:space="preserve"> </w:t>
      </w:r>
      <w:r>
        <w:t>a signalé qu</w:t>
      </w:r>
      <w:r w:rsidR="00346F1B">
        <w:t>’</w:t>
      </w:r>
      <w:r>
        <w:t>une question spécifique avait été posée au Secrétariat afin qu</w:t>
      </w:r>
      <w:r w:rsidR="00346F1B">
        <w:t>’</w:t>
      </w:r>
      <w:r>
        <w:t>i</w:t>
      </w:r>
      <w:r w:rsidR="00613028">
        <w:t>l apporte des éclaircissements.</w:t>
      </w:r>
    </w:p>
    <w:p w14:paraId="35B51B13" w14:textId="11A9F54D" w:rsidR="00FB72EE" w:rsidRPr="00FB72EE" w:rsidRDefault="00FB72EE" w:rsidP="00613028">
      <w:pPr>
        <w:pStyle w:val="Orateurengris"/>
        <w:spacing w:before="120"/>
        <w:ind w:left="709" w:hanging="709"/>
      </w:pPr>
      <w:r>
        <w:t xml:space="preserve">Le </w:t>
      </w:r>
      <w:r w:rsidRPr="00FB72EE">
        <w:rPr>
          <w:b/>
        </w:rPr>
        <w:t>Secrétaire</w:t>
      </w:r>
      <w:r>
        <w:t xml:space="preserve"> a demandé à la Turquie si elle avait une question sur l</w:t>
      </w:r>
      <w:r w:rsidR="00346F1B">
        <w:t>’</w:t>
      </w:r>
      <w:r w:rsidR="00613028">
        <w:t>assistance internationale.</w:t>
      </w:r>
    </w:p>
    <w:p w14:paraId="79F136D6" w14:textId="313AFD35" w:rsidR="00FB72EE" w:rsidRPr="00FB72EE" w:rsidRDefault="00FB72EE" w:rsidP="00613028">
      <w:pPr>
        <w:pStyle w:val="Orateurengris"/>
        <w:spacing w:before="120"/>
        <w:ind w:left="709" w:hanging="709"/>
      </w:pPr>
      <w:r>
        <w:t xml:space="preserve">La délégation de la </w:t>
      </w:r>
      <w:r w:rsidRPr="00FB72EE">
        <w:rPr>
          <w:b/>
        </w:rPr>
        <w:t>Turquie</w:t>
      </w:r>
      <w:r>
        <w:t xml:space="preserve"> souhaitait une explication sur le mécanisme de réaction rapide en </w:t>
      </w:r>
      <w:r w:rsidR="00E212CF">
        <w:t xml:space="preserve">situation </w:t>
      </w:r>
      <w:r>
        <w:t>d</w:t>
      </w:r>
      <w:r w:rsidR="00346F1B">
        <w:t>’</w:t>
      </w:r>
      <w:r>
        <w:t>urgence. Elle voulait également savoir s</w:t>
      </w:r>
      <w:r w:rsidR="00346F1B">
        <w:t>’</w:t>
      </w:r>
      <w:r>
        <w:t>il y avait bien une proposition similaire à celle applicable dan</w:t>
      </w:r>
      <w:r w:rsidR="00E212CF">
        <w:t xml:space="preserve">s le cadre du </w:t>
      </w:r>
      <w:r w:rsidR="00613028">
        <w:t>patrimoine culturel en général.</w:t>
      </w:r>
    </w:p>
    <w:p w14:paraId="7CE7F1BF" w14:textId="7C0B2EB8" w:rsidR="00E212CF" w:rsidRDefault="00E212CF" w:rsidP="00613028">
      <w:pPr>
        <w:pStyle w:val="Orateurengris"/>
        <w:spacing w:before="120"/>
        <w:ind w:left="709" w:hanging="709"/>
      </w:pPr>
      <w:r>
        <w:t xml:space="preserve">Le </w:t>
      </w:r>
      <w:r w:rsidRPr="00E212CF">
        <w:rPr>
          <w:b/>
        </w:rPr>
        <w:t>Secrétaire</w:t>
      </w:r>
      <w:r>
        <w:t xml:space="preserve"> a expliqué qu</w:t>
      </w:r>
      <w:r w:rsidR="00346F1B">
        <w:t>’</w:t>
      </w:r>
      <w:r>
        <w:t>il existait un mécanisme pour les situations d</w:t>
      </w:r>
      <w:r w:rsidR="00346F1B">
        <w:t>’</w:t>
      </w:r>
      <w:r>
        <w:t>urgence au sein de l</w:t>
      </w:r>
      <w:r w:rsidR="00346F1B">
        <w:t>’</w:t>
      </w:r>
      <w:r>
        <w:t>assistance internationale, pour lequel la limite de 100</w:t>
      </w:r>
      <w:r w:rsidR="00346F1B">
        <w:t> 000</w:t>
      </w:r>
      <w:r>
        <w:t xml:space="preserve"> dollars des États-Unis n</w:t>
      </w:r>
      <w:r w:rsidR="00346F1B">
        <w:t>’</w:t>
      </w:r>
      <w:r>
        <w:t>était pas applicable, contrairement aux autres mécanismes. Il existait donc une disposition pour mobiliser rapidement l</w:t>
      </w:r>
      <w:r w:rsidR="00346F1B">
        <w:t>’</w:t>
      </w:r>
      <w:r>
        <w:t>assistance internationale bien que</w:t>
      </w:r>
      <w:r w:rsidR="00706A52">
        <w:t xml:space="preserve"> celle-ci n</w:t>
      </w:r>
      <w:r w:rsidR="00346F1B">
        <w:t>’</w:t>
      </w:r>
      <w:r w:rsidR="00706A52">
        <w:t>ait jusqu</w:t>
      </w:r>
      <w:r w:rsidR="00346F1B">
        <w:t>’</w:t>
      </w:r>
      <w:r w:rsidR="00706A52">
        <w:t xml:space="preserve">alors jamais </w:t>
      </w:r>
      <w:r>
        <w:t>été activée. En ce qui concerne certaines des questions soulevées par les Philippines et Cuba et en réponse à la proposition de l</w:t>
      </w:r>
      <w:r w:rsidR="00346F1B">
        <w:t>’</w:t>
      </w:r>
      <w:r>
        <w:t>Autriche de rédiger des projets de Directives opérationnelles d</w:t>
      </w:r>
      <w:r w:rsidR="00346F1B">
        <w:t>’</w:t>
      </w:r>
      <w:r>
        <w:t>ici la prochaine session, le Secrétaire estimait que, parce qu</w:t>
      </w:r>
      <w:r w:rsidR="00346F1B">
        <w:t>’</w:t>
      </w:r>
      <w:r>
        <w:t>il s</w:t>
      </w:r>
      <w:r w:rsidR="00346F1B">
        <w:t>’</w:t>
      </w:r>
      <w:r>
        <w:t>agissait d</w:t>
      </w:r>
      <w:r w:rsidR="00346F1B">
        <w:t>’</w:t>
      </w:r>
      <w:r>
        <w:t>un nouveau « territoire », il était très important d</w:t>
      </w:r>
      <w:r w:rsidR="00346F1B">
        <w:t>’</w:t>
      </w:r>
      <w:r>
        <w:t>avoir de</w:t>
      </w:r>
      <w:r w:rsidR="00706A52">
        <w:t>s discussions approfondies avant</w:t>
      </w:r>
      <w:r>
        <w:t xml:space="preserve"> de définir des Directives opérationnelles</w:t>
      </w:r>
      <w:r w:rsidR="00932411">
        <w:t>, et</w:t>
      </w:r>
      <w:r>
        <w:t xml:space="preserve"> </w:t>
      </w:r>
      <w:r w:rsidR="00706A52">
        <w:t xml:space="preserve">que </w:t>
      </w:r>
      <w:r w:rsidR="00932411">
        <w:t>le Comité avait besoin de temps pour mener à bien cette tâche. Le Secrétaire pensait que les cas de catastrophes naturelles et les situations de conflits étaient des questions difficiles et que le Comité devrait avoir des attentes réalistes quant à ce qu</w:t>
      </w:r>
      <w:r w:rsidR="00346F1B">
        <w:t>’</w:t>
      </w:r>
      <w:r w:rsidR="00932411">
        <w:t>il pourrait obtenir dans les douze prochains mois, même s</w:t>
      </w:r>
      <w:r w:rsidR="00346F1B">
        <w:t>’</w:t>
      </w:r>
      <w:r w:rsidR="00932411">
        <w:t>il reconnaissait que c</w:t>
      </w:r>
      <w:r w:rsidR="00346F1B">
        <w:t>’</w:t>
      </w:r>
      <w:r w:rsidR="00932411">
        <w:t>était une grande et belle idée. Le Secrétaire n</w:t>
      </w:r>
      <w:r w:rsidR="00346F1B">
        <w:t>’</w:t>
      </w:r>
      <w:r w:rsidR="00932411">
        <w:t>était pas convaincu que le Comité disposerait d</w:t>
      </w:r>
      <w:r w:rsidR="00346F1B">
        <w:t>’</w:t>
      </w:r>
      <w:r w:rsidR="00932411">
        <w:t>ici un an de toutes les informations sur ces question</w:t>
      </w:r>
      <w:r w:rsidR="00706A52">
        <w:t>s</w:t>
      </w:r>
      <w:r w:rsidR="00932411">
        <w:t>, c</w:t>
      </w:r>
      <w:r w:rsidR="00346F1B">
        <w:t>’</w:t>
      </w:r>
      <w:r w:rsidR="00932411">
        <w:t xml:space="preserve">était la raison pour laquelle une réflexion plus poussée et des études de cas supplémentaires étaient nécessaires afin de mieux </w:t>
      </w:r>
      <w:r w:rsidR="00706A52">
        <w:t xml:space="preserve">saisir </w:t>
      </w:r>
      <w:r w:rsidR="00932411">
        <w:t>la spécificité du PCI avant d</w:t>
      </w:r>
      <w:r w:rsidR="00346F1B">
        <w:t>’</w:t>
      </w:r>
      <w:r w:rsidR="00932411">
        <w:t>introduire des directives p</w:t>
      </w:r>
      <w:r w:rsidR="00613028">
        <w:t>ermanentes dans la Convention.</w:t>
      </w:r>
    </w:p>
    <w:p w14:paraId="05BF4F2B" w14:textId="75752D73" w:rsidR="00706A52" w:rsidRPr="00706A52" w:rsidRDefault="00706A52" w:rsidP="00613028">
      <w:pPr>
        <w:pStyle w:val="Orateurengris"/>
        <w:spacing w:before="120"/>
        <w:ind w:left="709" w:hanging="709"/>
      </w:pPr>
      <w:r>
        <w:t xml:space="preserve">Le </w:t>
      </w:r>
      <w:r w:rsidRPr="00706A52">
        <w:rPr>
          <w:b/>
        </w:rPr>
        <w:t>Président</w:t>
      </w:r>
      <w:r>
        <w:t xml:space="preserve"> a remercié le Secré</w:t>
      </w:r>
      <w:r w:rsidR="00613028">
        <w:t>taire pour cet éclaircissement.</w:t>
      </w:r>
    </w:p>
    <w:p w14:paraId="6D6B4950" w14:textId="3ECD62A7" w:rsidR="00706A52" w:rsidRPr="00706A52" w:rsidRDefault="00706A52" w:rsidP="00613028">
      <w:pPr>
        <w:pStyle w:val="Orateurengris"/>
        <w:spacing w:before="120"/>
        <w:ind w:left="709" w:hanging="709"/>
      </w:pPr>
      <w:r>
        <w:t xml:space="preserve">La délégation du </w:t>
      </w:r>
      <w:r w:rsidRPr="00706A52">
        <w:rPr>
          <w:b/>
        </w:rPr>
        <w:t>Liban</w:t>
      </w:r>
      <w:r>
        <w:t xml:space="preserve"> a reconnu l</w:t>
      </w:r>
      <w:r w:rsidR="00346F1B">
        <w:t>’</w:t>
      </w:r>
      <w:r>
        <w:t>importance de cette question et a remercié l</w:t>
      </w:r>
      <w:r w:rsidR="00346F1B">
        <w:t>’</w:t>
      </w:r>
      <w:r>
        <w:t>UNESCO et le Secrétariat de donner au Comité l</w:t>
      </w:r>
      <w:r w:rsidR="00346F1B">
        <w:t>’</w:t>
      </w:r>
      <w:r>
        <w:t>opportunité d</w:t>
      </w:r>
      <w:r w:rsidR="00346F1B">
        <w:t>’</w:t>
      </w:r>
      <w:r>
        <w:t>en débattre. Elle estimait néanmoins q</w:t>
      </w:r>
      <w:r w:rsidR="00DA3957">
        <w:t>ue l</w:t>
      </w:r>
      <w:r w:rsidR="00346F1B">
        <w:t>’</w:t>
      </w:r>
      <w:r w:rsidR="00DA3957">
        <w:t>accent devrait être mis sur</w:t>
      </w:r>
      <w:r>
        <w:t xml:space="preserve"> le développement du matériel de renforcement des capacités pour les situations d</w:t>
      </w:r>
      <w:r w:rsidR="00346F1B">
        <w:t>’</w:t>
      </w:r>
      <w:r>
        <w:t>urgence, et l</w:t>
      </w:r>
      <w:r w:rsidR="00346F1B">
        <w:t>’</w:t>
      </w:r>
      <w:r>
        <w:t>établissement d</w:t>
      </w:r>
      <w:r w:rsidR="00346F1B">
        <w:t>’</w:t>
      </w:r>
      <w:r>
        <w:t xml:space="preserve">instruments normatifs </w:t>
      </w:r>
      <w:r w:rsidR="00DA3957">
        <w:t xml:space="preserve">destinés à </w:t>
      </w:r>
      <w:r>
        <w:t>protéger les communautés, groupes et individus, en particulier s</w:t>
      </w:r>
      <w:r w:rsidR="00346F1B">
        <w:t>’</w:t>
      </w:r>
      <w:r>
        <w:t xml:space="preserve">agissant de la propriété intellectuelle. À cet égard, la délégation souhaitait savoir de quelle façon le Secrétariat envisageait de rassembler des connaissances et </w:t>
      </w:r>
      <w:r w:rsidR="00DA3957">
        <w:t>d</w:t>
      </w:r>
      <w:r w:rsidR="00346F1B">
        <w:t>’</w:t>
      </w:r>
      <w:r>
        <w:t>acquérir</w:t>
      </w:r>
      <w:r w:rsidR="00DA3957">
        <w:t xml:space="preserve"> de l</w:t>
      </w:r>
      <w:r w:rsidR="00346F1B">
        <w:t>’</w:t>
      </w:r>
      <w:r w:rsidR="00DA3957">
        <w:t>expérience sur le rôle des communautés et la comp</w:t>
      </w:r>
      <w:r w:rsidR="00613028">
        <w:t>ilation des données en général.</w:t>
      </w:r>
    </w:p>
    <w:p w14:paraId="6104E73C" w14:textId="27C127C0" w:rsidR="00DA3957" w:rsidRDefault="00DA3957" w:rsidP="00613028">
      <w:pPr>
        <w:pStyle w:val="Orateurengris"/>
        <w:spacing w:before="120"/>
        <w:ind w:left="709" w:hanging="709"/>
      </w:pPr>
      <w:r>
        <w:t xml:space="preserve">Le </w:t>
      </w:r>
      <w:r w:rsidRPr="00DA3957">
        <w:rPr>
          <w:b/>
        </w:rPr>
        <w:t>Secrétaire</w:t>
      </w:r>
      <w:r w:rsidR="004E2B6A">
        <w:t xml:space="preserve"> a expliqué qu</w:t>
      </w:r>
      <w:r w:rsidR="00346F1B">
        <w:t>’</w:t>
      </w:r>
      <w:r w:rsidR="004E2B6A">
        <w:t>à l</w:t>
      </w:r>
      <w:r w:rsidR="00346F1B">
        <w:t>’</w:t>
      </w:r>
      <w:r w:rsidR="004E2B6A">
        <w:t xml:space="preserve">avenir, </w:t>
      </w:r>
      <w:r>
        <w:t>l</w:t>
      </w:r>
      <w:r w:rsidR="00346F1B">
        <w:t>’</w:t>
      </w:r>
      <w:r>
        <w:t>objectif serait de disposer de plus d</w:t>
      </w:r>
      <w:r w:rsidR="00346F1B">
        <w:t>’</w:t>
      </w:r>
      <w:r>
        <w:t>étud</w:t>
      </w:r>
      <w:r w:rsidR="004E2B6A">
        <w:t>es de cas et de projets avec de</w:t>
      </w:r>
      <w:r>
        <w:t xml:space="preserve"> réelles implications. Le Secrétariat avait commencé à s</w:t>
      </w:r>
      <w:r w:rsidR="00346F1B">
        <w:t>’</w:t>
      </w:r>
      <w:r>
        <w:t>intéresser à la situation des réfugiés syriens et à travailler dans des pays comme la Jordanie et le Liban, où se trouvaient de grandes quantités de réfugiés. Les ca</w:t>
      </w:r>
      <w:r w:rsidR="0052609B">
        <w:t>tastrophes naturelles dans les p</w:t>
      </w:r>
      <w:r>
        <w:t xml:space="preserve">etits </w:t>
      </w:r>
      <w:r w:rsidR="0052609B">
        <w:t>É</w:t>
      </w:r>
      <w:r>
        <w:t>tats insulaires en développement (</w:t>
      </w:r>
      <w:r w:rsidR="004E2B6A">
        <w:t>PEID</w:t>
      </w:r>
      <w:r>
        <w:t>) étaient également un sujet d</w:t>
      </w:r>
      <w:r w:rsidR="00346F1B">
        <w:t>’</w:t>
      </w:r>
      <w:r>
        <w:t>étude intéressant et il était important de rassembler, autant que possible, les enseignements tirés d</w:t>
      </w:r>
      <w:r w:rsidR="00346F1B">
        <w:t>’</w:t>
      </w:r>
      <w:r>
        <w:t>expériences réelles. Une prochaine étape pourrait être une réunion d</w:t>
      </w:r>
      <w:r w:rsidR="00346F1B">
        <w:t>’</w:t>
      </w:r>
      <w:r>
        <w:t xml:space="preserve">experts afin de discuter de </w:t>
      </w:r>
      <w:r w:rsidR="00FC3D2F">
        <w:t>différentes situations ainsi que de la mise en œuvre d</w:t>
      </w:r>
      <w:r w:rsidR="00346F1B">
        <w:t>’</w:t>
      </w:r>
      <w:r w:rsidR="00FC3D2F">
        <w:t>un projet. C</w:t>
      </w:r>
      <w:r w:rsidR="00346F1B">
        <w:t>’</w:t>
      </w:r>
      <w:r w:rsidR="00FC3D2F">
        <w:t>était la raison pour laquelle le Secrétaire faisait preuve de prudence face à la hâte d</w:t>
      </w:r>
      <w:r w:rsidR="00346F1B">
        <w:t>’</w:t>
      </w:r>
      <w:r w:rsidR="00FC3D2F">
        <w:t>amender les Directives opérationnelles, du temps était nécessaire pour saisir pleinement la complexité des questions en jeu dans ces situations très diverses. On devrait disposer d</w:t>
      </w:r>
      <w:r w:rsidR="00346F1B">
        <w:t>’</w:t>
      </w:r>
      <w:r w:rsidR="00FC3D2F">
        <w:t>une expérience plus opérationnelle pour développer une réflexion poussée visant à établir un cadre pour comprendre le PCI dans ces situations</w:t>
      </w:r>
      <w:r w:rsidR="004E2B6A">
        <w:t>,</w:t>
      </w:r>
      <w:r w:rsidR="00FC3D2F">
        <w:t xml:space="preserve"> avant de le soumettre, à un moment donné, à adoption dans le </w:t>
      </w:r>
      <w:r w:rsidR="00613028">
        <w:t>cadre des procédures du Comité.</w:t>
      </w:r>
    </w:p>
    <w:p w14:paraId="0C448A9E" w14:textId="0EED4470" w:rsidR="002B023B" w:rsidRPr="004E2B6A" w:rsidRDefault="004E2B6A" w:rsidP="00613028">
      <w:pPr>
        <w:pStyle w:val="Orateurengris"/>
        <w:spacing w:before="120"/>
        <w:ind w:left="709" w:hanging="709"/>
      </w:pPr>
      <w:r>
        <w:t xml:space="preserve">La délégation de </w:t>
      </w:r>
      <w:r w:rsidRPr="002B023B">
        <w:rPr>
          <w:b/>
        </w:rPr>
        <w:t>Cuba</w:t>
      </w:r>
      <w:r>
        <w:t xml:space="preserve"> a remercié le Secrétariat pour cet éclaircissement, ajoutant qu</w:t>
      </w:r>
      <w:r w:rsidR="00346F1B">
        <w:t>’</w:t>
      </w:r>
      <w:r>
        <w:t>elle partageait l</w:t>
      </w:r>
      <w:r w:rsidR="00346F1B">
        <w:t>’</w:t>
      </w:r>
      <w:r>
        <w:t>idée que plus de temps était nécessaire pour faire progresser le processus avec l</w:t>
      </w:r>
      <w:r w:rsidR="00346F1B">
        <w:t>’</w:t>
      </w:r>
      <w:r>
        <w:t>établissement d</w:t>
      </w:r>
      <w:r w:rsidR="00346F1B">
        <w:t>’</w:t>
      </w:r>
      <w:r>
        <w:t>un mécanisme de réponse. Un plan d</w:t>
      </w:r>
      <w:r w:rsidR="00346F1B">
        <w:t>’</w:t>
      </w:r>
      <w:r>
        <w:t>action devait d</w:t>
      </w:r>
      <w:r w:rsidR="00346F1B">
        <w:t>’</w:t>
      </w:r>
      <w:r>
        <w:t>abord être adopté pendant la session 2017 avant de pouvoir introduire un mécanisme de réponse. Le Comité pouvait d</w:t>
      </w:r>
      <w:r w:rsidR="00346F1B">
        <w:t>’</w:t>
      </w:r>
      <w:r>
        <w:t xml:space="preserve">ores et déjà </w:t>
      </w:r>
      <w:r w:rsidR="002B023B">
        <w:t>commencer à réfléchir aux éventuelles contributions que la Convention pourrait faire à la stratégie de l</w:t>
      </w:r>
      <w:r w:rsidR="00346F1B">
        <w:t>’</w:t>
      </w:r>
      <w:r w:rsidR="002B023B">
        <w:t>UNESCO en matière de plan d</w:t>
      </w:r>
      <w:r w:rsidR="00346F1B">
        <w:t>’</w:t>
      </w:r>
      <w:r w:rsidR="002B023B">
        <w:t>action. La délégation a également évoqué les contributions financières en lien avec ces actions, et a précisé qu</w:t>
      </w:r>
      <w:r w:rsidR="00346F1B">
        <w:t>’</w:t>
      </w:r>
      <w:r w:rsidR="002B023B">
        <w:t>outre le budget régulier, les contributions volontaires seraient nécessaires. Il importait donc de savoir exactement quelle part du budget régulier serait consacrée à ces actions et d</w:t>
      </w:r>
      <w:r w:rsidR="00346F1B">
        <w:t>’</w:t>
      </w:r>
      <w:r w:rsidR="002B023B">
        <w:t>établir un plan d</w:t>
      </w:r>
      <w:r w:rsidR="00346F1B">
        <w:t>’</w:t>
      </w:r>
      <w:r w:rsidR="00613028">
        <w:t>action.</w:t>
      </w:r>
    </w:p>
    <w:p w14:paraId="0C4E1674" w14:textId="75D79F9B" w:rsidR="002B023B" w:rsidRDefault="002B023B" w:rsidP="00613028">
      <w:pPr>
        <w:pStyle w:val="Orateurengris"/>
        <w:spacing w:before="120"/>
        <w:ind w:left="709" w:hanging="709"/>
      </w:pPr>
      <w:r>
        <w:t xml:space="preserve">Le </w:t>
      </w:r>
      <w:r w:rsidRPr="002B023B">
        <w:rPr>
          <w:b/>
        </w:rPr>
        <w:t>Secrétaire</w:t>
      </w:r>
      <w:r w:rsidR="00D301C4">
        <w:t xml:space="preserve"> souhaitait </w:t>
      </w:r>
      <w:r>
        <w:t>souligner que ces actions ne pourraient être mises en œuvre qu</w:t>
      </w:r>
      <w:r w:rsidR="00346F1B">
        <w:t>’</w:t>
      </w:r>
      <w:r>
        <w:t>en ayant recours à des fonds extrabudgétaires car il n</w:t>
      </w:r>
      <w:r w:rsidR="00346F1B">
        <w:t>’</w:t>
      </w:r>
      <w:r>
        <w:t>y avait, à ce stade, aucun fonds du Programme régulier affecté à ces actions au sein de la Convention. C</w:t>
      </w:r>
      <w:r w:rsidR="00346F1B">
        <w:t>’</w:t>
      </w:r>
      <w:r>
        <w:t>était grâce aux fonds extrabudgétaires que le Secrétariat</w:t>
      </w:r>
      <w:r w:rsidR="00EE2D5F">
        <w:t xml:space="preserve"> envisageait d</w:t>
      </w:r>
      <w:r w:rsidR="00346F1B">
        <w:t>’</w:t>
      </w:r>
      <w:r w:rsidR="00EE2D5F">
        <w:t xml:space="preserve">avancer </w:t>
      </w:r>
      <w:r w:rsidR="00613028">
        <w:t>sur cette question.</w:t>
      </w:r>
    </w:p>
    <w:p w14:paraId="7FCBC058" w14:textId="2F24414F" w:rsidR="00EE2D5F" w:rsidRDefault="00EE2D5F" w:rsidP="00613028">
      <w:pPr>
        <w:pStyle w:val="Orateurengris"/>
        <w:spacing w:before="120"/>
        <w:ind w:left="709" w:hanging="709"/>
      </w:pPr>
      <w:r>
        <w:t xml:space="preserve">La délégation de la </w:t>
      </w:r>
      <w:r w:rsidRPr="00EE2D5F">
        <w:rPr>
          <w:b/>
        </w:rPr>
        <w:t>Hongrie</w:t>
      </w:r>
      <w:r>
        <w:t xml:space="preserve"> reconnaissait également l</w:t>
      </w:r>
      <w:r w:rsidR="00346F1B">
        <w:t>’</w:t>
      </w:r>
      <w:r>
        <w:t>importance et la gravité de la question, ajoutant qu</w:t>
      </w:r>
      <w:r w:rsidR="00346F1B">
        <w:t>’</w:t>
      </w:r>
      <w:r>
        <w:t>il s</w:t>
      </w:r>
      <w:r w:rsidR="00346F1B">
        <w:t>’</w:t>
      </w:r>
      <w:r>
        <w:t>agissait d</w:t>
      </w:r>
      <w:r w:rsidR="00346F1B">
        <w:t>’</w:t>
      </w:r>
      <w:r>
        <w:t xml:space="preserve">une question tout à fait appropriée pour le Comité. La délégation a dit souscrire </w:t>
      </w:r>
      <w:r w:rsidR="00956F08">
        <w:t>aux propos entendus jusqu</w:t>
      </w:r>
      <w:r w:rsidR="00346F1B">
        <w:t>’</w:t>
      </w:r>
      <w:r w:rsidR="00956F08">
        <w:t xml:space="preserve">alors, </w:t>
      </w:r>
      <w:r>
        <w:t>mais elle avait le sentiment que la spécificité du PCI, et la façon dont on pouvait le sauvegarder dans des situations d</w:t>
      </w:r>
      <w:r w:rsidR="00346F1B">
        <w:t>’</w:t>
      </w:r>
      <w:r>
        <w:t>urgence, n</w:t>
      </w:r>
      <w:r w:rsidR="00346F1B">
        <w:t>’</w:t>
      </w:r>
      <w:r>
        <w:t xml:space="preserve">étaient pas suffisamment abordées dans le document ou au cours de ce débat. </w:t>
      </w:r>
      <w:r w:rsidR="00A67898">
        <w:t>En outre, lorsque les populations se trouvaient dans des situations difficiles, le patrimoine matériel</w:t>
      </w:r>
      <w:r w:rsidR="00956F08">
        <w:t>, tout comme le PCI,</w:t>
      </w:r>
      <w:r w:rsidR="00A67898">
        <w:t xml:space="preserve"> était en danger. Les deux patrimoines étaient indissociables. Aussi, dans ces situations, on devrait réellement envisager le patrimoine comme un tout, de façon holistique, tant sous ses formes matérielles qu</w:t>
      </w:r>
      <w:r w:rsidR="00346F1B">
        <w:t>’</w:t>
      </w:r>
      <w:r w:rsidR="00A67898">
        <w:t>immatérielles. À ce sujet, la délégation a fait référence à la résolution 38/C 48 du Conseil exécutif sur la Stratégie pour le renforcement de l</w:t>
      </w:r>
      <w:r w:rsidR="00346F1B">
        <w:t>’</w:t>
      </w:r>
      <w:r w:rsidR="00A67898">
        <w:t>action de l</w:t>
      </w:r>
      <w:r w:rsidR="00346F1B">
        <w:t>’</w:t>
      </w:r>
      <w:r w:rsidR="00A67898">
        <w:t>UNESCO en matière de protection de la culture et de promotion du pluralisme culturel en cas de conflit armé, qui encourageait le Comité à ne pas s</w:t>
      </w:r>
      <w:r w:rsidR="00346F1B">
        <w:t>’</w:t>
      </w:r>
      <w:r w:rsidR="00A67898">
        <w:t xml:space="preserve">engager sur une voie séparée pour le PCI. </w:t>
      </w:r>
      <w:r w:rsidR="00956F08">
        <w:t>Le PCI étant très différent du patrimoine matériel, il y avait bien évidemment des spécificités dans l</w:t>
      </w:r>
      <w:r w:rsidR="00346F1B">
        <w:t>’</w:t>
      </w:r>
      <w:r w:rsidR="00956F08">
        <w:t>approche à adopter mais lorsqu</w:t>
      </w:r>
      <w:r w:rsidR="00346F1B">
        <w:t>’</w:t>
      </w:r>
      <w:r w:rsidR="00956F08">
        <w:t>on en venait à l</w:t>
      </w:r>
      <w:r w:rsidR="00346F1B">
        <w:t>’</w:t>
      </w:r>
      <w:r w:rsidR="00956F08">
        <w:t>action sur le terrain, les deux aspects du patrimoine devraient travailler en synergie et se renforcer l</w:t>
      </w:r>
      <w:r w:rsidR="00346F1B">
        <w:t>’</w:t>
      </w:r>
      <w:r w:rsidR="00956F08">
        <w:t>un l</w:t>
      </w:r>
      <w:r w:rsidR="00346F1B">
        <w:t>’</w:t>
      </w:r>
      <w:r w:rsidR="00956F08">
        <w:t>autre. La délégation encourageait donc les synergies et la coopération entre les différentes Convention</w:t>
      </w:r>
      <w:r w:rsidR="00471E2E">
        <w:t>s</w:t>
      </w:r>
      <w:r w:rsidR="00956F08">
        <w:t xml:space="preserve"> culturelles de l</w:t>
      </w:r>
      <w:r w:rsidR="00346F1B">
        <w:t>’</w:t>
      </w:r>
      <w:r w:rsidR="00956F08">
        <w:t>UNESCO qui devraient travailler ensemble sur ces questions afin d</w:t>
      </w:r>
      <w:r w:rsidR="00346F1B">
        <w:t>’</w:t>
      </w:r>
      <w:r w:rsidR="00956F08">
        <w:t>élaborer un outil commun de survie du patrimoine dans différentes situations. La délégation a conclu son intervention en encourageant une réflexion spécifique sur le PCI, mais en soulignant également qu</w:t>
      </w:r>
      <w:r w:rsidR="00346F1B">
        <w:t>’</w:t>
      </w:r>
      <w:r w:rsidR="00956F08">
        <w:t>au niveau opérationnel, on devait encourager les synergies, la coopération et l</w:t>
      </w:r>
      <w:r w:rsidR="00346F1B">
        <w:t>’</w:t>
      </w:r>
      <w:r w:rsidR="00613028">
        <w:t>intégration des approches.</w:t>
      </w:r>
    </w:p>
    <w:p w14:paraId="38E970BF" w14:textId="5EF62F1F" w:rsidR="0000113E" w:rsidRDefault="00471E2E" w:rsidP="00613028">
      <w:pPr>
        <w:pStyle w:val="Orateurengris"/>
        <w:spacing w:before="120"/>
        <w:ind w:left="709" w:hanging="709"/>
      </w:pPr>
      <w:r>
        <w:t xml:space="preserve">Le </w:t>
      </w:r>
      <w:r w:rsidRPr="00471E2E">
        <w:rPr>
          <w:b/>
        </w:rPr>
        <w:t>Secrétaire</w:t>
      </w:r>
      <w:r>
        <w:t xml:space="preserve"> </w:t>
      </w:r>
      <w:r w:rsidR="00D625D7">
        <w:t xml:space="preserve">souscrivait aux propos </w:t>
      </w:r>
      <w:r>
        <w:t>de la Hongrie et reconnaissait que, pour avancer, les lignes à suivre n</w:t>
      </w:r>
      <w:r w:rsidR="00346F1B">
        <w:t>’</w:t>
      </w:r>
      <w:r>
        <w:t>étaient pas toujours aussi claires. D</w:t>
      </w:r>
      <w:r w:rsidR="00346F1B">
        <w:t>’</w:t>
      </w:r>
      <w:r>
        <w:t xml:space="preserve">une certaine manière, la Convention </w:t>
      </w:r>
      <w:r w:rsidR="0000113E">
        <w:t>était en train de rattraper</w:t>
      </w:r>
      <w:r>
        <w:t xml:space="preserve"> </w:t>
      </w:r>
      <w:r w:rsidR="0000113E">
        <w:t xml:space="preserve">le retard sur </w:t>
      </w:r>
      <w:r>
        <w:t xml:space="preserve">ses collègues </w:t>
      </w:r>
      <w:r w:rsidR="0000113E">
        <w:t>qui intervenaient depuis longtemps sur le patrimoine bâti, mais les questions propres au PCI étaient plus complexes. Il était donc important de ne pas se précipiter et de prendre le temps de comprendre la portée et de tester des approches cohésives, exhaustives et interconnectées du patrimoine culturel dans ces situations, et de saisir les spécifici</w:t>
      </w:r>
      <w:r w:rsidR="00613028">
        <w:t>tés ainsi que les convergences.</w:t>
      </w:r>
    </w:p>
    <w:p w14:paraId="7830991A" w14:textId="6ADEFA22" w:rsidR="00E326A2" w:rsidRPr="00E326A2" w:rsidRDefault="00930E65" w:rsidP="00613028">
      <w:pPr>
        <w:pStyle w:val="Orateurengris"/>
        <w:spacing w:before="120"/>
        <w:ind w:left="709" w:hanging="709"/>
        <w:rPr>
          <w:color w:val="000000"/>
        </w:rPr>
      </w:pPr>
      <w:r>
        <w:rPr>
          <w:color w:val="000000"/>
        </w:rPr>
        <w:t xml:space="preserve">La </w:t>
      </w:r>
      <w:r w:rsidRPr="00930E65">
        <w:rPr>
          <w:color w:val="000000"/>
        </w:rPr>
        <w:t>délégation</w:t>
      </w:r>
      <w:r>
        <w:rPr>
          <w:color w:val="000000"/>
        </w:rPr>
        <w:t xml:space="preserve"> de </w:t>
      </w:r>
      <w:r w:rsidRPr="00E326A2">
        <w:rPr>
          <w:b/>
          <w:color w:val="000000"/>
        </w:rPr>
        <w:t>Cuba</w:t>
      </w:r>
      <w:r>
        <w:rPr>
          <w:color w:val="000000"/>
        </w:rPr>
        <w:t xml:space="preserve"> souhaitait préciser deux points. S</w:t>
      </w:r>
      <w:r w:rsidR="00346F1B">
        <w:rPr>
          <w:color w:val="000000"/>
        </w:rPr>
        <w:t>’</w:t>
      </w:r>
      <w:r>
        <w:rPr>
          <w:color w:val="000000"/>
        </w:rPr>
        <w:t>agissant de la discussion au sein de l</w:t>
      </w:r>
      <w:r w:rsidR="00346F1B">
        <w:rPr>
          <w:color w:val="000000"/>
        </w:rPr>
        <w:t>’</w:t>
      </w:r>
      <w:r>
        <w:rPr>
          <w:color w:val="000000"/>
        </w:rPr>
        <w:t xml:space="preserve">Assemblée générale et du Comité, la </w:t>
      </w:r>
      <w:r w:rsidRPr="00930E65">
        <w:rPr>
          <w:color w:val="000000"/>
        </w:rPr>
        <w:t>délégation</w:t>
      </w:r>
      <w:r>
        <w:rPr>
          <w:color w:val="000000"/>
        </w:rPr>
        <w:t xml:space="preserve"> a fait référence aux réflexions </w:t>
      </w:r>
      <w:r w:rsidR="00E326A2">
        <w:rPr>
          <w:color w:val="000000"/>
        </w:rPr>
        <w:t xml:space="preserve">engagées </w:t>
      </w:r>
      <w:r>
        <w:rPr>
          <w:color w:val="000000"/>
        </w:rPr>
        <w:t xml:space="preserve">dans le cadre de la </w:t>
      </w:r>
      <w:r w:rsidRPr="00930E65">
        <w:rPr>
          <w:color w:val="000000"/>
        </w:rPr>
        <w:t>stratégie</w:t>
      </w:r>
      <w:r>
        <w:rPr>
          <w:color w:val="000000"/>
        </w:rPr>
        <w:t xml:space="preserve"> de l</w:t>
      </w:r>
      <w:r w:rsidR="00346F1B">
        <w:rPr>
          <w:color w:val="000000"/>
        </w:rPr>
        <w:t>’</w:t>
      </w:r>
      <w:r>
        <w:rPr>
          <w:color w:val="000000"/>
        </w:rPr>
        <w:t xml:space="preserve">UNESCO, </w:t>
      </w:r>
      <w:r w:rsidR="00E326A2">
        <w:rPr>
          <w:color w:val="000000"/>
        </w:rPr>
        <w:t>dont il était ressorti qu</w:t>
      </w:r>
      <w:r w:rsidR="00346F1B">
        <w:rPr>
          <w:color w:val="000000"/>
        </w:rPr>
        <w:t>’</w:t>
      </w:r>
      <w:r w:rsidR="00E326A2">
        <w:rPr>
          <w:color w:val="000000"/>
        </w:rPr>
        <w:t xml:space="preserve">il ne fallait ni </w:t>
      </w:r>
      <w:r w:rsidR="00E326A2" w:rsidRPr="00E326A2">
        <w:rPr>
          <w:color w:val="000000"/>
        </w:rPr>
        <w:t>stratégie</w:t>
      </w:r>
      <w:r w:rsidR="00E326A2">
        <w:rPr>
          <w:color w:val="000000"/>
        </w:rPr>
        <w:t xml:space="preserve"> distincte, ni </w:t>
      </w:r>
      <w:r w:rsidR="00E326A2" w:rsidRPr="00E326A2">
        <w:rPr>
          <w:color w:val="000000"/>
        </w:rPr>
        <w:t>stratégie</w:t>
      </w:r>
      <w:r w:rsidR="00E326A2">
        <w:rPr>
          <w:color w:val="000000"/>
        </w:rPr>
        <w:t xml:space="preserve"> nouvelle. La question était de savoir comment la </w:t>
      </w:r>
      <w:r w:rsidR="00E326A2" w:rsidRPr="00E326A2">
        <w:rPr>
          <w:color w:val="000000"/>
        </w:rPr>
        <w:t>Convention</w:t>
      </w:r>
      <w:r w:rsidR="00E326A2">
        <w:rPr>
          <w:color w:val="000000"/>
        </w:rPr>
        <w:t xml:space="preserve"> de 2003 pourrait contribuer à ce plan d</w:t>
      </w:r>
      <w:r w:rsidR="00346F1B">
        <w:rPr>
          <w:color w:val="000000"/>
        </w:rPr>
        <w:t>’</w:t>
      </w:r>
      <w:r w:rsidR="00E326A2">
        <w:rPr>
          <w:color w:val="000000"/>
        </w:rPr>
        <w:t xml:space="preserve">action et à la </w:t>
      </w:r>
      <w:r w:rsidR="00E326A2" w:rsidRPr="00E326A2">
        <w:rPr>
          <w:color w:val="000000"/>
        </w:rPr>
        <w:t>stratégie</w:t>
      </w:r>
      <w:r w:rsidR="00E326A2">
        <w:rPr>
          <w:color w:val="000000"/>
        </w:rPr>
        <w:t xml:space="preserve"> globale. </w:t>
      </w:r>
      <w:r w:rsidR="00E326A2" w:rsidRPr="00E326A2">
        <w:rPr>
          <w:color w:val="000000"/>
        </w:rPr>
        <w:t>En ce qui concerne</w:t>
      </w:r>
      <w:r w:rsidR="00E326A2">
        <w:rPr>
          <w:color w:val="000000"/>
        </w:rPr>
        <w:t xml:space="preserve"> le budget, la </w:t>
      </w:r>
      <w:r w:rsidR="00E326A2" w:rsidRPr="00E326A2">
        <w:rPr>
          <w:color w:val="000000"/>
        </w:rPr>
        <w:t>délégation</w:t>
      </w:r>
      <w:r w:rsidR="00E326A2">
        <w:rPr>
          <w:color w:val="000000"/>
        </w:rPr>
        <w:t xml:space="preserve"> n</w:t>
      </w:r>
      <w:r w:rsidR="00346F1B">
        <w:rPr>
          <w:color w:val="000000"/>
        </w:rPr>
        <w:t>’</w:t>
      </w:r>
      <w:r w:rsidR="00E326A2">
        <w:rPr>
          <w:color w:val="000000"/>
        </w:rPr>
        <w:t xml:space="preserve">avait pas fait référence au fonds des programmes de la </w:t>
      </w:r>
      <w:r w:rsidR="00E326A2" w:rsidRPr="00E326A2">
        <w:rPr>
          <w:color w:val="000000"/>
        </w:rPr>
        <w:t>Convention</w:t>
      </w:r>
      <w:r w:rsidR="00E326A2">
        <w:rPr>
          <w:color w:val="000000"/>
        </w:rPr>
        <w:t xml:space="preserve">, ni aux contributions des États membres au budget régulier mais aux trois Fonds du </w:t>
      </w:r>
      <w:r w:rsidR="00E326A2" w:rsidRPr="00E326A2">
        <w:rPr>
          <w:color w:val="000000"/>
        </w:rPr>
        <w:t>patrimoine</w:t>
      </w:r>
      <w:r w:rsidR="00E326A2">
        <w:rPr>
          <w:color w:val="000000"/>
        </w:rPr>
        <w:t xml:space="preserve"> (des Conventions de 1972, 2003 et 2005) qui pourraient fournir des ressources pour sauvegarder le </w:t>
      </w:r>
      <w:r w:rsidR="00E326A2" w:rsidRPr="00E326A2">
        <w:rPr>
          <w:color w:val="000000"/>
        </w:rPr>
        <w:t>patrimoine</w:t>
      </w:r>
      <w:r w:rsidR="00613028">
        <w:rPr>
          <w:color w:val="000000"/>
        </w:rPr>
        <w:t xml:space="preserve"> dans ces situations.</w:t>
      </w:r>
    </w:p>
    <w:p w14:paraId="37BFB1D5" w14:textId="31CFB2CD" w:rsidR="00E326A2" w:rsidRPr="00E326A2" w:rsidRDefault="00E326A2" w:rsidP="00613028">
      <w:pPr>
        <w:pStyle w:val="Orateurengris"/>
        <w:spacing w:before="120"/>
        <w:ind w:left="709" w:hanging="709"/>
        <w:rPr>
          <w:color w:val="000000"/>
        </w:rPr>
      </w:pPr>
      <w:r>
        <w:rPr>
          <w:color w:val="000000"/>
        </w:rPr>
        <w:t xml:space="preserve">Le </w:t>
      </w:r>
      <w:r w:rsidRPr="00E326A2">
        <w:rPr>
          <w:b/>
          <w:color w:val="000000"/>
        </w:rPr>
        <w:t>Président</w:t>
      </w:r>
      <w:r>
        <w:rPr>
          <w:color w:val="000000"/>
        </w:rPr>
        <w:t xml:space="preserve"> a signalé que certains </w:t>
      </w:r>
      <w:r w:rsidRPr="00E326A2">
        <w:rPr>
          <w:color w:val="000000"/>
        </w:rPr>
        <w:t>observateur</w:t>
      </w:r>
      <w:r>
        <w:rPr>
          <w:color w:val="000000"/>
        </w:rPr>
        <w:t>s avaient demandé la parole.</w:t>
      </w:r>
    </w:p>
    <w:p w14:paraId="406FAF6E" w14:textId="293D5122" w:rsidR="009A0439" w:rsidRPr="009A0439" w:rsidRDefault="00E326A2" w:rsidP="00613028">
      <w:pPr>
        <w:pStyle w:val="Orateurengris"/>
        <w:spacing w:before="120"/>
        <w:ind w:left="709" w:hanging="709"/>
        <w:rPr>
          <w:color w:val="000000"/>
        </w:rPr>
      </w:pPr>
      <w:r>
        <w:rPr>
          <w:color w:val="000000"/>
        </w:rPr>
        <w:t xml:space="preserve">La </w:t>
      </w:r>
      <w:r w:rsidRPr="00E326A2">
        <w:rPr>
          <w:color w:val="000000"/>
        </w:rPr>
        <w:t>délégation</w:t>
      </w:r>
      <w:r>
        <w:rPr>
          <w:color w:val="000000"/>
        </w:rPr>
        <w:t xml:space="preserve"> de l</w:t>
      </w:r>
      <w:r w:rsidR="00346F1B">
        <w:rPr>
          <w:color w:val="000000"/>
        </w:rPr>
        <w:t>’</w:t>
      </w:r>
      <w:r w:rsidRPr="00E326A2">
        <w:rPr>
          <w:b/>
          <w:color w:val="000000"/>
        </w:rPr>
        <w:t>Azerbaïdjan</w:t>
      </w:r>
      <w:r>
        <w:rPr>
          <w:color w:val="000000"/>
        </w:rPr>
        <w:t xml:space="preserve"> a débuté son </w:t>
      </w:r>
      <w:r w:rsidRPr="00E326A2">
        <w:rPr>
          <w:color w:val="000000"/>
        </w:rPr>
        <w:t>intervention</w:t>
      </w:r>
      <w:r>
        <w:rPr>
          <w:color w:val="000000"/>
        </w:rPr>
        <w:t xml:space="preserve"> en félicitant le Secrétariat d</w:t>
      </w:r>
      <w:r w:rsidR="00346F1B">
        <w:rPr>
          <w:color w:val="000000"/>
        </w:rPr>
        <w:t>’</w:t>
      </w:r>
      <w:r>
        <w:rPr>
          <w:color w:val="000000"/>
        </w:rPr>
        <w:t>avoir introduit la question du PCI dans les situations d</w:t>
      </w:r>
      <w:r w:rsidR="00346F1B">
        <w:rPr>
          <w:color w:val="000000"/>
        </w:rPr>
        <w:t>’</w:t>
      </w:r>
      <w:r>
        <w:rPr>
          <w:color w:val="000000"/>
        </w:rPr>
        <w:t>urgence, ajoutant que de plus en plus de pays étaient malheureusement confrontés à l</w:t>
      </w:r>
      <w:r w:rsidR="00346F1B">
        <w:rPr>
          <w:color w:val="000000"/>
        </w:rPr>
        <w:t>’</w:t>
      </w:r>
      <w:r>
        <w:rPr>
          <w:color w:val="000000"/>
        </w:rPr>
        <w:t xml:space="preserve">urgence de sauvegarder leur </w:t>
      </w:r>
      <w:r w:rsidRPr="00E326A2">
        <w:rPr>
          <w:color w:val="000000"/>
        </w:rPr>
        <w:t>patrimoine</w:t>
      </w:r>
      <w:r>
        <w:rPr>
          <w:color w:val="000000"/>
        </w:rPr>
        <w:t xml:space="preserve"> vivant. Elle </w:t>
      </w:r>
      <w:r w:rsidR="00A55D13">
        <w:rPr>
          <w:color w:val="000000"/>
        </w:rPr>
        <w:t xml:space="preserve">était favorable à </w:t>
      </w:r>
      <w:r>
        <w:rPr>
          <w:color w:val="000000"/>
        </w:rPr>
        <w:t>l</w:t>
      </w:r>
      <w:r w:rsidR="00346F1B">
        <w:rPr>
          <w:color w:val="000000"/>
        </w:rPr>
        <w:t>’</w:t>
      </w:r>
      <w:r>
        <w:rPr>
          <w:color w:val="000000"/>
        </w:rPr>
        <w:t xml:space="preserve">approche consistant </w:t>
      </w:r>
      <w:r w:rsidR="00A55D13">
        <w:rPr>
          <w:color w:val="000000"/>
        </w:rPr>
        <w:t xml:space="preserve">à inclure les </w:t>
      </w:r>
      <w:r w:rsidR="00A55D13" w:rsidRPr="00A55D13">
        <w:rPr>
          <w:color w:val="000000"/>
        </w:rPr>
        <w:t>catastrophes</w:t>
      </w:r>
      <w:r w:rsidR="00A55D13">
        <w:rPr>
          <w:color w:val="000000"/>
        </w:rPr>
        <w:t xml:space="preserve"> humaines </w:t>
      </w:r>
      <w:r w:rsidR="00D51A33">
        <w:rPr>
          <w:color w:val="000000"/>
        </w:rPr>
        <w:t xml:space="preserve">et naturelles au sein du terme </w:t>
      </w:r>
      <w:r w:rsidR="00A55D13">
        <w:rPr>
          <w:color w:val="000000"/>
        </w:rPr>
        <w:t>« urgence » car l</w:t>
      </w:r>
      <w:r w:rsidR="00346F1B">
        <w:rPr>
          <w:color w:val="000000"/>
        </w:rPr>
        <w:t>’</w:t>
      </w:r>
      <w:r w:rsidR="00A55D13">
        <w:rPr>
          <w:color w:val="000000"/>
        </w:rPr>
        <w:t>urgence méritait d</w:t>
      </w:r>
      <w:r w:rsidR="00346F1B">
        <w:rPr>
          <w:color w:val="000000"/>
        </w:rPr>
        <w:t>’</w:t>
      </w:r>
      <w:r w:rsidR="00A55D13">
        <w:rPr>
          <w:color w:val="000000"/>
        </w:rPr>
        <w:t xml:space="preserve">être envisagée </w:t>
      </w:r>
      <w:r w:rsidR="00D625D7">
        <w:rPr>
          <w:color w:val="000000"/>
        </w:rPr>
        <w:t xml:space="preserve">dans </w:t>
      </w:r>
      <w:r w:rsidR="00A55D13">
        <w:rPr>
          <w:color w:val="000000"/>
        </w:rPr>
        <w:t xml:space="preserve">une </w:t>
      </w:r>
      <w:r w:rsidR="00A55D13" w:rsidRPr="00A55D13">
        <w:rPr>
          <w:color w:val="000000"/>
        </w:rPr>
        <w:t>perspective</w:t>
      </w:r>
      <w:r w:rsidR="00A55D13">
        <w:rPr>
          <w:color w:val="000000"/>
        </w:rPr>
        <w:t xml:space="preserve"> plus large en tenant compte du cadre normatif de la </w:t>
      </w:r>
      <w:r w:rsidR="00A55D13" w:rsidRPr="00A55D13">
        <w:rPr>
          <w:color w:val="000000"/>
        </w:rPr>
        <w:t>Convention</w:t>
      </w:r>
      <w:r w:rsidR="00D51A33">
        <w:rPr>
          <w:color w:val="000000"/>
        </w:rPr>
        <w:t>, y compris d</w:t>
      </w:r>
      <w:r w:rsidR="00A55D13">
        <w:rPr>
          <w:color w:val="000000"/>
        </w:rPr>
        <w:t>es Directives opérationnelles récemment adoptées sur le PCI et le développement durable. Elle estimait que cette question devrait égale</w:t>
      </w:r>
      <w:r w:rsidR="009A0439">
        <w:rPr>
          <w:color w:val="000000"/>
        </w:rPr>
        <w:t>ment</w:t>
      </w:r>
      <w:r w:rsidR="00A55D13">
        <w:rPr>
          <w:color w:val="000000"/>
        </w:rPr>
        <w:t xml:space="preserve"> être envisagée dans le cadre de la </w:t>
      </w:r>
      <w:r w:rsidR="009A0439">
        <w:rPr>
          <w:color w:val="000000"/>
        </w:rPr>
        <w:t>S</w:t>
      </w:r>
      <w:r w:rsidR="00A55D13" w:rsidRPr="00A55D13">
        <w:rPr>
          <w:color w:val="000000"/>
        </w:rPr>
        <w:t>tratégie</w:t>
      </w:r>
      <w:r w:rsidR="009A0439">
        <w:rPr>
          <w:color w:val="000000"/>
        </w:rPr>
        <w:t xml:space="preserve"> pour le </w:t>
      </w:r>
      <w:r w:rsidR="009A0439" w:rsidRPr="009A0439">
        <w:rPr>
          <w:color w:val="000000"/>
        </w:rPr>
        <w:t xml:space="preserve">renforcement </w:t>
      </w:r>
      <w:r w:rsidR="009A0439">
        <w:rPr>
          <w:color w:val="000000"/>
        </w:rPr>
        <w:t>de l</w:t>
      </w:r>
      <w:r w:rsidR="00346F1B">
        <w:rPr>
          <w:color w:val="000000"/>
        </w:rPr>
        <w:t>’</w:t>
      </w:r>
      <w:r w:rsidR="009A0439">
        <w:rPr>
          <w:color w:val="000000"/>
        </w:rPr>
        <w:t>action de l</w:t>
      </w:r>
      <w:r w:rsidR="00346F1B">
        <w:rPr>
          <w:color w:val="000000"/>
        </w:rPr>
        <w:t>’</w:t>
      </w:r>
      <w:r w:rsidR="009A0439">
        <w:rPr>
          <w:color w:val="000000"/>
        </w:rPr>
        <w:t xml:space="preserve">UNESCO en matière de protection de la culture et de promotion du pluralisme culturel en cas de conflit armé, ainsi que des mécanismes de réduction des risques de catastrophes auxquels la culture et le </w:t>
      </w:r>
      <w:r w:rsidR="009A0439" w:rsidRPr="009A0439">
        <w:rPr>
          <w:color w:val="000000"/>
        </w:rPr>
        <w:t>patrimoine</w:t>
      </w:r>
      <w:r w:rsidR="009A0439">
        <w:rPr>
          <w:color w:val="000000"/>
        </w:rPr>
        <w:t xml:space="preserve"> </w:t>
      </w:r>
      <w:r w:rsidR="009A0439" w:rsidRPr="009A0439">
        <w:rPr>
          <w:color w:val="000000"/>
        </w:rPr>
        <w:t>immatériel</w:t>
      </w:r>
      <w:r w:rsidR="009A0439">
        <w:rPr>
          <w:color w:val="000000"/>
        </w:rPr>
        <w:t xml:space="preserve"> avaient déjà été intégrés. Elle croyait </w:t>
      </w:r>
      <w:r w:rsidR="009A0439" w:rsidRPr="009A0439">
        <w:rPr>
          <w:color w:val="000000"/>
        </w:rPr>
        <w:t>également</w:t>
      </w:r>
      <w:r w:rsidR="009A0439">
        <w:rPr>
          <w:color w:val="000000"/>
        </w:rPr>
        <w:t xml:space="preserve"> que des évolutions étaient </w:t>
      </w:r>
      <w:r w:rsidR="009A0439" w:rsidRPr="009A0439">
        <w:rPr>
          <w:color w:val="000000"/>
        </w:rPr>
        <w:t>peut-être</w:t>
      </w:r>
      <w:r w:rsidR="009A0439">
        <w:rPr>
          <w:color w:val="000000"/>
        </w:rPr>
        <w:t xml:space="preserve"> </w:t>
      </w:r>
      <w:r w:rsidR="009A0439" w:rsidRPr="009A0439">
        <w:rPr>
          <w:color w:val="000000"/>
        </w:rPr>
        <w:t xml:space="preserve">nécessaires </w:t>
      </w:r>
      <w:r w:rsidR="009A0439">
        <w:rPr>
          <w:color w:val="000000"/>
        </w:rPr>
        <w:t>au niveau du droit humanitaire international. P</w:t>
      </w:r>
      <w:r w:rsidR="009A0439" w:rsidRPr="009A0439">
        <w:rPr>
          <w:color w:val="000000"/>
        </w:rPr>
        <w:t>ar exemple</w:t>
      </w:r>
      <w:r w:rsidR="009A0439">
        <w:rPr>
          <w:color w:val="000000"/>
        </w:rPr>
        <w:t>, de meilleures synergies et un échange d</w:t>
      </w:r>
      <w:r w:rsidR="00346F1B">
        <w:rPr>
          <w:color w:val="000000"/>
        </w:rPr>
        <w:t>’</w:t>
      </w:r>
      <w:r w:rsidR="009A0439">
        <w:rPr>
          <w:color w:val="000000"/>
        </w:rPr>
        <w:t>expériences amélioré pourraient être envisagés avec la Convention de La Haye de 1954 pour la protection des biens culturels en cas de conflit armé, en mettant l</w:t>
      </w:r>
      <w:r w:rsidR="00346F1B">
        <w:rPr>
          <w:color w:val="000000"/>
        </w:rPr>
        <w:t>’</w:t>
      </w:r>
      <w:r w:rsidR="009A0439">
        <w:rPr>
          <w:color w:val="000000"/>
        </w:rPr>
        <w:t xml:space="preserve">accent sur la situation du PCI des personnes déplacées. La </w:t>
      </w:r>
      <w:r w:rsidR="009A0439" w:rsidRPr="009A0439">
        <w:rPr>
          <w:color w:val="000000"/>
        </w:rPr>
        <w:t>délégation</w:t>
      </w:r>
      <w:r w:rsidR="009A0439">
        <w:rPr>
          <w:color w:val="000000"/>
        </w:rPr>
        <w:t xml:space="preserve"> souhaitait insister sur ce point car elle estimait que le PCI des personnes déplacées devrait être pris en </w:t>
      </w:r>
      <w:r w:rsidR="009A0439" w:rsidRPr="009A0439">
        <w:rPr>
          <w:color w:val="000000"/>
        </w:rPr>
        <w:t>considération</w:t>
      </w:r>
      <w:r w:rsidR="009A0439">
        <w:rPr>
          <w:color w:val="000000"/>
        </w:rPr>
        <w:t xml:space="preserve"> en mettant en place des mécanismes perti</w:t>
      </w:r>
      <w:r w:rsidR="00D51A33">
        <w:rPr>
          <w:color w:val="000000"/>
        </w:rPr>
        <w:t>n</w:t>
      </w:r>
      <w:r w:rsidR="009A0439">
        <w:rPr>
          <w:color w:val="000000"/>
        </w:rPr>
        <w:t>ents, y compr</w:t>
      </w:r>
      <w:r w:rsidR="00D51A33">
        <w:rPr>
          <w:color w:val="000000"/>
        </w:rPr>
        <w:t>i</w:t>
      </w:r>
      <w:r w:rsidR="009A0439">
        <w:rPr>
          <w:color w:val="000000"/>
        </w:rPr>
        <w:t>s l</w:t>
      </w:r>
      <w:r w:rsidR="00346F1B">
        <w:rPr>
          <w:color w:val="000000"/>
        </w:rPr>
        <w:t>’</w:t>
      </w:r>
      <w:r w:rsidR="009A0439">
        <w:rPr>
          <w:color w:val="000000"/>
        </w:rPr>
        <w:t xml:space="preserve">assistance internationale. Elle estimait </w:t>
      </w:r>
      <w:r w:rsidR="009A0439" w:rsidRPr="009A0439">
        <w:rPr>
          <w:color w:val="000000"/>
        </w:rPr>
        <w:t>également</w:t>
      </w:r>
      <w:r w:rsidR="009A0439">
        <w:rPr>
          <w:color w:val="000000"/>
        </w:rPr>
        <w:t xml:space="preserve"> que cette question nécessitait une réflexion plus </w:t>
      </w:r>
      <w:r w:rsidR="00D51A33">
        <w:rPr>
          <w:color w:val="000000"/>
        </w:rPr>
        <w:t xml:space="preserve">poussée </w:t>
      </w:r>
      <w:r w:rsidR="009A0439">
        <w:rPr>
          <w:color w:val="000000"/>
        </w:rPr>
        <w:t xml:space="preserve">afin de bien comprendre les types </w:t>
      </w:r>
      <w:r w:rsidR="00D51A33">
        <w:rPr>
          <w:color w:val="000000"/>
        </w:rPr>
        <w:t>d</w:t>
      </w:r>
      <w:r w:rsidR="00346F1B">
        <w:rPr>
          <w:color w:val="000000"/>
        </w:rPr>
        <w:t>’</w:t>
      </w:r>
      <w:r w:rsidR="00D51A33">
        <w:rPr>
          <w:color w:val="000000"/>
        </w:rPr>
        <w:t>actions, de mesures et de polit</w:t>
      </w:r>
      <w:r w:rsidR="009A0439">
        <w:rPr>
          <w:color w:val="000000"/>
        </w:rPr>
        <w:t>iques qui pourraient être mises en œuvre pour re</w:t>
      </w:r>
      <w:r w:rsidR="00D51A33">
        <w:rPr>
          <w:color w:val="000000"/>
        </w:rPr>
        <w:t>nforcer la résistance des États, en vue de prévenir et d</w:t>
      </w:r>
      <w:r w:rsidR="00346F1B">
        <w:rPr>
          <w:color w:val="000000"/>
        </w:rPr>
        <w:t>’</w:t>
      </w:r>
      <w:r w:rsidR="00D51A33">
        <w:rPr>
          <w:color w:val="000000"/>
        </w:rPr>
        <w:t xml:space="preserve">atténuer les dommages infligés par de telles situations sur le </w:t>
      </w:r>
      <w:r w:rsidR="00D51A33" w:rsidRPr="00D51A33">
        <w:rPr>
          <w:color w:val="000000"/>
        </w:rPr>
        <w:t>patrimoine</w:t>
      </w:r>
      <w:r w:rsidR="00D51A33">
        <w:rPr>
          <w:color w:val="000000"/>
        </w:rPr>
        <w:t xml:space="preserve"> immatériel et les c</w:t>
      </w:r>
      <w:r w:rsidR="00613028">
        <w:rPr>
          <w:color w:val="000000"/>
        </w:rPr>
        <w:t>ommunautés qui le pratiquaient.</w:t>
      </w:r>
    </w:p>
    <w:p w14:paraId="12C13973" w14:textId="7F4F4712" w:rsidR="00D51A33" w:rsidRPr="00D51A33" w:rsidRDefault="00D51A33" w:rsidP="00613028">
      <w:pPr>
        <w:pStyle w:val="Orateurengris"/>
        <w:spacing w:before="120"/>
        <w:ind w:left="709" w:hanging="709"/>
        <w:rPr>
          <w:color w:val="000000"/>
        </w:rPr>
      </w:pPr>
      <w:r>
        <w:rPr>
          <w:color w:val="000000"/>
        </w:rPr>
        <w:t xml:space="preserve">La </w:t>
      </w:r>
      <w:r w:rsidRPr="00D51A33">
        <w:rPr>
          <w:color w:val="000000"/>
        </w:rPr>
        <w:t>délégation</w:t>
      </w:r>
      <w:r>
        <w:rPr>
          <w:color w:val="000000"/>
        </w:rPr>
        <w:t xml:space="preserve"> de la </w:t>
      </w:r>
      <w:r w:rsidRPr="00D51A33">
        <w:rPr>
          <w:b/>
          <w:color w:val="000000"/>
        </w:rPr>
        <w:t>Grèce</w:t>
      </w:r>
      <w:r>
        <w:rPr>
          <w:color w:val="000000"/>
        </w:rPr>
        <w:t xml:space="preserve"> a </w:t>
      </w:r>
      <w:r w:rsidR="002363E2">
        <w:rPr>
          <w:color w:val="000000"/>
        </w:rPr>
        <w:t xml:space="preserve">remercié </w:t>
      </w:r>
      <w:r>
        <w:rPr>
          <w:color w:val="000000"/>
        </w:rPr>
        <w:t>le Secrétariat pour son travail minutieux</w:t>
      </w:r>
      <w:r w:rsidR="002363E2">
        <w:rPr>
          <w:color w:val="000000"/>
        </w:rPr>
        <w:t xml:space="preserve"> et l</w:t>
      </w:r>
      <w:r w:rsidR="00346F1B">
        <w:rPr>
          <w:color w:val="000000"/>
        </w:rPr>
        <w:t>’</w:t>
      </w:r>
      <w:r w:rsidR="002363E2">
        <w:rPr>
          <w:color w:val="000000"/>
        </w:rPr>
        <w:t xml:space="preserve">a félicité </w:t>
      </w:r>
      <w:r>
        <w:rPr>
          <w:color w:val="000000"/>
        </w:rPr>
        <w:t>d</w:t>
      </w:r>
      <w:r w:rsidR="00346F1B">
        <w:rPr>
          <w:color w:val="000000"/>
        </w:rPr>
        <w:t>’</w:t>
      </w:r>
      <w:r>
        <w:rPr>
          <w:color w:val="000000"/>
        </w:rPr>
        <w:t>avoir repris les points soulevés lors de la dernière session du Comité en Namibie et de la dernière Assemblée générale à Paris, soulignant le rôle et l</w:t>
      </w:r>
      <w:r w:rsidR="00346F1B">
        <w:rPr>
          <w:color w:val="000000"/>
        </w:rPr>
        <w:t>’</w:t>
      </w:r>
      <w:r>
        <w:rPr>
          <w:color w:val="000000"/>
        </w:rPr>
        <w:t xml:space="preserve">importance du PCI en cas de conflit armé et de </w:t>
      </w:r>
      <w:r w:rsidRPr="00D51A33">
        <w:rPr>
          <w:color w:val="000000"/>
        </w:rPr>
        <w:t>catastrophes</w:t>
      </w:r>
      <w:r w:rsidR="00CE66E7">
        <w:rPr>
          <w:color w:val="000000"/>
        </w:rPr>
        <w:t xml:space="preserve"> naturelles en général. Le</w:t>
      </w:r>
      <w:r>
        <w:rPr>
          <w:color w:val="000000"/>
        </w:rPr>
        <w:t xml:space="preserve"> rapport a été décrit comme très cohérent et bien présenté. </w:t>
      </w:r>
      <w:r w:rsidR="00CE66E7">
        <w:rPr>
          <w:color w:val="000000"/>
        </w:rPr>
        <w:t xml:space="preserve">La </w:t>
      </w:r>
      <w:r w:rsidR="00CE66E7" w:rsidRPr="00CE66E7">
        <w:rPr>
          <w:color w:val="000000"/>
        </w:rPr>
        <w:t>délégation</w:t>
      </w:r>
      <w:r w:rsidR="00CE66E7">
        <w:rPr>
          <w:color w:val="000000"/>
        </w:rPr>
        <w:t xml:space="preserve"> pensait que la voie à suivre, telle que présentée par le rapport et l</w:t>
      </w:r>
      <w:r w:rsidR="00346F1B">
        <w:rPr>
          <w:color w:val="000000"/>
        </w:rPr>
        <w:t>’</w:t>
      </w:r>
      <w:r w:rsidR="00CE66E7" w:rsidRPr="00CE66E7">
        <w:rPr>
          <w:color w:val="000000"/>
        </w:rPr>
        <w:t>amendement</w:t>
      </w:r>
      <w:r w:rsidR="00CE66E7">
        <w:rPr>
          <w:color w:val="000000"/>
        </w:rPr>
        <w:t xml:space="preserve"> proposé par l</w:t>
      </w:r>
      <w:r w:rsidR="00346F1B">
        <w:rPr>
          <w:color w:val="000000"/>
        </w:rPr>
        <w:t>’</w:t>
      </w:r>
      <w:r w:rsidR="00CE66E7">
        <w:rPr>
          <w:color w:val="000000"/>
        </w:rPr>
        <w:t xml:space="preserve">Autriche, était la bonne car le Comité devrait travailler en étroite </w:t>
      </w:r>
      <w:r w:rsidR="00CE66E7" w:rsidRPr="00CE66E7">
        <w:rPr>
          <w:color w:val="000000"/>
        </w:rPr>
        <w:t>collaboration</w:t>
      </w:r>
      <w:r w:rsidR="00CE66E7">
        <w:rPr>
          <w:color w:val="000000"/>
        </w:rPr>
        <w:t xml:space="preserve"> avec les autres Conventions qui traitaient de conflits et de </w:t>
      </w:r>
      <w:r w:rsidR="00CE66E7" w:rsidRPr="00CE66E7">
        <w:rPr>
          <w:color w:val="000000"/>
        </w:rPr>
        <w:t>catastrophes</w:t>
      </w:r>
      <w:r w:rsidR="00CE66E7">
        <w:rPr>
          <w:color w:val="000000"/>
        </w:rPr>
        <w:t>, à savoir le deuxième protocole de la Convention de La Haye, ainsi que d</w:t>
      </w:r>
      <w:r w:rsidR="00346F1B">
        <w:rPr>
          <w:color w:val="000000"/>
        </w:rPr>
        <w:t>’</w:t>
      </w:r>
      <w:r w:rsidR="00CE66E7">
        <w:rPr>
          <w:color w:val="000000"/>
        </w:rPr>
        <w:t>autres instrument</w:t>
      </w:r>
      <w:r w:rsidR="002363E2">
        <w:rPr>
          <w:color w:val="000000"/>
        </w:rPr>
        <w:t>s</w:t>
      </w:r>
      <w:r w:rsidR="00CE66E7">
        <w:rPr>
          <w:color w:val="000000"/>
        </w:rPr>
        <w:t xml:space="preserve"> de</w:t>
      </w:r>
      <w:r w:rsidR="002363E2">
        <w:rPr>
          <w:color w:val="000000"/>
        </w:rPr>
        <w:t>s</w:t>
      </w:r>
      <w:r w:rsidR="00CE66E7">
        <w:rPr>
          <w:color w:val="000000"/>
        </w:rPr>
        <w:t xml:space="preserve"> Conventions de l</w:t>
      </w:r>
      <w:r w:rsidR="00346F1B">
        <w:rPr>
          <w:color w:val="000000"/>
        </w:rPr>
        <w:t>’</w:t>
      </w:r>
      <w:r w:rsidR="00CE66E7">
        <w:rPr>
          <w:color w:val="000000"/>
        </w:rPr>
        <w:t xml:space="preserve">UNESCO. La </w:t>
      </w:r>
      <w:r w:rsidR="00CE66E7" w:rsidRPr="00CE66E7">
        <w:rPr>
          <w:color w:val="000000"/>
        </w:rPr>
        <w:t>délégation</w:t>
      </w:r>
      <w:r w:rsidR="00CE66E7">
        <w:rPr>
          <w:color w:val="000000"/>
        </w:rPr>
        <w:t xml:space="preserve"> était d</w:t>
      </w:r>
      <w:r w:rsidR="00346F1B">
        <w:rPr>
          <w:color w:val="000000"/>
        </w:rPr>
        <w:t>’</w:t>
      </w:r>
      <w:r w:rsidR="00CE66E7">
        <w:rPr>
          <w:color w:val="000000"/>
        </w:rPr>
        <w:t xml:space="preserve">accord avec le </w:t>
      </w:r>
      <w:r w:rsidR="00CE66E7" w:rsidRPr="00CE66E7">
        <w:rPr>
          <w:color w:val="000000"/>
        </w:rPr>
        <w:t>Secrétaire</w:t>
      </w:r>
      <w:r w:rsidR="00CE66E7">
        <w:rPr>
          <w:color w:val="000000"/>
        </w:rPr>
        <w:t xml:space="preserve"> qu</w:t>
      </w:r>
      <w:r w:rsidR="002363E2">
        <w:rPr>
          <w:color w:val="000000"/>
        </w:rPr>
        <w:t xml:space="preserve">i proposait de ne pas se hâter </w:t>
      </w:r>
      <w:r w:rsidR="00CE66E7">
        <w:rPr>
          <w:color w:val="000000"/>
        </w:rPr>
        <w:t>et d</w:t>
      </w:r>
      <w:r w:rsidR="00346F1B">
        <w:rPr>
          <w:color w:val="000000"/>
        </w:rPr>
        <w:t>’</w:t>
      </w:r>
      <w:r w:rsidR="00CE66E7">
        <w:rPr>
          <w:color w:val="000000"/>
        </w:rPr>
        <w:t>étudier des cas et la mise en application des idées afin d</w:t>
      </w:r>
      <w:r w:rsidR="00346F1B">
        <w:rPr>
          <w:color w:val="000000"/>
        </w:rPr>
        <w:t>’</w:t>
      </w:r>
      <w:r w:rsidR="00CE66E7">
        <w:rPr>
          <w:color w:val="000000"/>
        </w:rPr>
        <w:t>avancer avec les idées claires. En outre, qu</w:t>
      </w:r>
      <w:r w:rsidR="00346F1B">
        <w:rPr>
          <w:color w:val="000000"/>
        </w:rPr>
        <w:t>’</w:t>
      </w:r>
      <w:r w:rsidR="00CE66E7">
        <w:rPr>
          <w:color w:val="000000"/>
        </w:rPr>
        <w:t>il s</w:t>
      </w:r>
      <w:r w:rsidR="00346F1B">
        <w:rPr>
          <w:color w:val="000000"/>
        </w:rPr>
        <w:t>’</w:t>
      </w:r>
      <w:r w:rsidR="00CE66E7">
        <w:rPr>
          <w:color w:val="000000"/>
        </w:rPr>
        <w:t xml:space="preserve">agisse du </w:t>
      </w:r>
      <w:r w:rsidR="00CE66E7" w:rsidRPr="00CE66E7">
        <w:rPr>
          <w:color w:val="000000"/>
        </w:rPr>
        <w:t>patrimoine</w:t>
      </w:r>
      <w:r w:rsidR="00CE66E7">
        <w:rPr>
          <w:color w:val="000000"/>
        </w:rPr>
        <w:t xml:space="preserve"> bâti ou du PCI, il était important de documenter </w:t>
      </w:r>
      <w:r w:rsidR="002363E2">
        <w:rPr>
          <w:color w:val="000000"/>
        </w:rPr>
        <w:t>d</w:t>
      </w:r>
      <w:r w:rsidR="00346F1B">
        <w:rPr>
          <w:color w:val="000000"/>
        </w:rPr>
        <w:t>’</w:t>
      </w:r>
      <w:r w:rsidR="002363E2">
        <w:rPr>
          <w:color w:val="000000"/>
        </w:rPr>
        <w:t xml:space="preserve">abord </w:t>
      </w:r>
      <w:r w:rsidR="00CE66E7">
        <w:rPr>
          <w:color w:val="000000"/>
        </w:rPr>
        <w:t>le PCI avant que les situations d</w:t>
      </w:r>
      <w:r w:rsidR="00346F1B">
        <w:rPr>
          <w:color w:val="000000"/>
        </w:rPr>
        <w:t>’</w:t>
      </w:r>
      <w:r w:rsidR="00CE66E7">
        <w:rPr>
          <w:color w:val="000000"/>
        </w:rPr>
        <w:t xml:space="preserve">urgence </w:t>
      </w:r>
      <w:r w:rsidR="002363E2">
        <w:rPr>
          <w:color w:val="000000"/>
        </w:rPr>
        <w:t>ne se produisent, et ce, afin que les plans d</w:t>
      </w:r>
      <w:r w:rsidR="00346F1B">
        <w:rPr>
          <w:color w:val="000000"/>
        </w:rPr>
        <w:t>’</w:t>
      </w:r>
      <w:r w:rsidR="002363E2">
        <w:rPr>
          <w:color w:val="000000"/>
        </w:rPr>
        <w:t xml:space="preserve">action puissent être proposés en toute cohérence vis-à-vis des </w:t>
      </w:r>
      <w:r w:rsidR="002363E2" w:rsidRPr="002363E2">
        <w:rPr>
          <w:color w:val="000000"/>
        </w:rPr>
        <w:t>communauté</w:t>
      </w:r>
      <w:r w:rsidR="007719B5">
        <w:rPr>
          <w:color w:val="000000"/>
        </w:rPr>
        <w:t>s.</w:t>
      </w:r>
    </w:p>
    <w:p w14:paraId="635ABB1A" w14:textId="2EA4D5EA" w:rsidR="002363E2" w:rsidRPr="002363E2" w:rsidRDefault="002363E2" w:rsidP="00613028">
      <w:pPr>
        <w:pStyle w:val="Orateurengris"/>
        <w:spacing w:before="120"/>
        <w:ind w:left="709" w:hanging="709"/>
        <w:rPr>
          <w:color w:val="000000"/>
        </w:rPr>
      </w:pPr>
      <w:r w:rsidRPr="002363E2">
        <w:rPr>
          <w:color w:val="000000"/>
        </w:rPr>
        <w:t>S</w:t>
      </w:r>
      <w:r w:rsidR="00346F1B">
        <w:rPr>
          <w:color w:val="000000"/>
        </w:rPr>
        <w:t>’</w:t>
      </w:r>
      <w:r w:rsidRPr="002363E2">
        <w:rPr>
          <w:color w:val="000000"/>
        </w:rPr>
        <w:t>exprimant en tant que nouvel État partie à la Convention</w:t>
      </w:r>
      <w:r>
        <w:rPr>
          <w:color w:val="000000"/>
        </w:rPr>
        <w:t xml:space="preserve">, la </w:t>
      </w:r>
      <w:r w:rsidRPr="002363E2">
        <w:rPr>
          <w:color w:val="000000"/>
        </w:rPr>
        <w:t>délégation</w:t>
      </w:r>
      <w:r>
        <w:rPr>
          <w:color w:val="000000"/>
        </w:rPr>
        <w:t xml:space="preserve"> de la </w:t>
      </w:r>
      <w:r w:rsidRPr="00B7404C">
        <w:rPr>
          <w:b/>
          <w:color w:val="000000"/>
        </w:rPr>
        <w:t>Thaïlande</w:t>
      </w:r>
      <w:r>
        <w:rPr>
          <w:color w:val="000000"/>
        </w:rPr>
        <w:t xml:space="preserve"> avait écouté les discussions avec un très grand intérêt, </w:t>
      </w:r>
      <w:r w:rsidRPr="002363E2">
        <w:rPr>
          <w:color w:val="000000"/>
        </w:rPr>
        <w:t>en particulier</w:t>
      </w:r>
      <w:r>
        <w:rPr>
          <w:color w:val="000000"/>
        </w:rPr>
        <w:t xml:space="preserve"> s</w:t>
      </w:r>
      <w:r w:rsidR="00346F1B">
        <w:rPr>
          <w:color w:val="000000"/>
        </w:rPr>
        <w:t>’</w:t>
      </w:r>
      <w:r>
        <w:rPr>
          <w:color w:val="000000"/>
        </w:rPr>
        <w:t>agissant du PCI dans les cas d</w:t>
      </w:r>
      <w:r w:rsidR="00346F1B">
        <w:rPr>
          <w:color w:val="000000"/>
        </w:rPr>
        <w:t>’</w:t>
      </w:r>
      <w:r>
        <w:rPr>
          <w:color w:val="000000"/>
        </w:rPr>
        <w:t xml:space="preserve">urgence. Bien que la Thaïlande ait pris du temps pour ratifier la </w:t>
      </w:r>
      <w:r w:rsidRPr="002363E2">
        <w:rPr>
          <w:color w:val="000000"/>
        </w:rPr>
        <w:t>Convention</w:t>
      </w:r>
      <w:r>
        <w:rPr>
          <w:color w:val="000000"/>
        </w:rPr>
        <w:t xml:space="preserve">, en raison de ses réglementations internes </w:t>
      </w:r>
      <w:r w:rsidR="00B7404C">
        <w:rPr>
          <w:color w:val="000000"/>
        </w:rPr>
        <w:t>en matière de</w:t>
      </w:r>
      <w:r>
        <w:rPr>
          <w:color w:val="000000"/>
        </w:rPr>
        <w:t xml:space="preserve"> signature de</w:t>
      </w:r>
      <w:r w:rsidR="00B7404C">
        <w:rPr>
          <w:color w:val="000000"/>
        </w:rPr>
        <w:t>s</w:t>
      </w:r>
      <w:r>
        <w:rPr>
          <w:color w:val="000000"/>
        </w:rPr>
        <w:t xml:space="preserve"> conventions internationales</w:t>
      </w:r>
      <w:r w:rsidR="00B7404C">
        <w:rPr>
          <w:color w:val="000000"/>
        </w:rPr>
        <w:t xml:space="preserve">, la </w:t>
      </w:r>
      <w:r w:rsidR="00B7404C" w:rsidRPr="00B7404C">
        <w:rPr>
          <w:color w:val="000000"/>
        </w:rPr>
        <w:t>délégation</w:t>
      </w:r>
      <w:r w:rsidR="00B7404C">
        <w:rPr>
          <w:color w:val="000000"/>
        </w:rPr>
        <w:t xml:space="preserve"> a assuré le Comité de l</w:t>
      </w:r>
      <w:r w:rsidR="00346F1B">
        <w:rPr>
          <w:color w:val="000000"/>
        </w:rPr>
        <w:t>’</w:t>
      </w:r>
      <w:r w:rsidR="00B7404C">
        <w:rPr>
          <w:color w:val="000000"/>
        </w:rPr>
        <w:t>intérêt véritable et permanent de la Thaïlande pour le programme de l</w:t>
      </w:r>
      <w:r w:rsidR="00346F1B">
        <w:rPr>
          <w:color w:val="000000"/>
        </w:rPr>
        <w:t>’</w:t>
      </w:r>
      <w:r w:rsidR="00B7404C">
        <w:rPr>
          <w:color w:val="000000"/>
        </w:rPr>
        <w:t xml:space="preserve">UNESCO sur la </w:t>
      </w:r>
      <w:r w:rsidR="00B7404C" w:rsidRPr="00B7404C">
        <w:rPr>
          <w:color w:val="000000"/>
        </w:rPr>
        <w:t>protection</w:t>
      </w:r>
      <w:r w:rsidR="00B7404C">
        <w:rPr>
          <w:color w:val="000000"/>
        </w:rPr>
        <w:t xml:space="preserve"> du </w:t>
      </w:r>
      <w:r w:rsidR="00B7404C" w:rsidRPr="00B7404C">
        <w:rPr>
          <w:color w:val="000000"/>
        </w:rPr>
        <w:t>patrimoine</w:t>
      </w:r>
      <w:r w:rsidR="00B7404C">
        <w:rPr>
          <w:color w:val="000000"/>
        </w:rPr>
        <w:t xml:space="preserve"> </w:t>
      </w:r>
      <w:r w:rsidR="00B7404C" w:rsidRPr="00B7404C">
        <w:rPr>
          <w:color w:val="000000"/>
        </w:rPr>
        <w:t>culturel</w:t>
      </w:r>
      <w:r w:rsidR="00B7404C">
        <w:rPr>
          <w:color w:val="000000"/>
        </w:rPr>
        <w:t xml:space="preserve">, </w:t>
      </w:r>
      <w:r w:rsidR="00B7404C" w:rsidRPr="00B7404C">
        <w:rPr>
          <w:color w:val="000000"/>
        </w:rPr>
        <w:t>en particulier</w:t>
      </w:r>
      <w:r w:rsidR="00B7404C">
        <w:rPr>
          <w:color w:val="000000"/>
        </w:rPr>
        <w:t xml:space="preserve"> la </w:t>
      </w:r>
      <w:r w:rsidR="00B7404C" w:rsidRPr="00B7404C">
        <w:rPr>
          <w:color w:val="000000"/>
        </w:rPr>
        <w:t>sauvegarde</w:t>
      </w:r>
      <w:r w:rsidR="00B7404C">
        <w:rPr>
          <w:color w:val="000000"/>
        </w:rPr>
        <w:t xml:space="preserve"> du PCI, qui était considérée comme une </w:t>
      </w:r>
      <w:r w:rsidR="00B7404C" w:rsidRPr="00B7404C">
        <w:rPr>
          <w:color w:val="000000"/>
        </w:rPr>
        <w:t>stratégie</w:t>
      </w:r>
      <w:r w:rsidR="00B7404C">
        <w:rPr>
          <w:color w:val="000000"/>
        </w:rPr>
        <w:t xml:space="preserve"> très importante pour atteindre les objectifs de développement durable. Elle était </w:t>
      </w:r>
      <w:r w:rsidR="00B7404C" w:rsidRPr="00B7404C">
        <w:rPr>
          <w:color w:val="000000"/>
        </w:rPr>
        <w:t>également</w:t>
      </w:r>
      <w:r w:rsidR="00B7404C">
        <w:rPr>
          <w:color w:val="000000"/>
        </w:rPr>
        <w:t xml:space="preserve"> consciente de l</w:t>
      </w:r>
      <w:r w:rsidR="00346F1B">
        <w:rPr>
          <w:color w:val="000000"/>
        </w:rPr>
        <w:t>’</w:t>
      </w:r>
      <w:r w:rsidR="00B7404C">
        <w:rPr>
          <w:color w:val="000000"/>
        </w:rPr>
        <w:t xml:space="preserve">énorme potentiel du PCI en matière de </w:t>
      </w:r>
      <w:r w:rsidR="00B7404C" w:rsidRPr="00B7404C">
        <w:rPr>
          <w:color w:val="000000"/>
        </w:rPr>
        <w:t>résolution</w:t>
      </w:r>
      <w:r w:rsidR="00B7404C">
        <w:rPr>
          <w:color w:val="000000"/>
        </w:rPr>
        <w:t xml:space="preserve"> des conflits, de </w:t>
      </w:r>
      <w:r w:rsidR="00B7404C" w:rsidRPr="00B7404C">
        <w:rPr>
          <w:color w:val="000000"/>
        </w:rPr>
        <w:t>reconstruction</w:t>
      </w:r>
      <w:r w:rsidR="00B7404C">
        <w:rPr>
          <w:color w:val="000000"/>
        </w:rPr>
        <w:t xml:space="preserve"> post-urgence, de consolidation de la paix et de développement durable. La Thaïlande confirmait son </w:t>
      </w:r>
      <w:r w:rsidR="00B7404C" w:rsidRPr="00B7404C">
        <w:rPr>
          <w:color w:val="000000"/>
        </w:rPr>
        <w:t>engagement</w:t>
      </w:r>
      <w:r w:rsidR="00B7404C">
        <w:rPr>
          <w:color w:val="000000"/>
        </w:rPr>
        <w:t xml:space="preserve"> à travailler en étroite </w:t>
      </w:r>
      <w:r w:rsidR="00B7404C" w:rsidRPr="00B7404C">
        <w:rPr>
          <w:color w:val="000000"/>
        </w:rPr>
        <w:t>collaboration</w:t>
      </w:r>
      <w:r w:rsidR="00B7404C">
        <w:rPr>
          <w:color w:val="000000"/>
        </w:rPr>
        <w:t xml:space="preserve"> avec le Comité, ainsi qu</w:t>
      </w:r>
      <w:r w:rsidR="00346F1B">
        <w:rPr>
          <w:color w:val="000000"/>
        </w:rPr>
        <w:t>’</w:t>
      </w:r>
      <w:r w:rsidR="00B7404C">
        <w:rPr>
          <w:color w:val="000000"/>
        </w:rPr>
        <w:t xml:space="preserve">avec tous les États parties à la </w:t>
      </w:r>
      <w:r w:rsidR="00B7404C" w:rsidRPr="00B7404C">
        <w:rPr>
          <w:color w:val="000000"/>
        </w:rPr>
        <w:t>Convention</w:t>
      </w:r>
      <w:r w:rsidR="00B7404C">
        <w:rPr>
          <w:color w:val="000000"/>
        </w:rPr>
        <w:t xml:space="preserve"> et à l</w:t>
      </w:r>
      <w:r w:rsidR="00346F1B">
        <w:rPr>
          <w:color w:val="000000"/>
        </w:rPr>
        <w:t>’</w:t>
      </w:r>
      <w:r w:rsidR="00613028">
        <w:rPr>
          <w:color w:val="000000"/>
        </w:rPr>
        <w:t>UNESCO.</w:t>
      </w:r>
    </w:p>
    <w:p w14:paraId="5597D89C" w14:textId="530380C1" w:rsidR="00F9267B" w:rsidRPr="00F9267B" w:rsidRDefault="0010042E" w:rsidP="00613028">
      <w:pPr>
        <w:pStyle w:val="Orateurengris"/>
        <w:spacing w:before="120"/>
        <w:ind w:left="709" w:hanging="709"/>
        <w:rPr>
          <w:color w:val="000000"/>
        </w:rPr>
      </w:pPr>
      <w:r>
        <w:rPr>
          <w:color w:val="000000"/>
        </w:rPr>
        <w:t xml:space="preserve">Une </w:t>
      </w:r>
      <w:r w:rsidRPr="0010042E">
        <w:rPr>
          <w:b/>
          <w:color w:val="000000"/>
        </w:rPr>
        <w:t>représentante de l</w:t>
      </w:r>
      <w:r w:rsidR="00346F1B">
        <w:rPr>
          <w:b/>
          <w:color w:val="000000"/>
        </w:rPr>
        <w:t>’</w:t>
      </w:r>
      <w:r w:rsidRPr="0010042E">
        <w:rPr>
          <w:b/>
          <w:color w:val="000000"/>
        </w:rPr>
        <w:t>ONG Traditions pour demain</w:t>
      </w:r>
      <w:r>
        <w:rPr>
          <w:color w:val="000000"/>
        </w:rPr>
        <w:t xml:space="preserve">, Mme Christiane Johannot-Gradis, a évoqué son travail depuis trente ans en Amérique latine, et </w:t>
      </w:r>
      <w:r w:rsidRPr="0010042E">
        <w:rPr>
          <w:color w:val="000000"/>
        </w:rPr>
        <w:t>en particulier</w:t>
      </w:r>
      <w:r>
        <w:rPr>
          <w:color w:val="000000"/>
        </w:rPr>
        <w:t xml:space="preserve"> dans les situations de conflit armé ou de post-conflit. Elle a expliqué</w:t>
      </w:r>
      <w:r w:rsidR="00D625D7">
        <w:rPr>
          <w:color w:val="000000"/>
        </w:rPr>
        <w:t xml:space="preserve"> que</w:t>
      </w:r>
      <w:r>
        <w:rPr>
          <w:color w:val="000000"/>
        </w:rPr>
        <w:t xml:space="preserve">, comme chacun le savait, la guerre produisait le chaos et que, dans ces circonstances, le </w:t>
      </w:r>
      <w:r w:rsidRPr="0010042E">
        <w:rPr>
          <w:color w:val="000000"/>
        </w:rPr>
        <w:t>patrimoine</w:t>
      </w:r>
      <w:r>
        <w:rPr>
          <w:color w:val="000000"/>
        </w:rPr>
        <w:t xml:space="preserve"> </w:t>
      </w:r>
      <w:r w:rsidRPr="0010042E">
        <w:rPr>
          <w:color w:val="000000"/>
        </w:rPr>
        <w:t>culturel</w:t>
      </w:r>
      <w:r>
        <w:rPr>
          <w:color w:val="000000"/>
        </w:rPr>
        <w:t xml:space="preserve"> était </w:t>
      </w:r>
      <w:r w:rsidRPr="0010042E">
        <w:rPr>
          <w:color w:val="000000"/>
        </w:rPr>
        <w:t>particulièrement</w:t>
      </w:r>
      <w:r>
        <w:rPr>
          <w:color w:val="000000"/>
        </w:rPr>
        <w:t xml:space="preserve"> en danger, qu</w:t>
      </w:r>
      <w:r w:rsidR="00346F1B">
        <w:rPr>
          <w:color w:val="000000"/>
        </w:rPr>
        <w:t>’</w:t>
      </w:r>
      <w:r>
        <w:rPr>
          <w:color w:val="000000"/>
        </w:rPr>
        <w:t xml:space="preserve">il soit matériel ou </w:t>
      </w:r>
      <w:r w:rsidRPr="0010042E">
        <w:rPr>
          <w:color w:val="000000"/>
        </w:rPr>
        <w:t>immatériel</w:t>
      </w:r>
      <w:r>
        <w:rPr>
          <w:color w:val="000000"/>
        </w:rPr>
        <w:t>. C</w:t>
      </w:r>
      <w:r w:rsidR="00346F1B">
        <w:rPr>
          <w:color w:val="000000"/>
        </w:rPr>
        <w:t>’</w:t>
      </w:r>
      <w:r>
        <w:rPr>
          <w:color w:val="000000"/>
        </w:rPr>
        <w:t xml:space="preserve">était tout </w:t>
      </w:r>
      <w:r w:rsidRPr="0010042E">
        <w:rPr>
          <w:color w:val="000000"/>
        </w:rPr>
        <w:t>particulièrement</w:t>
      </w:r>
      <w:r>
        <w:rPr>
          <w:color w:val="000000"/>
        </w:rPr>
        <w:t xml:space="preserve"> vrai lorsque le </w:t>
      </w:r>
      <w:r w:rsidRPr="0010042E">
        <w:rPr>
          <w:color w:val="000000"/>
        </w:rPr>
        <w:t>patrimoine</w:t>
      </w:r>
      <w:r>
        <w:rPr>
          <w:color w:val="000000"/>
        </w:rPr>
        <w:t xml:space="preserve"> </w:t>
      </w:r>
      <w:r w:rsidRPr="0010042E">
        <w:rPr>
          <w:color w:val="000000"/>
        </w:rPr>
        <w:t>culturel</w:t>
      </w:r>
      <w:r>
        <w:rPr>
          <w:color w:val="000000"/>
        </w:rPr>
        <w:t xml:space="preserve"> lui-même était l</w:t>
      </w:r>
      <w:r w:rsidR="00346F1B">
        <w:rPr>
          <w:color w:val="000000"/>
        </w:rPr>
        <w:t>’</w:t>
      </w:r>
      <w:r>
        <w:rPr>
          <w:color w:val="000000"/>
        </w:rPr>
        <w:t xml:space="preserve">objet du conflit. Les conflits en cours, sur chaque continent, en fournissaient malheureusement la preuve chaque jour. Afin de préserver le </w:t>
      </w:r>
      <w:r w:rsidRPr="0010042E">
        <w:rPr>
          <w:color w:val="000000"/>
        </w:rPr>
        <w:t>patrimoine</w:t>
      </w:r>
      <w:r>
        <w:rPr>
          <w:color w:val="000000"/>
        </w:rPr>
        <w:t xml:space="preserve"> </w:t>
      </w:r>
      <w:r w:rsidRPr="0010042E">
        <w:rPr>
          <w:color w:val="000000"/>
        </w:rPr>
        <w:t>culturel</w:t>
      </w:r>
      <w:r>
        <w:rPr>
          <w:color w:val="000000"/>
        </w:rPr>
        <w:t xml:space="preserve"> lorsque le conflit éclatait, des mesures devaient être prises très rapidement. </w:t>
      </w:r>
      <w:r w:rsidR="00D625D7">
        <w:rPr>
          <w:color w:val="000000"/>
        </w:rPr>
        <w:t xml:space="preserve">Pour rendre cela </w:t>
      </w:r>
      <w:r>
        <w:rPr>
          <w:color w:val="000000"/>
        </w:rPr>
        <w:t xml:space="preserve">possible, un travail de </w:t>
      </w:r>
      <w:r w:rsidRPr="0010042E">
        <w:rPr>
          <w:color w:val="000000"/>
        </w:rPr>
        <w:t>préparation</w:t>
      </w:r>
      <w:r>
        <w:rPr>
          <w:color w:val="000000"/>
        </w:rPr>
        <w:t xml:space="preserve"> préliminaire </w:t>
      </w:r>
      <w:r w:rsidR="00F9267B">
        <w:rPr>
          <w:color w:val="000000"/>
        </w:rPr>
        <w:t>devait être en place. Bien que des mesures anticipées existent déjà dans de nombreux pays, la situation était différente avec le PCI, et le sentiment d</w:t>
      </w:r>
      <w:r w:rsidR="00346F1B">
        <w:rPr>
          <w:color w:val="000000"/>
        </w:rPr>
        <w:t>’</w:t>
      </w:r>
      <w:r w:rsidR="00F9267B">
        <w:rPr>
          <w:color w:val="000000"/>
        </w:rPr>
        <w:t>urgence persistait. Comme l</w:t>
      </w:r>
      <w:r w:rsidR="00346F1B">
        <w:rPr>
          <w:color w:val="000000"/>
        </w:rPr>
        <w:t>’</w:t>
      </w:r>
      <w:r w:rsidR="00F9267B">
        <w:rPr>
          <w:color w:val="000000"/>
        </w:rPr>
        <w:t>avaient souligné la Palestine et l</w:t>
      </w:r>
      <w:r w:rsidR="00346F1B">
        <w:rPr>
          <w:color w:val="000000"/>
        </w:rPr>
        <w:t>’</w:t>
      </w:r>
      <w:r w:rsidR="00F9267B">
        <w:rPr>
          <w:color w:val="000000"/>
        </w:rPr>
        <w:t xml:space="preserve">Autriche, il était </w:t>
      </w:r>
      <w:r w:rsidR="00F9267B" w:rsidRPr="00F9267B">
        <w:rPr>
          <w:color w:val="000000"/>
        </w:rPr>
        <w:t>particulièrement</w:t>
      </w:r>
      <w:r w:rsidR="00F9267B">
        <w:rPr>
          <w:color w:val="000000"/>
        </w:rPr>
        <w:t xml:space="preserve"> essentiel que des mesures soient adoptées sans délai afin de préserver le PCI dans de telles circonstances. </w:t>
      </w:r>
      <w:r w:rsidR="00F9267B" w:rsidRPr="00F9267B">
        <w:rPr>
          <w:color w:val="000000"/>
        </w:rPr>
        <w:t>Toutefois</w:t>
      </w:r>
      <w:r w:rsidR="00F9267B">
        <w:rPr>
          <w:color w:val="000000"/>
        </w:rPr>
        <w:t>, afin que les États parties élaborent et mettent en place de telles réglementations, il convenait que le Comité adopte des Directives opérationnelles traitant spécifiquement de ces questions. Mme Johannot-Gradis estimait donc qu</w:t>
      </w:r>
      <w:r w:rsidR="00346F1B">
        <w:rPr>
          <w:color w:val="000000"/>
        </w:rPr>
        <w:t>’</w:t>
      </w:r>
      <w:r w:rsidR="00F9267B">
        <w:rPr>
          <w:color w:val="000000"/>
        </w:rPr>
        <w:t xml:space="preserve">il était important que le débat à propos de ces </w:t>
      </w:r>
      <w:r w:rsidR="00F9267B" w:rsidRPr="00F9267B">
        <w:rPr>
          <w:color w:val="000000"/>
        </w:rPr>
        <w:t>orientations</w:t>
      </w:r>
      <w:r w:rsidR="00F9267B">
        <w:rPr>
          <w:color w:val="000000"/>
        </w:rPr>
        <w:t xml:space="preserve"> soit inscrit à l</w:t>
      </w:r>
      <w:r w:rsidR="00346F1B">
        <w:rPr>
          <w:color w:val="000000"/>
        </w:rPr>
        <w:t>’</w:t>
      </w:r>
      <w:r w:rsidR="00F9267B" w:rsidRPr="00F9267B">
        <w:rPr>
          <w:color w:val="000000"/>
        </w:rPr>
        <w:t>ordre du jour</w:t>
      </w:r>
      <w:r w:rsidR="00563ADB">
        <w:rPr>
          <w:color w:val="000000"/>
        </w:rPr>
        <w:t xml:space="preserve"> de la douzième ou, </w:t>
      </w:r>
      <w:r w:rsidR="00F9267B">
        <w:rPr>
          <w:color w:val="000000"/>
        </w:rPr>
        <w:t>au plus tard, de la treizième session du Comité, et qu</w:t>
      </w:r>
      <w:r w:rsidR="00346F1B">
        <w:rPr>
          <w:color w:val="000000"/>
        </w:rPr>
        <w:t>’</w:t>
      </w:r>
      <w:r w:rsidR="00F9267B">
        <w:rPr>
          <w:color w:val="000000"/>
        </w:rPr>
        <w:t xml:space="preserve">un </w:t>
      </w:r>
      <w:r w:rsidR="00F9267B" w:rsidRPr="00F9267B">
        <w:rPr>
          <w:color w:val="000000"/>
        </w:rPr>
        <w:t>groupe de travail</w:t>
      </w:r>
      <w:r w:rsidR="00F9267B">
        <w:rPr>
          <w:color w:val="000000"/>
        </w:rPr>
        <w:t xml:space="preserve"> </w:t>
      </w:r>
      <w:r w:rsidR="00F9267B" w:rsidRPr="00F9267B">
        <w:rPr>
          <w:i/>
          <w:color w:val="000000"/>
        </w:rPr>
        <w:t>ad hoc</w:t>
      </w:r>
      <w:r w:rsidR="00F9267B">
        <w:rPr>
          <w:color w:val="000000"/>
        </w:rPr>
        <w:t xml:space="preserve"> soit établi afin de travailler sur la question des synergies entre les Conventions culturelles de l</w:t>
      </w:r>
      <w:r w:rsidR="00346F1B">
        <w:rPr>
          <w:color w:val="000000"/>
        </w:rPr>
        <w:t>’</w:t>
      </w:r>
      <w:r w:rsidR="00F9267B">
        <w:rPr>
          <w:color w:val="000000"/>
        </w:rPr>
        <w:t>UNESCO, qui étai</w:t>
      </w:r>
      <w:r w:rsidR="00563ADB">
        <w:rPr>
          <w:color w:val="000000"/>
        </w:rPr>
        <w:t>en</w:t>
      </w:r>
      <w:r w:rsidR="00F9267B">
        <w:rPr>
          <w:color w:val="000000"/>
        </w:rPr>
        <w:t>t déjà en cours. Elle a souligné que beaucoup de preuves avaient déjà été réunies sur les conflits passés et qu</w:t>
      </w:r>
      <w:r w:rsidR="00346F1B">
        <w:rPr>
          <w:color w:val="000000"/>
        </w:rPr>
        <w:t>’</w:t>
      </w:r>
      <w:r w:rsidR="00F9267B">
        <w:rPr>
          <w:color w:val="000000"/>
        </w:rPr>
        <w:t xml:space="preserve">elles pourraient enrichir le travail de ce </w:t>
      </w:r>
      <w:r w:rsidR="00F9267B" w:rsidRPr="00F9267B">
        <w:rPr>
          <w:color w:val="000000"/>
        </w:rPr>
        <w:t>groupe de travail</w:t>
      </w:r>
      <w:r w:rsidR="00613028">
        <w:rPr>
          <w:color w:val="000000"/>
        </w:rPr>
        <w:t>.</w:t>
      </w:r>
    </w:p>
    <w:p w14:paraId="59AB3C18" w14:textId="71C6FD32" w:rsidR="00CB432D" w:rsidRPr="00CB432D" w:rsidRDefault="00CB432D" w:rsidP="00613028">
      <w:pPr>
        <w:pStyle w:val="Orateurengris"/>
        <w:spacing w:before="120"/>
        <w:ind w:left="709" w:hanging="709"/>
        <w:rPr>
          <w:color w:val="000000"/>
        </w:rPr>
      </w:pPr>
      <w:r>
        <w:rPr>
          <w:color w:val="000000"/>
        </w:rPr>
        <w:t xml:space="preserve">Le </w:t>
      </w:r>
      <w:r w:rsidRPr="00CB432D">
        <w:rPr>
          <w:b/>
          <w:color w:val="000000"/>
        </w:rPr>
        <w:t>Président</w:t>
      </w:r>
      <w:r>
        <w:rPr>
          <w:color w:val="000000"/>
        </w:rPr>
        <w:t xml:space="preserve"> souhaitait procéder à l</w:t>
      </w:r>
      <w:r w:rsidR="00346F1B">
        <w:rPr>
          <w:color w:val="000000"/>
        </w:rPr>
        <w:t>’</w:t>
      </w:r>
      <w:r>
        <w:rPr>
          <w:color w:val="000000"/>
        </w:rPr>
        <w:t xml:space="preserve">adoption du projet de décision </w:t>
      </w:r>
      <w:r w:rsidRPr="00CB432D">
        <w:rPr>
          <w:color w:val="000000"/>
        </w:rPr>
        <w:t>paragraphe</w:t>
      </w:r>
      <w:r>
        <w:rPr>
          <w:color w:val="000000"/>
        </w:rPr>
        <w:t xml:space="preserve"> par </w:t>
      </w:r>
      <w:r w:rsidRPr="00CB432D">
        <w:rPr>
          <w:color w:val="000000"/>
        </w:rPr>
        <w:t>paragraphe</w:t>
      </w:r>
      <w:r>
        <w:rPr>
          <w:color w:val="000000"/>
        </w:rPr>
        <w:t>. En l</w:t>
      </w:r>
      <w:r w:rsidR="00346F1B">
        <w:rPr>
          <w:color w:val="000000"/>
        </w:rPr>
        <w:t>’</w:t>
      </w:r>
      <w:r>
        <w:rPr>
          <w:color w:val="000000"/>
        </w:rPr>
        <w:t>absence d</w:t>
      </w:r>
      <w:r w:rsidR="00346F1B">
        <w:rPr>
          <w:color w:val="000000"/>
        </w:rPr>
        <w:t>’</w:t>
      </w:r>
      <w:r w:rsidRPr="00CB432D">
        <w:rPr>
          <w:color w:val="000000"/>
        </w:rPr>
        <w:t>objections</w:t>
      </w:r>
      <w:r>
        <w:rPr>
          <w:color w:val="000000"/>
        </w:rPr>
        <w:t xml:space="preserve"> ou de commentaires aux </w:t>
      </w:r>
      <w:r w:rsidRPr="00CB432D">
        <w:rPr>
          <w:color w:val="000000"/>
        </w:rPr>
        <w:t>p</w:t>
      </w:r>
      <w:r>
        <w:rPr>
          <w:color w:val="000000"/>
        </w:rPr>
        <w:t xml:space="preserve">aragraphes 1 à 3, ceux-ci ont été dûment adoptés. Le Président a signalé un </w:t>
      </w:r>
      <w:r w:rsidRPr="00CB432D">
        <w:rPr>
          <w:color w:val="000000"/>
        </w:rPr>
        <w:t>amendement</w:t>
      </w:r>
      <w:r>
        <w:rPr>
          <w:color w:val="000000"/>
        </w:rPr>
        <w:t xml:space="preserve"> de l</w:t>
      </w:r>
      <w:r w:rsidR="00346F1B">
        <w:rPr>
          <w:color w:val="000000"/>
        </w:rPr>
        <w:t>’</w:t>
      </w:r>
      <w:r>
        <w:rPr>
          <w:color w:val="000000"/>
        </w:rPr>
        <w:t xml:space="preserve">Autriche au </w:t>
      </w:r>
      <w:r w:rsidRPr="00CB432D">
        <w:rPr>
          <w:color w:val="000000"/>
        </w:rPr>
        <w:t>paragraphe</w:t>
      </w:r>
      <w:r w:rsidR="00613028">
        <w:rPr>
          <w:color w:val="000000"/>
        </w:rPr>
        <w:t xml:space="preserve"> 4.</w:t>
      </w:r>
    </w:p>
    <w:p w14:paraId="24137533" w14:textId="7B15CC09" w:rsidR="00CB432D" w:rsidRDefault="00CB432D" w:rsidP="00613028">
      <w:pPr>
        <w:pStyle w:val="Orateurengris"/>
        <w:spacing w:before="120"/>
        <w:ind w:left="709" w:hanging="709"/>
        <w:rPr>
          <w:color w:val="000000"/>
        </w:rPr>
      </w:pPr>
      <w:r>
        <w:rPr>
          <w:color w:val="000000"/>
        </w:rPr>
        <w:t xml:space="preserve">La </w:t>
      </w:r>
      <w:r w:rsidRPr="00CB432D">
        <w:rPr>
          <w:color w:val="000000"/>
        </w:rPr>
        <w:t>délégation</w:t>
      </w:r>
      <w:r>
        <w:rPr>
          <w:color w:val="000000"/>
        </w:rPr>
        <w:t xml:space="preserve"> de l</w:t>
      </w:r>
      <w:r w:rsidR="00346F1B">
        <w:rPr>
          <w:color w:val="000000"/>
        </w:rPr>
        <w:t>’</w:t>
      </w:r>
      <w:r w:rsidRPr="00CB432D">
        <w:rPr>
          <w:b/>
          <w:color w:val="000000"/>
        </w:rPr>
        <w:t>Autriche</w:t>
      </w:r>
      <w:r>
        <w:rPr>
          <w:color w:val="000000"/>
        </w:rPr>
        <w:t xml:space="preserve"> souhaitait faire référence à la </w:t>
      </w:r>
      <w:r w:rsidRPr="00CB432D">
        <w:rPr>
          <w:color w:val="000000"/>
        </w:rPr>
        <w:t>résolution</w:t>
      </w:r>
      <w:r>
        <w:rPr>
          <w:color w:val="000000"/>
        </w:rPr>
        <w:t xml:space="preserve"> du Conseil des droits de l</w:t>
      </w:r>
      <w:r w:rsidR="00346F1B">
        <w:rPr>
          <w:color w:val="000000"/>
        </w:rPr>
        <w:t>’</w:t>
      </w:r>
      <w:r w:rsidR="00613028">
        <w:rPr>
          <w:color w:val="000000"/>
        </w:rPr>
        <w:t>homme de septembre 2016.</w:t>
      </w:r>
    </w:p>
    <w:p w14:paraId="3C98AAAC" w14:textId="68097DC9" w:rsidR="00CB432D" w:rsidRPr="00CB432D" w:rsidRDefault="00CB432D" w:rsidP="00613028">
      <w:pPr>
        <w:pStyle w:val="Orateurengris"/>
        <w:spacing w:before="120"/>
        <w:ind w:left="709" w:hanging="709"/>
        <w:rPr>
          <w:color w:val="000000"/>
        </w:rPr>
      </w:pPr>
      <w:r w:rsidRPr="00CB432D">
        <w:rPr>
          <w:color w:val="000000"/>
        </w:rPr>
        <w:t>En l</w:t>
      </w:r>
      <w:r w:rsidR="00346F1B">
        <w:rPr>
          <w:color w:val="000000"/>
        </w:rPr>
        <w:t>’</w:t>
      </w:r>
      <w:r w:rsidRPr="00CB432D">
        <w:rPr>
          <w:color w:val="000000"/>
        </w:rPr>
        <w:t xml:space="preserve">absence </w:t>
      </w:r>
      <w:r>
        <w:rPr>
          <w:color w:val="000000"/>
        </w:rPr>
        <w:t>d</w:t>
      </w:r>
      <w:r w:rsidR="00346F1B">
        <w:rPr>
          <w:color w:val="000000"/>
        </w:rPr>
        <w:t>’</w:t>
      </w:r>
      <w:r>
        <w:rPr>
          <w:color w:val="000000"/>
        </w:rPr>
        <w:t xml:space="preserve">objections, le </w:t>
      </w:r>
      <w:r w:rsidRPr="00CB432D">
        <w:rPr>
          <w:b/>
          <w:color w:val="000000"/>
        </w:rPr>
        <w:t>Président</w:t>
      </w:r>
      <w:r>
        <w:rPr>
          <w:color w:val="000000"/>
        </w:rPr>
        <w:t xml:space="preserve"> a déclaré le </w:t>
      </w:r>
      <w:r w:rsidRPr="00CB432D">
        <w:rPr>
          <w:color w:val="000000"/>
        </w:rPr>
        <w:t>paragraphe</w:t>
      </w:r>
      <w:r>
        <w:rPr>
          <w:color w:val="000000"/>
        </w:rPr>
        <w:t xml:space="preserve"> 4 adopté tel qu</w:t>
      </w:r>
      <w:r w:rsidR="00346F1B">
        <w:rPr>
          <w:color w:val="000000"/>
        </w:rPr>
        <w:t>’</w:t>
      </w:r>
      <w:r>
        <w:rPr>
          <w:color w:val="000000"/>
        </w:rPr>
        <w:t>amendé. L</w:t>
      </w:r>
      <w:r w:rsidR="00346F1B">
        <w:rPr>
          <w:color w:val="000000"/>
        </w:rPr>
        <w:t>’</w:t>
      </w:r>
      <w:r w:rsidRPr="00CB432D">
        <w:rPr>
          <w:color w:val="000000"/>
        </w:rPr>
        <w:t>amendement</w:t>
      </w:r>
      <w:r>
        <w:rPr>
          <w:color w:val="000000"/>
        </w:rPr>
        <w:t xml:space="preserve"> de l</w:t>
      </w:r>
      <w:r w:rsidR="00346F1B">
        <w:rPr>
          <w:color w:val="000000"/>
        </w:rPr>
        <w:t>’</w:t>
      </w:r>
      <w:r>
        <w:rPr>
          <w:color w:val="000000"/>
        </w:rPr>
        <w:t xml:space="preserve">Autriche au </w:t>
      </w:r>
      <w:r w:rsidRPr="00CB432D">
        <w:rPr>
          <w:color w:val="000000"/>
        </w:rPr>
        <w:t>paragraphe</w:t>
      </w:r>
      <w:r>
        <w:rPr>
          <w:color w:val="000000"/>
        </w:rPr>
        <w:t xml:space="preserve"> 5 mettait en exergue « les conflits armés ».</w:t>
      </w:r>
    </w:p>
    <w:p w14:paraId="0CABC06A" w14:textId="7FE878D7" w:rsidR="00CB432D" w:rsidRPr="00CB432D" w:rsidRDefault="00013599" w:rsidP="00613028">
      <w:pPr>
        <w:pStyle w:val="Orateurengris"/>
        <w:spacing w:before="120"/>
        <w:ind w:left="709" w:hanging="709"/>
        <w:rPr>
          <w:color w:val="000000"/>
        </w:rPr>
      </w:pPr>
      <w:r>
        <w:rPr>
          <w:color w:val="000000"/>
        </w:rPr>
        <w:t xml:space="preserve">La </w:t>
      </w:r>
      <w:r w:rsidRPr="00013599">
        <w:rPr>
          <w:color w:val="000000"/>
        </w:rPr>
        <w:t>délégation</w:t>
      </w:r>
      <w:r>
        <w:rPr>
          <w:color w:val="000000"/>
        </w:rPr>
        <w:t xml:space="preserve"> de la </w:t>
      </w:r>
      <w:r w:rsidRPr="00013599">
        <w:rPr>
          <w:b/>
          <w:color w:val="000000"/>
        </w:rPr>
        <w:t>Turquie</w:t>
      </w:r>
      <w:r>
        <w:rPr>
          <w:color w:val="000000"/>
        </w:rPr>
        <w:t xml:space="preserve"> comprenait la </w:t>
      </w:r>
      <w:r w:rsidRPr="00013599">
        <w:rPr>
          <w:color w:val="000000"/>
        </w:rPr>
        <w:t>préoccupation</w:t>
      </w:r>
      <w:r>
        <w:rPr>
          <w:color w:val="000000"/>
        </w:rPr>
        <w:t xml:space="preserve"> de l</w:t>
      </w:r>
      <w:r w:rsidR="00346F1B">
        <w:rPr>
          <w:color w:val="000000"/>
        </w:rPr>
        <w:t>’</w:t>
      </w:r>
      <w:r>
        <w:rPr>
          <w:color w:val="000000"/>
        </w:rPr>
        <w:t xml:space="preserve">Autriche mais elle ne pensait pas que les conflits armés devraient être distingués car les </w:t>
      </w:r>
      <w:r w:rsidRPr="00013599">
        <w:rPr>
          <w:color w:val="000000"/>
        </w:rPr>
        <w:t>catastrophes</w:t>
      </w:r>
      <w:r>
        <w:rPr>
          <w:color w:val="000000"/>
        </w:rPr>
        <w:t xml:space="preserve"> naturelles et les personnes déplacées étaient </w:t>
      </w:r>
      <w:r w:rsidRPr="00013599">
        <w:rPr>
          <w:color w:val="000000"/>
        </w:rPr>
        <w:t>également</w:t>
      </w:r>
      <w:r>
        <w:rPr>
          <w:color w:val="000000"/>
        </w:rPr>
        <w:t xml:space="preserve"> importantes, auquel cas toutes les si</w:t>
      </w:r>
      <w:r w:rsidR="00613028">
        <w:rPr>
          <w:color w:val="000000"/>
        </w:rPr>
        <w:t>tuations devraient être citées.</w:t>
      </w:r>
    </w:p>
    <w:p w14:paraId="44F149F7" w14:textId="44B27284" w:rsidR="00013599" w:rsidRPr="00013599" w:rsidRDefault="00013599" w:rsidP="00613028">
      <w:pPr>
        <w:pStyle w:val="Orateurengris"/>
        <w:spacing w:before="120"/>
        <w:ind w:left="709" w:hanging="709"/>
        <w:rPr>
          <w:color w:val="000000"/>
        </w:rPr>
      </w:pPr>
      <w:r>
        <w:rPr>
          <w:color w:val="000000"/>
        </w:rPr>
        <w:t xml:space="preserve">La </w:t>
      </w:r>
      <w:r w:rsidRPr="00013599">
        <w:rPr>
          <w:color w:val="000000"/>
        </w:rPr>
        <w:t>délégation</w:t>
      </w:r>
      <w:r>
        <w:rPr>
          <w:color w:val="000000"/>
        </w:rPr>
        <w:t xml:space="preserve"> de l</w:t>
      </w:r>
      <w:r w:rsidR="00346F1B">
        <w:rPr>
          <w:color w:val="000000"/>
        </w:rPr>
        <w:t>’</w:t>
      </w:r>
      <w:r w:rsidRPr="00013599">
        <w:rPr>
          <w:b/>
          <w:color w:val="000000"/>
        </w:rPr>
        <w:t>Arménie</w:t>
      </w:r>
      <w:r>
        <w:rPr>
          <w:color w:val="000000"/>
        </w:rPr>
        <w:t xml:space="preserve"> n</w:t>
      </w:r>
      <w:r w:rsidR="00346F1B">
        <w:rPr>
          <w:color w:val="000000"/>
        </w:rPr>
        <w:t>’</w:t>
      </w:r>
      <w:r>
        <w:rPr>
          <w:color w:val="000000"/>
        </w:rPr>
        <w:t>avait pas d</w:t>
      </w:r>
      <w:r w:rsidR="00346F1B">
        <w:rPr>
          <w:color w:val="000000"/>
        </w:rPr>
        <w:t>’</w:t>
      </w:r>
      <w:r>
        <w:rPr>
          <w:color w:val="000000"/>
        </w:rPr>
        <w:t>objection à l</w:t>
      </w:r>
      <w:r w:rsidR="00346F1B">
        <w:rPr>
          <w:color w:val="000000"/>
        </w:rPr>
        <w:t>’</w:t>
      </w:r>
      <w:r w:rsidRPr="00013599">
        <w:rPr>
          <w:color w:val="000000"/>
        </w:rPr>
        <w:t>amendement</w:t>
      </w:r>
      <w:r>
        <w:rPr>
          <w:color w:val="000000"/>
        </w:rPr>
        <w:t xml:space="preserve"> de l</w:t>
      </w:r>
      <w:r w:rsidR="00346F1B">
        <w:rPr>
          <w:color w:val="000000"/>
        </w:rPr>
        <w:t>’</w:t>
      </w:r>
      <w:r>
        <w:rPr>
          <w:color w:val="000000"/>
        </w:rPr>
        <w:t>Autriche ou à tout autre ajout, mais le problème quand on énumérait était le risque d</w:t>
      </w:r>
      <w:r w:rsidR="00346F1B">
        <w:rPr>
          <w:color w:val="000000"/>
        </w:rPr>
        <w:t>’</w:t>
      </w:r>
      <w:r w:rsidR="00613028">
        <w:rPr>
          <w:color w:val="000000"/>
        </w:rPr>
        <w:t>omission.</w:t>
      </w:r>
    </w:p>
    <w:p w14:paraId="0171E051" w14:textId="09DDE02C" w:rsidR="00013599" w:rsidRPr="00013599" w:rsidRDefault="00013599" w:rsidP="00613028">
      <w:pPr>
        <w:pStyle w:val="Orateurengris"/>
        <w:spacing w:before="120"/>
        <w:ind w:left="709" w:hanging="709"/>
        <w:rPr>
          <w:color w:val="000000"/>
        </w:rPr>
      </w:pPr>
      <w:r>
        <w:rPr>
          <w:color w:val="000000"/>
        </w:rPr>
        <w:t xml:space="preserve">La </w:t>
      </w:r>
      <w:r w:rsidRPr="00013599">
        <w:rPr>
          <w:color w:val="000000"/>
        </w:rPr>
        <w:t>délégation</w:t>
      </w:r>
      <w:r>
        <w:rPr>
          <w:color w:val="000000"/>
        </w:rPr>
        <w:t xml:space="preserve"> de l</w:t>
      </w:r>
      <w:r w:rsidR="00346F1B">
        <w:rPr>
          <w:color w:val="000000"/>
        </w:rPr>
        <w:t>’</w:t>
      </w:r>
      <w:r w:rsidRPr="00013599">
        <w:rPr>
          <w:b/>
          <w:color w:val="000000"/>
        </w:rPr>
        <w:t>Algérie</w:t>
      </w:r>
      <w:r>
        <w:rPr>
          <w:color w:val="000000"/>
        </w:rPr>
        <w:t xml:space="preserve"> était favorable à la suppression de l</w:t>
      </w:r>
      <w:r w:rsidR="00346F1B">
        <w:rPr>
          <w:color w:val="000000"/>
        </w:rPr>
        <w:t>’</w:t>
      </w:r>
      <w:r w:rsidRPr="00013599">
        <w:rPr>
          <w:color w:val="000000"/>
        </w:rPr>
        <w:t>amendement</w:t>
      </w:r>
      <w:r>
        <w:rPr>
          <w:color w:val="000000"/>
        </w:rPr>
        <w:t xml:space="preserve"> parce qu</w:t>
      </w:r>
      <w:r w:rsidR="00346F1B">
        <w:rPr>
          <w:color w:val="000000"/>
        </w:rPr>
        <w:t>’</w:t>
      </w:r>
      <w:r>
        <w:rPr>
          <w:color w:val="000000"/>
        </w:rPr>
        <w:t>il y avait en effet des situations d</w:t>
      </w:r>
      <w:r w:rsidR="00346F1B">
        <w:rPr>
          <w:color w:val="000000"/>
        </w:rPr>
        <w:t>’</w:t>
      </w:r>
      <w:r>
        <w:rPr>
          <w:color w:val="000000"/>
        </w:rPr>
        <w:t xml:space="preserve">urgence </w:t>
      </w:r>
      <w:r w:rsidR="00577DAB">
        <w:rPr>
          <w:color w:val="000000"/>
        </w:rPr>
        <w:t>qui n</w:t>
      </w:r>
      <w:r w:rsidR="00346F1B">
        <w:rPr>
          <w:color w:val="000000"/>
        </w:rPr>
        <w:t>’</w:t>
      </w:r>
      <w:r w:rsidR="00577DAB">
        <w:rPr>
          <w:color w:val="000000"/>
        </w:rPr>
        <w:t xml:space="preserve">étaient pas spécifiquement liées à des conflits armés. Revenant au </w:t>
      </w:r>
      <w:r w:rsidR="00577DAB" w:rsidRPr="00577DAB">
        <w:rPr>
          <w:color w:val="000000"/>
        </w:rPr>
        <w:t>paragraphe</w:t>
      </w:r>
      <w:r w:rsidR="00577DAB">
        <w:rPr>
          <w:color w:val="000000"/>
        </w:rPr>
        <w:t xml:space="preserve"> 4 qui venait d</w:t>
      </w:r>
      <w:r w:rsidR="00346F1B">
        <w:rPr>
          <w:color w:val="000000"/>
        </w:rPr>
        <w:t>’</w:t>
      </w:r>
      <w:r w:rsidR="00577DAB">
        <w:rPr>
          <w:color w:val="000000"/>
        </w:rPr>
        <w:t xml:space="preserve">être adopté et à la référence à un texte ou document, la </w:t>
      </w:r>
      <w:r w:rsidR="00577DAB" w:rsidRPr="00577DAB">
        <w:rPr>
          <w:color w:val="000000"/>
        </w:rPr>
        <w:t>délégation</w:t>
      </w:r>
      <w:r w:rsidR="00577DAB">
        <w:rPr>
          <w:color w:val="000000"/>
        </w:rPr>
        <w:t xml:space="preserve"> a ajouté qu</w:t>
      </w:r>
      <w:r w:rsidR="00346F1B">
        <w:rPr>
          <w:color w:val="000000"/>
        </w:rPr>
        <w:t>’</w:t>
      </w:r>
      <w:r w:rsidR="00577DAB">
        <w:rPr>
          <w:color w:val="000000"/>
        </w:rPr>
        <w:t>il serait préférable d</w:t>
      </w:r>
      <w:r w:rsidR="00346F1B">
        <w:rPr>
          <w:color w:val="000000"/>
        </w:rPr>
        <w:t>’</w:t>
      </w:r>
      <w:r w:rsidR="00577DAB">
        <w:rPr>
          <w:color w:val="000000"/>
        </w:rPr>
        <w:t xml:space="preserve">avoir </w:t>
      </w:r>
      <w:r w:rsidR="00577DAB" w:rsidRPr="00577DAB">
        <w:rPr>
          <w:color w:val="000000"/>
        </w:rPr>
        <w:t>connaissance</w:t>
      </w:r>
      <w:r w:rsidR="00577DAB">
        <w:rPr>
          <w:color w:val="000000"/>
        </w:rPr>
        <w:t xml:space="preserve"> à l</w:t>
      </w:r>
      <w:r w:rsidR="00346F1B">
        <w:rPr>
          <w:color w:val="000000"/>
        </w:rPr>
        <w:t>’</w:t>
      </w:r>
      <w:r w:rsidR="00577DAB">
        <w:rPr>
          <w:color w:val="000000"/>
        </w:rPr>
        <w:t>avance de ces éléments afin que le sujet de l</w:t>
      </w:r>
      <w:r w:rsidR="00346F1B">
        <w:rPr>
          <w:color w:val="000000"/>
        </w:rPr>
        <w:t>’</w:t>
      </w:r>
      <w:r w:rsidR="00613028">
        <w:rPr>
          <w:color w:val="000000"/>
        </w:rPr>
        <w:t>adoption soit clair.</w:t>
      </w:r>
    </w:p>
    <w:p w14:paraId="034028A6" w14:textId="7C6FF8AE" w:rsidR="00577DAB" w:rsidRPr="00577DAB" w:rsidRDefault="00577DAB" w:rsidP="00613028">
      <w:pPr>
        <w:pStyle w:val="Orateurengris"/>
        <w:spacing w:before="120"/>
        <w:ind w:left="709" w:hanging="709"/>
        <w:rPr>
          <w:color w:val="000000"/>
        </w:rPr>
      </w:pPr>
      <w:r>
        <w:rPr>
          <w:color w:val="000000"/>
        </w:rPr>
        <w:t xml:space="preserve">La </w:t>
      </w:r>
      <w:r w:rsidRPr="00577DAB">
        <w:rPr>
          <w:color w:val="000000"/>
        </w:rPr>
        <w:t>délégation</w:t>
      </w:r>
      <w:r>
        <w:rPr>
          <w:color w:val="000000"/>
        </w:rPr>
        <w:t xml:space="preserve"> de l</w:t>
      </w:r>
      <w:r w:rsidR="00346F1B">
        <w:rPr>
          <w:color w:val="000000"/>
        </w:rPr>
        <w:t>’</w:t>
      </w:r>
      <w:r w:rsidRPr="00577DAB">
        <w:rPr>
          <w:b/>
          <w:color w:val="000000"/>
        </w:rPr>
        <w:t>Autriche</w:t>
      </w:r>
      <w:r>
        <w:rPr>
          <w:color w:val="000000"/>
        </w:rPr>
        <w:t xml:space="preserve"> a accepté de retirer son </w:t>
      </w:r>
      <w:r w:rsidRPr="00577DAB">
        <w:rPr>
          <w:color w:val="000000"/>
        </w:rPr>
        <w:t>amendement</w:t>
      </w:r>
      <w:r w:rsidR="00613028">
        <w:rPr>
          <w:color w:val="000000"/>
        </w:rPr>
        <w:t>.</w:t>
      </w:r>
    </w:p>
    <w:p w14:paraId="078133CF" w14:textId="503DE6F1" w:rsidR="00577DAB" w:rsidRPr="00577DAB" w:rsidRDefault="00577DAB" w:rsidP="00613028">
      <w:pPr>
        <w:pStyle w:val="Orateurengris"/>
        <w:spacing w:before="120"/>
        <w:ind w:left="709" w:hanging="709"/>
        <w:rPr>
          <w:color w:val="000000"/>
        </w:rPr>
      </w:pPr>
      <w:r>
        <w:rPr>
          <w:color w:val="000000"/>
        </w:rPr>
        <w:t xml:space="preserve">La </w:t>
      </w:r>
      <w:r w:rsidRPr="00577DAB">
        <w:rPr>
          <w:color w:val="000000"/>
        </w:rPr>
        <w:t>délégation</w:t>
      </w:r>
      <w:r>
        <w:rPr>
          <w:color w:val="000000"/>
        </w:rPr>
        <w:t xml:space="preserve"> de </w:t>
      </w:r>
      <w:r w:rsidRPr="00085938">
        <w:rPr>
          <w:b/>
          <w:color w:val="000000"/>
        </w:rPr>
        <w:t>Cuba</w:t>
      </w:r>
      <w:r>
        <w:rPr>
          <w:color w:val="000000"/>
        </w:rPr>
        <w:t xml:space="preserve"> a </w:t>
      </w:r>
      <w:r w:rsidRPr="00577DAB">
        <w:rPr>
          <w:color w:val="000000"/>
        </w:rPr>
        <w:t>également</w:t>
      </w:r>
      <w:r>
        <w:rPr>
          <w:color w:val="000000"/>
        </w:rPr>
        <w:t xml:space="preserve"> fait référence à l</w:t>
      </w:r>
      <w:r w:rsidR="00346F1B">
        <w:rPr>
          <w:color w:val="000000"/>
        </w:rPr>
        <w:t>’</w:t>
      </w:r>
      <w:r>
        <w:rPr>
          <w:color w:val="000000"/>
        </w:rPr>
        <w:t xml:space="preserve">adoption du </w:t>
      </w:r>
      <w:r w:rsidRPr="00577DAB">
        <w:rPr>
          <w:color w:val="000000"/>
        </w:rPr>
        <w:t>paragraphe</w:t>
      </w:r>
      <w:r>
        <w:rPr>
          <w:color w:val="000000"/>
        </w:rPr>
        <w:t xml:space="preserve"> 4, ajoutant que le Comité ne pouvait pas accepter des références à des documents </w:t>
      </w:r>
      <w:r w:rsidR="00423FF8">
        <w:rPr>
          <w:color w:val="000000"/>
        </w:rPr>
        <w:t xml:space="preserve">entiers car ils </w:t>
      </w:r>
      <w:r>
        <w:rPr>
          <w:color w:val="000000"/>
        </w:rPr>
        <w:t xml:space="preserve">traitaient </w:t>
      </w:r>
      <w:r w:rsidRPr="00577DAB">
        <w:rPr>
          <w:color w:val="000000"/>
        </w:rPr>
        <w:t>peut-être</w:t>
      </w:r>
      <w:r w:rsidR="00085938">
        <w:rPr>
          <w:color w:val="000000"/>
        </w:rPr>
        <w:t xml:space="preserve"> de questions </w:t>
      </w:r>
      <w:r w:rsidR="00423FF8">
        <w:rPr>
          <w:color w:val="000000"/>
        </w:rPr>
        <w:t xml:space="preserve">ne </w:t>
      </w:r>
      <w:r w:rsidR="00085938">
        <w:rPr>
          <w:color w:val="000000"/>
        </w:rPr>
        <w:t>releva</w:t>
      </w:r>
      <w:r>
        <w:rPr>
          <w:color w:val="000000"/>
        </w:rPr>
        <w:t xml:space="preserve">nt </w:t>
      </w:r>
      <w:r w:rsidR="00423FF8">
        <w:rPr>
          <w:color w:val="000000"/>
        </w:rPr>
        <w:t xml:space="preserve">pas </w:t>
      </w:r>
      <w:r>
        <w:rPr>
          <w:color w:val="000000"/>
        </w:rPr>
        <w:t>du mandat du Comité. Le docume</w:t>
      </w:r>
      <w:r w:rsidR="00085938">
        <w:rPr>
          <w:color w:val="000000"/>
        </w:rPr>
        <w:t>nt en question concernait les droits culturels, un sujet très vaste, et bien que Cuba n</w:t>
      </w:r>
      <w:r w:rsidR="00346F1B">
        <w:rPr>
          <w:color w:val="000000"/>
        </w:rPr>
        <w:t>’</w:t>
      </w:r>
      <w:r w:rsidR="00085938">
        <w:rPr>
          <w:color w:val="000000"/>
        </w:rPr>
        <w:t xml:space="preserve">ait aucun problème avec cela (en fait, Cuba avait même contribué au document avec un rapport spécial), le Comité devait être </w:t>
      </w:r>
      <w:r w:rsidR="00085938" w:rsidRPr="00085938">
        <w:rPr>
          <w:color w:val="000000"/>
        </w:rPr>
        <w:t>extrêmement</w:t>
      </w:r>
      <w:r w:rsidR="00085938">
        <w:rPr>
          <w:color w:val="000000"/>
        </w:rPr>
        <w:t xml:space="preserve"> vigilant lorsqu</w:t>
      </w:r>
      <w:r w:rsidR="00346F1B">
        <w:rPr>
          <w:color w:val="000000"/>
        </w:rPr>
        <w:t>’</w:t>
      </w:r>
      <w:r w:rsidR="00085938">
        <w:rPr>
          <w:color w:val="000000"/>
        </w:rPr>
        <w:t>il faisait référence à des résolutions ou des actions qui ne relevaient pas de son mandat. S</w:t>
      </w:r>
      <w:r w:rsidR="00346F1B">
        <w:rPr>
          <w:color w:val="000000"/>
        </w:rPr>
        <w:t>’</w:t>
      </w:r>
      <w:r w:rsidR="00085938">
        <w:rPr>
          <w:color w:val="000000"/>
        </w:rPr>
        <w:t xml:space="preserve">agissant de la </w:t>
      </w:r>
      <w:r w:rsidR="00085938" w:rsidRPr="00085938">
        <w:rPr>
          <w:color w:val="000000"/>
        </w:rPr>
        <w:t xml:space="preserve">proposition </w:t>
      </w:r>
      <w:r w:rsidR="00085938">
        <w:rPr>
          <w:color w:val="000000"/>
        </w:rPr>
        <w:t>de l</w:t>
      </w:r>
      <w:r w:rsidR="00346F1B">
        <w:rPr>
          <w:color w:val="000000"/>
        </w:rPr>
        <w:t>’</w:t>
      </w:r>
      <w:r w:rsidR="00085938">
        <w:rPr>
          <w:color w:val="000000"/>
        </w:rPr>
        <w:t xml:space="preserve">Autriche, la </w:t>
      </w:r>
      <w:r w:rsidR="00085938" w:rsidRPr="00085938">
        <w:rPr>
          <w:color w:val="000000"/>
        </w:rPr>
        <w:t>délégation</w:t>
      </w:r>
      <w:r w:rsidR="00085938">
        <w:rPr>
          <w:color w:val="000000"/>
        </w:rPr>
        <w:t xml:space="preserve"> </w:t>
      </w:r>
      <w:r w:rsidR="00423FF8">
        <w:rPr>
          <w:color w:val="000000"/>
        </w:rPr>
        <w:t>ne saurait</w:t>
      </w:r>
      <w:r w:rsidR="00085938">
        <w:rPr>
          <w:color w:val="000000"/>
        </w:rPr>
        <w:t xml:space="preserve"> laisser de </w:t>
      </w:r>
      <w:r w:rsidR="00613028">
        <w:rPr>
          <w:color w:val="000000"/>
        </w:rPr>
        <w:t>côté</w:t>
      </w:r>
      <w:r w:rsidR="00085938">
        <w:rPr>
          <w:color w:val="000000"/>
        </w:rPr>
        <w:t xml:space="preserve"> les situations des personnes déplacées, des </w:t>
      </w:r>
      <w:r w:rsidR="00085938" w:rsidRPr="00085938">
        <w:rPr>
          <w:color w:val="000000"/>
        </w:rPr>
        <w:t>catastrophes</w:t>
      </w:r>
      <w:r w:rsidR="00085938">
        <w:rPr>
          <w:color w:val="000000"/>
        </w:rPr>
        <w:t xml:space="preserve"> naturelles, etc. </w:t>
      </w:r>
      <w:r w:rsidR="00423FF8">
        <w:rPr>
          <w:color w:val="000000"/>
        </w:rPr>
        <w:t xml:space="preserve">À </w:t>
      </w:r>
      <w:r w:rsidR="00085938">
        <w:rPr>
          <w:color w:val="000000"/>
        </w:rPr>
        <w:t>défaut, on pourrait envisager d</w:t>
      </w:r>
      <w:r w:rsidR="00346F1B">
        <w:rPr>
          <w:color w:val="000000"/>
        </w:rPr>
        <w:t>’</w:t>
      </w:r>
      <w:r w:rsidR="00085938">
        <w:rPr>
          <w:color w:val="000000"/>
        </w:rPr>
        <w:t xml:space="preserve">énumérer toutes les </w:t>
      </w:r>
      <w:r w:rsidR="00085938" w:rsidRPr="00085938">
        <w:rPr>
          <w:color w:val="000000"/>
        </w:rPr>
        <w:t>situations</w:t>
      </w:r>
      <w:r w:rsidR="00613028">
        <w:rPr>
          <w:color w:val="000000"/>
        </w:rPr>
        <w:t>.</w:t>
      </w:r>
    </w:p>
    <w:p w14:paraId="06AE7AFF" w14:textId="3C83EF18" w:rsidR="00423FF8" w:rsidRPr="00423FF8" w:rsidRDefault="00423FF8" w:rsidP="00613028">
      <w:pPr>
        <w:pStyle w:val="Orateurengris"/>
        <w:spacing w:before="120"/>
        <w:ind w:left="709" w:hanging="709"/>
        <w:rPr>
          <w:color w:val="000000"/>
        </w:rPr>
      </w:pPr>
      <w:r>
        <w:rPr>
          <w:color w:val="000000"/>
        </w:rPr>
        <w:t>En réponse à la question soulevée par l</w:t>
      </w:r>
      <w:r w:rsidR="00346F1B">
        <w:rPr>
          <w:color w:val="000000"/>
        </w:rPr>
        <w:t>’</w:t>
      </w:r>
      <w:r>
        <w:rPr>
          <w:color w:val="000000"/>
        </w:rPr>
        <w:t xml:space="preserve">Algérie et Cuba, le </w:t>
      </w:r>
      <w:r w:rsidRPr="00423FF8">
        <w:rPr>
          <w:color w:val="000000"/>
        </w:rPr>
        <w:t>Secrétaire</w:t>
      </w:r>
      <w:r>
        <w:rPr>
          <w:color w:val="000000"/>
        </w:rPr>
        <w:t xml:space="preserve"> a précisé que les références aux deux documents cités dans le </w:t>
      </w:r>
      <w:r w:rsidRPr="00423FF8">
        <w:rPr>
          <w:color w:val="000000"/>
        </w:rPr>
        <w:t>paragraphe</w:t>
      </w:r>
      <w:r>
        <w:rPr>
          <w:color w:val="000000"/>
        </w:rPr>
        <w:t xml:space="preserve"> 4</w:t>
      </w:r>
      <w:r w:rsidR="00E460F5">
        <w:rPr>
          <w:color w:val="000000"/>
        </w:rPr>
        <w:t xml:space="preserve"> </w:t>
      </w:r>
      <w:r>
        <w:rPr>
          <w:color w:val="000000"/>
        </w:rPr>
        <w:t xml:space="preserve">étaient dans le </w:t>
      </w:r>
      <w:hyperlink r:id="rId56" w:history="1">
        <w:r w:rsidRPr="00A33065">
          <w:rPr>
            <w:rStyle w:val="Hyperlink"/>
          </w:rPr>
          <w:t>document de travail 15</w:t>
        </w:r>
      </w:hyperlink>
      <w:r>
        <w:rPr>
          <w:rStyle w:val="Hyperlink"/>
          <w:color w:val="auto"/>
          <w:u w:val="none"/>
        </w:rPr>
        <w:t>.</w:t>
      </w:r>
    </w:p>
    <w:p w14:paraId="5B1043DA" w14:textId="0C2573F4" w:rsidR="00E460F5" w:rsidRPr="00E460F5" w:rsidRDefault="00E460F5" w:rsidP="00613028">
      <w:pPr>
        <w:pStyle w:val="Orateurengris"/>
        <w:spacing w:before="120"/>
        <w:ind w:left="709" w:hanging="709"/>
        <w:rPr>
          <w:color w:val="000000"/>
        </w:rPr>
      </w:pPr>
      <w:r>
        <w:rPr>
          <w:color w:val="000000"/>
        </w:rPr>
        <w:t xml:space="preserve">La </w:t>
      </w:r>
      <w:r w:rsidRPr="00E460F5">
        <w:rPr>
          <w:color w:val="000000"/>
        </w:rPr>
        <w:t>délégation</w:t>
      </w:r>
      <w:r>
        <w:rPr>
          <w:color w:val="000000"/>
        </w:rPr>
        <w:t xml:space="preserve"> de la </w:t>
      </w:r>
      <w:r w:rsidRPr="00E460F5">
        <w:rPr>
          <w:b/>
          <w:color w:val="000000"/>
        </w:rPr>
        <w:t>Palestine</w:t>
      </w:r>
      <w:r>
        <w:rPr>
          <w:color w:val="000000"/>
        </w:rPr>
        <w:t xml:space="preserve"> était bien consciente que les </w:t>
      </w:r>
      <w:r w:rsidRPr="00E460F5">
        <w:rPr>
          <w:color w:val="000000"/>
        </w:rPr>
        <w:t>situations</w:t>
      </w:r>
      <w:r>
        <w:rPr>
          <w:color w:val="000000"/>
        </w:rPr>
        <w:t xml:space="preserve"> d</w:t>
      </w:r>
      <w:r w:rsidR="00346F1B">
        <w:rPr>
          <w:color w:val="000000"/>
        </w:rPr>
        <w:t>’</w:t>
      </w:r>
      <w:r>
        <w:rPr>
          <w:color w:val="000000"/>
        </w:rPr>
        <w:t xml:space="preserve">urgence </w:t>
      </w:r>
      <w:r w:rsidR="000246AA">
        <w:rPr>
          <w:color w:val="000000"/>
        </w:rPr>
        <w:t xml:space="preserve">couvraient </w:t>
      </w:r>
      <w:r>
        <w:rPr>
          <w:color w:val="000000"/>
        </w:rPr>
        <w:t xml:space="preserve">les conflits armés, les </w:t>
      </w:r>
      <w:r w:rsidRPr="00E460F5">
        <w:rPr>
          <w:color w:val="000000"/>
        </w:rPr>
        <w:t>catastrophes</w:t>
      </w:r>
      <w:r>
        <w:rPr>
          <w:color w:val="000000"/>
        </w:rPr>
        <w:t xml:space="preserve"> naturelles, les personnes déplacées, le terrorisme, etc. Toutefois, elle pensait qu</w:t>
      </w:r>
      <w:r w:rsidR="00346F1B">
        <w:rPr>
          <w:color w:val="000000"/>
        </w:rPr>
        <w:t>’</w:t>
      </w:r>
      <w:r>
        <w:rPr>
          <w:color w:val="000000"/>
        </w:rPr>
        <w:t>on devrait accorder une attention particulière aux cas des conflits armés, ajoutant que cela n</w:t>
      </w:r>
      <w:r w:rsidR="00346F1B">
        <w:rPr>
          <w:color w:val="000000"/>
        </w:rPr>
        <w:t>’</w:t>
      </w:r>
      <w:r>
        <w:rPr>
          <w:color w:val="000000"/>
        </w:rPr>
        <w:t>allait pas à l</w:t>
      </w:r>
      <w:r w:rsidR="00346F1B">
        <w:rPr>
          <w:color w:val="000000"/>
        </w:rPr>
        <w:t>’</w:t>
      </w:r>
      <w:r>
        <w:rPr>
          <w:color w:val="000000"/>
        </w:rPr>
        <w:t xml:space="preserve">encontre de la </w:t>
      </w:r>
      <w:r w:rsidRPr="00E460F5">
        <w:rPr>
          <w:color w:val="000000"/>
        </w:rPr>
        <w:t xml:space="preserve">proposition </w:t>
      </w:r>
      <w:r>
        <w:rPr>
          <w:color w:val="000000"/>
        </w:rPr>
        <w:t>de Cuba d</w:t>
      </w:r>
      <w:r w:rsidR="00346F1B">
        <w:rPr>
          <w:color w:val="000000"/>
        </w:rPr>
        <w:t>’</w:t>
      </w:r>
      <w:r>
        <w:rPr>
          <w:color w:val="000000"/>
        </w:rPr>
        <w:t>énumérer toutes les situations d</w:t>
      </w:r>
      <w:r w:rsidR="00346F1B">
        <w:rPr>
          <w:color w:val="000000"/>
        </w:rPr>
        <w:t>’</w:t>
      </w:r>
      <w:r>
        <w:rPr>
          <w:color w:val="000000"/>
        </w:rPr>
        <w:t>urgence. Elle a signalé que l</w:t>
      </w:r>
      <w:r w:rsidR="00346F1B">
        <w:rPr>
          <w:color w:val="000000"/>
        </w:rPr>
        <w:t>’</w:t>
      </w:r>
      <w:r w:rsidRPr="00E460F5">
        <w:rPr>
          <w:color w:val="000000"/>
        </w:rPr>
        <w:t>amendement</w:t>
      </w:r>
      <w:r>
        <w:rPr>
          <w:color w:val="000000"/>
        </w:rPr>
        <w:t xml:space="preserve"> de l</w:t>
      </w:r>
      <w:r w:rsidR="00346F1B">
        <w:rPr>
          <w:color w:val="000000"/>
        </w:rPr>
        <w:t>’</w:t>
      </w:r>
      <w:r>
        <w:rPr>
          <w:color w:val="000000"/>
        </w:rPr>
        <w:t>Autriche précisait « en particulier », ce qui mettait l</w:t>
      </w:r>
      <w:r w:rsidR="00346F1B">
        <w:rPr>
          <w:color w:val="000000"/>
        </w:rPr>
        <w:t>’</w:t>
      </w:r>
      <w:r>
        <w:rPr>
          <w:color w:val="000000"/>
        </w:rPr>
        <w:t>accent sur les conflits armés car certains pays en étaient alors victimes. Cela n</w:t>
      </w:r>
      <w:r w:rsidR="00346F1B">
        <w:rPr>
          <w:color w:val="000000"/>
        </w:rPr>
        <w:t>’</w:t>
      </w:r>
      <w:r>
        <w:rPr>
          <w:color w:val="000000"/>
        </w:rPr>
        <w:t xml:space="preserve">excluait </w:t>
      </w:r>
      <w:r w:rsidR="000246AA">
        <w:rPr>
          <w:color w:val="000000"/>
        </w:rPr>
        <w:t xml:space="preserve">donc </w:t>
      </w:r>
      <w:r>
        <w:rPr>
          <w:color w:val="000000"/>
        </w:rPr>
        <w:t>pas les autres cas d</w:t>
      </w:r>
      <w:r w:rsidR="00346F1B">
        <w:rPr>
          <w:color w:val="000000"/>
        </w:rPr>
        <w:t>’</w:t>
      </w:r>
      <w:r>
        <w:rPr>
          <w:color w:val="000000"/>
        </w:rPr>
        <w:t xml:space="preserve">urgence. </w:t>
      </w:r>
      <w:r w:rsidR="000246AA" w:rsidRPr="000246AA">
        <w:rPr>
          <w:color w:val="000000"/>
        </w:rPr>
        <w:t>En conséquence</w:t>
      </w:r>
      <w:r w:rsidR="000246AA">
        <w:rPr>
          <w:color w:val="000000"/>
        </w:rPr>
        <w:t>, l</w:t>
      </w:r>
      <w:r>
        <w:rPr>
          <w:color w:val="000000"/>
        </w:rPr>
        <w:t xml:space="preserve">a </w:t>
      </w:r>
      <w:r w:rsidRPr="00E460F5">
        <w:rPr>
          <w:color w:val="000000"/>
        </w:rPr>
        <w:t>délégation</w:t>
      </w:r>
      <w:r>
        <w:rPr>
          <w:color w:val="000000"/>
        </w:rPr>
        <w:t xml:space="preserve"> soutenait la </w:t>
      </w:r>
      <w:r w:rsidRPr="00E460F5">
        <w:rPr>
          <w:color w:val="000000"/>
        </w:rPr>
        <w:t xml:space="preserve">proposition </w:t>
      </w:r>
      <w:r>
        <w:rPr>
          <w:color w:val="000000"/>
        </w:rPr>
        <w:t>de l</w:t>
      </w:r>
      <w:r w:rsidR="00346F1B">
        <w:rPr>
          <w:color w:val="000000"/>
        </w:rPr>
        <w:t>’</w:t>
      </w:r>
      <w:r>
        <w:rPr>
          <w:color w:val="000000"/>
        </w:rPr>
        <w:t>Autriche, ainsi rédigée : « en particulier les conflits armés ». Elle a proposé d</w:t>
      </w:r>
      <w:r w:rsidR="00346F1B">
        <w:rPr>
          <w:color w:val="000000"/>
        </w:rPr>
        <w:t>’</w:t>
      </w:r>
      <w:r>
        <w:rPr>
          <w:color w:val="000000"/>
        </w:rPr>
        <w:t xml:space="preserve">énumérer les autres </w:t>
      </w:r>
      <w:r w:rsidRPr="00E460F5">
        <w:rPr>
          <w:color w:val="000000"/>
        </w:rPr>
        <w:t>situations</w:t>
      </w:r>
      <w:r>
        <w:rPr>
          <w:color w:val="000000"/>
        </w:rPr>
        <w:t xml:space="preserve"> d</w:t>
      </w:r>
      <w:r w:rsidR="00346F1B">
        <w:rPr>
          <w:color w:val="000000"/>
        </w:rPr>
        <w:t>’</w:t>
      </w:r>
      <w:r w:rsidR="00613028">
        <w:rPr>
          <w:color w:val="000000"/>
        </w:rPr>
        <w:t>urgence.</w:t>
      </w:r>
    </w:p>
    <w:p w14:paraId="30A9D336" w14:textId="4AF06D9A" w:rsidR="000246AA" w:rsidRPr="000246AA" w:rsidRDefault="000246AA" w:rsidP="00613028">
      <w:pPr>
        <w:pStyle w:val="Orateurengris"/>
        <w:spacing w:before="120"/>
        <w:ind w:left="709" w:hanging="709"/>
        <w:rPr>
          <w:color w:val="000000"/>
        </w:rPr>
      </w:pPr>
      <w:r>
        <w:rPr>
          <w:color w:val="000000"/>
        </w:rPr>
        <w:t>Suite à l</w:t>
      </w:r>
      <w:r w:rsidR="00346F1B">
        <w:rPr>
          <w:color w:val="000000"/>
        </w:rPr>
        <w:t>’</w:t>
      </w:r>
      <w:r w:rsidRPr="000246AA">
        <w:rPr>
          <w:color w:val="000000"/>
        </w:rPr>
        <w:t>intervention</w:t>
      </w:r>
      <w:r>
        <w:rPr>
          <w:color w:val="000000"/>
        </w:rPr>
        <w:t xml:space="preserve"> de la Palestine, et désireuse d</w:t>
      </w:r>
      <w:r w:rsidR="00346F1B">
        <w:rPr>
          <w:color w:val="000000"/>
        </w:rPr>
        <w:t>’</w:t>
      </w:r>
      <w:r>
        <w:rPr>
          <w:color w:val="000000"/>
        </w:rPr>
        <w:t>accorder la même importance à tous les cas d</w:t>
      </w:r>
      <w:r w:rsidR="00346F1B">
        <w:rPr>
          <w:color w:val="000000"/>
        </w:rPr>
        <w:t>’</w:t>
      </w:r>
      <w:r>
        <w:rPr>
          <w:color w:val="000000"/>
        </w:rPr>
        <w:t xml:space="preserve">urgence, la </w:t>
      </w:r>
      <w:r w:rsidRPr="000246AA">
        <w:rPr>
          <w:color w:val="000000"/>
        </w:rPr>
        <w:t>délégation</w:t>
      </w:r>
      <w:r>
        <w:rPr>
          <w:color w:val="000000"/>
        </w:rPr>
        <w:t xml:space="preserve"> de la </w:t>
      </w:r>
      <w:r w:rsidRPr="000246AA">
        <w:rPr>
          <w:b/>
          <w:color w:val="000000"/>
        </w:rPr>
        <w:t>Turquie</w:t>
      </w:r>
      <w:r>
        <w:rPr>
          <w:color w:val="000000"/>
        </w:rPr>
        <w:t xml:space="preserve"> souhaitait que les personnes déplacées et les </w:t>
      </w:r>
      <w:r w:rsidRPr="000246AA">
        <w:rPr>
          <w:color w:val="000000"/>
        </w:rPr>
        <w:t>catastrophes</w:t>
      </w:r>
      <w:r>
        <w:rPr>
          <w:color w:val="000000"/>
        </w:rPr>
        <w:t xml:space="preserve"> naturelles soient citées, car elle considérait qu</w:t>
      </w:r>
      <w:r w:rsidR="00346F1B">
        <w:rPr>
          <w:color w:val="000000"/>
        </w:rPr>
        <w:t>’</w:t>
      </w:r>
      <w:r>
        <w:rPr>
          <w:color w:val="000000"/>
        </w:rPr>
        <w:t>elles avaient la mêm</w:t>
      </w:r>
      <w:r w:rsidR="004F7B48">
        <w:rPr>
          <w:color w:val="000000"/>
        </w:rPr>
        <w:t>e importance.</w:t>
      </w:r>
    </w:p>
    <w:p w14:paraId="06CC4124" w14:textId="7509912F" w:rsidR="000246AA" w:rsidRDefault="000246AA" w:rsidP="00613028">
      <w:pPr>
        <w:pStyle w:val="Orateurengris"/>
        <w:spacing w:before="120"/>
        <w:ind w:left="709" w:hanging="709"/>
        <w:rPr>
          <w:color w:val="000000"/>
        </w:rPr>
      </w:pPr>
      <w:r>
        <w:rPr>
          <w:color w:val="000000"/>
        </w:rPr>
        <w:t xml:space="preserve">Faisant référence au document fourni par le Secrétariat, la </w:t>
      </w:r>
      <w:r w:rsidRPr="000246AA">
        <w:rPr>
          <w:color w:val="000000"/>
        </w:rPr>
        <w:t>délégation</w:t>
      </w:r>
      <w:r>
        <w:rPr>
          <w:color w:val="000000"/>
        </w:rPr>
        <w:t xml:space="preserve"> de la </w:t>
      </w:r>
      <w:r w:rsidR="00CB64EA">
        <w:rPr>
          <w:b/>
          <w:color w:val="000000"/>
        </w:rPr>
        <w:t>Côte d</w:t>
      </w:r>
      <w:r w:rsidR="00346F1B">
        <w:rPr>
          <w:b/>
          <w:color w:val="000000"/>
        </w:rPr>
        <w:t>’</w:t>
      </w:r>
      <w:r w:rsidR="00CB64EA">
        <w:rPr>
          <w:b/>
          <w:color w:val="000000"/>
        </w:rPr>
        <w:t>I</w:t>
      </w:r>
      <w:r w:rsidRPr="00CB64EA">
        <w:rPr>
          <w:b/>
          <w:color w:val="000000"/>
        </w:rPr>
        <w:t>voire</w:t>
      </w:r>
      <w:r>
        <w:rPr>
          <w:color w:val="000000"/>
        </w:rPr>
        <w:t xml:space="preserve"> </w:t>
      </w:r>
      <w:r w:rsidR="00CB64EA">
        <w:rPr>
          <w:color w:val="000000"/>
        </w:rPr>
        <w:t xml:space="preserve">a relevé que toutes les </w:t>
      </w:r>
      <w:r w:rsidR="00CB64EA" w:rsidRPr="00CB64EA">
        <w:rPr>
          <w:color w:val="000000"/>
        </w:rPr>
        <w:t>situations</w:t>
      </w:r>
      <w:r w:rsidR="00CB64EA">
        <w:rPr>
          <w:color w:val="000000"/>
        </w:rPr>
        <w:t xml:space="preserve"> d</w:t>
      </w:r>
      <w:r w:rsidR="00346F1B">
        <w:rPr>
          <w:color w:val="000000"/>
        </w:rPr>
        <w:t>’</w:t>
      </w:r>
      <w:r w:rsidR="00CB64EA">
        <w:rPr>
          <w:color w:val="000000"/>
        </w:rPr>
        <w:t>urgence y étaient énumérées. L</w:t>
      </w:r>
      <w:r w:rsidR="00346F1B">
        <w:rPr>
          <w:color w:val="000000"/>
        </w:rPr>
        <w:t>’</w:t>
      </w:r>
      <w:r w:rsidR="00CB64EA" w:rsidRPr="00CB64EA">
        <w:rPr>
          <w:color w:val="000000"/>
        </w:rPr>
        <w:t>amendement</w:t>
      </w:r>
      <w:r w:rsidR="00CB64EA">
        <w:rPr>
          <w:color w:val="000000"/>
        </w:rPr>
        <w:t xml:space="preserve"> de l</w:t>
      </w:r>
      <w:r w:rsidR="00346F1B">
        <w:rPr>
          <w:color w:val="000000"/>
        </w:rPr>
        <w:t>’</w:t>
      </w:r>
      <w:r w:rsidR="00CB64EA">
        <w:rPr>
          <w:color w:val="000000"/>
        </w:rPr>
        <w:t>Autriche visait à souligner les conflits armés, ce qu</w:t>
      </w:r>
      <w:r w:rsidR="00346F1B">
        <w:rPr>
          <w:color w:val="000000"/>
        </w:rPr>
        <w:t>’</w:t>
      </w:r>
      <w:r w:rsidR="00CB64EA">
        <w:rPr>
          <w:color w:val="000000"/>
        </w:rPr>
        <w:t xml:space="preserve">elle soutenait. Elle a donc suggéré de laisser le </w:t>
      </w:r>
      <w:r w:rsidR="00CB64EA" w:rsidRPr="00CB64EA">
        <w:rPr>
          <w:color w:val="000000"/>
        </w:rPr>
        <w:t>paragraphe</w:t>
      </w:r>
      <w:r w:rsidR="00CB64EA">
        <w:rPr>
          <w:color w:val="000000"/>
        </w:rPr>
        <w:t xml:space="preserve"> assez vague, ainsi tous les cas d</w:t>
      </w:r>
      <w:r w:rsidR="00346F1B">
        <w:rPr>
          <w:color w:val="000000"/>
        </w:rPr>
        <w:t>’</w:t>
      </w:r>
      <w:r w:rsidR="00CB64EA">
        <w:rPr>
          <w:color w:val="000000"/>
        </w:rPr>
        <w:t>u</w:t>
      </w:r>
      <w:r w:rsidR="004F7B48">
        <w:rPr>
          <w:color w:val="000000"/>
        </w:rPr>
        <w:t>rgence seraient pris en compte.</w:t>
      </w:r>
    </w:p>
    <w:p w14:paraId="041F0176" w14:textId="0818D520" w:rsidR="00CB64EA" w:rsidRPr="00CB64EA" w:rsidRDefault="00CB64EA" w:rsidP="00613028">
      <w:pPr>
        <w:pStyle w:val="Orateurengris"/>
        <w:spacing w:before="120"/>
        <w:ind w:left="709" w:hanging="709"/>
        <w:rPr>
          <w:color w:val="000000"/>
        </w:rPr>
      </w:pPr>
      <w:r>
        <w:rPr>
          <w:color w:val="000000"/>
        </w:rPr>
        <w:t xml:space="preserve">La </w:t>
      </w:r>
      <w:r w:rsidRPr="00CB64EA">
        <w:rPr>
          <w:color w:val="000000"/>
        </w:rPr>
        <w:t>délégation</w:t>
      </w:r>
      <w:r>
        <w:rPr>
          <w:color w:val="000000"/>
        </w:rPr>
        <w:t xml:space="preserve"> du </w:t>
      </w:r>
      <w:r w:rsidRPr="00CB64EA">
        <w:rPr>
          <w:b/>
          <w:color w:val="000000"/>
        </w:rPr>
        <w:t>Sénégal</w:t>
      </w:r>
      <w:r>
        <w:rPr>
          <w:color w:val="000000"/>
        </w:rPr>
        <w:t xml:space="preserve"> soutenait le retrait de l</w:t>
      </w:r>
      <w:r w:rsidR="00346F1B">
        <w:rPr>
          <w:color w:val="000000"/>
        </w:rPr>
        <w:t>’</w:t>
      </w:r>
      <w:r w:rsidRPr="00CB64EA">
        <w:rPr>
          <w:color w:val="000000"/>
        </w:rPr>
        <w:t>amendement</w:t>
      </w:r>
      <w:r>
        <w:rPr>
          <w:color w:val="000000"/>
        </w:rPr>
        <w:t xml:space="preserve"> de l</w:t>
      </w:r>
      <w:r w:rsidR="00346F1B">
        <w:rPr>
          <w:color w:val="000000"/>
        </w:rPr>
        <w:t>’</w:t>
      </w:r>
      <w:r>
        <w:rPr>
          <w:color w:val="000000"/>
        </w:rPr>
        <w:t>Autriche, ajoutant qu</w:t>
      </w:r>
      <w:r w:rsidR="00346F1B">
        <w:rPr>
          <w:color w:val="000000"/>
        </w:rPr>
        <w:t>’</w:t>
      </w:r>
      <w:r>
        <w:rPr>
          <w:color w:val="000000"/>
        </w:rPr>
        <w:t>il y avait de nombreux cas d</w:t>
      </w:r>
      <w:r w:rsidR="00346F1B">
        <w:rPr>
          <w:color w:val="000000"/>
        </w:rPr>
        <w:t>’</w:t>
      </w:r>
      <w:r>
        <w:rPr>
          <w:color w:val="000000"/>
        </w:rPr>
        <w:t>urgence et qu</w:t>
      </w:r>
      <w:r w:rsidR="00346F1B">
        <w:rPr>
          <w:color w:val="000000"/>
        </w:rPr>
        <w:t>’</w:t>
      </w:r>
      <w:r>
        <w:rPr>
          <w:color w:val="000000"/>
        </w:rPr>
        <w:t>il n</w:t>
      </w:r>
      <w:r w:rsidR="00346F1B">
        <w:rPr>
          <w:color w:val="000000"/>
        </w:rPr>
        <w:t>’</w:t>
      </w:r>
      <w:r>
        <w:rPr>
          <w:color w:val="000000"/>
        </w:rPr>
        <w:t>était pas souhaitable d</w:t>
      </w:r>
      <w:r w:rsidR="00346F1B">
        <w:rPr>
          <w:color w:val="000000"/>
        </w:rPr>
        <w:t>’</w:t>
      </w:r>
      <w:r>
        <w:rPr>
          <w:color w:val="000000"/>
        </w:rPr>
        <w:t>accorder la priorité à l</w:t>
      </w:r>
      <w:r w:rsidR="00346F1B">
        <w:rPr>
          <w:color w:val="000000"/>
        </w:rPr>
        <w:t>’</w:t>
      </w:r>
      <w:r>
        <w:rPr>
          <w:color w:val="000000"/>
        </w:rPr>
        <w:t>un d</w:t>
      </w:r>
      <w:r w:rsidR="00346F1B">
        <w:rPr>
          <w:color w:val="000000"/>
        </w:rPr>
        <w:t>’</w:t>
      </w:r>
      <w:r>
        <w:rPr>
          <w:color w:val="000000"/>
        </w:rPr>
        <w:t xml:space="preserve">entre eux. Elle préférait donc conserver le </w:t>
      </w:r>
      <w:r w:rsidRPr="00CB64EA">
        <w:rPr>
          <w:color w:val="000000"/>
        </w:rPr>
        <w:t>paragraphe</w:t>
      </w:r>
      <w:r>
        <w:rPr>
          <w:color w:val="000000"/>
        </w:rPr>
        <w:t xml:space="preserve"> original.</w:t>
      </w:r>
    </w:p>
    <w:p w14:paraId="49203FA7" w14:textId="0AD418AF" w:rsidR="00CB64EA" w:rsidRPr="00CB64EA" w:rsidRDefault="00CB64EA" w:rsidP="00613028">
      <w:pPr>
        <w:pStyle w:val="Orateurengris"/>
        <w:spacing w:before="120"/>
        <w:ind w:left="709" w:hanging="709"/>
        <w:rPr>
          <w:color w:val="000000"/>
        </w:rPr>
      </w:pPr>
      <w:r>
        <w:rPr>
          <w:color w:val="000000"/>
        </w:rPr>
        <w:t xml:space="preserve">Le </w:t>
      </w:r>
      <w:r w:rsidRPr="00CB64EA">
        <w:rPr>
          <w:b/>
          <w:color w:val="000000"/>
        </w:rPr>
        <w:t>Secrétaire</w:t>
      </w:r>
      <w:r>
        <w:rPr>
          <w:color w:val="000000"/>
        </w:rPr>
        <w:t xml:space="preserve"> a signalé quelques petits problèmes techniques avec l</w:t>
      </w:r>
      <w:r w:rsidR="00346F1B">
        <w:rPr>
          <w:color w:val="000000"/>
        </w:rPr>
        <w:t>’</w:t>
      </w:r>
      <w:r>
        <w:rPr>
          <w:color w:val="000000"/>
        </w:rPr>
        <w:t xml:space="preserve">écran, mais </w:t>
      </w:r>
      <w:r w:rsidR="00C13128">
        <w:rPr>
          <w:color w:val="000000"/>
        </w:rPr>
        <w:t xml:space="preserve">a confirmé que </w:t>
      </w:r>
      <w:r>
        <w:rPr>
          <w:color w:val="000000"/>
        </w:rPr>
        <w:t xml:space="preserve">le </w:t>
      </w:r>
      <w:r w:rsidRPr="00CB64EA">
        <w:rPr>
          <w:color w:val="000000"/>
        </w:rPr>
        <w:t>paragraphe</w:t>
      </w:r>
      <w:r>
        <w:rPr>
          <w:color w:val="000000"/>
        </w:rPr>
        <w:t xml:space="preserve"> inclurait bien les </w:t>
      </w:r>
      <w:r w:rsidRPr="00CB64EA">
        <w:rPr>
          <w:color w:val="000000"/>
        </w:rPr>
        <w:t>catastrophes</w:t>
      </w:r>
      <w:r>
        <w:rPr>
          <w:color w:val="000000"/>
        </w:rPr>
        <w:t xml:space="preserve"> naturelles et les personnes déplacées, </w:t>
      </w:r>
      <w:r w:rsidR="004F7B48">
        <w:rPr>
          <w:color w:val="000000"/>
        </w:rPr>
        <w:t>comme mentionné par la Turquie.</w:t>
      </w:r>
    </w:p>
    <w:p w14:paraId="0125A758" w14:textId="3E54CD3F" w:rsidR="00C13128" w:rsidRDefault="00C13128" w:rsidP="00613028">
      <w:pPr>
        <w:pStyle w:val="Orateurengris"/>
        <w:spacing w:before="120"/>
        <w:ind w:left="709" w:hanging="709"/>
        <w:rPr>
          <w:color w:val="000000"/>
        </w:rPr>
      </w:pPr>
      <w:r>
        <w:rPr>
          <w:color w:val="000000"/>
        </w:rPr>
        <w:t xml:space="preserve">La </w:t>
      </w:r>
      <w:r w:rsidRPr="00C13128">
        <w:rPr>
          <w:color w:val="000000"/>
        </w:rPr>
        <w:t>délégation</w:t>
      </w:r>
      <w:r>
        <w:rPr>
          <w:color w:val="000000"/>
        </w:rPr>
        <w:t xml:space="preserve"> de la </w:t>
      </w:r>
      <w:r w:rsidRPr="00C13128">
        <w:rPr>
          <w:b/>
          <w:color w:val="000000"/>
        </w:rPr>
        <w:t>Palestine</w:t>
      </w:r>
      <w:r>
        <w:rPr>
          <w:color w:val="000000"/>
        </w:rPr>
        <w:t xml:space="preserve"> convenait avec la Turquie que « </w:t>
      </w:r>
      <w:r w:rsidRPr="00C13128">
        <w:rPr>
          <w:color w:val="000000"/>
        </w:rPr>
        <w:t>en particulier</w:t>
      </w:r>
      <w:r>
        <w:rPr>
          <w:color w:val="000000"/>
        </w:rPr>
        <w:t xml:space="preserve"> » était une forme de </w:t>
      </w:r>
      <w:r w:rsidRPr="00C13128">
        <w:rPr>
          <w:color w:val="000000"/>
        </w:rPr>
        <w:t>hiérarchisation</w:t>
      </w:r>
      <w:r>
        <w:rPr>
          <w:color w:val="000000"/>
        </w:rPr>
        <w:t xml:space="preserve"> des cas d</w:t>
      </w:r>
      <w:r w:rsidR="00346F1B">
        <w:rPr>
          <w:color w:val="000000"/>
        </w:rPr>
        <w:t>’</w:t>
      </w:r>
      <w:r>
        <w:rPr>
          <w:color w:val="000000"/>
        </w:rPr>
        <w:t>urgence. Elle a suggéré de remplacer « </w:t>
      </w:r>
      <w:r w:rsidRPr="00C13128">
        <w:rPr>
          <w:color w:val="000000"/>
        </w:rPr>
        <w:t>en particulier</w:t>
      </w:r>
      <w:r>
        <w:rPr>
          <w:color w:val="000000"/>
        </w:rPr>
        <w:t> » pa</w:t>
      </w:r>
      <w:r w:rsidR="004F7B48">
        <w:rPr>
          <w:color w:val="000000"/>
        </w:rPr>
        <w:t>r « y compris ».</w:t>
      </w:r>
    </w:p>
    <w:p w14:paraId="3C44CFC5" w14:textId="417059A1" w:rsidR="00C13128" w:rsidRPr="00C13128" w:rsidRDefault="00C13128" w:rsidP="00613028">
      <w:pPr>
        <w:pStyle w:val="Orateurengris"/>
        <w:spacing w:before="120"/>
        <w:ind w:left="709" w:hanging="709"/>
        <w:rPr>
          <w:color w:val="000000"/>
        </w:rPr>
      </w:pPr>
      <w:r>
        <w:rPr>
          <w:color w:val="000000"/>
        </w:rPr>
        <w:t xml:space="preserve">La </w:t>
      </w:r>
      <w:r w:rsidRPr="00C13128">
        <w:rPr>
          <w:color w:val="000000"/>
        </w:rPr>
        <w:t>délégation</w:t>
      </w:r>
      <w:r>
        <w:rPr>
          <w:color w:val="000000"/>
        </w:rPr>
        <w:t xml:space="preserve"> de </w:t>
      </w:r>
      <w:r w:rsidRPr="00C13128">
        <w:rPr>
          <w:b/>
          <w:color w:val="000000"/>
        </w:rPr>
        <w:t>Chypre</w:t>
      </w:r>
      <w:r>
        <w:rPr>
          <w:color w:val="000000"/>
        </w:rPr>
        <w:t xml:space="preserve"> était d</w:t>
      </w:r>
      <w:r w:rsidR="00346F1B">
        <w:rPr>
          <w:color w:val="000000"/>
        </w:rPr>
        <w:t>’</w:t>
      </w:r>
      <w:r>
        <w:rPr>
          <w:color w:val="000000"/>
        </w:rPr>
        <w:t xml:space="preserve">accord avec le premier </w:t>
      </w:r>
      <w:r w:rsidRPr="00C13128">
        <w:rPr>
          <w:color w:val="000000"/>
        </w:rPr>
        <w:t>amendement</w:t>
      </w:r>
      <w:r>
        <w:rPr>
          <w:color w:val="000000"/>
        </w:rPr>
        <w:t xml:space="preserve"> de l</w:t>
      </w:r>
      <w:r w:rsidR="00346F1B">
        <w:rPr>
          <w:color w:val="000000"/>
        </w:rPr>
        <w:t>’</w:t>
      </w:r>
      <w:r>
        <w:rPr>
          <w:color w:val="000000"/>
        </w:rPr>
        <w:t>Autriche, ajoutant qu</w:t>
      </w:r>
      <w:r w:rsidR="00346F1B">
        <w:rPr>
          <w:color w:val="000000"/>
        </w:rPr>
        <w:t>’</w:t>
      </w:r>
      <w:r>
        <w:rPr>
          <w:color w:val="000000"/>
        </w:rPr>
        <w:t>il y avait un risque d</w:t>
      </w:r>
      <w:r w:rsidR="00346F1B">
        <w:rPr>
          <w:color w:val="000000"/>
        </w:rPr>
        <w:t>’</w:t>
      </w:r>
      <w:r>
        <w:rPr>
          <w:color w:val="000000"/>
        </w:rPr>
        <w:t xml:space="preserve">omission si on énumérait les </w:t>
      </w:r>
      <w:r w:rsidRPr="00C13128">
        <w:rPr>
          <w:color w:val="000000"/>
        </w:rPr>
        <w:t>situations</w:t>
      </w:r>
      <w:r w:rsidR="00563ADB">
        <w:rPr>
          <w:color w:val="000000"/>
        </w:rPr>
        <w:t>. L</w:t>
      </w:r>
      <w:r w:rsidR="00346F1B">
        <w:rPr>
          <w:color w:val="000000"/>
        </w:rPr>
        <w:t>’</w:t>
      </w:r>
      <w:r w:rsidRPr="00C13128">
        <w:rPr>
          <w:color w:val="000000"/>
        </w:rPr>
        <w:t>amendement</w:t>
      </w:r>
      <w:r>
        <w:rPr>
          <w:color w:val="000000"/>
        </w:rPr>
        <w:t xml:space="preserve"> soulignait bien le cas </w:t>
      </w:r>
      <w:r w:rsidR="004F7B48">
        <w:rPr>
          <w:color w:val="000000"/>
        </w:rPr>
        <w:t>particulier des conflits armés.</w:t>
      </w:r>
    </w:p>
    <w:p w14:paraId="46F0BC7F" w14:textId="2DB1C526" w:rsidR="00C13128" w:rsidRPr="00C13128" w:rsidRDefault="00C13128" w:rsidP="00613028">
      <w:pPr>
        <w:pStyle w:val="Orateurengris"/>
        <w:spacing w:before="120"/>
        <w:ind w:left="709" w:hanging="709"/>
        <w:rPr>
          <w:color w:val="000000"/>
        </w:rPr>
      </w:pPr>
      <w:r>
        <w:rPr>
          <w:color w:val="000000"/>
        </w:rPr>
        <w:t xml:space="preserve">La </w:t>
      </w:r>
      <w:r w:rsidRPr="00C13128">
        <w:rPr>
          <w:color w:val="000000"/>
        </w:rPr>
        <w:t>délégation</w:t>
      </w:r>
      <w:r>
        <w:rPr>
          <w:color w:val="000000"/>
        </w:rPr>
        <w:t xml:space="preserve"> de l</w:t>
      </w:r>
      <w:r w:rsidR="00346F1B">
        <w:rPr>
          <w:color w:val="000000"/>
        </w:rPr>
        <w:t>’</w:t>
      </w:r>
      <w:r w:rsidRPr="00C13128">
        <w:rPr>
          <w:b/>
          <w:color w:val="000000"/>
        </w:rPr>
        <w:t>Arménie</w:t>
      </w:r>
      <w:r>
        <w:rPr>
          <w:color w:val="000000"/>
        </w:rPr>
        <w:t xml:space="preserve"> a rappelé son précédent </w:t>
      </w:r>
      <w:r w:rsidRPr="00C13128">
        <w:rPr>
          <w:color w:val="000000"/>
        </w:rPr>
        <w:t>commentaire</w:t>
      </w:r>
      <w:r>
        <w:rPr>
          <w:color w:val="000000"/>
        </w:rPr>
        <w:t xml:space="preserve"> selon lequel les autres </w:t>
      </w:r>
      <w:r w:rsidRPr="00C13128">
        <w:rPr>
          <w:color w:val="000000"/>
        </w:rPr>
        <w:t>situations</w:t>
      </w:r>
      <w:r>
        <w:rPr>
          <w:color w:val="000000"/>
        </w:rPr>
        <w:t xml:space="preserve"> d</w:t>
      </w:r>
      <w:r w:rsidR="00346F1B">
        <w:rPr>
          <w:color w:val="000000"/>
        </w:rPr>
        <w:t>’</w:t>
      </w:r>
      <w:r>
        <w:rPr>
          <w:color w:val="000000"/>
        </w:rPr>
        <w:t xml:space="preserve">urgence devraient </w:t>
      </w:r>
      <w:r w:rsidR="00A21CBD">
        <w:rPr>
          <w:color w:val="000000"/>
        </w:rPr>
        <w:t xml:space="preserve">alors </w:t>
      </w:r>
      <w:r>
        <w:rPr>
          <w:color w:val="000000"/>
        </w:rPr>
        <w:t xml:space="preserve">être énumérées, telles que les </w:t>
      </w:r>
      <w:r w:rsidRPr="00C13128">
        <w:rPr>
          <w:color w:val="000000"/>
        </w:rPr>
        <w:t>catastrophes</w:t>
      </w:r>
      <w:r>
        <w:rPr>
          <w:color w:val="000000"/>
        </w:rPr>
        <w:t xml:space="preserve"> provoquées par l</w:t>
      </w:r>
      <w:r w:rsidR="00346F1B">
        <w:rPr>
          <w:color w:val="000000"/>
        </w:rPr>
        <w:t>’</w:t>
      </w:r>
      <w:r>
        <w:rPr>
          <w:color w:val="000000"/>
        </w:rPr>
        <w:t xml:space="preserve">homme ou les </w:t>
      </w:r>
      <w:r w:rsidRPr="00C13128">
        <w:rPr>
          <w:color w:val="000000"/>
        </w:rPr>
        <w:t>catastrophes</w:t>
      </w:r>
      <w:r>
        <w:rPr>
          <w:color w:val="000000"/>
        </w:rPr>
        <w:t xml:space="preserve"> industrielles, et la liste ne serait donc </w:t>
      </w:r>
      <w:r w:rsidR="00A21CBD">
        <w:rPr>
          <w:color w:val="000000"/>
        </w:rPr>
        <w:t>pas exhaustive</w:t>
      </w:r>
      <w:r>
        <w:rPr>
          <w:color w:val="000000"/>
        </w:rPr>
        <w:t>. Toutes ce</w:t>
      </w:r>
      <w:r w:rsidR="00A21CBD">
        <w:rPr>
          <w:color w:val="000000"/>
        </w:rPr>
        <w:t>s</w:t>
      </w:r>
      <w:r>
        <w:rPr>
          <w:color w:val="000000"/>
        </w:rPr>
        <w:t xml:space="preserve"> situations pouvaient être considérées comme des </w:t>
      </w:r>
      <w:r w:rsidRPr="00C13128">
        <w:rPr>
          <w:color w:val="000000"/>
        </w:rPr>
        <w:t>situations</w:t>
      </w:r>
      <w:r>
        <w:rPr>
          <w:color w:val="000000"/>
        </w:rPr>
        <w:t xml:space="preserve"> d</w:t>
      </w:r>
      <w:r w:rsidR="00346F1B">
        <w:rPr>
          <w:color w:val="000000"/>
        </w:rPr>
        <w:t>’</w:t>
      </w:r>
      <w:r>
        <w:rPr>
          <w:color w:val="000000"/>
        </w:rPr>
        <w:t xml:space="preserve">urgence. Il était donc </w:t>
      </w:r>
      <w:r w:rsidR="00A21CBD">
        <w:rPr>
          <w:color w:val="000000"/>
        </w:rPr>
        <w:t>plus approprié de conserver uniquement le terme général de « </w:t>
      </w:r>
      <w:r w:rsidR="00A21CBD" w:rsidRPr="00A21CBD">
        <w:rPr>
          <w:color w:val="000000"/>
        </w:rPr>
        <w:t>situations</w:t>
      </w:r>
      <w:r w:rsidR="00A21CBD">
        <w:rPr>
          <w:color w:val="000000"/>
        </w:rPr>
        <w:t xml:space="preserve"> d</w:t>
      </w:r>
      <w:r w:rsidR="00346F1B">
        <w:rPr>
          <w:color w:val="000000"/>
        </w:rPr>
        <w:t>’</w:t>
      </w:r>
      <w:r w:rsidR="004F7B48">
        <w:rPr>
          <w:color w:val="000000"/>
        </w:rPr>
        <w:t>urgence ».</w:t>
      </w:r>
    </w:p>
    <w:p w14:paraId="3502F9D2" w14:textId="22DD703D" w:rsidR="00A21CBD" w:rsidRPr="00A21CBD" w:rsidRDefault="00A21CBD" w:rsidP="00613028">
      <w:pPr>
        <w:pStyle w:val="Orateurengris"/>
        <w:spacing w:before="120"/>
        <w:ind w:left="709" w:hanging="709"/>
        <w:rPr>
          <w:color w:val="000000"/>
        </w:rPr>
      </w:pPr>
      <w:r>
        <w:rPr>
          <w:color w:val="000000"/>
        </w:rPr>
        <w:t xml:space="preserve">Afin de ne pas perdre de temps, la </w:t>
      </w:r>
      <w:r w:rsidRPr="00A21CBD">
        <w:rPr>
          <w:color w:val="000000"/>
        </w:rPr>
        <w:t>délégation</w:t>
      </w:r>
      <w:r>
        <w:rPr>
          <w:color w:val="000000"/>
        </w:rPr>
        <w:t xml:space="preserve"> de la </w:t>
      </w:r>
      <w:r w:rsidRPr="00A21CBD">
        <w:rPr>
          <w:b/>
          <w:color w:val="000000"/>
        </w:rPr>
        <w:t>Zambie</w:t>
      </w:r>
      <w:r>
        <w:rPr>
          <w:color w:val="000000"/>
        </w:rPr>
        <w:t xml:space="preserve"> s</w:t>
      </w:r>
      <w:r w:rsidR="00346F1B">
        <w:rPr>
          <w:color w:val="000000"/>
        </w:rPr>
        <w:t>’</w:t>
      </w:r>
      <w:r>
        <w:rPr>
          <w:color w:val="000000"/>
        </w:rPr>
        <w:t>était jusqu</w:t>
      </w:r>
      <w:r w:rsidR="00346F1B">
        <w:rPr>
          <w:color w:val="000000"/>
        </w:rPr>
        <w:t>’</w:t>
      </w:r>
      <w:r>
        <w:rPr>
          <w:color w:val="000000"/>
        </w:rPr>
        <w:t>lors abstenue d</w:t>
      </w:r>
      <w:r w:rsidR="00346F1B">
        <w:rPr>
          <w:color w:val="000000"/>
        </w:rPr>
        <w:t>’</w:t>
      </w:r>
      <w:r>
        <w:rPr>
          <w:color w:val="000000"/>
        </w:rPr>
        <w:t xml:space="preserve">intervenir dans ce débat, mais elle souhaitait </w:t>
      </w:r>
      <w:r w:rsidRPr="00A21CBD">
        <w:rPr>
          <w:color w:val="000000"/>
        </w:rPr>
        <w:t>désormais</w:t>
      </w:r>
      <w:r>
        <w:rPr>
          <w:color w:val="000000"/>
        </w:rPr>
        <w:t xml:space="preserve"> joindre sa voix à celle de l</w:t>
      </w:r>
      <w:r w:rsidR="00346F1B">
        <w:rPr>
          <w:color w:val="000000"/>
        </w:rPr>
        <w:t>’</w:t>
      </w:r>
      <w:r>
        <w:rPr>
          <w:color w:val="000000"/>
        </w:rPr>
        <w:t>Arménie et de Cuba, ajoutant qu</w:t>
      </w:r>
      <w:r w:rsidR="00346F1B">
        <w:rPr>
          <w:color w:val="000000"/>
        </w:rPr>
        <w:t>’</w:t>
      </w:r>
      <w:r>
        <w:rPr>
          <w:color w:val="000000"/>
        </w:rPr>
        <w:t>il n</w:t>
      </w:r>
      <w:r w:rsidR="00346F1B">
        <w:rPr>
          <w:color w:val="000000"/>
        </w:rPr>
        <w:t>’</w:t>
      </w:r>
      <w:r>
        <w:rPr>
          <w:color w:val="000000"/>
        </w:rPr>
        <w:t xml:space="preserve">était pas utile que le Comité complique les choses et énumère toutes les </w:t>
      </w:r>
      <w:r w:rsidRPr="00A21CBD">
        <w:rPr>
          <w:color w:val="000000"/>
        </w:rPr>
        <w:t>situations</w:t>
      </w:r>
      <w:r>
        <w:rPr>
          <w:color w:val="000000"/>
        </w:rPr>
        <w:t xml:space="preserve"> d</w:t>
      </w:r>
      <w:r w:rsidR="00346F1B">
        <w:rPr>
          <w:color w:val="000000"/>
        </w:rPr>
        <w:t>’</w:t>
      </w:r>
      <w:r>
        <w:rPr>
          <w:color w:val="000000"/>
        </w:rPr>
        <w:t xml:space="preserve">urgence. Il serait donc judicieux de conserver tel quel le </w:t>
      </w:r>
      <w:r w:rsidRPr="00A21CBD">
        <w:rPr>
          <w:color w:val="000000"/>
        </w:rPr>
        <w:t>paragraphe</w:t>
      </w:r>
      <w:r>
        <w:rPr>
          <w:color w:val="000000"/>
        </w:rPr>
        <w:t xml:space="preserve"> d</w:t>
      </w:r>
      <w:r w:rsidR="00346F1B">
        <w:rPr>
          <w:color w:val="000000"/>
        </w:rPr>
        <w:t>’</w:t>
      </w:r>
      <w:r>
        <w:rPr>
          <w:color w:val="000000"/>
        </w:rPr>
        <w:t>origine. Si les situations d</w:t>
      </w:r>
      <w:r w:rsidR="00346F1B">
        <w:rPr>
          <w:color w:val="000000"/>
        </w:rPr>
        <w:t>’</w:t>
      </w:r>
      <w:r>
        <w:rPr>
          <w:color w:val="000000"/>
        </w:rPr>
        <w:t>urgence étaient énumérées, la portée de la disposition serait limitée.</w:t>
      </w:r>
    </w:p>
    <w:p w14:paraId="299DC147" w14:textId="1BFB64D8" w:rsidR="00A21CBD" w:rsidRPr="00A21CBD" w:rsidRDefault="00A21CBD" w:rsidP="00613028">
      <w:pPr>
        <w:pStyle w:val="Orateurengris"/>
        <w:spacing w:before="120"/>
        <w:ind w:left="709" w:hanging="709"/>
        <w:rPr>
          <w:color w:val="000000"/>
        </w:rPr>
      </w:pPr>
      <w:r>
        <w:rPr>
          <w:color w:val="000000"/>
        </w:rPr>
        <w:t>Reprenant l</w:t>
      </w:r>
      <w:r w:rsidR="00346F1B">
        <w:rPr>
          <w:color w:val="000000"/>
        </w:rPr>
        <w:t>’</w:t>
      </w:r>
      <w:r w:rsidRPr="00A21CBD">
        <w:rPr>
          <w:color w:val="000000"/>
        </w:rPr>
        <w:t>amendement</w:t>
      </w:r>
      <w:r>
        <w:rPr>
          <w:color w:val="000000"/>
        </w:rPr>
        <w:t xml:space="preserve"> de la Palestine, la </w:t>
      </w:r>
      <w:r w:rsidRPr="00A21CBD">
        <w:rPr>
          <w:color w:val="000000"/>
        </w:rPr>
        <w:t>délégation</w:t>
      </w:r>
      <w:r>
        <w:rPr>
          <w:color w:val="000000"/>
        </w:rPr>
        <w:t xml:space="preserve"> des </w:t>
      </w:r>
      <w:r w:rsidRPr="00A21CBD">
        <w:rPr>
          <w:b/>
          <w:color w:val="000000"/>
        </w:rPr>
        <w:t>Philippines</w:t>
      </w:r>
      <w:r>
        <w:rPr>
          <w:color w:val="000000"/>
        </w:rPr>
        <w:t xml:space="preserve"> a proposé un compromis ainsi rédigé : « y compris, mais pas uniquement, les cas de conflit armé, de catastrophe naturel</w:t>
      </w:r>
      <w:r w:rsidR="004F7B48">
        <w:rPr>
          <w:color w:val="000000"/>
        </w:rPr>
        <w:t>le et de personnes déplacées ».</w:t>
      </w:r>
    </w:p>
    <w:p w14:paraId="2AE8D5EC" w14:textId="34F348BE" w:rsidR="00A21CBD" w:rsidRPr="00A21CBD" w:rsidRDefault="00A21CBD" w:rsidP="00613028">
      <w:pPr>
        <w:pStyle w:val="Orateurengris"/>
        <w:spacing w:before="120"/>
        <w:ind w:left="709" w:hanging="709"/>
        <w:rPr>
          <w:color w:val="000000"/>
        </w:rPr>
      </w:pPr>
      <w:r>
        <w:rPr>
          <w:color w:val="000000"/>
        </w:rPr>
        <w:t xml:space="preserve">Le </w:t>
      </w:r>
      <w:r w:rsidRPr="00A21CBD">
        <w:rPr>
          <w:b/>
          <w:color w:val="000000"/>
        </w:rPr>
        <w:t>Secrétaire</w:t>
      </w:r>
      <w:r>
        <w:rPr>
          <w:color w:val="000000"/>
        </w:rPr>
        <w:t xml:space="preserve"> a précisé que le Secrétariat poursuivrait son travail sur la question du PCI dans les situations d</w:t>
      </w:r>
      <w:r w:rsidR="00346F1B">
        <w:rPr>
          <w:color w:val="000000"/>
        </w:rPr>
        <w:t>’</w:t>
      </w:r>
      <w:r>
        <w:rPr>
          <w:color w:val="000000"/>
        </w:rPr>
        <w:t>urgence, ajouta</w:t>
      </w:r>
      <w:r w:rsidR="00894EB6">
        <w:rPr>
          <w:color w:val="000000"/>
        </w:rPr>
        <w:t>nt qu</w:t>
      </w:r>
      <w:r w:rsidR="00346F1B">
        <w:rPr>
          <w:color w:val="000000"/>
        </w:rPr>
        <w:t>’</w:t>
      </w:r>
      <w:r w:rsidR="00894EB6">
        <w:rPr>
          <w:color w:val="000000"/>
        </w:rPr>
        <w:t>il s</w:t>
      </w:r>
      <w:r w:rsidR="00346F1B">
        <w:rPr>
          <w:color w:val="000000"/>
        </w:rPr>
        <w:t>’</w:t>
      </w:r>
      <w:r w:rsidR="00894EB6">
        <w:rPr>
          <w:color w:val="000000"/>
        </w:rPr>
        <w:t>agissait là des premières considérations et non d</w:t>
      </w:r>
      <w:r w:rsidR="00346F1B">
        <w:rPr>
          <w:color w:val="000000"/>
        </w:rPr>
        <w:t>’</w:t>
      </w:r>
      <w:r w:rsidR="00894EB6">
        <w:rPr>
          <w:color w:val="000000"/>
        </w:rPr>
        <w:t xml:space="preserve">un </w:t>
      </w:r>
      <w:r w:rsidR="00894EB6" w:rsidRPr="00894EB6">
        <w:rPr>
          <w:color w:val="000000"/>
        </w:rPr>
        <w:t>engagement</w:t>
      </w:r>
      <w:r w:rsidR="00894EB6">
        <w:rPr>
          <w:color w:val="000000"/>
        </w:rPr>
        <w:t xml:space="preserve"> final </w:t>
      </w:r>
      <w:r>
        <w:rPr>
          <w:color w:val="000000"/>
        </w:rPr>
        <w:t>sur la question, et que le Secrétariat reviendrait sur le sujet à la prochaine session du Comité</w:t>
      </w:r>
      <w:r w:rsidR="007719B5">
        <w:rPr>
          <w:color w:val="000000"/>
        </w:rPr>
        <w:t>.</w:t>
      </w:r>
    </w:p>
    <w:p w14:paraId="036145E9" w14:textId="13F45375" w:rsidR="00A21CBD" w:rsidRDefault="00A21CBD" w:rsidP="00613028">
      <w:pPr>
        <w:pStyle w:val="Orateurengris"/>
        <w:spacing w:before="120"/>
        <w:ind w:left="709" w:hanging="709"/>
        <w:rPr>
          <w:color w:val="000000"/>
        </w:rPr>
      </w:pPr>
      <w:r>
        <w:rPr>
          <w:color w:val="000000"/>
        </w:rPr>
        <w:t xml:space="preserve">Le </w:t>
      </w:r>
      <w:r w:rsidRPr="00A21CBD">
        <w:rPr>
          <w:b/>
          <w:color w:val="000000"/>
        </w:rPr>
        <w:t>Président</w:t>
      </w:r>
      <w:r>
        <w:rPr>
          <w:color w:val="000000"/>
        </w:rPr>
        <w:t xml:space="preserve"> a souligné l</w:t>
      </w:r>
      <w:r w:rsidR="00346F1B">
        <w:rPr>
          <w:color w:val="000000"/>
        </w:rPr>
        <w:t>’</w:t>
      </w:r>
      <w:r>
        <w:rPr>
          <w:color w:val="000000"/>
        </w:rPr>
        <w:t xml:space="preserve">importance du </w:t>
      </w:r>
      <w:r w:rsidRPr="00A21CBD">
        <w:rPr>
          <w:color w:val="000000"/>
        </w:rPr>
        <w:t>commentaire</w:t>
      </w:r>
      <w:r>
        <w:rPr>
          <w:color w:val="000000"/>
        </w:rPr>
        <w:t xml:space="preserve"> du </w:t>
      </w:r>
      <w:r w:rsidRPr="00A21CBD">
        <w:rPr>
          <w:color w:val="000000"/>
        </w:rPr>
        <w:t>Secrétaire</w:t>
      </w:r>
      <w:r>
        <w:rPr>
          <w:color w:val="000000"/>
        </w:rPr>
        <w:t>, en priant instamment le Comité</w:t>
      </w:r>
      <w:r w:rsidR="00894EB6">
        <w:rPr>
          <w:color w:val="000000"/>
        </w:rPr>
        <w:t xml:space="preserve"> de convenir d</w:t>
      </w:r>
      <w:r w:rsidR="00346F1B">
        <w:rPr>
          <w:color w:val="000000"/>
        </w:rPr>
        <w:t>’</w:t>
      </w:r>
      <w:r w:rsidR="00894EB6">
        <w:rPr>
          <w:color w:val="000000"/>
        </w:rPr>
        <w:t>une formulation qui reflète de manière inclusive l</w:t>
      </w:r>
      <w:r w:rsidR="00346F1B">
        <w:rPr>
          <w:color w:val="000000"/>
        </w:rPr>
        <w:t>’</w:t>
      </w:r>
      <w:r w:rsidR="00894EB6">
        <w:rPr>
          <w:color w:val="000000"/>
        </w:rPr>
        <w:t xml:space="preserve">esprit du </w:t>
      </w:r>
      <w:r w:rsidR="00894EB6" w:rsidRPr="00894EB6">
        <w:rPr>
          <w:color w:val="000000"/>
        </w:rPr>
        <w:t>paragraphe</w:t>
      </w:r>
      <w:r w:rsidR="00894EB6">
        <w:rPr>
          <w:color w:val="000000"/>
        </w:rPr>
        <w:t>.</w:t>
      </w:r>
    </w:p>
    <w:p w14:paraId="5CAD5C68" w14:textId="5CE371B1" w:rsidR="00894EB6" w:rsidRDefault="00894EB6" w:rsidP="00613028">
      <w:pPr>
        <w:pStyle w:val="Orateurengris"/>
        <w:spacing w:before="120"/>
        <w:ind w:left="709" w:hanging="709"/>
        <w:rPr>
          <w:color w:val="000000"/>
        </w:rPr>
      </w:pPr>
      <w:r>
        <w:rPr>
          <w:color w:val="000000"/>
        </w:rPr>
        <w:t xml:space="preserve">La </w:t>
      </w:r>
      <w:r w:rsidRPr="00894EB6">
        <w:rPr>
          <w:color w:val="000000"/>
        </w:rPr>
        <w:t>délégation</w:t>
      </w:r>
      <w:r>
        <w:rPr>
          <w:color w:val="000000"/>
        </w:rPr>
        <w:t xml:space="preserve"> de la </w:t>
      </w:r>
      <w:r w:rsidRPr="00894EB6">
        <w:rPr>
          <w:b/>
          <w:color w:val="000000"/>
        </w:rPr>
        <w:t>Turquie</w:t>
      </w:r>
      <w:r>
        <w:rPr>
          <w:color w:val="000000"/>
        </w:rPr>
        <w:t xml:space="preserve"> a insisté sur l</w:t>
      </w:r>
      <w:r w:rsidR="00346F1B">
        <w:rPr>
          <w:color w:val="000000"/>
        </w:rPr>
        <w:t>’</w:t>
      </w:r>
      <w:r>
        <w:rPr>
          <w:color w:val="000000"/>
        </w:rPr>
        <w:t>importance d</w:t>
      </w:r>
      <w:r w:rsidR="00346F1B">
        <w:rPr>
          <w:color w:val="000000"/>
        </w:rPr>
        <w:t>’</w:t>
      </w:r>
      <w:r>
        <w:rPr>
          <w:color w:val="000000"/>
        </w:rPr>
        <w:t xml:space="preserve">inclure les </w:t>
      </w:r>
      <w:r w:rsidRPr="00894EB6">
        <w:rPr>
          <w:color w:val="000000"/>
        </w:rPr>
        <w:t>catastrophes</w:t>
      </w:r>
      <w:r>
        <w:rPr>
          <w:color w:val="000000"/>
        </w:rPr>
        <w:t xml:space="preserve"> naturelles et les personnes déplacées, </w:t>
      </w:r>
      <w:r w:rsidRPr="00894EB6">
        <w:rPr>
          <w:color w:val="000000"/>
        </w:rPr>
        <w:t>en particulier</w:t>
      </w:r>
      <w:r>
        <w:rPr>
          <w:color w:val="000000"/>
        </w:rPr>
        <w:t xml:space="preserve"> parce que les situations </w:t>
      </w:r>
      <w:r w:rsidR="00630AF5">
        <w:rPr>
          <w:color w:val="000000"/>
        </w:rPr>
        <w:t>d</w:t>
      </w:r>
      <w:r w:rsidR="00346F1B">
        <w:rPr>
          <w:color w:val="000000"/>
        </w:rPr>
        <w:t>’</w:t>
      </w:r>
      <w:r w:rsidR="00630AF5">
        <w:rPr>
          <w:color w:val="000000"/>
        </w:rPr>
        <w:t xml:space="preserve">urgence variaient </w:t>
      </w:r>
      <w:r>
        <w:rPr>
          <w:color w:val="000000"/>
        </w:rPr>
        <w:t>selon les régions et qu</w:t>
      </w:r>
      <w:r w:rsidR="00346F1B">
        <w:rPr>
          <w:color w:val="000000"/>
        </w:rPr>
        <w:t>’</w:t>
      </w:r>
      <w:r>
        <w:rPr>
          <w:color w:val="000000"/>
        </w:rPr>
        <w:t xml:space="preserve">elles avaient </w:t>
      </w:r>
      <w:r w:rsidR="00630AF5">
        <w:rPr>
          <w:color w:val="000000"/>
        </w:rPr>
        <w:t xml:space="preserve">toutes </w:t>
      </w:r>
      <w:r>
        <w:rPr>
          <w:color w:val="000000"/>
        </w:rPr>
        <w:t>la même importance.</w:t>
      </w:r>
      <w:r w:rsidR="00630AF5">
        <w:rPr>
          <w:color w:val="000000"/>
        </w:rPr>
        <w:t xml:space="preserve"> Toutefois, elle préférait conserver le texte d</w:t>
      </w:r>
      <w:r w:rsidR="00346F1B">
        <w:rPr>
          <w:color w:val="000000"/>
        </w:rPr>
        <w:t>’</w:t>
      </w:r>
      <w:r w:rsidR="00630AF5">
        <w:rPr>
          <w:color w:val="000000"/>
        </w:rPr>
        <w:t>origine si l</w:t>
      </w:r>
      <w:r w:rsidR="00346F1B">
        <w:rPr>
          <w:color w:val="000000"/>
        </w:rPr>
        <w:t>’</w:t>
      </w:r>
      <w:r w:rsidR="00630AF5">
        <w:rPr>
          <w:color w:val="000000"/>
        </w:rPr>
        <w:t>Autriche et la Palest</w:t>
      </w:r>
      <w:r w:rsidR="004F7B48">
        <w:rPr>
          <w:color w:val="000000"/>
        </w:rPr>
        <w:t>ine acceptaient sa proposition.</w:t>
      </w:r>
    </w:p>
    <w:p w14:paraId="3A8CF85D" w14:textId="596DB7F0" w:rsidR="00630AF5" w:rsidRPr="00630AF5" w:rsidRDefault="00630AF5" w:rsidP="00613028">
      <w:pPr>
        <w:pStyle w:val="Orateurengris"/>
        <w:spacing w:before="120"/>
        <w:ind w:left="709" w:hanging="709"/>
        <w:rPr>
          <w:color w:val="000000"/>
        </w:rPr>
      </w:pPr>
      <w:r>
        <w:rPr>
          <w:color w:val="000000"/>
        </w:rPr>
        <w:t xml:space="preserve">La </w:t>
      </w:r>
      <w:r w:rsidRPr="00630AF5">
        <w:rPr>
          <w:color w:val="000000"/>
        </w:rPr>
        <w:t>délégation</w:t>
      </w:r>
      <w:r>
        <w:rPr>
          <w:color w:val="000000"/>
        </w:rPr>
        <w:t xml:space="preserve"> de l</w:t>
      </w:r>
      <w:r w:rsidR="00346F1B">
        <w:rPr>
          <w:color w:val="000000"/>
        </w:rPr>
        <w:t>’</w:t>
      </w:r>
      <w:r w:rsidRPr="00630AF5">
        <w:rPr>
          <w:b/>
          <w:color w:val="000000"/>
        </w:rPr>
        <w:t>Autriche</w:t>
      </w:r>
      <w:r>
        <w:rPr>
          <w:color w:val="000000"/>
        </w:rPr>
        <w:t xml:space="preserve"> </w:t>
      </w:r>
      <w:r w:rsidR="00563ADB">
        <w:rPr>
          <w:color w:val="000000"/>
        </w:rPr>
        <w:t xml:space="preserve">souhaitait </w:t>
      </w:r>
      <w:r>
        <w:rPr>
          <w:color w:val="000000"/>
        </w:rPr>
        <w:t xml:space="preserve">suivre le consensus établi et retirer son </w:t>
      </w:r>
      <w:r w:rsidRPr="00630AF5">
        <w:rPr>
          <w:color w:val="000000"/>
        </w:rPr>
        <w:t>amendement</w:t>
      </w:r>
      <w:r>
        <w:rPr>
          <w:color w:val="000000"/>
        </w:rPr>
        <w:t>.</w:t>
      </w:r>
    </w:p>
    <w:p w14:paraId="046C99D8" w14:textId="78EE6C41" w:rsidR="00630AF5" w:rsidRPr="00630AF5" w:rsidRDefault="00630AF5" w:rsidP="00613028">
      <w:pPr>
        <w:pStyle w:val="Orateurengris"/>
        <w:spacing w:before="120"/>
        <w:ind w:left="709" w:hanging="709"/>
        <w:rPr>
          <w:color w:val="000000"/>
        </w:rPr>
      </w:pPr>
      <w:r>
        <w:rPr>
          <w:color w:val="000000"/>
        </w:rPr>
        <w:t xml:space="preserve">La </w:t>
      </w:r>
      <w:r w:rsidRPr="00630AF5">
        <w:rPr>
          <w:color w:val="000000"/>
        </w:rPr>
        <w:t>délégation</w:t>
      </w:r>
      <w:r>
        <w:rPr>
          <w:color w:val="000000"/>
        </w:rPr>
        <w:t xml:space="preserve"> de la </w:t>
      </w:r>
      <w:r w:rsidRPr="00630AF5">
        <w:rPr>
          <w:b/>
          <w:color w:val="000000"/>
        </w:rPr>
        <w:t>Palestine</w:t>
      </w:r>
      <w:r>
        <w:rPr>
          <w:color w:val="000000"/>
        </w:rPr>
        <w:t xml:space="preserve"> a évoqué la </w:t>
      </w:r>
      <w:r w:rsidRPr="00630AF5">
        <w:rPr>
          <w:color w:val="000000"/>
        </w:rPr>
        <w:t xml:space="preserve">proposition </w:t>
      </w:r>
      <w:r>
        <w:rPr>
          <w:color w:val="000000"/>
        </w:rPr>
        <w:t xml:space="preserve">des Philippines qui lui semblait régler le problème. </w:t>
      </w:r>
      <w:r w:rsidR="00724FB7">
        <w:rPr>
          <w:color w:val="000000"/>
        </w:rPr>
        <w:t>N</w:t>
      </w:r>
      <w:r w:rsidR="00346F1B">
        <w:rPr>
          <w:color w:val="000000"/>
        </w:rPr>
        <w:t>’</w:t>
      </w:r>
      <w:r w:rsidR="00724FB7">
        <w:rPr>
          <w:color w:val="000000"/>
        </w:rPr>
        <w:t>étant</w:t>
      </w:r>
      <w:r>
        <w:rPr>
          <w:color w:val="000000"/>
        </w:rPr>
        <w:t xml:space="preserve"> ni restri</w:t>
      </w:r>
      <w:r w:rsidR="00724FB7">
        <w:rPr>
          <w:color w:val="000000"/>
        </w:rPr>
        <w:t xml:space="preserve">ctive ni exclusive, la </w:t>
      </w:r>
      <w:r w:rsidR="00724FB7" w:rsidRPr="00724FB7">
        <w:rPr>
          <w:color w:val="000000"/>
        </w:rPr>
        <w:t xml:space="preserve">proposition </w:t>
      </w:r>
      <w:r w:rsidR="00724FB7">
        <w:rPr>
          <w:color w:val="000000"/>
        </w:rPr>
        <w:t xml:space="preserve">pouvait être acceptée, c.-à-d. elle soulignait simplement les trois </w:t>
      </w:r>
      <w:r w:rsidR="00724FB7" w:rsidRPr="00724FB7">
        <w:rPr>
          <w:color w:val="000000"/>
        </w:rPr>
        <w:t>situations</w:t>
      </w:r>
      <w:r w:rsidR="00724FB7">
        <w:rPr>
          <w:color w:val="000000"/>
        </w:rPr>
        <w:t xml:space="preserve"> d</w:t>
      </w:r>
      <w:r w:rsidR="00346F1B">
        <w:rPr>
          <w:color w:val="000000"/>
        </w:rPr>
        <w:t>’</w:t>
      </w:r>
      <w:r w:rsidR="00724FB7">
        <w:rPr>
          <w:color w:val="000000"/>
        </w:rPr>
        <w:t>urgence considér</w:t>
      </w:r>
      <w:r w:rsidR="004F7B48">
        <w:rPr>
          <w:color w:val="000000"/>
        </w:rPr>
        <w:t>ées comme les plus importantes.</w:t>
      </w:r>
    </w:p>
    <w:p w14:paraId="0F5331E4" w14:textId="43CD0E17" w:rsidR="00724FB7" w:rsidRPr="00724FB7" w:rsidRDefault="00724FB7" w:rsidP="00613028">
      <w:pPr>
        <w:pStyle w:val="Orateurengris"/>
        <w:spacing w:before="120"/>
        <w:ind w:left="709" w:hanging="709"/>
        <w:rPr>
          <w:color w:val="000000"/>
        </w:rPr>
      </w:pPr>
      <w:r>
        <w:rPr>
          <w:color w:val="000000"/>
        </w:rPr>
        <w:t xml:space="preserve">La </w:t>
      </w:r>
      <w:r w:rsidRPr="00724FB7">
        <w:rPr>
          <w:color w:val="000000"/>
        </w:rPr>
        <w:t>délégation</w:t>
      </w:r>
      <w:r>
        <w:rPr>
          <w:color w:val="000000"/>
        </w:rPr>
        <w:t xml:space="preserve"> de </w:t>
      </w:r>
      <w:r w:rsidRPr="00724FB7">
        <w:rPr>
          <w:b/>
          <w:color w:val="000000"/>
        </w:rPr>
        <w:t>Cuba</w:t>
      </w:r>
      <w:r>
        <w:rPr>
          <w:color w:val="000000"/>
        </w:rPr>
        <w:t xml:space="preserve"> a souligné que, pour certains pays, les </w:t>
      </w:r>
      <w:r w:rsidRPr="00724FB7">
        <w:rPr>
          <w:color w:val="000000"/>
        </w:rPr>
        <w:t>catastrophes</w:t>
      </w:r>
      <w:r>
        <w:rPr>
          <w:color w:val="000000"/>
        </w:rPr>
        <w:t xml:space="preserve"> naturelles étaient plus importantes, ajoutant que la solution des Philippines, soutenue par la Palestine, pourrait être la meilleure solution. Dans tous les cas, le Comité devait attendre la décision de la Conférence générale</w:t>
      </w:r>
      <w:r w:rsidR="00F63948">
        <w:rPr>
          <w:color w:val="000000"/>
        </w:rPr>
        <w:t xml:space="preserve"> sur le sujet car elle allait changer le titre de cette stratégie pour inclure les </w:t>
      </w:r>
      <w:r w:rsidR="00F63948" w:rsidRPr="00F63948">
        <w:rPr>
          <w:color w:val="000000"/>
        </w:rPr>
        <w:t>catastrophes</w:t>
      </w:r>
      <w:r w:rsidR="00F63948">
        <w:rPr>
          <w:color w:val="000000"/>
        </w:rPr>
        <w:t xml:space="preserve"> naturelles. </w:t>
      </w:r>
      <w:r>
        <w:rPr>
          <w:color w:val="000000"/>
        </w:rPr>
        <w:t>Le débat présent était donc</w:t>
      </w:r>
      <w:r w:rsidR="00F63948">
        <w:rPr>
          <w:color w:val="000000"/>
        </w:rPr>
        <w:t xml:space="preserve"> un peu vain et prématuré.</w:t>
      </w:r>
    </w:p>
    <w:p w14:paraId="2CA25C5A" w14:textId="5FECF2C7" w:rsidR="00F63948" w:rsidRPr="00F63948" w:rsidRDefault="00F63948" w:rsidP="00613028">
      <w:pPr>
        <w:pStyle w:val="Orateurengris"/>
        <w:spacing w:before="120"/>
        <w:ind w:left="709" w:hanging="709"/>
        <w:rPr>
          <w:color w:val="000000"/>
        </w:rPr>
      </w:pPr>
      <w:r>
        <w:rPr>
          <w:color w:val="000000"/>
        </w:rPr>
        <w:t xml:space="preserve">Le </w:t>
      </w:r>
      <w:r w:rsidRPr="00F63948">
        <w:rPr>
          <w:b/>
          <w:color w:val="000000"/>
        </w:rPr>
        <w:t>Président</w:t>
      </w:r>
      <w:r>
        <w:rPr>
          <w:color w:val="000000"/>
        </w:rPr>
        <w:t xml:space="preserve"> a demandé au Comité s</w:t>
      </w:r>
      <w:r w:rsidR="00346F1B">
        <w:rPr>
          <w:color w:val="000000"/>
        </w:rPr>
        <w:t>’</w:t>
      </w:r>
      <w:r>
        <w:rPr>
          <w:color w:val="000000"/>
        </w:rPr>
        <w:t xml:space="preserve">il pourrait accepter </w:t>
      </w:r>
      <w:r w:rsidR="004F7B48">
        <w:rPr>
          <w:color w:val="000000"/>
        </w:rPr>
        <w:t>la proposition des Philippines.</w:t>
      </w:r>
    </w:p>
    <w:p w14:paraId="6CD5F31E" w14:textId="1DB45DAE" w:rsidR="0052609B" w:rsidRPr="0052609B" w:rsidRDefault="00F63948" w:rsidP="00613028">
      <w:pPr>
        <w:pStyle w:val="Orateurengris"/>
        <w:spacing w:before="120"/>
        <w:ind w:left="709" w:hanging="709"/>
        <w:rPr>
          <w:color w:val="000000"/>
        </w:rPr>
      </w:pPr>
      <w:r w:rsidRPr="00F63948">
        <w:rPr>
          <w:color w:val="000000"/>
        </w:rPr>
        <w:t>La délégation de l</w:t>
      </w:r>
      <w:r w:rsidR="00346F1B">
        <w:rPr>
          <w:color w:val="000000"/>
        </w:rPr>
        <w:t>’</w:t>
      </w:r>
      <w:r w:rsidR="0052609B" w:rsidRPr="0052609B">
        <w:rPr>
          <w:b/>
          <w:color w:val="000000"/>
        </w:rPr>
        <w:t>Arménie</w:t>
      </w:r>
      <w:r w:rsidR="0052609B">
        <w:rPr>
          <w:color w:val="000000"/>
        </w:rPr>
        <w:t xml:space="preserve"> a dit son d</w:t>
      </w:r>
      <w:r w:rsidR="00346F1B">
        <w:rPr>
          <w:color w:val="000000"/>
        </w:rPr>
        <w:t>’</w:t>
      </w:r>
      <w:r w:rsidR="0052609B">
        <w:rPr>
          <w:color w:val="000000"/>
        </w:rPr>
        <w:t>accord avec la position de la Turquie, ajoutant qu</w:t>
      </w:r>
      <w:r w:rsidR="00346F1B">
        <w:rPr>
          <w:color w:val="000000"/>
        </w:rPr>
        <w:t>’</w:t>
      </w:r>
      <w:r w:rsidR="0052609B">
        <w:rPr>
          <w:color w:val="000000"/>
        </w:rPr>
        <w:t>il n</w:t>
      </w:r>
      <w:r w:rsidR="00346F1B">
        <w:rPr>
          <w:color w:val="000000"/>
        </w:rPr>
        <w:t>’</w:t>
      </w:r>
      <w:r w:rsidR="0052609B">
        <w:rPr>
          <w:color w:val="000000"/>
        </w:rPr>
        <w:t>y aurait jamais d</w:t>
      </w:r>
      <w:r w:rsidR="00346F1B">
        <w:rPr>
          <w:color w:val="000000"/>
        </w:rPr>
        <w:t>’</w:t>
      </w:r>
      <w:r w:rsidR="0052609B">
        <w:rPr>
          <w:color w:val="000000"/>
        </w:rPr>
        <w:t>énumération exhaustive même en ajoutant « </w:t>
      </w:r>
      <w:r w:rsidR="0052609B" w:rsidRPr="0052609B">
        <w:rPr>
          <w:color w:val="000000"/>
        </w:rPr>
        <w:t>en particulier</w:t>
      </w:r>
      <w:r w:rsidR="0052609B">
        <w:rPr>
          <w:color w:val="000000"/>
        </w:rPr>
        <w:t xml:space="preserve"> » et « pas uniquement ». </w:t>
      </w:r>
      <w:r w:rsidR="0052609B" w:rsidRPr="0052609B">
        <w:rPr>
          <w:color w:val="000000"/>
        </w:rPr>
        <w:t>En ce qui concerne</w:t>
      </w:r>
      <w:r w:rsidR="0052609B">
        <w:rPr>
          <w:color w:val="000000"/>
        </w:rPr>
        <w:t xml:space="preserve"> les </w:t>
      </w:r>
      <w:r w:rsidR="0052609B" w:rsidRPr="0052609B">
        <w:rPr>
          <w:color w:val="000000"/>
        </w:rPr>
        <w:t>situations</w:t>
      </w:r>
      <w:r w:rsidR="0052609B">
        <w:rPr>
          <w:color w:val="000000"/>
        </w:rPr>
        <w:t xml:space="preserve"> d</w:t>
      </w:r>
      <w:r w:rsidR="00346F1B">
        <w:rPr>
          <w:color w:val="000000"/>
        </w:rPr>
        <w:t>’</w:t>
      </w:r>
      <w:r w:rsidR="0052609B">
        <w:rPr>
          <w:color w:val="000000"/>
        </w:rPr>
        <w:t xml:space="preserve">urgence, la </w:t>
      </w:r>
      <w:r w:rsidR="0052609B" w:rsidRPr="0052609B">
        <w:rPr>
          <w:color w:val="000000"/>
        </w:rPr>
        <w:t>délégation</w:t>
      </w:r>
      <w:r w:rsidR="0052609B">
        <w:rPr>
          <w:color w:val="000000"/>
        </w:rPr>
        <w:t xml:space="preserve"> a évoqué le </w:t>
      </w:r>
      <w:r w:rsidR="0052609B" w:rsidRPr="0052609B">
        <w:rPr>
          <w:color w:val="000000"/>
        </w:rPr>
        <w:t>changement</w:t>
      </w:r>
      <w:r w:rsidR="0052609B">
        <w:rPr>
          <w:color w:val="000000"/>
        </w:rPr>
        <w:t xml:space="preserve"> climatique, qui n</w:t>
      </w:r>
      <w:r w:rsidR="00346F1B">
        <w:rPr>
          <w:color w:val="000000"/>
        </w:rPr>
        <w:t>’</w:t>
      </w:r>
      <w:r w:rsidR="0052609B">
        <w:rPr>
          <w:color w:val="000000"/>
        </w:rPr>
        <w:t>était pas un désastre en tant que tel mais pouvait être considéré comme une situation d</w:t>
      </w:r>
      <w:r w:rsidR="00346F1B">
        <w:rPr>
          <w:color w:val="000000"/>
        </w:rPr>
        <w:t>’</w:t>
      </w:r>
      <w:r w:rsidR="0052609B">
        <w:rPr>
          <w:color w:val="000000"/>
        </w:rPr>
        <w:t xml:space="preserve">urgence. Il y avait </w:t>
      </w:r>
      <w:r w:rsidR="0052609B" w:rsidRPr="0052609B">
        <w:rPr>
          <w:color w:val="000000"/>
        </w:rPr>
        <w:t>également</w:t>
      </w:r>
      <w:r w:rsidR="0052609B">
        <w:rPr>
          <w:color w:val="000000"/>
        </w:rPr>
        <w:t xml:space="preserve"> de nombreux problèmes dans les petits États insulaires en </w:t>
      </w:r>
      <w:r w:rsidR="0052609B" w:rsidRPr="0052609B">
        <w:rPr>
          <w:color w:val="000000"/>
        </w:rPr>
        <w:t>développement</w:t>
      </w:r>
      <w:r w:rsidR="00AD730F">
        <w:rPr>
          <w:color w:val="000000"/>
        </w:rPr>
        <w:t xml:space="preserve"> qui pourraient relever de</w:t>
      </w:r>
      <w:r w:rsidR="0052609B">
        <w:rPr>
          <w:color w:val="000000"/>
        </w:rPr>
        <w:t xml:space="preserve"> « </w:t>
      </w:r>
      <w:r w:rsidR="0052609B" w:rsidRPr="0052609B">
        <w:rPr>
          <w:color w:val="000000"/>
        </w:rPr>
        <w:t>situations</w:t>
      </w:r>
      <w:r w:rsidR="00AD730F">
        <w:rPr>
          <w:color w:val="000000"/>
        </w:rPr>
        <w:t xml:space="preserve"> d</w:t>
      </w:r>
      <w:r w:rsidR="00346F1B">
        <w:rPr>
          <w:color w:val="000000"/>
        </w:rPr>
        <w:t>’</w:t>
      </w:r>
      <w:r w:rsidR="00AD730F">
        <w:rPr>
          <w:color w:val="000000"/>
        </w:rPr>
        <w:t>urgence » mais ne p</w:t>
      </w:r>
      <w:r w:rsidR="0052609B">
        <w:rPr>
          <w:color w:val="000000"/>
        </w:rPr>
        <w:t>as nécessairement être inclus dans la lis</w:t>
      </w:r>
      <w:r w:rsidR="00AD730F">
        <w:rPr>
          <w:color w:val="000000"/>
        </w:rPr>
        <w:t>t</w:t>
      </w:r>
      <w:r w:rsidR="0052609B">
        <w:rPr>
          <w:color w:val="000000"/>
        </w:rPr>
        <w:t>e des « </w:t>
      </w:r>
      <w:r w:rsidR="0052609B" w:rsidRPr="0052609B">
        <w:rPr>
          <w:color w:val="000000"/>
        </w:rPr>
        <w:t>en particulier</w:t>
      </w:r>
      <w:r w:rsidR="0052609B">
        <w:rPr>
          <w:color w:val="000000"/>
        </w:rPr>
        <w:t xml:space="preserve"> ». Ainsi, en </w:t>
      </w:r>
      <w:r w:rsidR="00AD730F">
        <w:rPr>
          <w:color w:val="000000"/>
        </w:rPr>
        <w:t xml:space="preserve">ne précisant pas </w:t>
      </w:r>
      <w:r w:rsidR="0052609B">
        <w:rPr>
          <w:color w:val="000000"/>
        </w:rPr>
        <w:t>le terme « </w:t>
      </w:r>
      <w:r w:rsidR="0052609B" w:rsidRPr="0052609B">
        <w:rPr>
          <w:color w:val="000000"/>
        </w:rPr>
        <w:t>situations</w:t>
      </w:r>
      <w:r w:rsidR="0052609B">
        <w:rPr>
          <w:color w:val="000000"/>
        </w:rPr>
        <w:t xml:space="preserve"> d</w:t>
      </w:r>
      <w:r w:rsidR="00346F1B">
        <w:rPr>
          <w:color w:val="000000"/>
        </w:rPr>
        <w:t>’</w:t>
      </w:r>
      <w:r w:rsidR="0052609B">
        <w:rPr>
          <w:color w:val="000000"/>
        </w:rPr>
        <w:t xml:space="preserve">urgence », </w:t>
      </w:r>
      <w:r w:rsidR="00AD730F">
        <w:rPr>
          <w:color w:val="000000"/>
        </w:rPr>
        <w:t xml:space="preserve">on laissait la porte ouverte à un travail de plus grande envergure qui pourrait envisager ultérieurement une liste exhaustive de toutes les </w:t>
      </w:r>
      <w:r w:rsidR="00AD730F" w:rsidRPr="00AD730F">
        <w:rPr>
          <w:color w:val="000000"/>
        </w:rPr>
        <w:t>situations</w:t>
      </w:r>
      <w:r w:rsidR="00AD730F">
        <w:rPr>
          <w:color w:val="000000"/>
        </w:rPr>
        <w:t xml:space="preserve"> d</w:t>
      </w:r>
      <w:r w:rsidR="00346F1B">
        <w:rPr>
          <w:color w:val="000000"/>
        </w:rPr>
        <w:t>’</w:t>
      </w:r>
      <w:r w:rsidR="00AD730F">
        <w:rPr>
          <w:color w:val="000000"/>
        </w:rPr>
        <w:t xml:space="preserve">urgence possibles. La </w:t>
      </w:r>
      <w:r w:rsidR="00AD730F" w:rsidRPr="00AD730F">
        <w:rPr>
          <w:color w:val="000000"/>
        </w:rPr>
        <w:t>délégation</w:t>
      </w:r>
      <w:r w:rsidR="00AD730F">
        <w:rPr>
          <w:color w:val="000000"/>
        </w:rPr>
        <w:t xml:space="preserve"> était donc favorable à la suppr</w:t>
      </w:r>
      <w:r w:rsidR="004F7B48">
        <w:rPr>
          <w:color w:val="000000"/>
        </w:rPr>
        <w:t>ession de tous les amendements.</w:t>
      </w:r>
    </w:p>
    <w:p w14:paraId="1574AF5C" w14:textId="1A2BCA7D" w:rsidR="00AD730F" w:rsidRPr="00AD730F" w:rsidRDefault="00AD730F" w:rsidP="00613028">
      <w:pPr>
        <w:pStyle w:val="Orateurengris"/>
        <w:tabs>
          <w:tab w:val="left" w:pos="3828"/>
        </w:tabs>
        <w:spacing w:before="120"/>
        <w:ind w:left="709" w:hanging="709"/>
        <w:rPr>
          <w:color w:val="000000"/>
        </w:rPr>
      </w:pPr>
      <w:r>
        <w:rPr>
          <w:color w:val="000000"/>
        </w:rPr>
        <w:t xml:space="preserve">La </w:t>
      </w:r>
      <w:r w:rsidRPr="00AD730F">
        <w:rPr>
          <w:color w:val="000000"/>
        </w:rPr>
        <w:t>délégation</w:t>
      </w:r>
      <w:r>
        <w:rPr>
          <w:color w:val="000000"/>
        </w:rPr>
        <w:t xml:space="preserve"> de la </w:t>
      </w:r>
      <w:r w:rsidRPr="00AD730F">
        <w:rPr>
          <w:b/>
          <w:color w:val="000000"/>
        </w:rPr>
        <w:t>Colombie</w:t>
      </w:r>
      <w:r>
        <w:rPr>
          <w:color w:val="000000"/>
        </w:rPr>
        <w:t xml:space="preserve"> respectait la position des pays qui proposaient des </w:t>
      </w:r>
      <w:r w:rsidRPr="00AD730F">
        <w:rPr>
          <w:color w:val="000000"/>
        </w:rPr>
        <w:t>situations</w:t>
      </w:r>
      <w:r>
        <w:rPr>
          <w:color w:val="000000"/>
        </w:rPr>
        <w:t xml:space="preserve"> d</w:t>
      </w:r>
      <w:r w:rsidR="00346F1B">
        <w:rPr>
          <w:color w:val="000000"/>
        </w:rPr>
        <w:t>’</w:t>
      </w:r>
      <w:r>
        <w:rPr>
          <w:color w:val="000000"/>
        </w:rPr>
        <w:t xml:space="preserve">urgence particulières. Toutefois, la </w:t>
      </w:r>
      <w:r w:rsidRPr="00AD730F">
        <w:rPr>
          <w:color w:val="000000"/>
        </w:rPr>
        <w:t>délégation</w:t>
      </w:r>
      <w:r>
        <w:rPr>
          <w:color w:val="000000"/>
        </w:rPr>
        <w:t xml:space="preserve"> voyait toutes les </w:t>
      </w:r>
      <w:r w:rsidRPr="00AD730F">
        <w:rPr>
          <w:color w:val="000000"/>
        </w:rPr>
        <w:t>situations</w:t>
      </w:r>
      <w:r>
        <w:rPr>
          <w:color w:val="000000"/>
        </w:rPr>
        <w:t xml:space="preserve"> d</w:t>
      </w:r>
      <w:r w:rsidR="00346F1B">
        <w:rPr>
          <w:color w:val="000000"/>
        </w:rPr>
        <w:t>’</w:t>
      </w:r>
      <w:r>
        <w:rPr>
          <w:color w:val="000000"/>
        </w:rPr>
        <w:t xml:space="preserve">urgence comme une priorité même si différents types de situation touchaient différentes régions. Elle soutenait donc la </w:t>
      </w:r>
      <w:r w:rsidRPr="00AD730F">
        <w:rPr>
          <w:color w:val="000000"/>
        </w:rPr>
        <w:t xml:space="preserve">proposition </w:t>
      </w:r>
      <w:r>
        <w:rPr>
          <w:color w:val="000000"/>
        </w:rPr>
        <w:t>de l</w:t>
      </w:r>
      <w:r w:rsidR="00346F1B">
        <w:rPr>
          <w:color w:val="000000"/>
        </w:rPr>
        <w:t>’</w:t>
      </w:r>
      <w:r>
        <w:rPr>
          <w:color w:val="000000"/>
        </w:rPr>
        <w:t xml:space="preserve">Arménie de ne retenir que « les </w:t>
      </w:r>
      <w:r w:rsidRPr="00AD730F">
        <w:rPr>
          <w:color w:val="000000"/>
        </w:rPr>
        <w:t>situations</w:t>
      </w:r>
      <w:r>
        <w:rPr>
          <w:color w:val="000000"/>
        </w:rPr>
        <w:t xml:space="preserve"> d</w:t>
      </w:r>
      <w:r w:rsidR="00346F1B">
        <w:rPr>
          <w:color w:val="000000"/>
        </w:rPr>
        <w:t>’</w:t>
      </w:r>
      <w:r>
        <w:rPr>
          <w:color w:val="000000"/>
        </w:rPr>
        <w:t>urgence »</w:t>
      </w:r>
      <w:r w:rsidR="0099135B">
        <w:rPr>
          <w:color w:val="000000"/>
        </w:rPr>
        <w:t>. Cela</w:t>
      </w:r>
      <w:r>
        <w:rPr>
          <w:color w:val="000000"/>
        </w:rPr>
        <w:t xml:space="preserve"> n</w:t>
      </w:r>
      <w:r w:rsidR="00346F1B">
        <w:rPr>
          <w:color w:val="000000"/>
        </w:rPr>
        <w:t>’</w:t>
      </w:r>
      <w:r>
        <w:rPr>
          <w:color w:val="000000"/>
        </w:rPr>
        <w:t xml:space="preserve">excluait pas les conflits armés, les </w:t>
      </w:r>
      <w:r w:rsidRPr="00AD730F">
        <w:rPr>
          <w:color w:val="000000"/>
        </w:rPr>
        <w:t>catastrophes</w:t>
      </w:r>
      <w:r>
        <w:rPr>
          <w:color w:val="000000"/>
        </w:rPr>
        <w:t xml:space="preserve"> naturelles ou les </w:t>
      </w:r>
      <w:r w:rsidRPr="00AD730F">
        <w:rPr>
          <w:color w:val="000000"/>
        </w:rPr>
        <w:t>situations</w:t>
      </w:r>
      <w:r>
        <w:rPr>
          <w:color w:val="000000"/>
        </w:rPr>
        <w:t xml:space="preserve"> des personnes déplacées, et cela permettrait </w:t>
      </w:r>
      <w:r w:rsidR="0099135B">
        <w:rPr>
          <w:color w:val="000000"/>
        </w:rPr>
        <w:t>d</w:t>
      </w:r>
      <w:r w:rsidR="00346F1B">
        <w:rPr>
          <w:color w:val="000000"/>
        </w:rPr>
        <w:t>’</w:t>
      </w:r>
      <w:r w:rsidR="0099135B">
        <w:rPr>
          <w:color w:val="000000"/>
        </w:rPr>
        <w:t>inclure d</w:t>
      </w:r>
      <w:r w:rsidR="00346F1B">
        <w:rPr>
          <w:color w:val="000000"/>
        </w:rPr>
        <w:t>’</w:t>
      </w:r>
      <w:r w:rsidR="0099135B">
        <w:rPr>
          <w:color w:val="000000"/>
        </w:rPr>
        <w:t xml:space="preserve">autres </w:t>
      </w:r>
      <w:r w:rsidR="0099135B" w:rsidRPr="0099135B">
        <w:rPr>
          <w:color w:val="000000"/>
        </w:rPr>
        <w:t>situations</w:t>
      </w:r>
      <w:r w:rsidR="0099135B">
        <w:rPr>
          <w:color w:val="000000"/>
        </w:rPr>
        <w:t xml:space="preserve"> d</w:t>
      </w:r>
      <w:r w:rsidR="00346F1B">
        <w:rPr>
          <w:color w:val="000000"/>
        </w:rPr>
        <w:t>’</w:t>
      </w:r>
      <w:r w:rsidR="0099135B">
        <w:rPr>
          <w:color w:val="000000"/>
        </w:rPr>
        <w:t xml:space="preserve">urgence qui pourraient se produire. Elle préférait donc laisser le </w:t>
      </w:r>
      <w:r w:rsidR="0099135B" w:rsidRPr="0099135B">
        <w:rPr>
          <w:color w:val="000000"/>
        </w:rPr>
        <w:t>paragraphe</w:t>
      </w:r>
      <w:r w:rsidR="004F7B48">
        <w:rPr>
          <w:color w:val="000000"/>
        </w:rPr>
        <w:t xml:space="preserve"> ouvert.</w:t>
      </w:r>
    </w:p>
    <w:p w14:paraId="542ACACE" w14:textId="381AD2FF" w:rsidR="0099135B" w:rsidRPr="0099135B" w:rsidRDefault="0099135B" w:rsidP="00613028">
      <w:pPr>
        <w:pStyle w:val="Orateurengris"/>
        <w:spacing w:before="120"/>
        <w:ind w:left="709" w:hanging="709"/>
        <w:rPr>
          <w:color w:val="000000"/>
        </w:rPr>
      </w:pPr>
      <w:r>
        <w:rPr>
          <w:color w:val="000000"/>
        </w:rPr>
        <w:t xml:space="preserve">La </w:t>
      </w:r>
      <w:r w:rsidRPr="0099135B">
        <w:rPr>
          <w:color w:val="000000"/>
        </w:rPr>
        <w:t>délégation</w:t>
      </w:r>
      <w:r>
        <w:rPr>
          <w:color w:val="000000"/>
        </w:rPr>
        <w:t xml:space="preserve"> de la </w:t>
      </w:r>
      <w:r w:rsidRPr="0099135B">
        <w:rPr>
          <w:b/>
          <w:color w:val="000000"/>
        </w:rPr>
        <w:t>Palestine</w:t>
      </w:r>
      <w:r>
        <w:rPr>
          <w:color w:val="000000"/>
        </w:rPr>
        <w:t xml:space="preserve"> était prête à retirer sa proposition, ajoutant qu</w:t>
      </w:r>
      <w:r w:rsidR="00346F1B">
        <w:rPr>
          <w:color w:val="000000"/>
        </w:rPr>
        <w:t>’</w:t>
      </w:r>
      <w:r>
        <w:rPr>
          <w:color w:val="000000"/>
        </w:rPr>
        <w:t>elle était encouragée en cela par l</w:t>
      </w:r>
      <w:r w:rsidR="00346F1B">
        <w:rPr>
          <w:color w:val="000000"/>
        </w:rPr>
        <w:t>’</w:t>
      </w:r>
      <w:r>
        <w:rPr>
          <w:color w:val="000000"/>
        </w:rPr>
        <w:t>unanimité de l</w:t>
      </w:r>
      <w:r w:rsidR="00346F1B">
        <w:rPr>
          <w:color w:val="000000"/>
        </w:rPr>
        <w:t>’</w:t>
      </w:r>
      <w:r>
        <w:rPr>
          <w:color w:val="000000"/>
        </w:rPr>
        <w:t>Arménie et de la Turq</w:t>
      </w:r>
      <w:r w:rsidR="004F7B48">
        <w:rPr>
          <w:color w:val="000000"/>
        </w:rPr>
        <w:t>uie.</w:t>
      </w:r>
    </w:p>
    <w:p w14:paraId="6D925DDF" w14:textId="19A9060C" w:rsidR="0099135B" w:rsidRPr="0099135B" w:rsidRDefault="0099135B" w:rsidP="00613028">
      <w:pPr>
        <w:pStyle w:val="Orateurengris"/>
        <w:spacing w:before="120"/>
        <w:ind w:left="709" w:hanging="709"/>
        <w:rPr>
          <w:color w:val="000000"/>
        </w:rPr>
      </w:pPr>
      <w:r>
        <w:rPr>
          <w:color w:val="000000"/>
        </w:rPr>
        <w:t xml:space="preserve">Le </w:t>
      </w:r>
      <w:r w:rsidRPr="0099135B">
        <w:rPr>
          <w:b/>
          <w:color w:val="000000"/>
        </w:rPr>
        <w:t>Président</w:t>
      </w:r>
      <w:r>
        <w:rPr>
          <w:color w:val="000000"/>
        </w:rPr>
        <w:t xml:space="preserve"> a supprimé l</w:t>
      </w:r>
      <w:r w:rsidR="00346F1B">
        <w:rPr>
          <w:color w:val="000000"/>
        </w:rPr>
        <w:t>’</w:t>
      </w:r>
      <w:r w:rsidRPr="0099135B">
        <w:rPr>
          <w:color w:val="000000"/>
        </w:rPr>
        <w:t>amendement</w:t>
      </w:r>
      <w:r>
        <w:rPr>
          <w:color w:val="000000"/>
        </w:rPr>
        <w:t xml:space="preserve"> de l</w:t>
      </w:r>
      <w:r w:rsidR="00346F1B">
        <w:rPr>
          <w:color w:val="000000"/>
        </w:rPr>
        <w:t>’</w:t>
      </w:r>
      <w:r>
        <w:rPr>
          <w:color w:val="000000"/>
        </w:rPr>
        <w:t>Autriche, et a procédé à l</w:t>
      </w:r>
      <w:r w:rsidR="00346F1B">
        <w:rPr>
          <w:color w:val="000000"/>
        </w:rPr>
        <w:t>’</w:t>
      </w:r>
      <w:r>
        <w:rPr>
          <w:color w:val="000000"/>
        </w:rPr>
        <w:t xml:space="preserve">adoption du </w:t>
      </w:r>
      <w:r w:rsidRPr="0099135B">
        <w:rPr>
          <w:color w:val="000000"/>
        </w:rPr>
        <w:t>paragraphe</w:t>
      </w:r>
      <w:r>
        <w:rPr>
          <w:color w:val="000000"/>
        </w:rPr>
        <w:t xml:space="preserve"> 5. En l</w:t>
      </w:r>
      <w:r w:rsidR="00346F1B">
        <w:rPr>
          <w:color w:val="000000"/>
        </w:rPr>
        <w:t>’</w:t>
      </w:r>
      <w:r>
        <w:rPr>
          <w:color w:val="000000"/>
        </w:rPr>
        <w:t>absence d</w:t>
      </w:r>
      <w:r w:rsidR="00346F1B">
        <w:rPr>
          <w:color w:val="000000"/>
        </w:rPr>
        <w:t>’</w:t>
      </w:r>
      <w:r>
        <w:rPr>
          <w:color w:val="000000"/>
        </w:rPr>
        <w:t xml:space="preserve">objections, il a été dûment adopté. Le </w:t>
      </w:r>
      <w:r w:rsidRPr="0099135B">
        <w:rPr>
          <w:color w:val="000000"/>
        </w:rPr>
        <w:t>paragraphe</w:t>
      </w:r>
      <w:r>
        <w:rPr>
          <w:color w:val="000000"/>
        </w:rPr>
        <w:t xml:space="preserve"> 6 a </w:t>
      </w:r>
      <w:r w:rsidRPr="0099135B">
        <w:rPr>
          <w:color w:val="000000"/>
        </w:rPr>
        <w:t>également</w:t>
      </w:r>
      <w:r>
        <w:rPr>
          <w:color w:val="000000"/>
        </w:rPr>
        <w:t xml:space="preserve"> été adopté. Le </w:t>
      </w:r>
      <w:r w:rsidRPr="0099135B">
        <w:rPr>
          <w:color w:val="000000"/>
        </w:rPr>
        <w:t>paragraphe</w:t>
      </w:r>
      <w:r>
        <w:rPr>
          <w:color w:val="000000"/>
        </w:rPr>
        <w:t xml:space="preserve"> 7 a été adopté tel qu</w:t>
      </w:r>
      <w:r w:rsidR="00346F1B">
        <w:rPr>
          <w:color w:val="000000"/>
        </w:rPr>
        <w:t>’</w:t>
      </w:r>
      <w:r>
        <w:rPr>
          <w:color w:val="000000"/>
        </w:rPr>
        <w:t>amendé par l</w:t>
      </w:r>
      <w:r w:rsidR="00346F1B">
        <w:rPr>
          <w:color w:val="000000"/>
        </w:rPr>
        <w:t>’</w:t>
      </w:r>
      <w:r w:rsidR="004F7B48">
        <w:rPr>
          <w:color w:val="000000"/>
        </w:rPr>
        <w:t>Autriche.</w:t>
      </w:r>
    </w:p>
    <w:p w14:paraId="5BEE0A47" w14:textId="33DE16F9" w:rsidR="0099135B" w:rsidRPr="0099135B" w:rsidRDefault="0099135B" w:rsidP="00613028">
      <w:pPr>
        <w:pStyle w:val="Orateurengris"/>
        <w:spacing w:before="120"/>
        <w:ind w:left="709" w:hanging="709"/>
        <w:rPr>
          <w:color w:val="000000"/>
        </w:rPr>
      </w:pPr>
      <w:r>
        <w:rPr>
          <w:color w:val="000000"/>
        </w:rPr>
        <w:t xml:space="preserve">La </w:t>
      </w:r>
      <w:r w:rsidRPr="0099135B">
        <w:rPr>
          <w:color w:val="000000"/>
        </w:rPr>
        <w:t>délégation</w:t>
      </w:r>
      <w:r>
        <w:rPr>
          <w:color w:val="000000"/>
        </w:rPr>
        <w:t xml:space="preserve"> des </w:t>
      </w:r>
      <w:r w:rsidRPr="0099135B">
        <w:rPr>
          <w:b/>
          <w:color w:val="000000"/>
        </w:rPr>
        <w:t>Philippines</w:t>
      </w:r>
      <w:r>
        <w:rPr>
          <w:color w:val="000000"/>
        </w:rPr>
        <w:t xml:space="preserve"> est revenue sur l</w:t>
      </w:r>
      <w:r w:rsidR="00346F1B">
        <w:rPr>
          <w:color w:val="000000"/>
        </w:rPr>
        <w:t>’</w:t>
      </w:r>
      <w:r w:rsidRPr="0099135B">
        <w:rPr>
          <w:color w:val="000000"/>
        </w:rPr>
        <w:t>amendement</w:t>
      </w:r>
      <w:r>
        <w:rPr>
          <w:color w:val="000000"/>
        </w:rPr>
        <w:t xml:space="preserve"> de l</w:t>
      </w:r>
      <w:r w:rsidR="00346F1B">
        <w:rPr>
          <w:color w:val="000000"/>
        </w:rPr>
        <w:t>’</w:t>
      </w:r>
      <w:r>
        <w:rPr>
          <w:color w:val="000000"/>
        </w:rPr>
        <w:t xml:space="preserve">Autriche au </w:t>
      </w:r>
      <w:r w:rsidRPr="0099135B">
        <w:rPr>
          <w:color w:val="000000"/>
        </w:rPr>
        <w:t>paragraphe</w:t>
      </w:r>
      <w:r>
        <w:rPr>
          <w:color w:val="000000"/>
        </w:rPr>
        <w:t xml:space="preserve"> 7, ajoutant qu</w:t>
      </w:r>
      <w:r w:rsidR="00346F1B">
        <w:rPr>
          <w:color w:val="000000"/>
        </w:rPr>
        <w:t>’</w:t>
      </w:r>
      <w:r>
        <w:rPr>
          <w:color w:val="000000"/>
        </w:rPr>
        <w:t>il n</w:t>
      </w:r>
      <w:r w:rsidR="00346F1B">
        <w:rPr>
          <w:color w:val="000000"/>
        </w:rPr>
        <w:t>’</w:t>
      </w:r>
      <w:r>
        <w:rPr>
          <w:color w:val="000000"/>
        </w:rPr>
        <w:t xml:space="preserve">était pas cohérent </w:t>
      </w:r>
      <w:r w:rsidR="009D3790">
        <w:rPr>
          <w:color w:val="000000"/>
        </w:rPr>
        <w:t xml:space="preserve">avec </w:t>
      </w:r>
      <w:r>
        <w:rPr>
          <w:color w:val="000000"/>
        </w:rPr>
        <w:t>la longue discussion qui venait de se tenir.</w:t>
      </w:r>
    </w:p>
    <w:p w14:paraId="0DBD725F" w14:textId="7FB3B94F" w:rsidR="0099135B" w:rsidRPr="0099135B" w:rsidRDefault="0099135B" w:rsidP="00613028">
      <w:pPr>
        <w:pStyle w:val="Orateurengris"/>
        <w:spacing w:before="120"/>
        <w:ind w:left="709" w:hanging="709"/>
        <w:rPr>
          <w:color w:val="000000"/>
        </w:rPr>
      </w:pPr>
      <w:r>
        <w:rPr>
          <w:color w:val="000000"/>
        </w:rPr>
        <w:t>Afin d</w:t>
      </w:r>
      <w:r w:rsidR="00346F1B">
        <w:rPr>
          <w:color w:val="000000"/>
        </w:rPr>
        <w:t>’</w:t>
      </w:r>
      <w:r>
        <w:rPr>
          <w:color w:val="000000"/>
        </w:rPr>
        <w:t xml:space="preserve">être cohérent avec le débat précédent, le </w:t>
      </w:r>
      <w:r w:rsidRPr="0099135B">
        <w:rPr>
          <w:b/>
          <w:color w:val="000000"/>
        </w:rPr>
        <w:t>Président</w:t>
      </w:r>
      <w:r>
        <w:rPr>
          <w:color w:val="000000"/>
        </w:rPr>
        <w:t xml:space="preserve"> a demandé à l</w:t>
      </w:r>
      <w:r w:rsidR="00346F1B">
        <w:rPr>
          <w:color w:val="000000"/>
        </w:rPr>
        <w:t>’</w:t>
      </w:r>
      <w:r>
        <w:rPr>
          <w:color w:val="000000"/>
        </w:rPr>
        <w:t xml:space="preserve">Autriche si elle accepterait de retirer son </w:t>
      </w:r>
      <w:r w:rsidRPr="0099135B">
        <w:rPr>
          <w:color w:val="000000"/>
        </w:rPr>
        <w:t>amendement</w:t>
      </w:r>
      <w:r w:rsidR="004F7B48">
        <w:rPr>
          <w:color w:val="000000"/>
        </w:rPr>
        <w:t>.</w:t>
      </w:r>
    </w:p>
    <w:p w14:paraId="5036B539" w14:textId="63BD5F48" w:rsidR="0099135B" w:rsidRDefault="0099135B" w:rsidP="00613028">
      <w:pPr>
        <w:pStyle w:val="Orateurengris"/>
        <w:spacing w:before="120"/>
        <w:ind w:left="709" w:hanging="709"/>
        <w:rPr>
          <w:color w:val="000000"/>
        </w:rPr>
      </w:pPr>
      <w:r>
        <w:rPr>
          <w:color w:val="000000"/>
        </w:rPr>
        <w:t xml:space="preserve">La </w:t>
      </w:r>
      <w:r w:rsidRPr="0099135B">
        <w:rPr>
          <w:color w:val="000000"/>
        </w:rPr>
        <w:t>délégation</w:t>
      </w:r>
      <w:r>
        <w:rPr>
          <w:color w:val="000000"/>
        </w:rPr>
        <w:t xml:space="preserve"> de l</w:t>
      </w:r>
      <w:r w:rsidR="00346F1B">
        <w:rPr>
          <w:color w:val="000000"/>
        </w:rPr>
        <w:t>’</w:t>
      </w:r>
      <w:r w:rsidRPr="0099135B">
        <w:rPr>
          <w:b/>
          <w:color w:val="000000"/>
        </w:rPr>
        <w:t>Autriche</w:t>
      </w:r>
      <w:r>
        <w:rPr>
          <w:color w:val="000000"/>
        </w:rPr>
        <w:t xml:space="preserve"> a accepté</w:t>
      </w:r>
      <w:r w:rsidR="009D3790">
        <w:rPr>
          <w:color w:val="000000"/>
        </w:rPr>
        <w:t xml:space="preserve"> de retirer son </w:t>
      </w:r>
      <w:r w:rsidR="009D3790" w:rsidRPr="009D3790">
        <w:rPr>
          <w:color w:val="000000"/>
        </w:rPr>
        <w:t>amendement</w:t>
      </w:r>
      <w:r>
        <w:rPr>
          <w:color w:val="000000"/>
        </w:rPr>
        <w:t>.</w:t>
      </w:r>
    </w:p>
    <w:p w14:paraId="6C2680CB" w14:textId="1A4655B9" w:rsidR="0099135B" w:rsidRPr="0099135B" w:rsidRDefault="0099135B" w:rsidP="00613028">
      <w:pPr>
        <w:pStyle w:val="Orateurengris"/>
        <w:spacing w:before="120"/>
        <w:ind w:left="709" w:hanging="709"/>
        <w:rPr>
          <w:color w:val="000000"/>
        </w:rPr>
      </w:pPr>
      <w:r>
        <w:rPr>
          <w:color w:val="000000"/>
        </w:rPr>
        <w:t xml:space="preserve">Le </w:t>
      </w:r>
      <w:r w:rsidRPr="0099135B">
        <w:rPr>
          <w:b/>
          <w:color w:val="000000"/>
        </w:rPr>
        <w:t>Président</w:t>
      </w:r>
      <w:r>
        <w:rPr>
          <w:color w:val="000000"/>
        </w:rPr>
        <w:t xml:space="preserve"> est passé au </w:t>
      </w:r>
      <w:r w:rsidRPr="0099135B">
        <w:rPr>
          <w:color w:val="000000"/>
        </w:rPr>
        <w:t>paragraphe</w:t>
      </w:r>
      <w:r>
        <w:rPr>
          <w:color w:val="000000"/>
        </w:rPr>
        <w:t xml:space="preserve"> 8, tel qu</w:t>
      </w:r>
      <w:r w:rsidR="00346F1B">
        <w:rPr>
          <w:color w:val="000000"/>
        </w:rPr>
        <w:t>’</w:t>
      </w:r>
      <w:r>
        <w:rPr>
          <w:color w:val="000000"/>
        </w:rPr>
        <w:t>amendé par l</w:t>
      </w:r>
      <w:r w:rsidR="00346F1B">
        <w:rPr>
          <w:color w:val="000000"/>
        </w:rPr>
        <w:t>’</w:t>
      </w:r>
      <w:r w:rsidR="004F7B48">
        <w:rPr>
          <w:color w:val="000000"/>
        </w:rPr>
        <w:t>Autriche et la Turquie.</w:t>
      </w:r>
    </w:p>
    <w:p w14:paraId="372D1E08" w14:textId="755BBBC4" w:rsidR="0099135B" w:rsidRPr="0099135B" w:rsidRDefault="00E504CC" w:rsidP="00613028">
      <w:pPr>
        <w:pStyle w:val="Orateurengris"/>
        <w:spacing w:before="120"/>
        <w:ind w:left="709" w:hanging="709"/>
        <w:rPr>
          <w:color w:val="000000"/>
        </w:rPr>
      </w:pPr>
      <w:r>
        <w:rPr>
          <w:color w:val="000000"/>
        </w:rPr>
        <w:t xml:space="preserve">La </w:t>
      </w:r>
      <w:r w:rsidRPr="00E504CC">
        <w:rPr>
          <w:color w:val="000000"/>
        </w:rPr>
        <w:t>délégation</w:t>
      </w:r>
      <w:r>
        <w:rPr>
          <w:color w:val="000000"/>
        </w:rPr>
        <w:t xml:space="preserve"> de </w:t>
      </w:r>
      <w:r w:rsidRPr="00E504CC">
        <w:rPr>
          <w:b/>
          <w:color w:val="000000"/>
        </w:rPr>
        <w:t>Cuba</w:t>
      </w:r>
      <w:r>
        <w:rPr>
          <w:color w:val="000000"/>
        </w:rPr>
        <w:t xml:space="preserve"> ne comprenait pas bien l</w:t>
      </w:r>
      <w:r w:rsidR="00346F1B">
        <w:rPr>
          <w:color w:val="000000"/>
        </w:rPr>
        <w:t>’</w:t>
      </w:r>
      <w:r w:rsidRPr="00E504CC">
        <w:rPr>
          <w:color w:val="000000"/>
        </w:rPr>
        <w:t>amendement</w:t>
      </w:r>
      <w:r>
        <w:rPr>
          <w:color w:val="000000"/>
        </w:rPr>
        <w:t xml:space="preserve"> de l</w:t>
      </w:r>
      <w:r w:rsidR="00346F1B">
        <w:rPr>
          <w:color w:val="000000"/>
        </w:rPr>
        <w:t>’</w:t>
      </w:r>
      <w:r>
        <w:rPr>
          <w:color w:val="000000"/>
        </w:rPr>
        <w:t>Autriche, ajoutant qu</w:t>
      </w:r>
      <w:r w:rsidR="00346F1B">
        <w:rPr>
          <w:color w:val="000000"/>
        </w:rPr>
        <w:t>’</w:t>
      </w:r>
      <w:r>
        <w:rPr>
          <w:color w:val="000000"/>
        </w:rPr>
        <w:t>il était toujours bon d</w:t>
      </w:r>
      <w:r w:rsidR="00346F1B">
        <w:rPr>
          <w:color w:val="000000"/>
        </w:rPr>
        <w:t>’</w:t>
      </w:r>
      <w:r>
        <w:rPr>
          <w:color w:val="000000"/>
        </w:rPr>
        <w:t>encourager les États parties à soumettre des demandes d</w:t>
      </w:r>
      <w:r w:rsidR="00346F1B">
        <w:rPr>
          <w:color w:val="000000"/>
        </w:rPr>
        <w:t>’</w:t>
      </w:r>
      <w:r>
        <w:rPr>
          <w:color w:val="000000"/>
        </w:rPr>
        <w:t>assistance internationale d</w:t>
      </w:r>
      <w:r w:rsidR="00346F1B">
        <w:rPr>
          <w:color w:val="000000"/>
        </w:rPr>
        <w:t>’</w:t>
      </w:r>
      <w:r>
        <w:rPr>
          <w:color w:val="000000"/>
        </w:rPr>
        <w:t>urgence, mais qu</w:t>
      </w:r>
      <w:r w:rsidR="00346F1B">
        <w:rPr>
          <w:color w:val="000000"/>
        </w:rPr>
        <w:t>’</w:t>
      </w:r>
      <w:r>
        <w:rPr>
          <w:color w:val="000000"/>
        </w:rPr>
        <w:t>elle n</w:t>
      </w:r>
      <w:r w:rsidR="00346F1B">
        <w:rPr>
          <w:color w:val="000000"/>
        </w:rPr>
        <w:t>’</w:t>
      </w:r>
      <w:r>
        <w:rPr>
          <w:color w:val="000000"/>
        </w:rPr>
        <w:t>était pas certaine qu</w:t>
      </w:r>
      <w:r w:rsidR="00346F1B">
        <w:rPr>
          <w:color w:val="000000"/>
        </w:rPr>
        <w:t>’</w:t>
      </w:r>
      <w:r>
        <w:rPr>
          <w:color w:val="000000"/>
        </w:rPr>
        <w:t>on puisse demander aux États parties</w:t>
      </w:r>
      <w:r w:rsidR="00D3199E">
        <w:rPr>
          <w:color w:val="000000"/>
        </w:rPr>
        <w:t xml:space="preserve"> d</w:t>
      </w:r>
      <w:r w:rsidR="00346F1B">
        <w:rPr>
          <w:color w:val="000000"/>
        </w:rPr>
        <w:t>’</w:t>
      </w:r>
      <w:r w:rsidR="00D3199E">
        <w:rPr>
          <w:color w:val="000000"/>
        </w:rPr>
        <w:t>adopter d</w:t>
      </w:r>
      <w:r>
        <w:rPr>
          <w:color w:val="000000"/>
        </w:rPr>
        <w:t>es mesures préparatoire</w:t>
      </w:r>
      <w:r w:rsidR="00D3199E">
        <w:rPr>
          <w:color w:val="000000"/>
        </w:rPr>
        <w:t>s à cette fin</w:t>
      </w:r>
      <w:r>
        <w:rPr>
          <w:color w:val="000000"/>
        </w:rPr>
        <w:t xml:space="preserve"> car cela n</w:t>
      </w:r>
      <w:r w:rsidR="00346F1B">
        <w:rPr>
          <w:color w:val="000000"/>
        </w:rPr>
        <w:t>’</w:t>
      </w:r>
      <w:r>
        <w:rPr>
          <w:color w:val="000000"/>
        </w:rPr>
        <w:t>était pas dans l</w:t>
      </w:r>
      <w:r w:rsidR="00346F1B">
        <w:rPr>
          <w:color w:val="000000"/>
        </w:rPr>
        <w:t>’</w:t>
      </w:r>
      <w:r>
        <w:rPr>
          <w:color w:val="000000"/>
        </w:rPr>
        <w:t xml:space="preserve">esprit de la </w:t>
      </w:r>
      <w:r w:rsidRPr="00E504CC">
        <w:rPr>
          <w:color w:val="000000"/>
        </w:rPr>
        <w:t>Convention</w:t>
      </w:r>
      <w:r>
        <w:rPr>
          <w:color w:val="000000"/>
        </w:rPr>
        <w:t>. En outre, le Comité n</w:t>
      </w:r>
      <w:r w:rsidR="00346F1B">
        <w:rPr>
          <w:color w:val="000000"/>
        </w:rPr>
        <w:t>’</w:t>
      </w:r>
      <w:r>
        <w:rPr>
          <w:color w:val="000000"/>
        </w:rPr>
        <w:t xml:space="preserve">avait pas autorité pour </w:t>
      </w:r>
      <w:r w:rsidR="00D3199E">
        <w:rPr>
          <w:color w:val="000000"/>
        </w:rPr>
        <w:t xml:space="preserve">adresser </w:t>
      </w:r>
      <w:r>
        <w:rPr>
          <w:color w:val="000000"/>
        </w:rPr>
        <w:t>des de</w:t>
      </w:r>
      <w:r w:rsidR="004F7B48">
        <w:rPr>
          <w:color w:val="000000"/>
        </w:rPr>
        <w:t>mandes à des États souverains.</w:t>
      </w:r>
    </w:p>
    <w:p w14:paraId="31DF9965" w14:textId="000F2B35" w:rsidR="00D3199E" w:rsidRPr="00D3199E" w:rsidRDefault="00D3199E" w:rsidP="00613028">
      <w:pPr>
        <w:pStyle w:val="Orateurengris"/>
        <w:spacing w:before="120"/>
        <w:ind w:left="709" w:hanging="709"/>
        <w:rPr>
          <w:color w:val="000000"/>
        </w:rPr>
      </w:pPr>
      <w:r>
        <w:rPr>
          <w:color w:val="000000"/>
        </w:rPr>
        <w:t xml:space="preserve">Compte tenu du consensus, la </w:t>
      </w:r>
      <w:r w:rsidRPr="00D3199E">
        <w:rPr>
          <w:color w:val="000000"/>
        </w:rPr>
        <w:t>délégation</w:t>
      </w:r>
      <w:r>
        <w:rPr>
          <w:color w:val="000000"/>
        </w:rPr>
        <w:t xml:space="preserve"> de l</w:t>
      </w:r>
      <w:r w:rsidR="00346F1B">
        <w:rPr>
          <w:color w:val="000000"/>
        </w:rPr>
        <w:t>’</w:t>
      </w:r>
      <w:r w:rsidRPr="00D3199E">
        <w:rPr>
          <w:b/>
          <w:color w:val="000000"/>
        </w:rPr>
        <w:t>Autriche</w:t>
      </w:r>
      <w:r>
        <w:rPr>
          <w:color w:val="000000"/>
        </w:rPr>
        <w:t xml:space="preserve"> </w:t>
      </w:r>
      <w:r w:rsidR="009D3790">
        <w:rPr>
          <w:color w:val="000000"/>
        </w:rPr>
        <w:t xml:space="preserve">souhaitait </w:t>
      </w:r>
      <w:r>
        <w:rPr>
          <w:color w:val="000000"/>
        </w:rPr>
        <w:t xml:space="preserve">de retirer son </w:t>
      </w:r>
      <w:r w:rsidRPr="00D3199E">
        <w:rPr>
          <w:color w:val="000000"/>
        </w:rPr>
        <w:t>amendement</w:t>
      </w:r>
      <w:r>
        <w:rPr>
          <w:color w:val="000000"/>
        </w:rPr>
        <w:t>.</w:t>
      </w:r>
    </w:p>
    <w:p w14:paraId="5BCC22FB" w14:textId="230987A3" w:rsidR="00D3199E" w:rsidRDefault="00D3199E" w:rsidP="00613028">
      <w:pPr>
        <w:pStyle w:val="Orateurengris"/>
        <w:spacing w:before="120"/>
        <w:ind w:left="709" w:hanging="709"/>
        <w:rPr>
          <w:color w:val="000000"/>
        </w:rPr>
      </w:pPr>
      <w:r>
        <w:rPr>
          <w:color w:val="000000"/>
        </w:rPr>
        <w:t xml:space="preserve">La </w:t>
      </w:r>
      <w:r w:rsidRPr="00D3199E">
        <w:rPr>
          <w:color w:val="000000"/>
        </w:rPr>
        <w:t>délégation</w:t>
      </w:r>
      <w:r>
        <w:rPr>
          <w:color w:val="000000"/>
        </w:rPr>
        <w:t xml:space="preserve"> de l</w:t>
      </w:r>
      <w:r w:rsidR="00346F1B">
        <w:rPr>
          <w:color w:val="000000"/>
        </w:rPr>
        <w:t>’</w:t>
      </w:r>
      <w:r w:rsidRPr="00D3199E">
        <w:rPr>
          <w:b/>
          <w:color w:val="000000"/>
        </w:rPr>
        <w:t>Algérie</w:t>
      </w:r>
      <w:r>
        <w:rPr>
          <w:color w:val="000000"/>
        </w:rPr>
        <w:t xml:space="preserve"> souhaitait remercier l</w:t>
      </w:r>
      <w:r w:rsidR="00346F1B">
        <w:rPr>
          <w:color w:val="000000"/>
        </w:rPr>
        <w:t>’</w:t>
      </w:r>
      <w:r>
        <w:rPr>
          <w:color w:val="000000"/>
        </w:rPr>
        <w:t xml:space="preserve">Autriche pour son esprit </w:t>
      </w:r>
      <w:r w:rsidR="004F7B48">
        <w:rPr>
          <w:color w:val="000000"/>
        </w:rPr>
        <w:t>de consensus et sa flexibilité.</w:t>
      </w:r>
    </w:p>
    <w:p w14:paraId="5D60A88A" w14:textId="400E0584" w:rsidR="00D3199E" w:rsidRPr="00D3199E" w:rsidRDefault="00D3199E" w:rsidP="00613028">
      <w:pPr>
        <w:pStyle w:val="Orateurengris"/>
        <w:spacing w:before="120"/>
        <w:ind w:left="709" w:hanging="709"/>
        <w:rPr>
          <w:color w:val="000000"/>
        </w:rPr>
      </w:pPr>
      <w:r>
        <w:rPr>
          <w:color w:val="000000"/>
        </w:rPr>
        <w:t xml:space="preserve">Le </w:t>
      </w:r>
      <w:r w:rsidRPr="00D3199E">
        <w:rPr>
          <w:b/>
          <w:color w:val="000000"/>
        </w:rPr>
        <w:t>Président</w:t>
      </w:r>
      <w:r>
        <w:rPr>
          <w:color w:val="000000"/>
        </w:rPr>
        <w:t xml:space="preserve"> a supprimé l</w:t>
      </w:r>
      <w:r w:rsidR="00346F1B">
        <w:rPr>
          <w:color w:val="000000"/>
        </w:rPr>
        <w:t>’</w:t>
      </w:r>
      <w:r w:rsidRPr="00D3199E">
        <w:rPr>
          <w:color w:val="000000"/>
        </w:rPr>
        <w:t>amendement</w:t>
      </w:r>
      <w:r>
        <w:rPr>
          <w:color w:val="000000"/>
        </w:rPr>
        <w:t xml:space="preserve"> de l</w:t>
      </w:r>
      <w:r w:rsidR="00346F1B">
        <w:rPr>
          <w:color w:val="000000"/>
        </w:rPr>
        <w:t>’</w:t>
      </w:r>
      <w:r>
        <w:rPr>
          <w:color w:val="000000"/>
        </w:rPr>
        <w:t xml:space="preserve">Autriche. </w:t>
      </w:r>
      <w:r w:rsidRPr="00D3199E">
        <w:rPr>
          <w:color w:val="000000"/>
        </w:rPr>
        <w:t>En l</w:t>
      </w:r>
      <w:r w:rsidR="00346F1B">
        <w:rPr>
          <w:color w:val="000000"/>
        </w:rPr>
        <w:t>’</w:t>
      </w:r>
      <w:r w:rsidRPr="00D3199E">
        <w:rPr>
          <w:color w:val="000000"/>
        </w:rPr>
        <w:t>absence d</w:t>
      </w:r>
      <w:r w:rsidR="00346F1B">
        <w:rPr>
          <w:color w:val="000000"/>
        </w:rPr>
        <w:t>’</w:t>
      </w:r>
      <w:r>
        <w:rPr>
          <w:color w:val="000000"/>
        </w:rPr>
        <w:t xml:space="preserve">autres objections, le </w:t>
      </w:r>
      <w:r w:rsidRPr="00D3199E">
        <w:rPr>
          <w:color w:val="000000"/>
        </w:rPr>
        <w:t>paragraphe</w:t>
      </w:r>
      <w:r>
        <w:rPr>
          <w:color w:val="000000"/>
        </w:rPr>
        <w:t xml:space="preserve"> 8 a été adopté tel qu</w:t>
      </w:r>
      <w:r w:rsidR="00346F1B">
        <w:rPr>
          <w:color w:val="000000"/>
        </w:rPr>
        <w:t>’</w:t>
      </w:r>
      <w:r>
        <w:rPr>
          <w:color w:val="000000"/>
        </w:rPr>
        <w:t xml:space="preserve">amendé par la Turquie. Il est passé au </w:t>
      </w:r>
      <w:r w:rsidRPr="00D3199E">
        <w:rPr>
          <w:color w:val="000000"/>
        </w:rPr>
        <w:t>paragraphe</w:t>
      </w:r>
      <w:r w:rsidR="004F7B48">
        <w:rPr>
          <w:color w:val="000000"/>
        </w:rPr>
        <w:t xml:space="preserve"> 9.</w:t>
      </w:r>
    </w:p>
    <w:p w14:paraId="3A83AB7B" w14:textId="15E4A56B" w:rsidR="00D3199E" w:rsidRPr="00D3199E" w:rsidRDefault="00D3199E" w:rsidP="00613028">
      <w:pPr>
        <w:pStyle w:val="Orateurengris"/>
        <w:spacing w:before="120"/>
        <w:ind w:left="709" w:hanging="709"/>
        <w:rPr>
          <w:color w:val="000000"/>
        </w:rPr>
      </w:pPr>
      <w:r>
        <w:rPr>
          <w:color w:val="000000"/>
        </w:rPr>
        <w:t xml:space="preserve">La </w:t>
      </w:r>
      <w:r w:rsidRPr="00D3199E">
        <w:rPr>
          <w:color w:val="000000"/>
        </w:rPr>
        <w:t>délégation</w:t>
      </w:r>
      <w:r>
        <w:rPr>
          <w:color w:val="000000"/>
        </w:rPr>
        <w:t xml:space="preserve"> de la </w:t>
      </w:r>
      <w:r w:rsidRPr="00D3199E">
        <w:rPr>
          <w:b/>
          <w:color w:val="000000"/>
        </w:rPr>
        <w:t>Zambie</w:t>
      </w:r>
      <w:r>
        <w:rPr>
          <w:color w:val="000000"/>
        </w:rPr>
        <w:t xml:space="preserve"> soutenait l</w:t>
      </w:r>
      <w:r w:rsidR="00346F1B">
        <w:rPr>
          <w:color w:val="000000"/>
        </w:rPr>
        <w:t>’</w:t>
      </w:r>
      <w:r w:rsidRPr="00D3199E">
        <w:rPr>
          <w:color w:val="000000"/>
        </w:rPr>
        <w:t>amendement</w:t>
      </w:r>
      <w:r>
        <w:rPr>
          <w:color w:val="000000"/>
        </w:rPr>
        <w:t xml:space="preserve"> de la Turquie. Toutefois, elle proposait que l</w:t>
      </w:r>
      <w:r w:rsidR="00346F1B">
        <w:rPr>
          <w:color w:val="000000"/>
        </w:rPr>
        <w:t>’</w:t>
      </w:r>
      <w:r>
        <w:rPr>
          <w:color w:val="000000"/>
        </w:rPr>
        <w:t>on remplace « continuer » par « améliorer », car « continuer » ne faisait que constater ce qui était</w:t>
      </w:r>
      <w:r w:rsidR="000D6CE3">
        <w:rPr>
          <w:color w:val="000000"/>
        </w:rPr>
        <w:t xml:space="preserve"> évident. L</w:t>
      </w:r>
      <w:r>
        <w:rPr>
          <w:color w:val="000000"/>
        </w:rPr>
        <w:t xml:space="preserve">e </w:t>
      </w:r>
      <w:r w:rsidRPr="00D3199E">
        <w:rPr>
          <w:color w:val="000000"/>
        </w:rPr>
        <w:t>paragraphe</w:t>
      </w:r>
      <w:r>
        <w:rPr>
          <w:color w:val="000000"/>
        </w:rPr>
        <w:t xml:space="preserve"> serait ainsi rédigé</w:t>
      </w:r>
      <w:r w:rsidR="000D6CE3">
        <w:rPr>
          <w:color w:val="000000"/>
        </w:rPr>
        <w:t> : « Encourage le Secrétariat à améliorer la collecte des connaissances et à acquérir de l</w:t>
      </w:r>
      <w:r w:rsidR="00346F1B">
        <w:rPr>
          <w:color w:val="000000"/>
        </w:rPr>
        <w:t>’</w:t>
      </w:r>
      <w:r w:rsidR="000D6CE3">
        <w:rPr>
          <w:color w:val="000000"/>
        </w:rPr>
        <w:t>expérience… ».</w:t>
      </w:r>
    </w:p>
    <w:p w14:paraId="73099A75" w14:textId="2AAAA96F" w:rsidR="000D6CE3" w:rsidRPr="000D6CE3" w:rsidRDefault="000D6CE3" w:rsidP="00613028">
      <w:pPr>
        <w:pStyle w:val="Orateurengris"/>
        <w:spacing w:before="120"/>
        <w:ind w:left="709" w:hanging="709"/>
        <w:rPr>
          <w:color w:val="000000"/>
        </w:rPr>
      </w:pPr>
      <w:r>
        <w:rPr>
          <w:color w:val="000000"/>
        </w:rPr>
        <w:t xml:space="preserve">La </w:t>
      </w:r>
      <w:r w:rsidRPr="000D6CE3">
        <w:rPr>
          <w:color w:val="000000"/>
        </w:rPr>
        <w:t>délégation</w:t>
      </w:r>
      <w:r>
        <w:rPr>
          <w:color w:val="000000"/>
        </w:rPr>
        <w:t xml:space="preserve"> de l</w:t>
      </w:r>
      <w:r w:rsidR="00346F1B">
        <w:rPr>
          <w:color w:val="000000"/>
        </w:rPr>
        <w:t>’</w:t>
      </w:r>
      <w:r w:rsidRPr="000D6CE3">
        <w:rPr>
          <w:b/>
          <w:color w:val="000000"/>
        </w:rPr>
        <w:t>Algérie</w:t>
      </w:r>
      <w:r>
        <w:rPr>
          <w:color w:val="000000"/>
        </w:rPr>
        <w:t xml:space="preserve"> s</w:t>
      </w:r>
      <w:r w:rsidR="00346F1B">
        <w:rPr>
          <w:color w:val="000000"/>
        </w:rPr>
        <w:t>’</w:t>
      </w:r>
      <w:r>
        <w:rPr>
          <w:color w:val="000000"/>
        </w:rPr>
        <w:t>est dite satisfaite des deux amendements de la Zambie et de la Turquie. Toutefois, avec la permission de la Turquie, elle proposait que l</w:t>
      </w:r>
      <w:r w:rsidR="00346F1B">
        <w:rPr>
          <w:color w:val="000000"/>
        </w:rPr>
        <w:t>’</w:t>
      </w:r>
      <w:r>
        <w:rPr>
          <w:color w:val="000000"/>
        </w:rPr>
        <w:t>on supprime l</w:t>
      </w:r>
      <w:r w:rsidR="00346F1B">
        <w:rPr>
          <w:color w:val="000000"/>
        </w:rPr>
        <w:t>’</w:t>
      </w:r>
      <w:r>
        <w:rPr>
          <w:color w:val="000000"/>
        </w:rPr>
        <w:t>adjectif « bons » dans « bons exemples » car c</w:t>
      </w:r>
      <w:r w:rsidR="00346F1B">
        <w:rPr>
          <w:color w:val="000000"/>
        </w:rPr>
        <w:t>’</w:t>
      </w:r>
      <w:r w:rsidR="004F7B48">
        <w:rPr>
          <w:color w:val="000000"/>
        </w:rPr>
        <w:t>était un jugement de valeur.</w:t>
      </w:r>
    </w:p>
    <w:p w14:paraId="6AC9B8E0" w14:textId="7ED2AEDC" w:rsidR="000D6CE3" w:rsidRPr="000D6CE3" w:rsidRDefault="000D6CE3" w:rsidP="00613028">
      <w:pPr>
        <w:pStyle w:val="Orateurengris"/>
        <w:spacing w:before="120"/>
        <w:ind w:left="709" w:hanging="709"/>
        <w:rPr>
          <w:color w:val="000000"/>
        </w:rPr>
      </w:pPr>
      <w:r>
        <w:rPr>
          <w:color w:val="000000"/>
        </w:rPr>
        <w:t xml:space="preserve">La </w:t>
      </w:r>
      <w:r w:rsidRPr="000D6CE3">
        <w:rPr>
          <w:color w:val="000000"/>
        </w:rPr>
        <w:t>délégation</w:t>
      </w:r>
      <w:r>
        <w:rPr>
          <w:color w:val="000000"/>
        </w:rPr>
        <w:t xml:space="preserve"> de la </w:t>
      </w:r>
      <w:r w:rsidRPr="000D6CE3">
        <w:rPr>
          <w:b/>
          <w:color w:val="000000"/>
        </w:rPr>
        <w:t>Turquie</w:t>
      </w:r>
      <w:r>
        <w:rPr>
          <w:color w:val="000000"/>
        </w:rPr>
        <w:t xml:space="preserve"> était flexible et a accepté de supprimer « bons ».</w:t>
      </w:r>
    </w:p>
    <w:p w14:paraId="111A1A99" w14:textId="66998C1B" w:rsidR="000D6CE3" w:rsidRPr="000D6CE3" w:rsidRDefault="000D6CE3" w:rsidP="00613028">
      <w:pPr>
        <w:pStyle w:val="Orateurengris"/>
        <w:spacing w:before="120"/>
        <w:ind w:left="709" w:hanging="709"/>
        <w:rPr>
          <w:color w:val="000000"/>
        </w:rPr>
      </w:pPr>
      <w:r>
        <w:rPr>
          <w:color w:val="000000"/>
        </w:rPr>
        <w:t>En l</w:t>
      </w:r>
      <w:r w:rsidR="00346F1B">
        <w:rPr>
          <w:color w:val="000000"/>
        </w:rPr>
        <w:t>’</w:t>
      </w:r>
      <w:r>
        <w:rPr>
          <w:color w:val="000000"/>
        </w:rPr>
        <w:t>absence d</w:t>
      </w:r>
      <w:r w:rsidR="00346F1B">
        <w:rPr>
          <w:color w:val="000000"/>
        </w:rPr>
        <w:t>’</w:t>
      </w:r>
      <w:r>
        <w:rPr>
          <w:color w:val="000000"/>
        </w:rPr>
        <w:t xml:space="preserve">autres objections, le </w:t>
      </w:r>
      <w:r w:rsidRPr="000D6CE3">
        <w:rPr>
          <w:b/>
          <w:color w:val="000000"/>
        </w:rPr>
        <w:t>Président</w:t>
      </w:r>
      <w:r>
        <w:rPr>
          <w:color w:val="000000"/>
        </w:rPr>
        <w:t xml:space="preserve"> a déclaré le </w:t>
      </w:r>
      <w:r w:rsidRPr="000D6CE3">
        <w:rPr>
          <w:color w:val="000000"/>
        </w:rPr>
        <w:t>paragraphe</w:t>
      </w:r>
      <w:r>
        <w:rPr>
          <w:color w:val="000000"/>
        </w:rPr>
        <w:t xml:space="preserve"> 9 adopté. Il est ensuite passé au </w:t>
      </w:r>
      <w:r w:rsidRPr="000D6CE3">
        <w:rPr>
          <w:color w:val="000000"/>
        </w:rPr>
        <w:t>paragraphe</w:t>
      </w:r>
      <w:r>
        <w:rPr>
          <w:color w:val="000000"/>
        </w:rPr>
        <w:t xml:space="preserve"> 10 avec deux amendements de l</w:t>
      </w:r>
      <w:r w:rsidR="00346F1B">
        <w:rPr>
          <w:color w:val="000000"/>
        </w:rPr>
        <w:t>’</w:t>
      </w:r>
      <w:r w:rsidR="004F7B48">
        <w:rPr>
          <w:color w:val="000000"/>
        </w:rPr>
        <w:t>Autriche.</w:t>
      </w:r>
    </w:p>
    <w:p w14:paraId="738B36F7" w14:textId="5EAD7654" w:rsidR="000D6CE3" w:rsidRDefault="000D6CE3" w:rsidP="00613028">
      <w:pPr>
        <w:pStyle w:val="Orateurengris"/>
        <w:spacing w:before="120"/>
        <w:ind w:left="709" w:hanging="709"/>
        <w:rPr>
          <w:color w:val="000000"/>
        </w:rPr>
      </w:pPr>
      <w:r>
        <w:rPr>
          <w:color w:val="000000"/>
        </w:rPr>
        <w:t xml:space="preserve">Le </w:t>
      </w:r>
      <w:r w:rsidRPr="000D6CE3">
        <w:rPr>
          <w:b/>
          <w:color w:val="000000"/>
        </w:rPr>
        <w:t>Secrétaire</w:t>
      </w:r>
      <w:r>
        <w:rPr>
          <w:color w:val="000000"/>
        </w:rPr>
        <w:t xml:space="preserve"> a précisé qu</w:t>
      </w:r>
      <w:r w:rsidR="00346F1B">
        <w:rPr>
          <w:color w:val="000000"/>
        </w:rPr>
        <w:t>’</w:t>
      </w:r>
      <w:r>
        <w:rPr>
          <w:color w:val="000000"/>
        </w:rPr>
        <w:t>il y avait une légère révision, par l</w:t>
      </w:r>
      <w:r w:rsidR="00346F1B">
        <w:rPr>
          <w:color w:val="000000"/>
        </w:rPr>
        <w:t>’</w:t>
      </w:r>
      <w:r>
        <w:rPr>
          <w:color w:val="000000"/>
        </w:rPr>
        <w:t>Autriche, de l</w:t>
      </w:r>
      <w:r w:rsidR="00346F1B">
        <w:rPr>
          <w:color w:val="000000"/>
        </w:rPr>
        <w:t>’</w:t>
      </w:r>
      <w:r w:rsidRPr="000D6CE3">
        <w:rPr>
          <w:color w:val="000000"/>
        </w:rPr>
        <w:t>amendement</w:t>
      </w:r>
      <w:r>
        <w:rPr>
          <w:color w:val="000000"/>
        </w:rPr>
        <w:t xml:space="preserve"> proposé.</w:t>
      </w:r>
    </w:p>
    <w:p w14:paraId="4D9F7DD1" w14:textId="550EA27D" w:rsidR="000D6CE3" w:rsidRDefault="00A97C30" w:rsidP="00613028">
      <w:pPr>
        <w:pStyle w:val="Orateurengris"/>
        <w:spacing w:before="120"/>
        <w:ind w:left="709" w:hanging="709"/>
        <w:rPr>
          <w:color w:val="000000"/>
        </w:rPr>
      </w:pPr>
      <w:r>
        <w:rPr>
          <w:color w:val="000000"/>
        </w:rPr>
        <w:t xml:space="preserve">La </w:t>
      </w:r>
      <w:r w:rsidRPr="00A97C30">
        <w:rPr>
          <w:color w:val="000000"/>
        </w:rPr>
        <w:t>délégation</w:t>
      </w:r>
      <w:r>
        <w:rPr>
          <w:color w:val="000000"/>
        </w:rPr>
        <w:t xml:space="preserve"> de l</w:t>
      </w:r>
      <w:r w:rsidR="00346F1B">
        <w:rPr>
          <w:color w:val="000000"/>
        </w:rPr>
        <w:t>’</w:t>
      </w:r>
      <w:r w:rsidRPr="00A97C30">
        <w:rPr>
          <w:b/>
          <w:color w:val="000000"/>
        </w:rPr>
        <w:t>Autriche</w:t>
      </w:r>
      <w:r>
        <w:rPr>
          <w:color w:val="000000"/>
        </w:rPr>
        <w:t xml:space="preserve"> a expliqué que la révision de l</w:t>
      </w:r>
      <w:r w:rsidR="00346F1B">
        <w:rPr>
          <w:color w:val="000000"/>
        </w:rPr>
        <w:t>’</w:t>
      </w:r>
      <w:r w:rsidRPr="00A97C30">
        <w:rPr>
          <w:color w:val="000000"/>
        </w:rPr>
        <w:t>amendement</w:t>
      </w:r>
      <w:r>
        <w:rPr>
          <w:color w:val="000000"/>
        </w:rPr>
        <w:t xml:space="preserve"> était justifiée par l</w:t>
      </w:r>
      <w:r w:rsidR="00346F1B">
        <w:rPr>
          <w:color w:val="000000"/>
        </w:rPr>
        <w:t>’</w:t>
      </w:r>
      <w:r>
        <w:rPr>
          <w:color w:val="000000"/>
        </w:rPr>
        <w:t>impossibilité, pour des raisons de temps, de débattre du projet de Directives opérationnelles à la prochaine session du Comité en 2017, pour adoption par l</w:t>
      </w:r>
      <w:r w:rsidR="00346F1B">
        <w:rPr>
          <w:color w:val="000000"/>
        </w:rPr>
        <w:t>’</w:t>
      </w:r>
      <w:r>
        <w:rPr>
          <w:color w:val="000000"/>
        </w:rPr>
        <w:t>Assemblée générale en 2018. Elle proposait donc de débattre de cette question à la 13</w:t>
      </w:r>
      <w:r w:rsidRPr="00A97C30">
        <w:rPr>
          <w:color w:val="000000"/>
          <w:vertAlign w:val="superscript"/>
        </w:rPr>
        <w:t>e</w:t>
      </w:r>
      <w:r w:rsidR="004F7B48">
        <w:rPr>
          <w:color w:val="000000"/>
        </w:rPr>
        <w:t xml:space="preserve"> session en 2018.</w:t>
      </w:r>
    </w:p>
    <w:p w14:paraId="2F90E3E3" w14:textId="19F87999" w:rsidR="00A97C30" w:rsidRPr="00A97C30" w:rsidRDefault="00A97C30" w:rsidP="00613028">
      <w:pPr>
        <w:pStyle w:val="Orateurengris"/>
        <w:spacing w:before="120"/>
        <w:ind w:left="709" w:hanging="709"/>
        <w:rPr>
          <w:color w:val="000000"/>
        </w:rPr>
      </w:pPr>
      <w:r>
        <w:rPr>
          <w:color w:val="000000"/>
        </w:rPr>
        <w:t xml:space="preserve">La </w:t>
      </w:r>
      <w:r w:rsidRPr="00A97C30">
        <w:rPr>
          <w:color w:val="000000"/>
        </w:rPr>
        <w:t>délégation</w:t>
      </w:r>
      <w:r>
        <w:rPr>
          <w:color w:val="000000"/>
        </w:rPr>
        <w:t xml:space="preserve"> des </w:t>
      </w:r>
      <w:r w:rsidRPr="00A97C30">
        <w:rPr>
          <w:b/>
          <w:color w:val="000000"/>
        </w:rPr>
        <w:t>Philippines</w:t>
      </w:r>
      <w:r>
        <w:rPr>
          <w:color w:val="000000"/>
        </w:rPr>
        <w:t xml:space="preserve"> a souligné la </w:t>
      </w:r>
      <w:r w:rsidRPr="00A97C30">
        <w:rPr>
          <w:color w:val="000000"/>
        </w:rPr>
        <w:t xml:space="preserve">proposition </w:t>
      </w:r>
      <w:r>
        <w:rPr>
          <w:color w:val="000000"/>
        </w:rPr>
        <w:t>« en cas de conflit armé » et, afin d</w:t>
      </w:r>
      <w:r w:rsidR="00346F1B">
        <w:rPr>
          <w:color w:val="000000"/>
        </w:rPr>
        <w:t>’</w:t>
      </w:r>
      <w:r>
        <w:rPr>
          <w:color w:val="000000"/>
        </w:rPr>
        <w:t>être cohérent avec la précédente discussion,</w:t>
      </w:r>
      <w:r w:rsidR="004F7B48">
        <w:rPr>
          <w:color w:val="000000"/>
        </w:rPr>
        <w:t xml:space="preserve"> elle a proposé sa suppression.</w:t>
      </w:r>
    </w:p>
    <w:p w14:paraId="6E49FCDD" w14:textId="5DA30B80" w:rsidR="00A97C30" w:rsidRPr="00A97C30" w:rsidRDefault="00A97C30" w:rsidP="00613028">
      <w:pPr>
        <w:pStyle w:val="Orateurengris"/>
        <w:spacing w:before="120"/>
        <w:ind w:left="709" w:hanging="709"/>
        <w:rPr>
          <w:color w:val="000000"/>
        </w:rPr>
      </w:pPr>
      <w:r>
        <w:rPr>
          <w:color w:val="000000"/>
        </w:rPr>
        <w:t xml:space="preserve">La </w:t>
      </w:r>
      <w:r w:rsidRPr="00A97C30">
        <w:rPr>
          <w:color w:val="000000"/>
        </w:rPr>
        <w:t>délégation</w:t>
      </w:r>
      <w:r>
        <w:rPr>
          <w:color w:val="000000"/>
        </w:rPr>
        <w:t xml:space="preserve"> de la </w:t>
      </w:r>
      <w:r w:rsidRPr="00A97C30">
        <w:rPr>
          <w:b/>
          <w:color w:val="000000"/>
        </w:rPr>
        <w:t>Palestine</w:t>
      </w:r>
      <w:r>
        <w:rPr>
          <w:color w:val="000000"/>
        </w:rPr>
        <w:t xml:space="preserve"> était sur le point de soutenir l</w:t>
      </w:r>
      <w:r w:rsidR="00346F1B">
        <w:rPr>
          <w:color w:val="000000"/>
        </w:rPr>
        <w:t>’</w:t>
      </w:r>
      <w:r w:rsidRPr="00A97C30">
        <w:rPr>
          <w:color w:val="000000"/>
        </w:rPr>
        <w:t>amendement</w:t>
      </w:r>
      <w:r>
        <w:rPr>
          <w:color w:val="000000"/>
        </w:rPr>
        <w:t xml:space="preserve"> de l</w:t>
      </w:r>
      <w:r w:rsidR="00346F1B">
        <w:rPr>
          <w:color w:val="000000"/>
        </w:rPr>
        <w:t>’</w:t>
      </w:r>
      <w:r>
        <w:rPr>
          <w:color w:val="000000"/>
        </w:rPr>
        <w:t>Autriche avec la mention particulière « conflit armé ». Toutefois, elle serait fl</w:t>
      </w:r>
      <w:r w:rsidR="004F7B48">
        <w:rPr>
          <w:color w:val="000000"/>
        </w:rPr>
        <w:t>exible et ouverte au consensus.</w:t>
      </w:r>
    </w:p>
    <w:p w14:paraId="70FBA5D4" w14:textId="4FF86750" w:rsidR="00377821" w:rsidRPr="00377821" w:rsidRDefault="00D228FB" w:rsidP="00613028">
      <w:pPr>
        <w:pStyle w:val="Orateurengris"/>
        <w:spacing w:before="120"/>
        <w:ind w:left="709" w:hanging="709"/>
        <w:rPr>
          <w:color w:val="000000"/>
        </w:rPr>
      </w:pPr>
      <w:r>
        <w:rPr>
          <w:color w:val="000000"/>
        </w:rPr>
        <w:t xml:space="preserve">La </w:t>
      </w:r>
      <w:r w:rsidRPr="00D228FB">
        <w:rPr>
          <w:color w:val="000000"/>
        </w:rPr>
        <w:t>délégation</w:t>
      </w:r>
      <w:r>
        <w:rPr>
          <w:color w:val="000000"/>
        </w:rPr>
        <w:t xml:space="preserve"> de la </w:t>
      </w:r>
      <w:r w:rsidRPr="00D228FB">
        <w:rPr>
          <w:b/>
          <w:color w:val="000000"/>
        </w:rPr>
        <w:t>Turquie</w:t>
      </w:r>
      <w:r>
        <w:rPr>
          <w:color w:val="000000"/>
        </w:rPr>
        <w:t xml:space="preserve"> répugnait à prendre des décisions </w:t>
      </w:r>
      <w:r w:rsidR="006B5650">
        <w:rPr>
          <w:color w:val="000000"/>
        </w:rPr>
        <w:t xml:space="preserve">irréfléchies, car cette question nécessitait des discussions approfondies. Dans le </w:t>
      </w:r>
      <w:r w:rsidR="006B5650" w:rsidRPr="006B5650">
        <w:rPr>
          <w:color w:val="000000"/>
        </w:rPr>
        <w:t>paragraphe</w:t>
      </w:r>
      <w:r w:rsidR="006B5650">
        <w:rPr>
          <w:color w:val="000000"/>
        </w:rPr>
        <w:t xml:space="preserve"> 9 qui venait d</w:t>
      </w:r>
      <w:r w:rsidR="00346F1B">
        <w:rPr>
          <w:color w:val="000000"/>
        </w:rPr>
        <w:t>’</w:t>
      </w:r>
      <w:r w:rsidR="006B5650">
        <w:rPr>
          <w:color w:val="000000"/>
        </w:rPr>
        <w:t>être adopté, le Comité encourageait le Secrétariat à collecter des connaissances et des exemples et à acquérir de l</w:t>
      </w:r>
      <w:r w:rsidR="00346F1B">
        <w:rPr>
          <w:color w:val="000000"/>
        </w:rPr>
        <w:t>’</w:t>
      </w:r>
      <w:r w:rsidR="006B5650">
        <w:rPr>
          <w:color w:val="000000"/>
        </w:rPr>
        <w:t>expéri</w:t>
      </w:r>
      <w:r w:rsidR="00377821">
        <w:rPr>
          <w:color w:val="000000"/>
        </w:rPr>
        <w:t>ence, à des fins d</w:t>
      </w:r>
      <w:r w:rsidR="00346F1B">
        <w:rPr>
          <w:color w:val="000000"/>
        </w:rPr>
        <w:t>’</w:t>
      </w:r>
      <w:r w:rsidR="00377821">
        <w:rPr>
          <w:color w:val="000000"/>
        </w:rPr>
        <w:t xml:space="preserve">analyse et pour </w:t>
      </w:r>
      <w:r w:rsidR="006B5650">
        <w:rPr>
          <w:color w:val="000000"/>
        </w:rPr>
        <w:t>débat</w:t>
      </w:r>
      <w:r w:rsidR="00377821">
        <w:rPr>
          <w:color w:val="000000"/>
        </w:rPr>
        <w:t>tre</w:t>
      </w:r>
      <w:r w:rsidR="006B5650">
        <w:rPr>
          <w:color w:val="000000"/>
        </w:rPr>
        <w:t xml:space="preserve"> lors de la prochaine session. La </w:t>
      </w:r>
      <w:r w:rsidR="006B5650" w:rsidRPr="006B5650">
        <w:rPr>
          <w:color w:val="000000"/>
        </w:rPr>
        <w:t>délégation</w:t>
      </w:r>
      <w:r w:rsidR="006B5650">
        <w:rPr>
          <w:color w:val="000000"/>
        </w:rPr>
        <w:t xml:space="preserve"> avait donc le sentiment que le Comité devait d</w:t>
      </w:r>
      <w:r w:rsidR="00346F1B">
        <w:rPr>
          <w:color w:val="000000"/>
        </w:rPr>
        <w:t>’</w:t>
      </w:r>
      <w:r w:rsidR="006B5650">
        <w:rPr>
          <w:color w:val="000000"/>
        </w:rPr>
        <w:t xml:space="preserve">abord avoir ces discussions </w:t>
      </w:r>
      <w:r w:rsidR="00377821">
        <w:rPr>
          <w:color w:val="000000"/>
        </w:rPr>
        <w:t>avant d</w:t>
      </w:r>
      <w:r w:rsidR="00346F1B">
        <w:rPr>
          <w:color w:val="000000"/>
        </w:rPr>
        <w:t>’</w:t>
      </w:r>
      <w:r w:rsidR="00377821">
        <w:rPr>
          <w:color w:val="000000"/>
        </w:rPr>
        <w:t xml:space="preserve">adopter des décisions qui auraient des répercussions sur les Directives opérationnelles. </w:t>
      </w:r>
      <w:r w:rsidR="00377821" w:rsidRPr="00377821">
        <w:rPr>
          <w:color w:val="000000"/>
        </w:rPr>
        <w:t>En conséquence</w:t>
      </w:r>
      <w:r w:rsidR="00377821">
        <w:rPr>
          <w:color w:val="000000"/>
        </w:rPr>
        <w:t>, elle ne soutenait pas l</w:t>
      </w:r>
      <w:r w:rsidR="00346F1B">
        <w:rPr>
          <w:color w:val="000000"/>
        </w:rPr>
        <w:t>’</w:t>
      </w:r>
      <w:r w:rsidR="00377821" w:rsidRPr="00377821">
        <w:rPr>
          <w:color w:val="000000"/>
        </w:rPr>
        <w:t>amendement</w:t>
      </w:r>
      <w:r w:rsidR="00377821">
        <w:rPr>
          <w:color w:val="000000"/>
        </w:rPr>
        <w:t xml:space="preserve"> de l</w:t>
      </w:r>
      <w:r w:rsidR="00346F1B">
        <w:rPr>
          <w:color w:val="000000"/>
        </w:rPr>
        <w:t>’</w:t>
      </w:r>
      <w:r w:rsidR="00377821">
        <w:rPr>
          <w:color w:val="000000"/>
        </w:rPr>
        <w:t>Autriche relatif au projet de Directives opérationnelles, ni l</w:t>
      </w:r>
      <w:r w:rsidR="00346F1B">
        <w:rPr>
          <w:color w:val="000000"/>
        </w:rPr>
        <w:t>’</w:t>
      </w:r>
      <w:r w:rsidR="00377821" w:rsidRPr="00377821">
        <w:rPr>
          <w:color w:val="000000"/>
        </w:rPr>
        <w:t>amendement</w:t>
      </w:r>
      <w:r w:rsidR="00377821">
        <w:rPr>
          <w:color w:val="000000"/>
        </w:rPr>
        <w:t xml:space="preserve"> « </w:t>
      </w:r>
      <w:r w:rsidR="00377821" w:rsidRPr="00377821">
        <w:rPr>
          <w:color w:val="000000"/>
        </w:rPr>
        <w:t>en particulier</w:t>
      </w:r>
      <w:r w:rsidR="004F7B48">
        <w:rPr>
          <w:color w:val="000000"/>
        </w:rPr>
        <w:t xml:space="preserve"> en cas de conflit armé ».</w:t>
      </w:r>
    </w:p>
    <w:p w14:paraId="1C47989D" w14:textId="292CD6AE" w:rsidR="00377821" w:rsidRPr="00377821" w:rsidRDefault="00377821" w:rsidP="00613028">
      <w:pPr>
        <w:pStyle w:val="Orateurengris"/>
        <w:spacing w:before="120"/>
        <w:ind w:left="709" w:hanging="709"/>
        <w:rPr>
          <w:color w:val="000000"/>
        </w:rPr>
      </w:pPr>
      <w:r>
        <w:rPr>
          <w:color w:val="000000"/>
        </w:rPr>
        <w:t xml:space="preserve">La </w:t>
      </w:r>
      <w:r w:rsidRPr="00377821">
        <w:rPr>
          <w:color w:val="000000"/>
        </w:rPr>
        <w:t>délégation</w:t>
      </w:r>
      <w:r>
        <w:rPr>
          <w:color w:val="000000"/>
        </w:rPr>
        <w:t xml:space="preserve"> de </w:t>
      </w:r>
      <w:r w:rsidRPr="00377821">
        <w:rPr>
          <w:b/>
          <w:color w:val="000000"/>
        </w:rPr>
        <w:t>Cuba</w:t>
      </w:r>
      <w:r>
        <w:rPr>
          <w:color w:val="000000"/>
        </w:rPr>
        <w:t xml:space="preserve"> préférait </w:t>
      </w:r>
      <w:r w:rsidRPr="00377821">
        <w:rPr>
          <w:color w:val="000000"/>
        </w:rPr>
        <w:t>également</w:t>
      </w:r>
      <w:r>
        <w:rPr>
          <w:color w:val="000000"/>
        </w:rPr>
        <w:t xml:space="preserve"> revenir au texte d</w:t>
      </w:r>
      <w:r w:rsidR="00346F1B">
        <w:rPr>
          <w:color w:val="000000"/>
        </w:rPr>
        <w:t>’</w:t>
      </w:r>
      <w:r>
        <w:rPr>
          <w:color w:val="000000"/>
        </w:rPr>
        <w:t>origine, ajoutant qu</w:t>
      </w:r>
      <w:r w:rsidR="00346F1B">
        <w:rPr>
          <w:color w:val="000000"/>
        </w:rPr>
        <w:t>’</w:t>
      </w:r>
      <w:r>
        <w:rPr>
          <w:color w:val="000000"/>
        </w:rPr>
        <w:t>il était risqué d</w:t>
      </w:r>
      <w:r w:rsidR="00346F1B">
        <w:rPr>
          <w:color w:val="000000"/>
        </w:rPr>
        <w:t>’</w:t>
      </w:r>
      <w:r>
        <w:rPr>
          <w:color w:val="000000"/>
        </w:rPr>
        <w:t>entamer un processus à propos duquel on avait déjà dit que tous les États membres devraient participer, et qui ne pourrait être lancé qu</w:t>
      </w:r>
      <w:r w:rsidR="00346F1B">
        <w:rPr>
          <w:color w:val="000000"/>
        </w:rPr>
        <w:t>’</w:t>
      </w:r>
      <w:r>
        <w:rPr>
          <w:color w:val="000000"/>
        </w:rPr>
        <w:t xml:space="preserve">après la Conférence générale en novembre 2017. Le Comité ne devrait donc bruler les étapes, et devrait attendre la prochaine session du Comité pour organiser ce débat. </w:t>
      </w:r>
      <w:r w:rsidRPr="00377821">
        <w:rPr>
          <w:color w:val="000000"/>
        </w:rPr>
        <w:t>En conséquence</w:t>
      </w:r>
      <w:r>
        <w:rPr>
          <w:color w:val="000000"/>
        </w:rPr>
        <w:t xml:space="preserve">, la </w:t>
      </w:r>
      <w:r w:rsidRPr="00377821">
        <w:rPr>
          <w:color w:val="000000"/>
        </w:rPr>
        <w:t>délégation</w:t>
      </w:r>
      <w:r>
        <w:rPr>
          <w:color w:val="000000"/>
        </w:rPr>
        <w:t xml:space="preserve"> souhaitait revenir à la formulation d</w:t>
      </w:r>
      <w:r w:rsidR="00346F1B">
        <w:rPr>
          <w:color w:val="000000"/>
        </w:rPr>
        <w:t>’</w:t>
      </w:r>
      <w:r>
        <w:rPr>
          <w:color w:val="000000"/>
        </w:rPr>
        <w:t xml:space="preserve">origine du </w:t>
      </w:r>
      <w:r w:rsidRPr="00377821">
        <w:rPr>
          <w:color w:val="000000"/>
        </w:rPr>
        <w:t>paragraphe</w:t>
      </w:r>
      <w:r w:rsidR="004F7B48">
        <w:rPr>
          <w:color w:val="000000"/>
        </w:rPr>
        <w:t>.</w:t>
      </w:r>
    </w:p>
    <w:p w14:paraId="1626E1A3" w14:textId="53EF8D4C" w:rsidR="00377821" w:rsidRPr="00377821" w:rsidRDefault="00377821" w:rsidP="00613028">
      <w:pPr>
        <w:pStyle w:val="Orateurengris"/>
        <w:spacing w:before="120"/>
        <w:ind w:left="709" w:hanging="709"/>
        <w:rPr>
          <w:color w:val="000000"/>
        </w:rPr>
      </w:pPr>
      <w:r>
        <w:rPr>
          <w:color w:val="000000"/>
        </w:rPr>
        <w:t xml:space="preserve">La </w:t>
      </w:r>
      <w:r w:rsidRPr="00377821">
        <w:rPr>
          <w:color w:val="000000"/>
        </w:rPr>
        <w:t>délégation</w:t>
      </w:r>
      <w:r>
        <w:rPr>
          <w:color w:val="000000"/>
        </w:rPr>
        <w:t xml:space="preserve"> de </w:t>
      </w:r>
      <w:r w:rsidRPr="00377821">
        <w:rPr>
          <w:b/>
          <w:color w:val="000000"/>
        </w:rPr>
        <w:t>Chypre</w:t>
      </w:r>
      <w:r>
        <w:rPr>
          <w:color w:val="000000"/>
        </w:rPr>
        <w:t xml:space="preserve"> soutenait résolument l</w:t>
      </w:r>
      <w:r w:rsidR="00346F1B">
        <w:rPr>
          <w:color w:val="000000"/>
        </w:rPr>
        <w:t>’</w:t>
      </w:r>
      <w:r w:rsidRPr="00377821">
        <w:rPr>
          <w:color w:val="000000"/>
        </w:rPr>
        <w:t>amendement</w:t>
      </w:r>
      <w:r>
        <w:rPr>
          <w:color w:val="000000"/>
        </w:rPr>
        <w:t xml:space="preserve"> de l</w:t>
      </w:r>
      <w:r w:rsidR="00346F1B">
        <w:rPr>
          <w:color w:val="000000"/>
        </w:rPr>
        <w:t>’</w:t>
      </w:r>
      <w:r>
        <w:rPr>
          <w:color w:val="000000"/>
        </w:rPr>
        <w:t>Autriche et ne souhaitait pas supprimer « </w:t>
      </w:r>
      <w:r w:rsidRPr="00377821">
        <w:rPr>
          <w:color w:val="000000"/>
        </w:rPr>
        <w:t>en particulier</w:t>
      </w:r>
      <w:r w:rsidR="004F7B48">
        <w:rPr>
          <w:color w:val="000000"/>
        </w:rPr>
        <w:t xml:space="preserve"> en cas de conflit armé ».</w:t>
      </w:r>
    </w:p>
    <w:p w14:paraId="498CCAB7" w14:textId="7FF83927" w:rsidR="00377821" w:rsidRPr="00377821" w:rsidRDefault="00377821" w:rsidP="00613028">
      <w:pPr>
        <w:pStyle w:val="Orateurengris"/>
        <w:spacing w:before="120"/>
        <w:ind w:left="709" w:hanging="709"/>
        <w:rPr>
          <w:color w:val="000000"/>
        </w:rPr>
      </w:pPr>
      <w:r>
        <w:rPr>
          <w:color w:val="000000"/>
        </w:rPr>
        <w:t xml:space="preserve">Le </w:t>
      </w:r>
      <w:r w:rsidRPr="00377821">
        <w:rPr>
          <w:b/>
          <w:color w:val="000000"/>
        </w:rPr>
        <w:t>Président</w:t>
      </w:r>
      <w:r>
        <w:rPr>
          <w:color w:val="000000"/>
        </w:rPr>
        <w:t xml:space="preserve"> a demandé à l</w:t>
      </w:r>
      <w:r w:rsidR="00346F1B">
        <w:rPr>
          <w:color w:val="000000"/>
        </w:rPr>
        <w:t>’</w:t>
      </w:r>
      <w:r>
        <w:rPr>
          <w:color w:val="000000"/>
        </w:rPr>
        <w:t xml:space="preserve">Autriche si elle souhaitait retirer son </w:t>
      </w:r>
      <w:r w:rsidRPr="00377821">
        <w:rPr>
          <w:color w:val="000000"/>
        </w:rPr>
        <w:t>amendement</w:t>
      </w:r>
      <w:r w:rsidR="004F7B48">
        <w:rPr>
          <w:color w:val="000000"/>
        </w:rPr>
        <w:t>.</w:t>
      </w:r>
    </w:p>
    <w:p w14:paraId="3DC59AE4" w14:textId="02252E6F" w:rsidR="00377821" w:rsidRPr="00377821" w:rsidRDefault="00377821" w:rsidP="00613028">
      <w:pPr>
        <w:pStyle w:val="Orateurengris"/>
        <w:spacing w:before="120"/>
        <w:ind w:left="709" w:hanging="709"/>
        <w:rPr>
          <w:color w:val="000000"/>
        </w:rPr>
      </w:pPr>
      <w:r>
        <w:rPr>
          <w:color w:val="000000"/>
        </w:rPr>
        <w:t xml:space="preserve">La </w:t>
      </w:r>
      <w:r w:rsidRPr="00377821">
        <w:rPr>
          <w:color w:val="000000"/>
        </w:rPr>
        <w:t>délégation</w:t>
      </w:r>
      <w:r>
        <w:rPr>
          <w:color w:val="000000"/>
        </w:rPr>
        <w:t xml:space="preserve"> de l</w:t>
      </w:r>
      <w:r w:rsidR="00346F1B">
        <w:rPr>
          <w:color w:val="000000"/>
        </w:rPr>
        <w:t>’</w:t>
      </w:r>
      <w:r w:rsidRPr="00182C80">
        <w:rPr>
          <w:b/>
          <w:color w:val="000000"/>
        </w:rPr>
        <w:t>Autriche</w:t>
      </w:r>
      <w:r>
        <w:rPr>
          <w:color w:val="000000"/>
        </w:rPr>
        <w:t xml:space="preserve"> </w:t>
      </w:r>
      <w:r w:rsidR="009D3790">
        <w:rPr>
          <w:color w:val="000000"/>
        </w:rPr>
        <w:t>était d</w:t>
      </w:r>
      <w:r w:rsidR="00346F1B">
        <w:rPr>
          <w:color w:val="000000"/>
        </w:rPr>
        <w:t>’</w:t>
      </w:r>
      <w:r w:rsidR="009D3790">
        <w:rPr>
          <w:color w:val="000000"/>
        </w:rPr>
        <w:t xml:space="preserve">accord avec le </w:t>
      </w:r>
      <w:r w:rsidR="004F7B48">
        <w:rPr>
          <w:color w:val="000000"/>
        </w:rPr>
        <w:t>consensus.</w:t>
      </w:r>
    </w:p>
    <w:p w14:paraId="464CEBB0" w14:textId="40FDA727" w:rsidR="00182C80" w:rsidRPr="00182C80" w:rsidRDefault="00182C80" w:rsidP="00613028">
      <w:pPr>
        <w:pStyle w:val="Orateurengris"/>
        <w:spacing w:before="120"/>
        <w:ind w:left="709" w:hanging="709"/>
        <w:rPr>
          <w:color w:val="000000"/>
        </w:rPr>
      </w:pPr>
      <w:r>
        <w:rPr>
          <w:color w:val="000000"/>
        </w:rPr>
        <w:t xml:space="preserve">Le </w:t>
      </w:r>
      <w:r w:rsidRPr="00182C80">
        <w:rPr>
          <w:b/>
          <w:color w:val="000000"/>
        </w:rPr>
        <w:t>Président</w:t>
      </w:r>
      <w:r>
        <w:rPr>
          <w:color w:val="000000"/>
        </w:rPr>
        <w:t xml:space="preserve"> a précisé que l</w:t>
      </w:r>
      <w:r w:rsidR="00346F1B">
        <w:rPr>
          <w:color w:val="000000"/>
        </w:rPr>
        <w:t>’</w:t>
      </w:r>
      <w:r>
        <w:rPr>
          <w:color w:val="000000"/>
        </w:rPr>
        <w:t>Algérie, l</w:t>
      </w:r>
      <w:r w:rsidR="00346F1B">
        <w:rPr>
          <w:color w:val="000000"/>
        </w:rPr>
        <w:t>’</w:t>
      </w:r>
      <w:r>
        <w:rPr>
          <w:color w:val="000000"/>
        </w:rPr>
        <w:t>Inde et l</w:t>
      </w:r>
      <w:r w:rsidR="00346F1B">
        <w:rPr>
          <w:color w:val="000000"/>
        </w:rPr>
        <w:t>’</w:t>
      </w:r>
      <w:r>
        <w:rPr>
          <w:color w:val="000000"/>
        </w:rPr>
        <w:t>Arménie soutenait le retour au texte d</w:t>
      </w:r>
      <w:r w:rsidR="00346F1B">
        <w:rPr>
          <w:color w:val="000000"/>
        </w:rPr>
        <w:t>’</w:t>
      </w:r>
      <w:r w:rsidR="004F7B48">
        <w:rPr>
          <w:color w:val="000000"/>
        </w:rPr>
        <w:t>origine.</w:t>
      </w:r>
    </w:p>
    <w:p w14:paraId="7D765774" w14:textId="1D84B080" w:rsidR="001343C6" w:rsidRDefault="001343C6" w:rsidP="00613028">
      <w:pPr>
        <w:pStyle w:val="Orateurengris"/>
        <w:spacing w:before="120"/>
        <w:ind w:left="709" w:hanging="709"/>
        <w:rPr>
          <w:color w:val="000000"/>
        </w:rPr>
      </w:pPr>
      <w:r>
        <w:rPr>
          <w:color w:val="000000"/>
        </w:rPr>
        <w:t xml:space="preserve">La délégation de la </w:t>
      </w:r>
      <w:r w:rsidRPr="001343C6">
        <w:rPr>
          <w:b/>
          <w:color w:val="000000"/>
        </w:rPr>
        <w:t>Palestine</w:t>
      </w:r>
      <w:r>
        <w:rPr>
          <w:b/>
          <w:color w:val="000000"/>
        </w:rPr>
        <w:t xml:space="preserve"> </w:t>
      </w:r>
      <w:r>
        <w:rPr>
          <w:color w:val="000000"/>
        </w:rPr>
        <w:t xml:space="preserve">a demandé au Secrétariat de veiller à ce que la discussion concernant </w:t>
      </w:r>
      <w:r w:rsidR="00493B04">
        <w:rPr>
          <w:color w:val="000000"/>
        </w:rPr>
        <w:t>cette question</w:t>
      </w:r>
      <w:r>
        <w:rPr>
          <w:color w:val="000000"/>
        </w:rPr>
        <w:t xml:space="preserve"> soit</w:t>
      </w:r>
      <w:r w:rsidR="00C34C07">
        <w:rPr>
          <w:color w:val="000000"/>
        </w:rPr>
        <w:t xml:space="preserve"> incluse dans le compte</w:t>
      </w:r>
      <w:r w:rsidR="00AE1302">
        <w:rPr>
          <w:color w:val="000000"/>
        </w:rPr>
        <w:t>-</w:t>
      </w:r>
      <w:r w:rsidR="00C34C07">
        <w:rPr>
          <w:color w:val="000000"/>
        </w:rPr>
        <w:t xml:space="preserve">rendu, ainsi que de prendre en compte toutes les situations mentionnées, </w:t>
      </w:r>
      <w:r w:rsidR="00AE1302">
        <w:rPr>
          <w:color w:val="000000"/>
        </w:rPr>
        <w:t xml:space="preserve">ainsi que d’autres, telles que des </w:t>
      </w:r>
      <w:r w:rsidR="00C34C07">
        <w:rPr>
          <w:color w:val="000000"/>
        </w:rPr>
        <w:t xml:space="preserve">situations </w:t>
      </w:r>
      <w:r w:rsidR="00AE1302">
        <w:rPr>
          <w:color w:val="000000"/>
        </w:rPr>
        <w:t xml:space="preserve">de </w:t>
      </w:r>
      <w:r w:rsidR="00AE1302" w:rsidRPr="00061EC8">
        <w:rPr>
          <w:color w:val="000000"/>
        </w:rPr>
        <w:t>post</w:t>
      </w:r>
      <w:r w:rsidR="00AE1302" w:rsidRPr="007B1438">
        <w:rPr>
          <w:color w:val="000000"/>
        </w:rPr>
        <w:t>-</w:t>
      </w:r>
      <w:r w:rsidR="00AE1302" w:rsidRPr="00061EC8">
        <w:rPr>
          <w:color w:val="000000"/>
        </w:rPr>
        <w:t xml:space="preserve">conflit </w:t>
      </w:r>
      <w:r w:rsidR="00C34C07" w:rsidRPr="00061EC8">
        <w:rPr>
          <w:color w:val="000000"/>
        </w:rPr>
        <w:t>et de</w:t>
      </w:r>
      <w:r w:rsidR="00C34C07">
        <w:rPr>
          <w:color w:val="000000"/>
        </w:rPr>
        <w:t xml:space="preserve"> terrorisme, au Nigéria et en Irak par exemple.</w:t>
      </w:r>
    </w:p>
    <w:p w14:paraId="57010B34" w14:textId="18E567DD" w:rsidR="00182C80" w:rsidRPr="00182C80" w:rsidRDefault="00182C80" w:rsidP="00613028">
      <w:pPr>
        <w:pStyle w:val="Orateurengris"/>
        <w:spacing w:before="120"/>
        <w:ind w:left="709" w:hanging="709"/>
        <w:rPr>
          <w:color w:val="000000"/>
        </w:rPr>
      </w:pPr>
      <w:r>
        <w:rPr>
          <w:color w:val="000000"/>
        </w:rPr>
        <w:t xml:space="preserve">Le </w:t>
      </w:r>
      <w:r w:rsidRPr="00182C80">
        <w:rPr>
          <w:b/>
          <w:color w:val="000000"/>
        </w:rPr>
        <w:t>Président</w:t>
      </w:r>
      <w:r>
        <w:rPr>
          <w:color w:val="000000"/>
        </w:rPr>
        <w:t xml:space="preserve"> est revenu au </w:t>
      </w:r>
      <w:r w:rsidRPr="00182C80">
        <w:rPr>
          <w:color w:val="000000"/>
        </w:rPr>
        <w:t>paragraphe</w:t>
      </w:r>
      <w:r>
        <w:rPr>
          <w:color w:val="000000"/>
        </w:rPr>
        <w:t xml:space="preserve"> 10 d</w:t>
      </w:r>
      <w:r w:rsidR="00346F1B">
        <w:rPr>
          <w:color w:val="000000"/>
        </w:rPr>
        <w:t>’</w:t>
      </w:r>
      <w:r>
        <w:rPr>
          <w:color w:val="000000"/>
        </w:rPr>
        <w:t>origine, et en l</w:t>
      </w:r>
      <w:r w:rsidR="00346F1B">
        <w:rPr>
          <w:color w:val="000000"/>
        </w:rPr>
        <w:t>’</w:t>
      </w:r>
      <w:r>
        <w:rPr>
          <w:color w:val="000000"/>
        </w:rPr>
        <w:t>absence d</w:t>
      </w:r>
      <w:r w:rsidR="00346F1B">
        <w:rPr>
          <w:color w:val="000000"/>
        </w:rPr>
        <w:t>’</w:t>
      </w:r>
      <w:r>
        <w:rPr>
          <w:color w:val="000000"/>
        </w:rPr>
        <w:t>autres objections, celui-ci a été dûment adopté. Puis, il est passé à l</w:t>
      </w:r>
      <w:r w:rsidR="00346F1B">
        <w:rPr>
          <w:color w:val="000000"/>
        </w:rPr>
        <w:t>’</w:t>
      </w:r>
      <w:r>
        <w:rPr>
          <w:color w:val="000000"/>
        </w:rPr>
        <w:t>adoption du projet de décision dans son ensemble et, e</w:t>
      </w:r>
      <w:r w:rsidRPr="00182C80">
        <w:rPr>
          <w:color w:val="000000"/>
        </w:rPr>
        <w:t>n l</w:t>
      </w:r>
      <w:r w:rsidR="00346F1B">
        <w:rPr>
          <w:color w:val="000000"/>
        </w:rPr>
        <w:t>’</w:t>
      </w:r>
      <w:r w:rsidRPr="00182C80">
        <w:rPr>
          <w:color w:val="000000"/>
        </w:rPr>
        <w:t>absence d</w:t>
      </w:r>
      <w:r w:rsidR="00346F1B">
        <w:rPr>
          <w:color w:val="000000"/>
        </w:rPr>
        <w:t>’’</w:t>
      </w:r>
      <w:r>
        <w:rPr>
          <w:color w:val="000000"/>
        </w:rPr>
        <w:t xml:space="preserve">autres commentaires ou objections, le </w:t>
      </w:r>
      <w:r w:rsidRPr="00182C80">
        <w:rPr>
          <w:b/>
          <w:color w:val="000000"/>
        </w:rPr>
        <w:t>Président a déclaré la décision 11.COM 15 adoptée</w:t>
      </w:r>
      <w:r w:rsidR="004F7B48">
        <w:rPr>
          <w:color w:val="000000"/>
        </w:rPr>
        <w:t>.</w:t>
      </w:r>
    </w:p>
    <w:p w14:paraId="649572C7" w14:textId="09B5F9C0" w:rsidR="00182C80" w:rsidRPr="00182C80" w:rsidRDefault="00182C80" w:rsidP="00613028">
      <w:pPr>
        <w:pStyle w:val="Orateurengris"/>
        <w:spacing w:before="120"/>
        <w:ind w:left="709" w:hanging="709"/>
        <w:rPr>
          <w:color w:val="000000"/>
        </w:rPr>
      </w:pPr>
      <w:r w:rsidRPr="00182C80">
        <w:rPr>
          <w:color w:val="000000"/>
        </w:rPr>
        <w:t xml:space="preserve">Le </w:t>
      </w:r>
      <w:r w:rsidRPr="00182C80">
        <w:rPr>
          <w:b/>
          <w:color w:val="000000"/>
        </w:rPr>
        <w:t>Président</w:t>
      </w:r>
      <w:r w:rsidRPr="00182C80">
        <w:rPr>
          <w:color w:val="000000"/>
        </w:rPr>
        <w:t xml:space="preserve"> a signalé la présence dans l</w:t>
      </w:r>
      <w:r w:rsidR="00346F1B">
        <w:rPr>
          <w:color w:val="000000"/>
        </w:rPr>
        <w:t>’</w:t>
      </w:r>
      <w:r w:rsidRPr="00182C80">
        <w:rPr>
          <w:color w:val="000000"/>
        </w:rPr>
        <w:t xml:space="preserve">assemblée du ministre de la Renaissance de la culture, des </w:t>
      </w:r>
      <w:r>
        <w:rPr>
          <w:color w:val="000000"/>
        </w:rPr>
        <w:t>Arts et de la Modernisation sociale du Niger qu</w:t>
      </w:r>
      <w:r w:rsidR="004F7B48">
        <w:rPr>
          <w:color w:val="000000"/>
        </w:rPr>
        <w:t>i souhaitait prendre la parole.</w:t>
      </w:r>
    </w:p>
    <w:p w14:paraId="71BE0090" w14:textId="35579EDD" w:rsidR="00836CFD" w:rsidRPr="001343C6" w:rsidRDefault="00182C80" w:rsidP="001343C6">
      <w:pPr>
        <w:pStyle w:val="Orateurengris"/>
        <w:tabs>
          <w:tab w:val="clear" w:pos="2694"/>
        </w:tabs>
        <w:spacing w:before="120"/>
        <w:ind w:left="709" w:hanging="709"/>
        <w:rPr>
          <w:color w:val="000000"/>
        </w:rPr>
      </w:pPr>
      <w:r>
        <w:rPr>
          <w:color w:val="000000"/>
        </w:rPr>
        <w:t xml:space="preserve">Le </w:t>
      </w:r>
      <w:r w:rsidRPr="00182C80">
        <w:rPr>
          <w:b/>
          <w:color w:val="000000"/>
        </w:rPr>
        <w:t>ministre de la Renaissance de la culture, des Arts et de la Modernisation sociale du Niger</w:t>
      </w:r>
      <w:r w:rsidR="009869B9">
        <w:rPr>
          <w:color w:val="000000"/>
        </w:rPr>
        <w:t xml:space="preserve"> a félicité l</w:t>
      </w:r>
      <w:r w:rsidR="00346F1B">
        <w:rPr>
          <w:color w:val="000000"/>
        </w:rPr>
        <w:t>’</w:t>
      </w:r>
      <w:r w:rsidR="009869B9">
        <w:rPr>
          <w:color w:val="000000"/>
        </w:rPr>
        <w:t>UNESCO et l</w:t>
      </w:r>
      <w:r w:rsidR="00346F1B">
        <w:rPr>
          <w:color w:val="000000"/>
        </w:rPr>
        <w:t>’</w:t>
      </w:r>
      <w:r w:rsidR="009869B9" w:rsidRPr="009869B9">
        <w:rPr>
          <w:color w:val="000000"/>
        </w:rPr>
        <w:t>Éthiopie</w:t>
      </w:r>
      <w:r w:rsidR="009869B9">
        <w:rPr>
          <w:color w:val="000000"/>
        </w:rPr>
        <w:t xml:space="preserve"> pour l</w:t>
      </w:r>
      <w:r w:rsidR="00346F1B">
        <w:rPr>
          <w:color w:val="000000"/>
        </w:rPr>
        <w:t>’</w:t>
      </w:r>
      <w:r w:rsidR="009869B9" w:rsidRPr="009869B9">
        <w:rPr>
          <w:color w:val="000000"/>
        </w:rPr>
        <w:t>organisation</w:t>
      </w:r>
      <w:r w:rsidR="009869B9">
        <w:rPr>
          <w:color w:val="000000"/>
        </w:rPr>
        <w:t xml:space="preserve"> réussie de cette session. Le ministre souhaitait évoquer une situation </w:t>
      </w:r>
      <w:r w:rsidR="00A33C7A">
        <w:rPr>
          <w:color w:val="000000"/>
        </w:rPr>
        <w:t xml:space="preserve">tout à fait atypique </w:t>
      </w:r>
      <w:r w:rsidR="009869B9">
        <w:rPr>
          <w:color w:val="000000"/>
        </w:rPr>
        <w:t xml:space="preserve">au Niger qui constituait une grave menace pour le PCI. Cela concernait la situation à la frontière du Nigéria, du Cameroun et du Tchad, région contrôlée par Boko Haram qui avait tué plus </w:t>
      </w:r>
      <w:r w:rsidR="00955093">
        <w:rPr>
          <w:color w:val="000000"/>
        </w:rPr>
        <w:t>de 30</w:t>
      </w:r>
      <w:r w:rsidR="00346F1B">
        <w:rPr>
          <w:color w:val="000000"/>
        </w:rPr>
        <w:t> 000</w:t>
      </w:r>
      <w:r w:rsidR="00955093">
        <w:rPr>
          <w:color w:val="000000"/>
        </w:rPr>
        <w:t xml:space="preserve"> personnes et causé des </w:t>
      </w:r>
      <w:r w:rsidR="009869B9">
        <w:rPr>
          <w:color w:val="000000"/>
        </w:rPr>
        <w:t>dommages</w:t>
      </w:r>
      <w:r w:rsidR="00955093">
        <w:rPr>
          <w:color w:val="000000"/>
        </w:rPr>
        <w:t xml:space="preserve"> considérables</w:t>
      </w:r>
      <w:r w:rsidR="009869B9">
        <w:rPr>
          <w:color w:val="000000"/>
        </w:rPr>
        <w:t>, qui avai</w:t>
      </w:r>
      <w:r w:rsidR="00955093">
        <w:rPr>
          <w:color w:val="000000"/>
        </w:rPr>
        <w:t>en</w:t>
      </w:r>
      <w:r w:rsidR="009869B9">
        <w:rPr>
          <w:color w:val="000000"/>
        </w:rPr>
        <w:t xml:space="preserve">t pour conséquence </w:t>
      </w:r>
      <w:r w:rsidR="00955093">
        <w:rPr>
          <w:color w:val="000000"/>
        </w:rPr>
        <w:t>le déplacement de 200</w:t>
      </w:r>
      <w:r w:rsidR="00346F1B">
        <w:rPr>
          <w:color w:val="000000"/>
        </w:rPr>
        <w:t> 000</w:t>
      </w:r>
      <w:r w:rsidR="00955093">
        <w:rPr>
          <w:color w:val="000000"/>
        </w:rPr>
        <w:t xml:space="preserve"> personnes viva</w:t>
      </w:r>
      <w:r w:rsidR="009869B9">
        <w:rPr>
          <w:color w:val="000000"/>
        </w:rPr>
        <w:t>nt désormais misérablement dans des camps précaires. En</w:t>
      </w:r>
      <w:r w:rsidR="00A33C7A">
        <w:rPr>
          <w:color w:val="000000"/>
        </w:rPr>
        <w:t xml:space="preserve"> outre, au nord du Niger </w:t>
      </w:r>
      <w:r w:rsidR="009869B9">
        <w:rPr>
          <w:color w:val="000000"/>
        </w:rPr>
        <w:t>ainsi qu</w:t>
      </w:r>
      <w:r w:rsidR="00346F1B">
        <w:rPr>
          <w:color w:val="000000"/>
        </w:rPr>
        <w:t>’</w:t>
      </w:r>
      <w:r w:rsidR="009869B9">
        <w:rPr>
          <w:color w:val="000000"/>
        </w:rPr>
        <w:t xml:space="preserve">au Mali, une situation semblable </w:t>
      </w:r>
      <w:r w:rsidR="00A33C7A">
        <w:rPr>
          <w:color w:val="000000"/>
        </w:rPr>
        <w:t>prévalait malheureusement, causée par des organisations terroristes telles que Aqmi ou MUJAO qui faisaient d</w:t>
      </w:r>
      <w:r w:rsidR="00E83B33">
        <w:rPr>
          <w:color w:val="000000"/>
        </w:rPr>
        <w:t>e lâches et barbares incursions. Celles-ci</w:t>
      </w:r>
      <w:r w:rsidR="00A33C7A">
        <w:rPr>
          <w:color w:val="000000"/>
        </w:rPr>
        <w:t xml:space="preserve"> provoqua</w:t>
      </w:r>
      <w:r w:rsidR="00E83B33">
        <w:rPr>
          <w:color w:val="000000"/>
        </w:rPr>
        <w:t>ie</w:t>
      </w:r>
      <w:r w:rsidR="00A33C7A">
        <w:rPr>
          <w:color w:val="000000"/>
        </w:rPr>
        <w:t>nt un</w:t>
      </w:r>
      <w:r w:rsidR="00E83B33">
        <w:rPr>
          <w:color w:val="000000"/>
        </w:rPr>
        <w:t xml:space="preserve">e grande déstabilisation, </w:t>
      </w:r>
      <w:r w:rsidR="00A33C7A">
        <w:rPr>
          <w:color w:val="000000"/>
        </w:rPr>
        <w:t>des bouleversements des cultures et des traditions, ainsi que la destruction des pratiques et expressions culturelles, remettant en cause l</w:t>
      </w:r>
      <w:r w:rsidR="00346F1B">
        <w:rPr>
          <w:color w:val="000000"/>
        </w:rPr>
        <w:t>’</w:t>
      </w:r>
      <w:r w:rsidR="00A33C7A">
        <w:rPr>
          <w:color w:val="000000"/>
        </w:rPr>
        <w:t>ordre social dans les zones où vivaient les personnes déplacées qui étaient contraintes de tout réapprendre et de reconstruire leurs vies. C</w:t>
      </w:r>
      <w:r w:rsidR="00346F1B">
        <w:rPr>
          <w:color w:val="000000"/>
        </w:rPr>
        <w:t>’</w:t>
      </w:r>
      <w:r w:rsidR="00A33C7A">
        <w:rPr>
          <w:color w:val="000000"/>
        </w:rPr>
        <w:t>était dans ce contexte que le Niger envisageait de soumettre deux projets d</w:t>
      </w:r>
      <w:r w:rsidR="00346F1B">
        <w:rPr>
          <w:color w:val="000000"/>
        </w:rPr>
        <w:t>’</w:t>
      </w:r>
      <w:r w:rsidR="00A33C7A" w:rsidRPr="00A33C7A">
        <w:rPr>
          <w:color w:val="000000"/>
        </w:rPr>
        <w:t>assistance</w:t>
      </w:r>
      <w:r w:rsidR="00A33C7A">
        <w:rPr>
          <w:color w:val="000000"/>
        </w:rPr>
        <w:t xml:space="preserve"> d</w:t>
      </w:r>
      <w:r w:rsidR="00346F1B">
        <w:rPr>
          <w:color w:val="000000"/>
        </w:rPr>
        <w:t>’</w:t>
      </w:r>
      <w:r w:rsidR="00A33C7A">
        <w:rPr>
          <w:color w:val="000000"/>
        </w:rPr>
        <w:t xml:space="preserve">urgence dont le principe, espérait le ministre, serait adopté par le Comité. </w:t>
      </w:r>
      <w:r w:rsidR="001A2C48">
        <w:rPr>
          <w:color w:val="000000"/>
        </w:rPr>
        <w:t xml:space="preserve">Dans une </w:t>
      </w:r>
      <w:r w:rsidR="001A2C48" w:rsidRPr="001A2C48">
        <w:rPr>
          <w:color w:val="000000"/>
        </w:rPr>
        <w:t>perspective</w:t>
      </w:r>
      <w:r w:rsidR="00324E80">
        <w:rPr>
          <w:color w:val="000000"/>
        </w:rPr>
        <w:t xml:space="preserve"> plus positive, le</w:t>
      </w:r>
      <w:r w:rsidR="001A2C48">
        <w:rPr>
          <w:color w:val="000000"/>
        </w:rPr>
        <w:t xml:space="preserve"> ministre a informé le Comité que la Communauté économique des États d</w:t>
      </w:r>
      <w:r w:rsidR="00346F1B">
        <w:rPr>
          <w:color w:val="000000"/>
        </w:rPr>
        <w:t>’</w:t>
      </w:r>
      <w:r w:rsidR="001A2C48">
        <w:rPr>
          <w:color w:val="000000"/>
        </w:rPr>
        <w:t>Afrique de l</w:t>
      </w:r>
      <w:r w:rsidR="00346F1B">
        <w:rPr>
          <w:color w:val="000000"/>
        </w:rPr>
        <w:t>’</w:t>
      </w:r>
      <w:r w:rsidR="001A2C48">
        <w:rPr>
          <w:color w:val="000000"/>
        </w:rPr>
        <w:t>Ouest (</w:t>
      </w:r>
      <w:bookmarkStart w:id="69" w:name="_GoBack"/>
      <w:bookmarkEnd w:id="69"/>
      <w:r w:rsidR="001A2C48">
        <w:rPr>
          <w:color w:val="000000"/>
        </w:rPr>
        <w:t>CÉDÉAO) avait récemmen</w:t>
      </w:r>
      <w:r w:rsidR="00A32941">
        <w:rPr>
          <w:color w:val="000000"/>
        </w:rPr>
        <w:t xml:space="preserve">t organisé </w:t>
      </w:r>
      <w:r w:rsidR="001A2C48">
        <w:rPr>
          <w:color w:val="000000"/>
        </w:rPr>
        <w:t xml:space="preserve">au Niger un Forum </w:t>
      </w:r>
      <w:r w:rsidR="001A2C48" w:rsidRPr="001A2C48">
        <w:rPr>
          <w:color w:val="000000"/>
        </w:rPr>
        <w:t>extrêmement</w:t>
      </w:r>
      <w:r w:rsidR="001A2C48">
        <w:rPr>
          <w:color w:val="000000"/>
        </w:rPr>
        <w:t xml:space="preserve"> important sur l</w:t>
      </w:r>
      <w:r w:rsidR="00346F1B">
        <w:rPr>
          <w:color w:val="000000"/>
        </w:rPr>
        <w:t>’</w:t>
      </w:r>
      <w:r w:rsidR="001A2C48">
        <w:rPr>
          <w:color w:val="000000"/>
        </w:rPr>
        <w:t>éducation à la culture et la paix par le dialogue intra et interreligieux</w:t>
      </w:r>
      <w:r w:rsidR="001A2C48">
        <w:rPr>
          <w:rStyle w:val="FootnoteReference"/>
          <w:color w:val="000000"/>
        </w:rPr>
        <w:footnoteReference w:id="11"/>
      </w:r>
      <w:r w:rsidR="001A2C48">
        <w:rPr>
          <w:color w:val="000000"/>
        </w:rPr>
        <w:t xml:space="preserve">. </w:t>
      </w:r>
      <w:r w:rsidR="00A32941">
        <w:rPr>
          <w:color w:val="000000"/>
        </w:rPr>
        <w:t>Cette rencontre a</w:t>
      </w:r>
      <w:r w:rsidR="00E83B33">
        <w:rPr>
          <w:color w:val="000000"/>
        </w:rPr>
        <w:t>vait</w:t>
      </w:r>
      <w:r w:rsidR="00A32941">
        <w:rPr>
          <w:color w:val="000000"/>
        </w:rPr>
        <w:t xml:space="preserve"> réuni quatorze pays (sur les quinze composant la Communauté), chaque pays étant représenté par un musulman, un chrétien et un </w:t>
      </w:r>
      <w:r w:rsidR="00A32941" w:rsidRPr="00A32941">
        <w:rPr>
          <w:color w:val="000000"/>
        </w:rPr>
        <w:t>représentant</w:t>
      </w:r>
      <w:r w:rsidR="00A32941">
        <w:rPr>
          <w:color w:val="000000"/>
        </w:rPr>
        <w:t xml:space="preserve"> de la religion orthodoxe. À cette occasion, la D</w:t>
      </w:r>
      <w:r w:rsidR="00A32941" w:rsidRPr="00A32941">
        <w:rPr>
          <w:color w:val="000000"/>
        </w:rPr>
        <w:t>éclaration</w:t>
      </w:r>
      <w:r w:rsidR="00A32941">
        <w:rPr>
          <w:color w:val="000000"/>
        </w:rPr>
        <w:t xml:space="preserve"> de Niamey avait été adoptée, elle engageait chaque État à organiser un forum national, et un forum de la même envergure en 2018. C</w:t>
      </w:r>
      <w:r w:rsidR="00346F1B">
        <w:rPr>
          <w:color w:val="000000"/>
        </w:rPr>
        <w:t>’</w:t>
      </w:r>
      <w:r w:rsidR="00A32941">
        <w:rPr>
          <w:color w:val="000000"/>
        </w:rPr>
        <w:t xml:space="preserve">était un très bon exemple à suivre pour </w:t>
      </w:r>
      <w:r w:rsidR="00955093">
        <w:rPr>
          <w:color w:val="000000"/>
        </w:rPr>
        <w:t xml:space="preserve">les pays car les tensions religieuses étaient au cœur de nombreux bouleversements et constituaient des menaces pour le PCI. Le ministre a conclu son </w:t>
      </w:r>
      <w:r w:rsidR="00955093" w:rsidRPr="00955093">
        <w:rPr>
          <w:color w:val="000000"/>
        </w:rPr>
        <w:t>intervention</w:t>
      </w:r>
      <w:r w:rsidR="00955093">
        <w:rPr>
          <w:color w:val="000000"/>
        </w:rPr>
        <w:t xml:space="preserve"> en félicitant le Président et le Comité, tout en </w:t>
      </w:r>
      <w:r w:rsidR="00E83B33">
        <w:rPr>
          <w:color w:val="000000"/>
        </w:rPr>
        <w:t xml:space="preserve">réaffirmant </w:t>
      </w:r>
      <w:r w:rsidR="00955093">
        <w:rPr>
          <w:color w:val="000000"/>
        </w:rPr>
        <w:t>l</w:t>
      </w:r>
      <w:r w:rsidR="00346F1B">
        <w:rPr>
          <w:color w:val="000000"/>
        </w:rPr>
        <w:t>’</w:t>
      </w:r>
      <w:r w:rsidR="00955093">
        <w:rPr>
          <w:color w:val="000000"/>
        </w:rPr>
        <w:t xml:space="preserve">intérêt de son pays pour la </w:t>
      </w:r>
      <w:r w:rsidR="00955093" w:rsidRPr="00955093">
        <w:rPr>
          <w:color w:val="000000"/>
        </w:rPr>
        <w:t>participation</w:t>
      </w:r>
      <w:r w:rsidR="00955093">
        <w:rPr>
          <w:color w:val="000000"/>
        </w:rPr>
        <w:t xml:space="preserve"> à ces réunions, un véritable carr</w:t>
      </w:r>
      <w:r w:rsidR="004F7B48">
        <w:rPr>
          <w:color w:val="000000"/>
        </w:rPr>
        <w:t>efour du donner et du recevoir.</w:t>
      </w:r>
    </w:p>
    <w:p w14:paraId="7B8E5341" w14:textId="025156AD" w:rsidR="007F0F51" w:rsidRPr="00E83B33" w:rsidRDefault="00E83B33" w:rsidP="004F7B48">
      <w:pPr>
        <w:pStyle w:val="Marge"/>
        <w:keepNext/>
        <w:tabs>
          <w:tab w:val="clear" w:pos="567"/>
          <w:tab w:val="left" w:pos="709"/>
          <w:tab w:val="left" w:pos="1418"/>
          <w:tab w:val="left" w:pos="2126"/>
          <w:tab w:val="left" w:pos="2835"/>
        </w:tabs>
        <w:spacing w:before="360" w:after="60"/>
        <w:ind w:left="567" w:hanging="567"/>
        <w:jc w:val="left"/>
        <w:outlineLvl w:val="0"/>
        <w:rPr>
          <w:rFonts w:eastAsia="Cambria" w:cs="Arial"/>
          <w:b/>
          <w:szCs w:val="22"/>
        </w:rPr>
      </w:pPr>
      <w:bookmarkStart w:id="70" w:name="Item19"/>
      <w:r>
        <w:rPr>
          <w:rFonts w:cs="Arial"/>
          <w:b/>
          <w:szCs w:val="22"/>
          <w:u w:val="single"/>
        </w:rPr>
        <w:t>POINT 19 DE L</w:t>
      </w:r>
      <w:r w:rsidR="00346F1B">
        <w:rPr>
          <w:rFonts w:cs="Arial"/>
          <w:b/>
          <w:szCs w:val="22"/>
          <w:u w:val="single"/>
        </w:rPr>
        <w:t>’</w:t>
      </w:r>
      <w:r w:rsidRPr="00E83B33">
        <w:rPr>
          <w:rFonts w:cs="Arial"/>
          <w:b/>
          <w:szCs w:val="22"/>
          <w:u w:val="single"/>
        </w:rPr>
        <w:t>ORDRE DU JOUR</w:t>
      </w:r>
      <w:r>
        <w:rPr>
          <w:rFonts w:cs="Arial"/>
          <w:b/>
          <w:szCs w:val="22"/>
          <w:u w:val="single"/>
        </w:rPr>
        <w:t> :</w:t>
      </w:r>
    </w:p>
    <w:bookmarkEnd w:id="70"/>
    <w:p w14:paraId="3B654D1A" w14:textId="33F560D2" w:rsidR="00A75EEA" w:rsidRPr="00E83B33" w:rsidRDefault="00E83B33" w:rsidP="004F7B48">
      <w:pPr>
        <w:pStyle w:val="Marge"/>
        <w:keepNext/>
        <w:tabs>
          <w:tab w:val="clear" w:pos="567"/>
          <w:tab w:val="left" w:pos="709"/>
          <w:tab w:val="left" w:pos="1418"/>
          <w:tab w:val="left" w:pos="2126"/>
          <w:tab w:val="left" w:pos="2835"/>
        </w:tabs>
        <w:spacing w:after="120"/>
        <w:ind w:left="567" w:hanging="567"/>
        <w:jc w:val="left"/>
        <w:outlineLvl w:val="0"/>
        <w:rPr>
          <w:rFonts w:eastAsiaTheme="minorEastAsia" w:cs="Arial"/>
          <w:b/>
          <w:color w:val="323133"/>
          <w:szCs w:val="22"/>
          <w:lang w:eastAsia="ja-JP"/>
        </w:rPr>
      </w:pPr>
      <w:r>
        <w:rPr>
          <w:rFonts w:eastAsiaTheme="minorEastAsia" w:cs="Arial"/>
          <w:b/>
          <w:color w:val="323133"/>
          <w:szCs w:val="22"/>
          <w:lang w:eastAsia="ja-JP"/>
        </w:rPr>
        <w:t>ADOPTION DE LA LISTE DES DÉCISIONS</w:t>
      </w:r>
    </w:p>
    <w:p w14:paraId="67901A26" w14:textId="67C440E3" w:rsidR="00E83B33" w:rsidRPr="00E83B33" w:rsidRDefault="00E83B33" w:rsidP="004F7B48">
      <w:pPr>
        <w:pStyle w:val="Orateurengris"/>
        <w:spacing w:before="120"/>
        <w:ind w:left="709" w:hanging="709"/>
      </w:pPr>
      <w:r>
        <w:t xml:space="preserve">Le </w:t>
      </w:r>
      <w:r w:rsidRPr="00E83B33">
        <w:rPr>
          <w:b/>
        </w:rPr>
        <w:t>Président</w:t>
      </w:r>
      <w:r>
        <w:t xml:space="preserve"> a informé le Comité qu</w:t>
      </w:r>
      <w:r w:rsidR="00346F1B">
        <w:t>’</w:t>
      </w:r>
      <w:r>
        <w:t>il ne restait pas suffisamment de temps pour examiner le point 13 de l</w:t>
      </w:r>
      <w:r w:rsidR="00346F1B">
        <w:t>’</w:t>
      </w:r>
      <w:r>
        <w:t>ordre du jour, et a suggéré de passer au point 19, l</w:t>
      </w:r>
      <w:r w:rsidR="00346F1B">
        <w:t>’</w:t>
      </w:r>
      <w:r>
        <w:t>adoption de la liste des décisions qui avait été distribuée avant le déjeuner. Il a expliqué que le Secrétariat avait compilé les décisions adoptées pendant la semaine, jusqu</w:t>
      </w:r>
      <w:r w:rsidR="00346F1B">
        <w:t>’</w:t>
      </w:r>
      <w:r>
        <w:t>à la pause déjeuner de ce jour, c.-à-d. les décisions concernant les point 2 à</w:t>
      </w:r>
      <w:r w:rsidR="008F7D8E">
        <w:t xml:space="preserve"> </w:t>
      </w:r>
      <w:r>
        <w:t>10, y compris les points 10.a, 10.b et 10.c. Il souhaitait avoir l</w:t>
      </w:r>
      <w:r w:rsidR="00346F1B">
        <w:t>’</w:t>
      </w:r>
      <w:r>
        <w:t>accord du Comité pour déléguer la responsabilité de valider les décisions concernant les points examinés cet après-midi au Rapporteur de la onzième session. Il a précisé que le Secrétariat</w:t>
      </w:r>
      <w:r w:rsidR="008F7D8E">
        <w:t xml:space="preserve"> intégrerait ces décisions dans le rapport avant de le publier en ligne. Il a en outre précisé qu</w:t>
      </w:r>
      <w:r w:rsidR="00346F1B">
        <w:t>’</w:t>
      </w:r>
      <w:r w:rsidR="008F7D8E">
        <w:t>il n</w:t>
      </w:r>
      <w:r w:rsidR="00346F1B">
        <w:t>’</w:t>
      </w:r>
      <w:r w:rsidR="008F7D8E">
        <w:t>était plus temps de rouvrir des débats qui étaient désormais clos mais de vérifier que le Secrétariat n</w:t>
      </w:r>
      <w:r w:rsidR="00346F1B">
        <w:t>’</w:t>
      </w:r>
      <w:r w:rsidR="008F7D8E">
        <w:t>avait pas fait d</w:t>
      </w:r>
      <w:r w:rsidR="00346F1B">
        <w:t>’</w:t>
      </w:r>
      <w:r w:rsidR="004F7B48">
        <w:t>erreurs techniques.</w:t>
      </w:r>
    </w:p>
    <w:p w14:paraId="15A9E406" w14:textId="0C480D1C" w:rsidR="00B94D77" w:rsidRPr="00B94D77" w:rsidRDefault="008F7D8E" w:rsidP="004F7B48">
      <w:pPr>
        <w:pStyle w:val="Orateurengris"/>
        <w:spacing w:before="120"/>
        <w:ind w:left="709" w:hanging="709"/>
        <w:rPr>
          <w:color w:val="000000"/>
        </w:rPr>
      </w:pPr>
      <w:r w:rsidRPr="00B94D77">
        <w:rPr>
          <w:color w:val="000000"/>
        </w:rPr>
        <w:t xml:space="preserve">Le </w:t>
      </w:r>
      <w:r w:rsidRPr="00B94D77">
        <w:rPr>
          <w:b/>
          <w:color w:val="000000"/>
        </w:rPr>
        <w:t>Président</w:t>
      </w:r>
      <w:r w:rsidRPr="00B94D77">
        <w:rPr>
          <w:color w:val="000000"/>
        </w:rPr>
        <w:t xml:space="preserve"> a proposé d</w:t>
      </w:r>
      <w:r w:rsidR="00346F1B">
        <w:rPr>
          <w:color w:val="000000"/>
        </w:rPr>
        <w:t>’</w:t>
      </w:r>
      <w:r w:rsidRPr="00B94D77">
        <w:rPr>
          <w:color w:val="000000"/>
        </w:rPr>
        <w:t>adopter les décisions dans leur ensemble. Elles feront l</w:t>
      </w:r>
      <w:r w:rsidR="00346F1B">
        <w:rPr>
          <w:color w:val="000000"/>
        </w:rPr>
        <w:t>’</w:t>
      </w:r>
      <w:r w:rsidRPr="00B94D77">
        <w:rPr>
          <w:color w:val="000000"/>
        </w:rPr>
        <w:t>objet d</w:t>
      </w:r>
      <w:r w:rsidR="00346F1B">
        <w:rPr>
          <w:color w:val="000000"/>
        </w:rPr>
        <w:t>’</w:t>
      </w:r>
      <w:r w:rsidRPr="00B94D77">
        <w:rPr>
          <w:color w:val="000000"/>
        </w:rPr>
        <w:t xml:space="preserve">une révision linguistique par le Secrétariat. La </w:t>
      </w:r>
      <w:hyperlink r:id="rId57" w:history="1">
        <w:r w:rsidR="00B94D77">
          <w:rPr>
            <w:rStyle w:val="Hyperlink"/>
          </w:rPr>
          <w:t>version finale</w:t>
        </w:r>
      </w:hyperlink>
      <w:r w:rsidR="00B94D77" w:rsidRPr="00B94D77">
        <w:rPr>
          <w:rStyle w:val="Hyperlink"/>
          <w:color w:val="auto"/>
          <w:u w:val="none"/>
        </w:rPr>
        <w:t xml:space="preserve"> sera disponible en ligne en décembre 2016. </w:t>
      </w:r>
      <w:r w:rsidR="00B94D77">
        <w:rPr>
          <w:rStyle w:val="Hyperlink"/>
          <w:color w:val="auto"/>
          <w:u w:val="none"/>
        </w:rPr>
        <w:t>En l</w:t>
      </w:r>
      <w:r w:rsidR="00346F1B">
        <w:rPr>
          <w:rStyle w:val="Hyperlink"/>
          <w:color w:val="auto"/>
          <w:u w:val="none"/>
        </w:rPr>
        <w:t>’</w:t>
      </w:r>
      <w:r w:rsidR="00B94D77">
        <w:rPr>
          <w:rStyle w:val="Hyperlink"/>
          <w:color w:val="auto"/>
          <w:u w:val="none"/>
        </w:rPr>
        <w:t>absence de commentaires ou d</w:t>
      </w:r>
      <w:r w:rsidR="00346F1B">
        <w:rPr>
          <w:rStyle w:val="Hyperlink"/>
          <w:color w:val="auto"/>
          <w:u w:val="none"/>
        </w:rPr>
        <w:t>’</w:t>
      </w:r>
      <w:r w:rsidR="00B94D77" w:rsidRPr="00B94D77">
        <w:rPr>
          <w:rStyle w:val="Hyperlink"/>
          <w:color w:val="auto"/>
          <w:u w:val="none"/>
        </w:rPr>
        <w:t>objections</w:t>
      </w:r>
      <w:r w:rsidR="00B94D77">
        <w:rPr>
          <w:rStyle w:val="Hyperlink"/>
          <w:color w:val="auto"/>
          <w:u w:val="none"/>
        </w:rPr>
        <w:t xml:space="preserve">, le </w:t>
      </w:r>
      <w:r w:rsidR="00B94D77" w:rsidRPr="00B94D77">
        <w:rPr>
          <w:rStyle w:val="Hyperlink"/>
          <w:b/>
          <w:color w:val="auto"/>
          <w:u w:val="none"/>
        </w:rPr>
        <w:t>Président a déclaré la décision 11.COM 19 adoptée</w:t>
      </w:r>
      <w:r w:rsidR="004F7B48">
        <w:rPr>
          <w:rStyle w:val="Hyperlink"/>
          <w:color w:val="auto"/>
          <w:u w:val="none"/>
        </w:rPr>
        <w:t>.</w:t>
      </w:r>
    </w:p>
    <w:p w14:paraId="52DC9631" w14:textId="5DCCB9A4" w:rsidR="007F0F51" w:rsidRPr="00B94D77" w:rsidRDefault="00B94D77" w:rsidP="004F7B48">
      <w:pPr>
        <w:pStyle w:val="Marge"/>
        <w:keepNext/>
        <w:tabs>
          <w:tab w:val="clear" w:pos="567"/>
          <w:tab w:val="left" w:pos="709"/>
          <w:tab w:val="left" w:pos="1418"/>
          <w:tab w:val="left" w:pos="2126"/>
          <w:tab w:val="left" w:pos="2835"/>
        </w:tabs>
        <w:spacing w:before="360" w:after="60"/>
        <w:ind w:left="567" w:hanging="567"/>
        <w:jc w:val="left"/>
        <w:outlineLvl w:val="0"/>
        <w:rPr>
          <w:rFonts w:eastAsia="Cambria" w:cs="Arial"/>
          <w:b/>
          <w:szCs w:val="22"/>
        </w:rPr>
      </w:pPr>
      <w:bookmarkStart w:id="71" w:name="Item20"/>
      <w:r>
        <w:rPr>
          <w:rFonts w:cs="Arial"/>
          <w:b/>
          <w:szCs w:val="22"/>
          <w:u w:val="single"/>
        </w:rPr>
        <w:t>POINT 20 DE L</w:t>
      </w:r>
      <w:r w:rsidR="00346F1B">
        <w:rPr>
          <w:rFonts w:cs="Arial"/>
          <w:b/>
          <w:szCs w:val="22"/>
          <w:u w:val="single"/>
        </w:rPr>
        <w:t>’</w:t>
      </w:r>
      <w:r w:rsidRPr="00B94D77">
        <w:rPr>
          <w:rFonts w:cs="Arial"/>
          <w:b/>
          <w:szCs w:val="22"/>
          <w:u w:val="single"/>
        </w:rPr>
        <w:t>ORDRE DU JOUR</w:t>
      </w:r>
      <w:r>
        <w:rPr>
          <w:rFonts w:cs="Arial"/>
          <w:b/>
          <w:szCs w:val="22"/>
          <w:u w:val="single"/>
        </w:rPr>
        <w:t> :</w:t>
      </w:r>
    </w:p>
    <w:bookmarkEnd w:id="71"/>
    <w:p w14:paraId="186EA8C5" w14:textId="63D25DF6" w:rsidR="00017FD7" w:rsidRPr="00B94D77" w:rsidRDefault="004F7B48" w:rsidP="004F7B48">
      <w:pPr>
        <w:pStyle w:val="Marge"/>
        <w:keepNext/>
        <w:tabs>
          <w:tab w:val="clear" w:pos="567"/>
          <w:tab w:val="left" w:pos="709"/>
          <w:tab w:val="left" w:pos="1418"/>
          <w:tab w:val="left" w:pos="2126"/>
          <w:tab w:val="left" w:pos="2835"/>
        </w:tabs>
        <w:spacing w:after="120"/>
        <w:jc w:val="left"/>
        <w:outlineLvl w:val="0"/>
        <w:rPr>
          <w:rFonts w:eastAsia="Cambria" w:cs="Arial"/>
          <w:b/>
          <w:szCs w:val="22"/>
        </w:rPr>
      </w:pPr>
      <w:r>
        <w:rPr>
          <w:rFonts w:eastAsia="Cambria" w:cs="Arial"/>
          <w:b/>
          <w:szCs w:val="22"/>
        </w:rPr>
        <w:t>CLÔTURE DE LA SESSION</w:t>
      </w:r>
    </w:p>
    <w:p w14:paraId="735402B4" w14:textId="3A48FEAD" w:rsidR="009D5047" w:rsidRPr="009D5047" w:rsidRDefault="00B94D77" w:rsidP="005B5D2C">
      <w:pPr>
        <w:pStyle w:val="Orateurengris"/>
        <w:tabs>
          <w:tab w:val="left" w:pos="5103"/>
        </w:tabs>
        <w:spacing w:before="240"/>
        <w:ind w:left="709" w:hanging="709"/>
        <w:rPr>
          <w:color w:val="000000"/>
        </w:rPr>
      </w:pPr>
      <w:r>
        <w:rPr>
          <w:color w:val="000000"/>
        </w:rPr>
        <w:t xml:space="preserve">Le </w:t>
      </w:r>
      <w:r w:rsidRPr="00B94D77">
        <w:rPr>
          <w:b/>
          <w:color w:val="000000"/>
        </w:rPr>
        <w:t>Président</w:t>
      </w:r>
      <w:r>
        <w:rPr>
          <w:color w:val="000000"/>
        </w:rPr>
        <w:t xml:space="preserve"> a introduit le dernier point de l</w:t>
      </w:r>
      <w:r w:rsidR="00346F1B">
        <w:rPr>
          <w:color w:val="000000"/>
        </w:rPr>
        <w:t>’</w:t>
      </w:r>
      <w:r w:rsidRPr="00B94D77">
        <w:rPr>
          <w:color w:val="000000"/>
        </w:rPr>
        <w:t>ordre du jour</w:t>
      </w:r>
      <w:r>
        <w:rPr>
          <w:color w:val="000000"/>
        </w:rPr>
        <w:t>, à la fin d</w:t>
      </w:r>
      <w:r w:rsidR="00346F1B">
        <w:rPr>
          <w:color w:val="000000"/>
        </w:rPr>
        <w:t>’</w:t>
      </w:r>
      <w:r>
        <w:rPr>
          <w:color w:val="000000"/>
        </w:rPr>
        <w:t xml:space="preserve">une intense semaine de travail. Il a débuté son </w:t>
      </w:r>
      <w:r w:rsidRPr="00B94D77">
        <w:rPr>
          <w:color w:val="000000"/>
        </w:rPr>
        <w:t>intervention</w:t>
      </w:r>
      <w:r>
        <w:rPr>
          <w:color w:val="000000"/>
        </w:rPr>
        <w:t xml:space="preserve"> en remerciant le Comité, ainsi que les délégués et les représentants présents, pour leurs contributions positives et productives durant la session, qui avaient permis au Comité d</w:t>
      </w:r>
      <w:r w:rsidR="00346F1B">
        <w:rPr>
          <w:color w:val="000000"/>
        </w:rPr>
        <w:t>’</w:t>
      </w:r>
      <w:r>
        <w:rPr>
          <w:color w:val="000000"/>
        </w:rPr>
        <w:t>examiner les principaux points prévus à l</w:t>
      </w:r>
      <w:r w:rsidR="00346F1B">
        <w:rPr>
          <w:color w:val="000000"/>
        </w:rPr>
        <w:t>’</w:t>
      </w:r>
      <w:r w:rsidRPr="00B94D77">
        <w:rPr>
          <w:color w:val="000000"/>
        </w:rPr>
        <w:t>ordre du jour</w:t>
      </w:r>
      <w:r>
        <w:rPr>
          <w:color w:val="000000"/>
        </w:rPr>
        <w:t>. Il a souligné que le succès du Comité était dû au travail acharné et à l</w:t>
      </w:r>
      <w:r w:rsidR="00346F1B">
        <w:rPr>
          <w:color w:val="000000"/>
        </w:rPr>
        <w:t>’</w:t>
      </w:r>
      <w:r>
        <w:rPr>
          <w:color w:val="000000"/>
        </w:rPr>
        <w:t xml:space="preserve">esprit de consensus qui prévalait dans cette assemblée, ajoutant que le PCI était fait pour le consensus, qui était toujours souhaitable. </w:t>
      </w:r>
      <w:r w:rsidR="00E82B51">
        <w:rPr>
          <w:color w:val="000000"/>
        </w:rPr>
        <w:t>Désireux de résumer les réussites de cette session, le Président a annoncé qu</w:t>
      </w:r>
      <w:r w:rsidR="00346F1B">
        <w:rPr>
          <w:color w:val="000000"/>
        </w:rPr>
        <w:t>’</w:t>
      </w:r>
      <w:r w:rsidR="00E82B51">
        <w:rPr>
          <w:color w:val="000000"/>
        </w:rPr>
        <w:t>elle avait réuni 708 participants enregistrés, originaires de 121 pays. Le Comité avait examiné 49 dossiers de candidature</w:t>
      </w:r>
      <w:r w:rsidR="00EF2FB8">
        <w:rPr>
          <w:color w:val="000000"/>
        </w:rPr>
        <w:t xml:space="preserve"> qui avaient permis</w:t>
      </w:r>
      <w:r w:rsidR="00E82B51">
        <w:rPr>
          <w:color w:val="000000"/>
        </w:rPr>
        <w:t xml:space="preserve"> des discussions riches et fructueuses : 4 avaient été inscrits sur la Liste de sauvegarde urgente et 33 sur la Liste représentative, 5 programmes avaient été sélectionnés sur le Registre des meilleures pratiques de sauvegarde ; et 1 importante demande d</w:t>
      </w:r>
      <w:r w:rsidR="00346F1B">
        <w:rPr>
          <w:color w:val="000000"/>
        </w:rPr>
        <w:t>’</w:t>
      </w:r>
      <w:r w:rsidR="00E82B51">
        <w:rPr>
          <w:color w:val="000000"/>
        </w:rPr>
        <w:t xml:space="preserve">assistance internationale avait été acceptée avec une </w:t>
      </w:r>
      <w:r w:rsidR="00E82B51" w:rsidRPr="00E82B51">
        <w:rPr>
          <w:color w:val="000000"/>
        </w:rPr>
        <w:t>inscription</w:t>
      </w:r>
      <w:r w:rsidR="00EF2FB8">
        <w:rPr>
          <w:color w:val="000000"/>
        </w:rPr>
        <w:t xml:space="preserve"> à la Liste de sauvegarde urgente</w:t>
      </w:r>
      <w:r w:rsidR="00E82B51">
        <w:rPr>
          <w:color w:val="000000"/>
        </w:rPr>
        <w:t xml:space="preserve"> pour soutenir la mise en œuvre </w:t>
      </w:r>
      <w:r w:rsidR="009D5047">
        <w:rPr>
          <w:color w:val="000000"/>
        </w:rPr>
        <w:t>du plan de sauvegarde proposé. Le Comité avait également eu d</w:t>
      </w:r>
      <w:r w:rsidR="00346F1B">
        <w:rPr>
          <w:color w:val="000000"/>
        </w:rPr>
        <w:t>’</w:t>
      </w:r>
      <w:r w:rsidR="009D5047">
        <w:rPr>
          <w:color w:val="000000"/>
        </w:rPr>
        <w:t>intenses débats sur le processus d</w:t>
      </w:r>
      <w:r w:rsidR="00346F1B">
        <w:rPr>
          <w:color w:val="000000"/>
        </w:rPr>
        <w:t>’</w:t>
      </w:r>
      <w:r w:rsidR="009D5047" w:rsidRPr="009D5047">
        <w:rPr>
          <w:color w:val="000000"/>
        </w:rPr>
        <w:t>inscription</w:t>
      </w:r>
      <w:r w:rsidR="009D5047">
        <w:rPr>
          <w:color w:val="000000"/>
        </w:rPr>
        <w:t xml:space="preserve"> et les rôles respectifs de chaque acteur dans la </w:t>
      </w:r>
      <w:r w:rsidR="009D5047" w:rsidRPr="009D5047">
        <w:rPr>
          <w:color w:val="000000"/>
        </w:rPr>
        <w:t>réalisation</w:t>
      </w:r>
      <w:r w:rsidR="009D5047">
        <w:rPr>
          <w:color w:val="000000"/>
        </w:rPr>
        <w:t xml:space="preserve"> de ces tâches. En conséquence, il avait décidé de créer un </w:t>
      </w:r>
      <w:r w:rsidR="009D5047" w:rsidRPr="009D5047">
        <w:rPr>
          <w:color w:val="000000"/>
        </w:rPr>
        <w:t>groupe de travail</w:t>
      </w:r>
      <w:r w:rsidR="009D5047">
        <w:rPr>
          <w:color w:val="000000"/>
        </w:rPr>
        <w:t xml:space="preserve"> </w:t>
      </w:r>
      <w:r w:rsidR="009D5047" w:rsidRPr="009D5047">
        <w:rPr>
          <w:i/>
          <w:color w:val="000000"/>
        </w:rPr>
        <w:t>ad hoc</w:t>
      </w:r>
      <w:r w:rsidR="009D5047">
        <w:rPr>
          <w:color w:val="000000"/>
        </w:rPr>
        <w:t xml:space="preserve"> pour poursuivre sa réflexion sur le processus du mécanisme d</w:t>
      </w:r>
      <w:r w:rsidR="00346F1B">
        <w:rPr>
          <w:color w:val="000000"/>
        </w:rPr>
        <w:t>’</w:t>
      </w:r>
      <w:r w:rsidR="009D5047" w:rsidRPr="009D5047">
        <w:rPr>
          <w:color w:val="000000"/>
        </w:rPr>
        <w:t>inscription</w:t>
      </w:r>
      <w:r w:rsidR="009D5047">
        <w:rPr>
          <w:color w:val="000000"/>
        </w:rPr>
        <w:t>, les conclusions de cette réflexion seraient présentées au Comité en 2017. Le Comité avait également examiné 12 rapports périodiques, qui attestaient l</w:t>
      </w:r>
      <w:r w:rsidR="00346F1B">
        <w:rPr>
          <w:color w:val="000000"/>
        </w:rPr>
        <w:t>’</w:t>
      </w:r>
      <w:r w:rsidR="009D5047" w:rsidRPr="009D5047">
        <w:rPr>
          <w:color w:val="000000"/>
        </w:rPr>
        <w:t>engagement</w:t>
      </w:r>
      <w:r w:rsidR="009D5047">
        <w:rPr>
          <w:color w:val="000000"/>
        </w:rPr>
        <w:t xml:space="preserve"> actif des États parties en faveur de la mise en œuvre de la </w:t>
      </w:r>
      <w:r w:rsidR="009D5047" w:rsidRPr="009D5047">
        <w:rPr>
          <w:color w:val="000000"/>
        </w:rPr>
        <w:t>Convention</w:t>
      </w:r>
      <w:r w:rsidR="009D5047">
        <w:rPr>
          <w:color w:val="000000"/>
        </w:rPr>
        <w:t>. Un nouvel Organe d</w:t>
      </w:r>
      <w:r w:rsidR="00346F1B">
        <w:rPr>
          <w:color w:val="000000"/>
        </w:rPr>
        <w:t>’</w:t>
      </w:r>
      <w:r w:rsidR="009D5047">
        <w:rPr>
          <w:color w:val="000000"/>
        </w:rPr>
        <w:t xml:space="preserve">évaluation avait </w:t>
      </w:r>
      <w:r w:rsidR="00324E80">
        <w:rPr>
          <w:color w:val="000000"/>
        </w:rPr>
        <w:t xml:space="preserve">été </w:t>
      </w:r>
      <w:r w:rsidR="009D5047">
        <w:rPr>
          <w:color w:val="000000"/>
        </w:rPr>
        <w:t>établi pour le cycle 2017 avec la désignation de six experts du PCI, représentants des États parties, non membres du Comité, et six ONG accréditées. Le Président a profité de cette occasion pour souhaiter la bienve</w:t>
      </w:r>
      <w:r w:rsidR="004F7B48">
        <w:rPr>
          <w:color w:val="000000"/>
        </w:rPr>
        <w:t>nue aux trois nouveaux membres.</w:t>
      </w:r>
    </w:p>
    <w:p w14:paraId="71A1FA3F" w14:textId="0919495F" w:rsidR="00556942" w:rsidRPr="00556942" w:rsidRDefault="009D5047" w:rsidP="004F7B48">
      <w:pPr>
        <w:pStyle w:val="Orateurengris"/>
        <w:spacing w:before="120"/>
        <w:ind w:left="709" w:hanging="709"/>
        <w:rPr>
          <w:color w:val="000000"/>
        </w:rPr>
      </w:pPr>
      <w:r>
        <w:rPr>
          <w:color w:val="000000"/>
        </w:rPr>
        <w:t xml:space="preserve">Le </w:t>
      </w:r>
      <w:r w:rsidRPr="00EF2FB8">
        <w:rPr>
          <w:b/>
          <w:color w:val="000000"/>
        </w:rPr>
        <w:t>Président</w:t>
      </w:r>
      <w:r>
        <w:rPr>
          <w:color w:val="000000"/>
        </w:rPr>
        <w:t xml:space="preserve"> a rappelé </w:t>
      </w:r>
      <w:r w:rsidR="00C73A0E">
        <w:rPr>
          <w:color w:val="000000"/>
        </w:rPr>
        <w:t xml:space="preserve">le débat </w:t>
      </w:r>
      <w:r w:rsidR="00EF2FB8">
        <w:rPr>
          <w:color w:val="000000"/>
        </w:rPr>
        <w:t xml:space="preserve">sur </w:t>
      </w:r>
      <w:r>
        <w:rPr>
          <w:color w:val="000000"/>
        </w:rPr>
        <w:t>l</w:t>
      </w:r>
      <w:r w:rsidR="00346F1B">
        <w:rPr>
          <w:color w:val="000000"/>
        </w:rPr>
        <w:t>’</w:t>
      </w:r>
      <w:r>
        <w:rPr>
          <w:color w:val="000000"/>
        </w:rPr>
        <w:t>importance d</w:t>
      </w:r>
      <w:r w:rsidR="00346F1B">
        <w:rPr>
          <w:color w:val="000000"/>
        </w:rPr>
        <w:t>’</w:t>
      </w:r>
      <w:r>
        <w:rPr>
          <w:color w:val="000000"/>
        </w:rPr>
        <w:t>élaborer un cadre global de résultats et d</w:t>
      </w:r>
      <w:r w:rsidR="00346F1B">
        <w:rPr>
          <w:color w:val="000000"/>
        </w:rPr>
        <w:t>’</w:t>
      </w:r>
      <w:r>
        <w:rPr>
          <w:color w:val="000000"/>
        </w:rPr>
        <w:t xml:space="preserve">évaluer la mise en œuvre de la </w:t>
      </w:r>
      <w:r w:rsidRPr="009D5047">
        <w:rPr>
          <w:color w:val="000000"/>
        </w:rPr>
        <w:t>Convention</w:t>
      </w:r>
      <w:r w:rsidR="00EF2FB8">
        <w:rPr>
          <w:color w:val="000000"/>
        </w:rPr>
        <w:t xml:space="preserve">, </w:t>
      </w:r>
      <w:r w:rsidR="00C73A0E">
        <w:rPr>
          <w:color w:val="000000"/>
        </w:rPr>
        <w:t xml:space="preserve">dont la conclusion était </w:t>
      </w:r>
      <w:r w:rsidR="00EF2FB8">
        <w:rPr>
          <w:color w:val="000000"/>
        </w:rPr>
        <w:t>que le Comité devrait poursuivre son travail d</w:t>
      </w:r>
      <w:r w:rsidR="00346F1B">
        <w:rPr>
          <w:color w:val="000000"/>
        </w:rPr>
        <w:t>’</w:t>
      </w:r>
      <w:r w:rsidR="00EF2FB8" w:rsidRPr="00EF2FB8">
        <w:rPr>
          <w:color w:val="000000"/>
        </w:rPr>
        <w:t>élaboration</w:t>
      </w:r>
      <w:r w:rsidR="00EF2FB8">
        <w:rPr>
          <w:color w:val="000000"/>
        </w:rPr>
        <w:t xml:space="preserve"> par un processus inclusif de consultation et de discussion. Le rôle spécifique du PCI et des communautés concernées dans les </w:t>
      </w:r>
      <w:r w:rsidR="00EF2FB8" w:rsidRPr="00EF2FB8">
        <w:rPr>
          <w:color w:val="000000"/>
        </w:rPr>
        <w:t>situations</w:t>
      </w:r>
      <w:r w:rsidR="00EF2FB8">
        <w:rPr>
          <w:color w:val="000000"/>
        </w:rPr>
        <w:t xml:space="preserve"> de conflits et de </w:t>
      </w:r>
      <w:r w:rsidR="00EF2FB8" w:rsidRPr="00EF2FB8">
        <w:rPr>
          <w:color w:val="000000"/>
        </w:rPr>
        <w:t>catastrophes</w:t>
      </w:r>
      <w:r w:rsidR="00EF2FB8">
        <w:rPr>
          <w:color w:val="000000"/>
        </w:rPr>
        <w:t xml:space="preserve"> naturelles avait </w:t>
      </w:r>
      <w:r w:rsidR="00EF2FB8" w:rsidRPr="00EF2FB8">
        <w:rPr>
          <w:color w:val="000000"/>
        </w:rPr>
        <w:t>également</w:t>
      </w:r>
      <w:r w:rsidR="00EF2FB8">
        <w:rPr>
          <w:color w:val="000000"/>
        </w:rPr>
        <w:t xml:space="preserve"> fait l</w:t>
      </w:r>
      <w:r w:rsidR="00346F1B">
        <w:rPr>
          <w:color w:val="000000"/>
        </w:rPr>
        <w:t>’</w:t>
      </w:r>
      <w:r w:rsidR="00EF2FB8">
        <w:rPr>
          <w:color w:val="000000"/>
        </w:rPr>
        <w:t>objet d</w:t>
      </w:r>
      <w:r w:rsidR="00346F1B">
        <w:rPr>
          <w:color w:val="000000"/>
        </w:rPr>
        <w:t>’</w:t>
      </w:r>
      <w:r w:rsidR="00EF2FB8">
        <w:rPr>
          <w:color w:val="000000"/>
        </w:rPr>
        <w:t>une réflexion en temps réel. La nécessité d</w:t>
      </w:r>
      <w:r w:rsidR="00346F1B">
        <w:rPr>
          <w:color w:val="000000"/>
        </w:rPr>
        <w:t>’</w:t>
      </w:r>
      <w:r w:rsidR="00EF2FB8">
        <w:rPr>
          <w:color w:val="000000"/>
        </w:rPr>
        <w:t xml:space="preserve">explorer des modalités opérationnelles dans le contexte de la mise en œuvre de la </w:t>
      </w:r>
      <w:r w:rsidR="00EF2FB8" w:rsidRPr="00EF2FB8">
        <w:rPr>
          <w:color w:val="000000"/>
        </w:rPr>
        <w:t>Convention</w:t>
      </w:r>
      <w:r w:rsidR="00EF2FB8">
        <w:rPr>
          <w:color w:val="000000"/>
        </w:rPr>
        <w:t xml:space="preserve"> dans les </w:t>
      </w:r>
      <w:r w:rsidR="00EF2FB8" w:rsidRPr="00EF2FB8">
        <w:rPr>
          <w:color w:val="000000"/>
        </w:rPr>
        <w:t>situations</w:t>
      </w:r>
      <w:r w:rsidR="00EF2FB8">
        <w:rPr>
          <w:color w:val="000000"/>
        </w:rPr>
        <w:t xml:space="preserve"> d</w:t>
      </w:r>
      <w:r w:rsidR="00346F1B">
        <w:rPr>
          <w:color w:val="000000"/>
        </w:rPr>
        <w:t>’</w:t>
      </w:r>
      <w:r w:rsidR="00EF2FB8">
        <w:rPr>
          <w:color w:val="000000"/>
        </w:rPr>
        <w:t xml:space="preserve">urgence avait </w:t>
      </w:r>
      <w:r w:rsidR="00C73A0E">
        <w:rPr>
          <w:color w:val="000000"/>
        </w:rPr>
        <w:t xml:space="preserve">en outre </w:t>
      </w:r>
      <w:r w:rsidR="00EF2FB8">
        <w:rPr>
          <w:color w:val="000000"/>
        </w:rPr>
        <w:t xml:space="preserve">été évoquée. </w:t>
      </w:r>
      <w:r w:rsidR="00923C14">
        <w:rPr>
          <w:color w:val="000000"/>
        </w:rPr>
        <w:t>Le Président était convaincu que</w:t>
      </w:r>
      <w:r w:rsidR="00311A7B">
        <w:rPr>
          <w:color w:val="000000"/>
        </w:rPr>
        <w:t>, fort des résultats obtenus à</w:t>
      </w:r>
      <w:r w:rsidR="00C73A0E">
        <w:rPr>
          <w:color w:val="000000"/>
        </w:rPr>
        <w:t xml:space="preserve"> cette session, le</w:t>
      </w:r>
      <w:r w:rsidR="00923C14">
        <w:rPr>
          <w:color w:val="000000"/>
        </w:rPr>
        <w:t xml:space="preserve"> Comité</w:t>
      </w:r>
      <w:r w:rsidR="00C73A0E">
        <w:rPr>
          <w:color w:val="000000"/>
        </w:rPr>
        <w:t xml:space="preserve"> </w:t>
      </w:r>
      <w:r w:rsidR="00311A7B">
        <w:rPr>
          <w:color w:val="000000"/>
        </w:rPr>
        <w:t>poursuivrait s</w:t>
      </w:r>
      <w:r w:rsidR="00190127">
        <w:rPr>
          <w:color w:val="000000"/>
        </w:rPr>
        <w:t xml:space="preserve">a réflexion sur </w:t>
      </w:r>
      <w:r w:rsidR="00923C14">
        <w:rPr>
          <w:color w:val="000000"/>
        </w:rPr>
        <w:t>ces questions importantes</w:t>
      </w:r>
      <w:r w:rsidR="00556942">
        <w:rPr>
          <w:color w:val="000000"/>
        </w:rPr>
        <w:t xml:space="preserve">, mettant ainsi en lumière les résultats </w:t>
      </w:r>
      <w:r w:rsidR="00C73A0E">
        <w:rPr>
          <w:color w:val="000000"/>
        </w:rPr>
        <w:t xml:space="preserve">et les défis </w:t>
      </w:r>
      <w:r w:rsidR="00311A7B">
        <w:rPr>
          <w:color w:val="000000"/>
        </w:rPr>
        <w:t xml:space="preserve">de </w:t>
      </w:r>
      <w:r w:rsidR="00556942">
        <w:rPr>
          <w:color w:val="000000"/>
        </w:rPr>
        <w:t xml:space="preserve">la future mise en œuvre de la </w:t>
      </w:r>
      <w:r w:rsidR="00556942" w:rsidRPr="00556942">
        <w:rPr>
          <w:color w:val="000000"/>
        </w:rPr>
        <w:t>Convention</w:t>
      </w:r>
      <w:r w:rsidR="00556942">
        <w:rPr>
          <w:color w:val="000000"/>
        </w:rPr>
        <w:t xml:space="preserve">. La session a été décrite comme difficile avec des débats animés, mais le Président était heureux de constater que le Comité était parvenu à établir un consensus et à trouver des solutions constructives. Il a rendu un hommage </w:t>
      </w:r>
      <w:r w:rsidR="00311A7B">
        <w:rPr>
          <w:color w:val="000000"/>
        </w:rPr>
        <w:t xml:space="preserve">tout </w:t>
      </w:r>
      <w:r w:rsidR="00556942">
        <w:rPr>
          <w:color w:val="000000"/>
        </w:rPr>
        <w:t xml:space="preserve">particulier aux membres du Bureau pour leur </w:t>
      </w:r>
      <w:r w:rsidR="00556942" w:rsidRPr="00556942">
        <w:rPr>
          <w:color w:val="000000"/>
        </w:rPr>
        <w:t>extraordinaire</w:t>
      </w:r>
      <w:r w:rsidR="00556942">
        <w:rPr>
          <w:color w:val="000000"/>
        </w:rPr>
        <w:t xml:space="preserve"> soutien et leur confiance. Il a remercié les Vice-Présidents qui l</w:t>
      </w:r>
      <w:r w:rsidR="00346F1B">
        <w:rPr>
          <w:color w:val="000000"/>
        </w:rPr>
        <w:t>’</w:t>
      </w:r>
      <w:r w:rsidR="00556942">
        <w:rPr>
          <w:color w:val="000000"/>
        </w:rPr>
        <w:t>avai</w:t>
      </w:r>
      <w:r w:rsidR="00311A7B">
        <w:rPr>
          <w:color w:val="000000"/>
        </w:rPr>
        <w:t>en</w:t>
      </w:r>
      <w:r w:rsidR="00556942">
        <w:rPr>
          <w:color w:val="000000"/>
        </w:rPr>
        <w:t xml:space="preserve">t remplacé pendant son absence, et il a adressé ses remerciements au Secrétariat, sous la direction de son </w:t>
      </w:r>
      <w:r w:rsidR="00556942" w:rsidRPr="00556942">
        <w:rPr>
          <w:color w:val="000000"/>
        </w:rPr>
        <w:t>Secrétaire</w:t>
      </w:r>
      <w:r w:rsidR="00556942">
        <w:rPr>
          <w:color w:val="000000"/>
        </w:rPr>
        <w:t xml:space="preserve"> qu</w:t>
      </w:r>
      <w:r w:rsidR="00346F1B">
        <w:rPr>
          <w:color w:val="000000"/>
        </w:rPr>
        <w:t>’</w:t>
      </w:r>
      <w:r w:rsidR="00556942">
        <w:rPr>
          <w:color w:val="000000"/>
        </w:rPr>
        <w:t>il a chaleureusement remercié d</w:t>
      </w:r>
      <w:r w:rsidR="00346F1B">
        <w:rPr>
          <w:color w:val="000000"/>
        </w:rPr>
        <w:t>’</w:t>
      </w:r>
      <w:r w:rsidR="00556942">
        <w:rPr>
          <w:color w:val="000000"/>
        </w:rPr>
        <w:t xml:space="preserve">avoir fourni un excellent travail, </w:t>
      </w:r>
      <w:r w:rsidR="00C73A0E">
        <w:rPr>
          <w:color w:val="000000"/>
        </w:rPr>
        <w:t xml:space="preserve">les </w:t>
      </w:r>
      <w:r w:rsidR="00311A7B">
        <w:rPr>
          <w:color w:val="000000"/>
        </w:rPr>
        <w:t xml:space="preserve">bons </w:t>
      </w:r>
      <w:r w:rsidR="00C73A0E">
        <w:rPr>
          <w:color w:val="000000"/>
        </w:rPr>
        <w:t xml:space="preserve">résultats obtenus étaient à mettre à leur crédit. Il a </w:t>
      </w:r>
      <w:r w:rsidR="00C73A0E" w:rsidRPr="00C73A0E">
        <w:rPr>
          <w:color w:val="000000"/>
        </w:rPr>
        <w:t>également</w:t>
      </w:r>
      <w:r w:rsidR="00C73A0E">
        <w:rPr>
          <w:color w:val="000000"/>
        </w:rPr>
        <w:t xml:space="preserve"> remercié les interprètes, les traducteurs, les techniciens et tous ceux qui avaient contribué</w:t>
      </w:r>
      <w:r w:rsidR="004F7B48">
        <w:rPr>
          <w:color w:val="000000"/>
        </w:rPr>
        <w:t xml:space="preserve"> à assurer le succès du Comité.</w:t>
      </w:r>
    </w:p>
    <w:p w14:paraId="1DCF4BCC" w14:textId="7BE2D370" w:rsidR="00BC6CFC" w:rsidRPr="00BC6CFC" w:rsidRDefault="00311A7B" w:rsidP="004F7B48">
      <w:pPr>
        <w:pStyle w:val="Orateurengris"/>
        <w:spacing w:before="120"/>
        <w:ind w:left="709" w:hanging="709"/>
        <w:rPr>
          <w:color w:val="000000"/>
        </w:rPr>
      </w:pPr>
      <w:r>
        <w:rPr>
          <w:color w:val="000000"/>
        </w:rPr>
        <w:t xml:space="preserve">La </w:t>
      </w:r>
      <w:r w:rsidRPr="00311A7B">
        <w:rPr>
          <w:b/>
          <w:color w:val="000000"/>
        </w:rPr>
        <w:t>D</w:t>
      </w:r>
      <w:r>
        <w:rPr>
          <w:b/>
          <w:color w:val="000000"/>
        </w:rPr>
        <w:t>irectrice de la D</w:t>
      </w:r>
      <w:r w:rsidRPr="00311A7B">
        <w:rPr>
          <w:b/>
          <w:color w:val="000000"/>
        </w:rPr>
        <w:t>ivision de la créativité, Mme Jyoti Hosagrahar</w:t>
      </w:r>
      <w:r>
        <w:rPr>
          <w:color w:val="000000"/>
        </w:rPr>
        <w:t xml:space="preserve">, a exprimé sa </w:t>
      </w:r>
      <w:r w:rsidRPr="00311A7B">
        <w:rPr>
          <w:color w:val="000000"/>
        </w:rPr>
        <w:t>reconnaissance</w:t>
      </w:r>
      <w:r>
        <w:rPr>
          <w:color w:val="000000"/>
        </w:rPr>
        <w:t xml:space="preserve"> au Président pour sa conduite efficace des débats qui avait permis à la session de se dérouler sans heurts et au Comité d</w:t>
      </w:r>
      <w:r w:rsidR="00346F1B">
        <w:rPr>
          <w:color w:val="000000"/>
        </w:rPr>
        <w:t>’</w:t>
      </w:r>
      <w:r>
        <w:rPr>
          <w:color w:val="000000"/>
        </w:rPr>
        <w:t>examiner un nombre important de questions essentielles. Bien qu</w:t>
      </w:r>
      <w:r w:rsidR="00346F1B">
        <w:rPr>
          <w:color w:val="000000"/>
        </w:rPr>
        <w:t>’</w:t>
      </w:r>
      <w:r>
        <w:rPr>
          <w:color w:val="000000"/>
        </w:rPr>
        <w:t>il ait été souffrant, le Président</w:t>
      </w:r>
      <w:r w:rsidR="00D76222">
        <w:rPr>
          <w:color w:val="000000"/>
        </w:rPr>
        <w:t xml:space="preserve"> s</w:t>
      </w:r>
      <w:r w:rsidR="00346F1B">
        <w:rPr>
          <w:color w:val="000000"/>
        </w:rPr>
        <w:t>’</w:t>
      </w:r>
      <w:r w:rsidR="00D76222">
        <w:rPr>
          <w:color w:val="000000"/>
        </w:rPr>
        <w:t xml:space="preserve">était montré </w:t>
      </w:r>
      <w:r>
        <w:rPr>
          <w:color w:val="000000"/>
        </w:rPr>
        <w:t xml:space="preserve">persévérant et avait travaillé dur, ce dont elle lui était très reconnaissante. Des remerciements très sincères ont été adressés au </w:t>
      </w:r>
      <w:r w:rsidR="001C771B">
        <w:rPr>
          <w:color w:val="000000"/>
        </w:rPr>
        <w:t>G</w:t>
      </w:r>
      <w:r w:rsidRPr="00311A7B">
        <w:rPr>
          <w:color w:val="000000"/>
        </w:rPr>
        <w:t>ouvernement</w:t>
      </w:r>
      <w:r>
        <w:rPr>
          <w:color w:val="000000"/>
        </w:rPr>
        <w:t xml:space="preserve"> éthiopien pour l</w:t>
      </w:r>
      <w:r w:rsidR="00346F1B">
        <w:rPr>
          <w:color w:val="000000"/>
        </w:rPr>
        <w:t>’</w:t>
      </w:r>
      <w:r>
        <w:rPr>
          <w:color w:val="000000"/>
        </w:rPr>
        <w:t>accueil de cette session, ainsi que pou</w:t>
      </w:r>
      <w:r w:rsidR="001C2026">
        <w:rPr>
          <w:color w:val="000000"/>
        </w:rPr>
        <w:t>r son hospitalité sur « la terre</w:t>
      </w:r>
      <w:r>
        <w:rPr>
          <w:color w:val="000000"/>
        </w:rPr>
        <w:t xml:space="preserve"> des origines ». Mme Hosagrahar a exprimé sa gratitude aux membres du Comité pour leur dét</w:t>
      </w:r>
      <w:r w:rsidR="00D76222">
        <w:rPr>
          <w:color w:val="000000"/>
        </w:rPr>
        <w:t>ermination commune à parvenir à un</w:t>
      </w:r>
      <w:r>
        <w:rPr>
          <w:color w:val="000000"/>
        </w:rPr>
        <w:t xml:space="preserve"> consensus, ainsi qu</w:t>
      </w:r>
      <w:r w:rsidR="00346F1B">
        <w:rPr>
          <w:color w:val="000000"/>
        </w:rPr>
        <w:t>’</w:t>
      </w:r>
      <w:r>
        <w:rPr>
          <w:color w:val="000000"/>
        </w:rPr>
        <w:t>aux États parties pour leurs réflexi</w:t>
      </w:r>
      <w:r w:rsidR="005B04D3">
        <w:rPr>
          <w:color w:val="000000"/>
        </w:rPr>
        <w:t xml:space="preserve">ons et contributions. Elle leur était </w:t>
      </w:r>
      <w:r w:rsidR="005B04D3" w:rsidRPr="005B04D3">
        <w:rPr>
          <w:color w:val="000000"/>
        </w:rPr>
        <w:t>également</w:t>
      </w:r>
      <w:r w:rsidR="005B04D3">
        <w:rPr>
          <w:color w:val="000000"/>
        </w:rPr>
        <w:t xml:space="preserve"> reconnaissante d</w:t>
      </w:r>
      <w:r w:rsidR="00346F1B">
        <w:rPr>
          <w:color w:val="000000"/>
        </w:rPr>
        <w:t>’</w:t>
      </w:r>
      <w:r w:rsidR="005B04D3">
        <w:rPr>
          <w:color w:val="000000"/>
        </w:rPr>
        <w:t xml:space="preserve">avoir poursuivi la réflexion sur tout un éventail de questions importantes pour le futur de la </w:t>
      </w:r>
      <w:r w:rsidR="005B04D3" w:rsidRPr="005B04D3">
        <w:rPr>
          <w:color w:val="000000"/>
        </w:rPr>
        <w:t>Convention</w:t>
      </w:r>
      <w:r w:rsidR="005B04D3">
        <w:rPr>
          <w:color w:val="000000"/>
        </w:rPr>
        <w:t xml:space="preserve">. Cette réflexion aurait un impact direct sur la façon dont le PCI serait sauvegardé dans le monde </w:t>
      </w:r>
      <w:r w:rsidR="005B04D3" w:rsidRPr="005B04D3">
        <w:rPr>
          <w:color w:val="000000"/>
        </w:rPr>
        <w:t>contemporain</w:t>
      </w:r>
      <w:r w:rsidR="005B04D3">
        <w:rPr>
          <w:color w:val="000000"/>
        </w:rPr>
        <w:t xml:space="preserve">, changeant et de plus en plus complexe, qui avait vu un nombre croissant de conflits et de </w:t>
      </w:r>
      <w:r w:rsidR="005B04D3" w:rsidRPr="005B04D3">
        <w:rPr>
          <w:color w:val="000000"/>
        </w:rPr>
        <w:t>catastrophes</w:t>
      </w:r>
      <w:r w:rsidR="005B04D3">
        <w:rPr>
          <w:color w:val="000000"/>
        </w:rPr>
        <w:t xml:space="preserve"> naturelles affecter le </w:t>
      </w:r>
      <w:r w:rsidR="005B04D3" w:rsidRPr="005B04D3">
        <w:rPr>
          <w:color w:val="000000"/>
        </w:rPr>
        <w:t>patrimoine</w:t>
      </w:r>
      <w:r w:rsidR="005B04D3">
        <w:rPr>
          <w:color w:val="000000"/>
        </w:rPr>
        <w:t xml:space="preserve"> </w:t>
      </w:r>
      <w:r w:rsidR="005B04D3" w:rsidRPr="005B04D3">
        <w:rPr>
          <w:color w:val="000000"/>
        </w:rPr>
        <w:t>culturel</w:t>
      </w:r>
      <w:r w:rsidR="005B04D3">
        <w:rPr>
          <w:color w:val="000000"/>
        </w:rPr>
        <w:t xml:space="preserve"> et ses communautés. La </w:t>
      </w:r>
      <w:r w:rsidR="005B04D3" w:rsidRPr="005B04D3">
        <w:rPr>
          <w:color w:val="000000"/>
        </w:rPr>
        <w:t>Convention</w:t>
      </w:r>
      <w:r w:rsidR="005B04D3">
        <w:rPr>
          <w:color w:val="000000"/>
        </w:rPr>
        <w:t xml:space="preserve"> et le PCI avaient clairement un rôle à jouer. Le PCI était riche d</w:t>
      </w:r>
      <w:r w:rsidR="00346F1B">
        <w:rPr>
          <w:color w:val="000000"/>
        </w:rPr>
        <w:t>’</w:t>
      </w:r>
      <w:r w:rsidR="005B04D3">
        <w:rPr>
          <w:color w:val="000000"/>
        </w:rPr>
        <w:t>une source inépuisable de connaissances créatives et d</w:t>
      </w:r>
      <w:r w:rsidR="00346F1B">
        <w:rPr>
          <w:color w:val="000000"/>
        </w:rPr>
        <w:t>’</w:t>
      </w:r>
      <w:r w:rsidR="005B04D3">
        <w:rPr>
          <w:color w:val="000000"/>
        </w:rPr>
        <w:t xml:space="preserve">expériences traditionnelles qui permettraient de façonner un meilleur avenir pour tous. Avant tout, le PCI concernait les populations, les communautés, les </w:t>
      </w:r>
      <w:r w:rsidR="005B04D3" w:rsidRPr="005B04D3">
        <w:rPr>
          <w:color w:val="000000"/>
        </w:rPr>
        <w:t>détenteurs</w:t>
      </w:r>
      <w:r w:rsidR="005B04D3">
        <w:rPr>
          <w:color w:val="000000"/>
        </w:rPr>
        <w:t>, les praticiens, les ainés et les jeunes, et leur bien-être essentiel. Il démontrait clairement</w:t>
      </w:r>
      <w:r w:rsidR="004D1B51">
        <w:rPr>
          <w:color w:val="000000"/>
        </w:rPr>
        <w:t xml:space="preserve"> qu</w:t>
      </w:r>
      <w:r w:rsidR="00346F1B">
        <w:rPr>
          <w:color w:val="000000"/>
        </w:rPr>
        <w:t>’</w:t>
      </w:r>
      <w:r w:rsidR="004D1B51">
        <w:rPr>
          <w:color w:val="000000"/>
        </w:rPr>
        <w:t>aucune société ne pouvait se</w:t>
      </w:r>
      <w:r w:rsidR="005B04D3">
        <w:rPr>
          <w:color w:val="000000"/>
        </w:rPr>
        <w:t xml:space="preserve"> développer sans créativité, sans culture et sans </w:t>
      </w:r>
      <w:r w:rsidR="00A03696">
        <w:rPr>
          <w:color w:val="000000"/>
        </w:rPr>
        <w:t xml:space="preserve">population. </w:t>
      </w:r>
      <w:r w:rsidR="004D1B51">
        <w:rPr>
          <w:color w:val="000000"/>
        </w:rPr>
        <w:t xml:space="preserve">Cela </w:t>
      </w:r>
      <w:r w:rsidR="00324E80">
        <w:rPr>
          <w:color w:val="000000"/>
        </w:rPr>
        <w:t>mettait l</w:t>
      </w:r>
      <w:r w:rsidR="00346F1B">
        <w:rPr>
          <w:color w:val="000000"/>
        </w:rPr>
        <w:t>’</w:t>
      </w:r>
      <w:r w:rsidR="00324E80">
        <w:rPr>
          <w:color w:val="000000"/>
        </w:rPr>
        <w:t xml:space="preserve">accent sur </w:t>
      </w:r>
      <w:r w:rsidR="004D1B51">
        <w:rPr>
          <w:color w:val="000000"/>
        </w:rPr>
        <w:t xml:space="preserve">la grande </w:t>
      </w:r>
      <w:r w:rsidR="004D1B51" w:rsidRPr="004D1B51">
        <w:rPr>
          <w:color w:val="000000"/>
        </w:rPr>
        <w:t>responsabilité</w:t>
      </w:r>
      <w:r w:rsidR="004D1B51">
        <w:rPr>
          <w:color w:val="000000"/>
        </w:rPr>
        <w:t xml:space="preserve"> </w:t>
      </w:r>
      <w:r w:rsidR="00324E80">
        <w:rPr>
          <w:color w:val="000000"/>
        </w:rPr>
        <w:t>qui incombait au</w:t>
      </w:r>
      <w:r w:rsidR="00A03696">
        <w:rPr>
          <w:color w:val="000000"/>
        </w:rPr>
        <w:t xml:space="preserve"> PCI </w:t>
      </w:r>
      <w:r w:rsidR="00324E80">
        <w:rPr>
          <w:color w:val="000000"/>
        </w:rPr>
        <w:t xml:space="preserve">: </w:t>
      </w:r>
      <w:r w:rsidR="004D1B51">
        <w:rPr>
          <w:color w:val="000000"/>
        </w:rPr>
        <w:t>être le fer de lance des actions en faveur de la diversité, du dialogue, de l</w:t>
      </w:r>
      <w:r w:rsidR="00346F1B">
        <w:rPr>
          <w:color w:val="000000"/>
        </w:rPr>
        <w:t>’</w:t>
      </w:r>
      <w:r w:rsidR="004D1B51">
        <w:rPr>
          <w:color w:val="000000"/>
        </w:rPr>
        <w:t xml:space="preserve">inclusion, de la solidarité et de la conciliation. Mme Hosagrahar a évoqué les nombreuses </w:t>
      </w:r>
      <w:r w:rsidR="00A03696" w:rsidRPr="00A03696">
        <w:rPr>
          <w:color w:val="000000"/>
        </w:rPr>
        <w:t>situations</w:t>
      </w:r>
      <w:r w:rsidR="00A03696">
        <w:rPr>
          <w:color w:val="000000"/>
        </w:rPr>
        <w:t xml:space="preserve"> dans lesquelles </w:t>
      </w:r>
      <w:r w:rsidR="004D1B51">
        <w:rPr>
          <w:color w:val="000000"/>
        </w:rPr>
        <w:t>les modes alimentaires traditionnels s</w:t>
      </w:r>
      <w:r w:rsidR="00346F1B">
        <w:rPr>
          <w:color w:val="000000"/>
        </w:rPr>
        <w:t>’</w:t>
      </w:r>
      <w:r w:rsidR="004D1B51">
        <w:rPr>
          <w:color w:val="000000"/>
        </w:rPr>
        <w:t xml:space="preserve">étaient avérés </w:t>
      </w:r>
      <w:r w:rsidR="00A03696">
        <w:rPr>
          <w:color w:val="000000"/>
        </w:rPr>
        <w:t xml:space="preserve">très </w:t>
      </w:r>
      <w:r w:rsidR="004D1B51">
        <w:rPr>
          <w:color w:val="000000"/>
        </w:rPr>
        <w:t xml:space="preserve">efficaces pour </w:t>
      </w:r>
      <w:r w:rsidR="00610D30">
        <w:rPr>
          <w:color w:val="000000"/>
        </w:rPr>
        <w:t xml:space="preserve">nourrir </w:t>
      </w:r>
      <w:r w:rsidR="00A03696">
        <w:rPr>
          <w:color w:val="000000"/>
        </w:rPr>
        <w:t xml:space="preserve">correctement </w:t>
      </w:r>
      <w:r w:rsidR="00610D30">
        <w:rPr>
          <w:color w:val="000000"/>
        </w:rPr>
        <w:t xml:space="preserve">les populations et assurer leur sécurité alimentaire. Elle a </w:t>
      </w:r>
      <w:r w:rsidR="00610D30" w:rsidRPr="00610D30">
        <w:rPr>
          <w:color w:val="000000"/>
        </w:rPr>
        <w:t>également</w:t>
      </w:r>
      <w:r w:rsidR="00D76222">
        <w:rPr>
          <w:color w:val="000000"/>
        </w:rPr>
        <w:t xml:space="preserve"> rappelé de quelle la façon </w:t>
      </w:r>
      <w:r w:rsidR="00610D30">
        <w:rPr>
          <w:color w:val="000000"/>
        </w:rPr>
        <w:t>la dive</w:t>
      </w:r>
      <w:r w:rsidR="007773E9">
        <w:rPr>
          <w:color w:val="000000"/>
        </w:rPr>
        <w:t>rsité d</w:t>
      </w:r>
      <w:r w:rsidR="00610D30">
        <w:rPr>
          <w:color w:val="000000"/>
        </w:rPr>
        <w:t>es connaissances dans le domai</w:t>
      </w:r>
      <w:r w:rsidR="00D76222">
        <w:rPr>
          <w:color w:val="000000"/>
        </w:rPr>
        <w:t>ne de la santé procurai</w:t>
      </w:r>
      <w:r w:rsidR="00610D30">
        <w:rPr>
          <w:color w:val="000000"/>
        </w:rPr>
        <w:t xml:space="preserve">t des soins de qualité aux communautés, </w:t>
      </w:r>
      <w:r w:rsidR="007773E9">
        <w:rPr>
          <w:color w:val="000000"/>
        </w:rPr>
        <w:t>des pratiques culturelles et sociales et des événements qui transcendaient les différences de classe, de genre et d</w:t>
      </w:r>
      <w:r w:rsidR="00346F1B">
        <w:rPr>
          <w:color w:val="000000"/>
        </w:rPr>
        <w:t>’</w:t>
      </w:r>
      <w:r w:rsidR="007773E9">
        <w:rPr>
          <w:color w:val="000000"/>
        </w:rPr>
        <w:t xml:space="preserve">âge, en renforçant le tissu social des communautés. Les activités de production locale, conservées et améliorées à travers les générations, étaient des moyens de subsistance pour de nombreuses populations tandis que les pratiques sociales de dialogue étaient essentielles pour prévenir et résoudre les conflits, et jouaient un rôle déterminant dans la réconciliation. Il ne faisait aucun doute que le PCI </w:t>
      </w:r>
      <w:r w:rsidR="00BC6CFC">
        <w:rPr>
          <w:color w:val="000000"/>
        </w:rPr>
        <w:t xml:space="preserve">était au premier plan </w:t>
      </w:r>
      <w:r w:rsidR="007773E9">
        <w:rPr>
          <w:color w:val="000000"/>
        </w:rPr>
        <w:t>de l</w:t>
      </w:r>
      <w:r w:rsidR="00346F1B">
        <w:rPr>
          <w:color w:val="000000"/>
        </w:rPr>
        <w:t>’</w:t>
      </w:r>
      <w:r w:rsidR="007773E9">
        <w:rPr>
          <w:color w:val="000000"/>
        </w:rPr>
        <w:t xml:space="preserve">agenda international du développement durable. Son </w:t>
      </w:r>
      <w:r w:rsidR="007773E9" w:rsidRPr="007773E9">
        <w:rPr>
          <w:color w:val="000000"/>
        </w:rPr>
        <w:t>engagement</w:t>
      </w:r>
      <w:r w:rsidR="007773E9">
        <w:rPr>
          <w:color w:val="000000"/>
        </w:rPr>
        <w:t xml:space="preserve"> dans les objectifs du développement durable de l</w:t>
      </w:r>
      <w:r w:rsidR="00346F1B">
        <w:rPr>
          <w:color w:val="000000"/>
        </w:rPr>
        <w:t>’</w:t>
      </w:r>
      <w:r w:rsidR="00BC6CFC">
        <w:rPr>
          <w:color w:val="000000"/>
        </w:rPr>
        <w:t xml:space="preserve">Agenda </w:t>
      </w:r>
      <w:r w:rsidR="00BC6CFC" w:rsidRPr="00A03696">
        <w:t>2030</w:t>
      </w:r>
      <w:r w:rsidR="007773E9">
        <w:rPr>
          <w:color w:val="000000"/>
        </w:rPr>
        <w:t xml:space="preserve"> était évident et devait être renforcé. </w:t>
      </w:r>
      <w:r w:rsidR="00BC6CFC">
        <w:rPr>
          <w:color w:val="000000"/>
        </w:rPr>
        <w:t xml:space="preserve">Mme Hosagrahar était convaincue que tous ceux qui étaient présents dans cette assemblée partageait la même conviction : le PCI répondait aux préoccupations actuelles, relevait les défis et </w:t>
      </w:r>
      <w:r w:rsidR="00D76222">
        <w:rPr>
          <w:color w:val="000000"/>
        </w:rPr>
        <w:t>agissait en faveur d</w:t>
      </w:r>
      <w:r w:rsidR="00346F1B">
        <w:rPr>
          <w:color w:val="000000"/>
        </w:rPr>
        <w:t>’</w:t>
      </w:r>
      <w:r w:rsidR="00BC6CFC">
        <w:rPr>
          <w:color w:val="000000"/>
        </w:rPr>
        <w:t xml:space="preserve">une transformation durable et significative pour les générations futures. Elle a conclu son intervention en remerciant à nouveau le Comité, le </w:t>
      </w:r>
      <w:r w:rsidR="001C771B">
        <w:rPr>
          <w:color w:val="000000"/>
        </w:rPr>
        <w:t>G</w:t>
      </w:r>
      <w:r w:rsidR="00BC6CFC" w:rsidRPr="00BC6CFC">
        <w:rPr>
          <w:color w:val="000000"/>
        </w:rPr>
        <w:t>ouvernement</w:t>
      </w:r>
      <w:r w:rsidR="00D76222">
        <w:rPr>
          <w:color w:val="000000"/>
        </w:rPr>
        <w:t xml:space="preserve"> éthiopien, et la</w:t>
      </w:r>
      <w:r w:rsidR="00BC6CFC">
        <w:rPr>
          <w:color w:val="000000"/>
        </w:rPr>
        <w:t xml:space="preserve"> République de Corée pour sa généreuse </w:t>
      </w:r>
      <w:r w:rsidR="00BC6CFC" w:rsidRPr="00BC6CFC">
        <w:rPr>
          <w:color w:val="000000"/>
        </w:rPr>
        <w:t xml:space="preserve">proposition </w:t>
      </w:r>
      <w:r w:rsidR="00BC6CFC">
        <w:rPr>
          <w:color w:val="000000"/>
        </w:rPr>
        <w:t>d</w:t>
      </w:r>
      <w:r w:rsidR="00346F1B">
        <w:rPr>
          <w:color w:val="000000"/>
        </w:rPr>
        <w:t>’</w:t>
      </w:r>
      <w:r w:rsidR="00BC6CFC">
        <w:rPr>
          <w:color w:val="000000"/>
        </w:rPr>
        <w:t>accueillir la procha</w:t>
      </w:r>
      <w:r w:rsidR="004F7B48">
        <w:rPr>
          <w:color w:val="000000"/>
        </w:rPr>
        <w:t>ine réunion.</w:t>
      </w:r>
    </w:p>
    <w:p w14:paraId="17D8B35D" w14:textId="2DB1185F" w:rsidR="00D76222" w:rsidRDefault="00D76222" w:rsidP="004F7B48">
      <w:pPr>
        <w:pStyle w:val="Orateurengris"/>
        <w:spacing w:before="120"/>
        <w:ind w:left="709" w:hanging="709"/>
        <w:rPr>
          <w:color w:val="000000"/>
        </w:rPr>
      </w:pPr>
      <w:r>
        <w:rPr>
          <w:color w:val="000000"/>
        </w:rPr>
        <w:t xml:space="preserve">Le </w:t>
      </w:r>
      <w:r w:rsidRPr="00D76222">
        <w:rPr>
          <w:b/>
          <w:color w:val="000000"/>
        </w:rPr>
        <w:t>Président</w:t>
      </w:r>
      <w:r>
        <w:rPr>
          <w:color w:val="000000"/>
        </w:rPr>
        <w:t xml:space="preserve"> a remercié Mme Hosagrahar pour ses aimables paroles sur le travail du Comité, et a ouvert le débat</w:t>
      </w:r>
      <w:r w:rsidR="004F7B48">
        <w:rPr>
          <w:color w:val="000000"/>
        </w:rPr>
        <w:t xml:space="preserve"> pour les déclarations finales.</w:t>
      </w:r>
    </w:p>
    <w:p w14:paraId="5ABE4561" w14:textId="640B7DF6" w:rsidR="00D76222" w:rsidRDefault="00D76222" w:rsidP="004F7B48">
      <w:pPr>
        <w:pStyle w:val="Orateurengris"/>
        <w:spacing w:before="120"/>
        <w:ind w:left="709" w:hanging="709"/>
        <w:rPr>
          <w:color w:val="000000"/>
        </w:rPr>
      </w:pPr>
      <w:r>
        <w:rPr>
          <w:color w:val="000000"/>
        </w:rPr>
        <w:t xml:space="preserve">La </w:t>
      </w:r>
      <w:r w:rsidRPr="00D76222">
        <w:rPr>
          <w:color w:val="000000"/>
        </w:rPr>
        <w:t>délégation</w:t>
      </w:r>
      <w:r>
        <w:rPr>
          <w:color w:val="000000"/>
        </w:rPr>
        <w:t xml:space="preserve"> de la </w:t>
      </w:r>
      <w:r w:rsidRPr="00D76222">
        <w:rPr>
          <w:b/>
          <w:color w:val="000000"/>
        </w:rPr>
        <w:t>Palestine</w:t>
      </w:r>
      <w:r>
        <w:rPr>
          <w:color w:val="000000"/>
        </w:rPr>
        <w:t xml:space="preserve"> a réitéré sa profonde </w:t>
      </w:r>
      <w:r w:rsidR="001C2026" w:rsidRPr="001C2026">
        <w:rPr>
          <w:color w:val="000000"/>
        </w:rPr>
        <w:t>reconnaissance</w:t>
      </w:r>
      <w:r w:rsidR="001C2026">
        <w:rPr>
          <w:color w:val="000000"/>
        </w:rPr>
        <w:t xml:space="preserve"> et ses remerciements au pays hôte, la terre des origines, et aux bénévoles dont le travail était très utile. Il a </w:t>
      </w:r>
      <w:r w:rsidR="001C2026" w:rsidRPr="001C2026">
        <w:rPr>
          <w:color w:val="000000"/>
        </w:rPr>
        <w:t>également</w:t>
      </w:r>
      <w:r w:rsidR="00EF1F00">
        <w:rPr>
          <w:color w:val="000000"/>
        </w:rPr>
        <w:t xml:space="preserve"> adressé s</w:t>
      </w:r>
      <w:r w:rsidR="001C2026">
        <w:rPr>
          <w:color w:val="000000"/>
        </w:rPr>
        <w:t>es remerciements aux interprètes, au Secrétariat pour son travail acharné, et à l</w:t>
      </w:r>
      <w:r w:rsidR="00346F1B">
        <w:rPr>
          <w:color w:val="000000"/>
        </w:rPr>
        <w:t>’</w:t>
      </w:r>
      <w:r w:rsidR="001C2026">
        <w:rPr>
          <w:color w:val="000000"/>
        </w:rPr>
        <w:t>Organe d</w:t>
      </w:r>
      <w:r w:rsidR="00346F1B">
        <w:rPr>
          <w:color w:val="000000"/>
        </w:rPr>
        <w:t>’</w:t>
      </w:r>
      <w:r w:rsidR="001C2026">
        <w:rPr>
          <w:color w:val="000000"/>
        </w:rPr>
        <w:t>évaluation, ajoutant que même lorsque le Comité adoptait des décisions qui allaient à l</w:t>
      </w:r>
      <w:r w:rsidR="00346F1B">
        <w:rPr>
          <w:color w:val="000000"/>
        </w:rPr>
        <w:t>’</w:t>
      </w:r>
      <w:r w:rsidR="001C2026">
        <w:rPr>
          <w:color w:val="000000"/>
        </w:rPr>
        <w:t>encontre de ses recommandations, cela ne signifiait pas qu</w:t>
      </w:r>
      <w:r w:rsidR="00346F1B">
        <w:rPr>
          <w:color w:val="000000"/>
        </w:rPr>
        <w:t>’</w:t>
      </w:r>
      <w:r w:rsidR="001C2026">
        <w:rPr>
          <w:color w:val="000000"/>
        </w:rPr>
        <w:t>il n</w:t>
      </w:r>
      <w:r w:rsidR="00346F1B">
        <w:rPr>
          <w:color w:val="000000"/>
        </w:rPr>
        <w:t>’</w:t>
      </w:r>
      <w:r w:rsidR="001C2026">
        <w:rPr>
          <w:color w:val="000000"/>
        </w:rPr>
        <w:t>était pas d</w:t>
      </w:r>
      <w:r w:rsidR="00346F1B">
        <w:rPr>
          <w:color w:val="000000"/>
        </w:rPr>
        <w:t>’</w:t>
      </w:r>
      <w:r w:rsidR="001C2026">
        <w:rPr>
          <w:color w:val="000000"/>
        </w:rPr>
        <w:t>accord avec son travail très objectif. La délégation félicitait l</w:t>
      </w:r>
      <w:r w:rsidR="00346F1B">
        <w:rPr>
          <w:color w:val="000000"/>
        </w:rPr>
        <w:t>’</w:t>
      </w:r>
      <w:r w:rsidR="001C2026">
        <w:rPr>
          <w:color w:val="000000"/>
        </w:rPr>
        <w:t>Organe d</w:t>
      </w:r>
      <w:r w:rsidR="00346F1B">
        <w:rPr>
          <w:color w:val="000000"/>
        </w:rPr>
        <w:t>’</w:t>
      </w:r>
      <w:r w:rsidR="001C2026">
        <w:rPr>
          <w:color w:val="000000"/>
        </w:rPr>
        <w:t>évaluation et respectait son travail, mais il y avait d</w:t>
      </w:r>
      <w:r w:rsidR="00346F1B">
        <w:rPr>
          <w:color w:val="000000"/>
        </w:rPr>
        <w:t>’</w:t>
      </w:r>
      <w:r w:rsidR="001C2026">
        <w:rPr>
          <w:color w:val="000000"/>
        </w:rPr>
        <w:t xml:space="preserve">autres considérations </w:t>
      </w:r>
      <w:r w:rsidR="004F7B48">
        <w:rPr>
          <w:color w:val="000000"/>
        </w:rPr>
        <w:t>au-delà</w:t>
      </w:r>
      <w:r w:rsidR="001C2026">
        <w:rPr>
          <w:color w:val="000000"/>
        </w:rPr>
        <w:t xml:space="preserve"> des </w:t>
      </w:r>
      <w:r w:rsidR="001C2026" w:rsidRPr="001C2026">
        <w:rPr>
          <w:color w:val="000000"/>
        </w:rPr>
        <w:t>informations</w:t>
      </w:r>
      <w:r w:rsidR="001C2026">
        <w:rPr>
          <w:color w:val="000000"/>
        </w:rPr>
        <w:t xml:space="preserve"> contenues dans le</w:t>
      </w:r>
      <w:r w:rsidR="00254F38">
        <w:rPr>
          <w:color w:val="000000"/>
        </w:rPr>
        <w:t xml:space="preserve"> dossier. E</w:t>
      </w:r>
      <w:r w:rsidR="001C2026">
        <w:rPr>
          <w:color w:val="000000"/>
        </w:rPr>
        <w:t xml:space="preserve">lle souhaitait </w:t>
      </w:r>
      <w:r w:rsidR="00254F38" w:rsidRPr="00254F38">
        <w:rPr>
          <w:color w:val="000000"/>
        </w:rPr>
        <w:t>également</w:t>
      </w:r>
      <w:r w:rsidR="00254F38">
        <w:rPr>
          <w:color w:val="000000"/>
        </w:rPr>
        <w:t xml:space="preserve"> </w:t>
      </w:r>
      <w:r w:rsidR="001C2026">
        <w:rPr>
          <w:color w:val="000000"/>
        </w:rPr>
        <w:t xml:space="preserve">remercier et féliciter la République de Corée et le prochain Président, M. Lee. Enfin, la </w:t>
      </w:r>
      <w:r w:rsidR="001C2026" w:rsidRPr="001C2026">
        <w:rPr>
          <w:color w:val="000000"/>
        </w:rPr>
        <w:t>délégation</w:t>
      </w:r>
      <w:r w:rsidR="001C2026">
        <w:rPr>
          <w:color w:val="000000"/>
        </w:rPr>
        <w:t xml:space="preserve"> a félicité le Président pour sa conduite exceptionnelle de la session, qui s</w:t>
      </w:r>
      <w:r w:rsidR="00346F1B">
        <w:rPr>
          <w:color w:val="000000"/>
        </w:rPr>
        <w:t>’</w:t>
      </w:r>
      <w:r w:rsidR="001C2026">
        <w:rPr>
          <w:color w:val="000000"/>
        </w:rPr>
        <w:t xml:space="preserve">était déroulée sans heurts et de façon très diplomatique, ce </w:t>
      </w:r>
      <w:r w:rsidR="004F7B48">
        <w:rPr>
          <w:color w:val="000000"/>
        </w:rPr>
        <w:t>qui avait été apprécié de tous.</w:t>
      </w:r>
    </w:p>
    <w:p w14:paraId="1F9506D8" w14:textId="33774C70" w:rsidR="000A4439" w:rsidRPr="000A4439" w:rsidRDefault="00254F38" w:rsidP="004F7B48">
      <w:pPr>
        <w:pStyle w:val="Orateurengris"/>
        <w:spacing w:before="120"/>
        <w:ind w:left="709" w:hanging="709"/>
        <w:rPr>
          <w:color w:val="000000"/>
        </w:rPr>
      </w:pPr>
      <w:r>
        <w:rPr>
          <w:color w:val="000000"/>
        </w:rPr>
        <w:t>L</w:t>
      </w:r>
      <w:r w:rsidRPr="00254F38">
        <w:rPr>
          <w:color w:val="000000"/>
        </w:rPr>
        <w:t xml:space="preserve">a délégation du </w:t>
      </w:r>
      <w:r w:rsidRPr="00254F38">
        <w:rPr>
          <w:b/>
          <w:color w:val="000000"/>
        </w:rPr>
        <w:t>Sénégal</w:t>
      </w:r>
      <w:r>
        <w:rPr>
          <w:color w:val="000000"/>
        </w:rPr>
        <w:t xml:space="preserve"> a parlé au nom de l</w:t>
      </w:r>
      <w:r w:rsidR="00346F1B">
        <w:rPr>
          <w:color w:val="000000"/>
        </w:rPr>
        <w:t>’</w:t>
      </w:r>
      <w:r>
        <w:rPr>
          <w:color w:val="000000"/>
        </w:rPr>
        <w:t>Afrique pour exprimer sa fierté que l</w:t>
      </w:r>
      <w:r w:rsidR="00346F1B">
        <w:rPr>
          <w:color w:val="000000"/>
        </w:rPr>
        <w:t>’</w:t>
      </w:r>
      <w:r w:rsidRPr="00254F38">
        <w:rPr>
          <w:color w:val="000000"/>
        </w:rPr>
        <w:t>Éthiopie</w:t>
      </w:r>
      <w:r>
        <w:rPr>
          <w:color w:val="000000"/>
        </w:rPr>
        <w:t>, après la Namibie en 2015, ait honoré tout le continent en relevant le défi de participer, d</w:t>
      </w:r>
      <w:r w:rsidR="00346F1B">
        <w:rPr>
          <w:color w:val="000000"/>
        </w:rPr>
        <w:t>’</w:t>
      </w:r>
      <w:r>
        <w:rPr>
          <w:color w:val="000000"/>
        </w:rPr>
        <w:t>organiser et d</w:t>
      </w:r>
      <w:r w:rsidR="00346F1B">
        <w:rPr>
          <w:color w:val="000000"/>
        </w:rPr>
        <w:t>’</w:t>
      </w:r>
      <w:r>
        <w:rPr>
          <w:color w:val="000000"/>
        </w:rPr>
        <w:t xml:space="preserve">accueillir cette session. La </w:t>
      </w:r>
      <w:r w:rsidRPr="00254F38">
        <w:rPr>
          <w:color w:val="000000"/>
        </w:rPr>
        <w:t>délégation</w:t>
      </w:r>
      <w:r>
        <w:rPr>
          <w:color w:val="000000"/>
        </w:rPr>
        <w:t xml:space="preserve"> a dit avoir découvert l</w:t>
      </w:r>
      <w:r w:rsidR="00346F1B">
        <w:rPr>
          <w:color w:val="000000"/>
        </w:rPr>
        <w:t>’</w:t>
      </w:r>
      <w:r>
        <w:rPr>
          <w:color w:val="000000"/>
        </w:rPr>
        <w:t xml:space="preserve">autre </w:t>
      </w:r>
      <w:r w:rsidRPr="00254F38">
        <w:rPr>
          <w:color w:val="000000"/>
        </w:rPr>
        <w:t>patrimoine</w:t>
      </w:r>
      <w:r>
        <w:rPr>
          <w:color w:val="000000"/>
        </w:rPr>
        <w:t xml:space="preserve"> de l</w:t>
      </w:r>
      <w:r w:rsidR="00346F1B">
        <w:rPr>
          <w:color w:val="000000"/>
        </w:rPr>
        <w:t>’</w:t>
      </w:r>
      <w:r w:rsidRPr="00254F38">
        <w:rPr>
          <w:color w:val="000000"/>
        </w:rPr>
        <w:t>Éthiopie</w:t>
      </w:r>
      <w:r>
        <w:rPr>
          <w:color w:val="000000"/>
        </w:rPr>
        <w:t xml:space="preserve"> : son </w:t>
      </w:r>
      <w:r w:rsidRPr="00254F38">
        <w:rPr>
          <w:color w:val="000000"/>
        </w:rPr>
        <w:t>patrimoine</w:t>
      </w:r>
      <w:r>
        <w:rPr>
          <w:color w:val="000000"/>
        </w:rPr>
        <w:t xml:space="preserve"> culinaire et gastronomique en se prom</w:t>
      </w:r>
      <w:r w:rsidR="000A4439">
        <w:rPr>
          <w:color w:val="000000"/>
        </w:rPr>
        <w:t>enant dans les rues de la ville et</w:t>
      </w:r>
      <w:r>
        <w:rPr>
          <w:color w:val="000000"/>
        </w:rPr>
        <w:t xml:space="preserve"> lors de soirées abyssiniennes. Après avoir été la capitale historique de l</w:t>
      </w:r>
      <w:r w:rsidR="00346F1B">
        <w:rPr>
          <w:color w:val="000000"/>
        </w:rPr>
        <w:t>’</w:t>
      </w:r>
      <w:r>
        <w:rPr>
          <w:color w:val="000000"/>
        </w:rPr>
        <w:t xml:space="preserve">Afrique, </w:t>
      </w:r>
      <w:r w:rsidR="000A4439">
        <w:rPr>
          <w:color w:val="000000"/>
        </w:rPr>
        <w:t xml:space="preserve">la ville </w:t>
      </w:r>
      <w:r>
        <w:rPr>
          <w:color w:val="000000"/>
        </w:rPr>
        <w:t xml:space="preserve">était la capitale culturelle. La </w:t>
      </w:r>
      <w:r w:rsidRPr="00254F38">
        <w:rPr>
          <w:color w:val="000000"/>
        </w:rPr>
        <w:t>délégation</w:t>
      </w:r>
      <w:r>
        <w:rPr>
          <w:color w:val="000000"/>
        </w:rPr>
        <w:t xml:space="preserve"> a </w:t>
      </w:r>
      <w:r w:rsidRPr="00254F38">
        <w:rPr>
          <w:color w:val="000000"/>
        </w:rPr>
        <w:t>également</w:t>
      </w:r>
      <w:r>
        <w:rPr>
          <w:color w:val="000000"/>
        </w:rPr>
        <w:t xml:space="preserve"> félicité le Secrétariat</w:t>
      </w:r>
      <w:r w:rsidR="000A4439">
        <w:rPr>
          <w:color w:val="000000"/>
        </w:rPr>
        <w:t xml:space="preserve"> pour son</w:t>
      </w:r>
      <w:r>
        <w:rPr>
          <w:color w:val="000000"/>
        </w:rPr>
        <w:t xml:space="preserve"> </w:t>
      </w:r>
      <w:r w:rsidRPr="00254F38">
        <w:rPr>
          <w:color w:val="000000"/>
        </w:rPr>
        <w:t>extraordinaire</w:t>
      </w:r>
      <w:r w:rsidR="000A4439">
        <w:rPr>
          <w:color w:val="000000"/>
        </w:rPr>
        <w:t xml:space="preserve"> travail, des félicitations qui s</w:t>
      </w:r>
      <w:r w:rsidR="00346F1B">
        <w:rPr>
          <w:color w:val="000000"/>
        </w:rPr>
        <w:t>’</w:t>
      </w:r>
      <w:r w:rsidR="000A4439">
        <w:rPr>
          <w:color w:val="000000"/>
        </w:rPr>
        <w:t xml:space="preserve">adressaient à tous ceux qui étaient derrière la tribune pour préparer cette session. Des remerciements particuliers ont </w:t>
      </w:r>
      <w:r w:rsidR="000A4439" w:rsidRPr="000A4439">
        <w:rPr>
          <w:color w:val="000000"/>
        </w:rPr>
        <w:t>également</w:t>
      </w:r>
      <w:r w:rsidR="000A4439">
        <w:rPr>
          <w:color w:val="000000"/>
        </w:rPr>
        <w:t xml:space="preserve"> été adressés au </w:t>
      </w:r>
      <w:r w:rsidR="000A4439" w:rsidRPr="000A4439">
        <w:rPr>
          <w:color w:val="000000"/>
        </w:rPr>
        <w:t>Secrétaire</w:t>
      </w:r>
      <w:r w:rsidR="000A4439">
        <w:rPr>
          <w:color w:val="000000"/>
        </w:rPr>
        <w:t xml:space="preserve"> pour sa première session très réussie, et à toute son équipe. La </w:t>
      </w:r>
      <w:r w:rsidR="000A4439" w:rsidRPr="000A4439">
        <w:rPr>
          <w:color w:val="000000"/>
        </w:rPr>
        <w:t>délégation</w:t>
      </w:r>
      <w:r w:rsidR="000A4439">
        <w:rPr>
          <w:color w:val="000000"/>
        </w:rPr>
        <w:t xml:space="preserve"> a </w:t>
      </w:r>
      <w:r w:rsidR="000A4439" w:rsidRPr="000A4439">
        <w:rPr>
          <w:color w:val="000000"/>
        </w:rPr>
        <w:t>également</w:t>
      </w:r>
      <w:r w:rsidR="000A4439">
        <w:rPr>
          <w:color w:val="000000"/>
        </w:rPr>
        <w:t xml:space="preserve"> félicité les membres du Comité pour leur très bon travail. Des félicitations ont </w:t>
      </w:r>
      <w:r w:rsidR="000A4439" w:rsidRPr="000A4439">
        <w:rPr>
          <w:color w:val="000000"/>
        </w:rPr>
        <w:t>également</w:t>
      </w:r>
      <w:r w:rsidR="000A4439">
        <w:rPr>
          <w:color w:val="000000"/>
        </w:rPr>
        <w:t xml:space="preserve"> été adressées aux ONG, dont le travail de terrain et la médiation culturelle contribuaient au succès de la </w:t>
      </w:r>
      <w:r w:rsidR="000A4439" w:rsidRPr="000A4439">
        <w:rPr>
          <w:color w:val="000000"/>
        </w:rPr>
        <w:t>Convention</w:t>
      </w:r>
      <w:r w:rsidR="000A4439">
        <w:rPr>
          <w:color w:val="000000"/>
        </w:rPr>
        <w:t xml:space="preserve">. La </w:t>
      </w:r>
      <w:r w:rsidR="000A4439" w:rsidRPr="000A4439">
        <w:rPr>
          <w:color w:val="000000"/>
        </w:rPr>
        <w:t>délégation</w:t>
      </w:r>
      <w:r w:rsidR="000A4439">
        <w:rPr>
          <w:color w:val="000000"/>
        </w:rPr>
        <w:t xml:space="preserve"> a remercié l</w:t>
      </w:r>
      <w:r w:rsidR="00346F1B">
        <w:rPr>
          <w:color w:val="000000"/>
        </w:rPr>
        <w:t>’</w:t>
      </w:r>
      <w:r w:rsidR="000A4439">
        <w:rPr>
          <w:color w:val="000000"/>
        </w:rPr>
        <w:t>Organe d</w:t>
      </w:r>
      <w:r w:rsidR="00346F1B">
        <w:rPr>
          <w:color w:val="000000"/>
        </w:rPr>
        <w:t>’</w:t>
      </w:r>
      <w:r w:rsidR="000A4439">
        <w:rPr>
          <w:color w:val="000000"/>
        </w:rPr>
        <w:t xml:space="preserve">évaluation, faisant écho aux remarques de la Palestine à ce sujet, et les bénévoles qui </w:t>
      </w:r>
      <w:r w:rsidR="006C0F3A">
        <w:rPr>
          <w:color w:val="000000"/>
        </w:rPr>
        <w:t xml:space="preserve">avaient assuré </w:t>
      </w:r>
      <w:r w:rsidR="000A4439">
        <w:rPr>
          <w:color w:val="000000"/>
        </w:rPr>
        <w:t>la logistique, a</w:t>
      </w:r>
      <w:r w:rsidR="006C0F3A">
        <w:rPr>
          <w:color w:val="000000"/>
        </w:rPr>
        <w:t xml:space="preserve">insi que les interprètes. </w:t>
      </w:r>
      <w:r w:rsidR="000A4439">
        <w:rPr>
          <w:color w:val="000000"/>
        </w:rPr>
        <w:t xml:space="preserve">La </w:t>
      </w:r>
      <w:r w:rsidR="000A4439" w:rsidRPr="000A4439">
        <w:rPr>
          <w:color w:val="000000"/>
        </w:rPr>
        <w:t>délégation</w:t>
      </w:r>
      <w:r w:rsidR="000A4439">
        <w:rPr>
          <w:color w:val="000000"/>
        </w:rPr>
        <w:t xml:space="preserve"> a conclu son </w:t>
      </w:r>
      <w:r w:rsidR="000A4439" w:rsidRPr="000A4439">
        <w:rPr>
          <w:color w:val="000000"/>
        </w:rPr>
        <w:t>intervention</w:t>
      </w:r>
      <w:r w:rsidR="000A4439">
        <w:rPr>
          <w:color w:val="000000"/>
        </w:rPr>
        <w:t xml:space="preserve"> en félicitant l</w:t>
      </w:r>
      <w:r w:rsidR="00346F1B">
        <w:rPr>
          <w:color w:val="000000"/>
        </w:rPr>
        <w:t>’</w:t>
      </w:r>
      <w:r w:rsidR="000A4439" w:rsidRPr="000A4439">
        <w:rPr>
          <w:color w:val="000000"/>
        </w:rPr>
        <w:t>Éthiopie</w:t>
      </w:r>
      <w:r w:rsidR="000A4439">
        <w:rPr>
          <w:color w:val="000000"/>
        </w:rPr>
        <w:t xml:space="preserve"> et le Nigeria qui honoraient l</w:t>
      </w:r>
      <w:r w:rsidR="00346F1B">
        <w:rPr>
          <w:color w:val="000000"/>
        </w:rPr>
        <w:t>’</w:t>
      </w:r>
      <w:r w:rsidR="000A4439">
        <w:rPr>
          <w:color w:val="000000"/>
        </w:rPr>
        <w:t>A</w:t>
      </w:r>
      <w:r w:rsidR="004F7B48">
        <w:rPr>
          <w:color w:val="000000"/>
        </w:rPr>
        <w:t>frique avec leurs inscriptions.</w:t>
      </w:r>
    </w:p>
    <w:p w14:paraId="58628919" w14:textId="2298CBB9" w:rsidR="006C0F3A" w:rsidRPr="006C0F3A" w:rsidRDefault="000A4439" w:rsidP="004F7B48">
      <w:pPr>
        <w:pStyle w:val="Orateurengris"/>
        <w:spacing w:before="120"/>
        <w:ind w:left="709" w:hanging="709"/>
        <w:rPr>
          <w:color w:val="000000"/>
        </w:rPr>
      </w:pPr>
      <w:r>
        <w:rPr>
          <w:color w:val="000000"/>
        </w:rPr>
        <w:t xml:space="preserve">La </w:t>
      </w:r>
      <w:r w:rsidRPr="000A4439">
        <w:rPr>
          <w:color w:val="000000"/>
        </w:rPr>
        <w:t>délégation</w:t>
      </w:r>
      <w:r>
        <w:rPr>
          <w:color w:val="000000"/>
        </w:rPr>
        <w:t xml:space="preserve"> du </w:t>
      </w:r>
      <w:r w:rsidRPr="000A4439">
        <w:rPr>
          <w:b/>
          <w:color w:val="000000"/>
        </w:rPr>
        <w:t>Liban</w:t>
      </w:r>
      <w:r>
        <w:rPr>
          <w:color w:val="000000"/>
        </w:rPr>
        <w:t xml:space="preserve"> </w:t>
      </w:r>
      <w:r w:rsidR="006C0F3A">
        <w:rPr>
          <w:color w:val="000000"/>
        </w:rPr>
        <w:t>a joint sa voix à celles de la Palestine et du</w:t>
      </w:r>
      <w:r>
        <w:rPr>
          <w:color w:val="000000"/>
        </w:rPr>
        <w:t xml:space="preserve"> Sénégal pour adresser ses sincères remerciements au </w:t>
      </w:r>
      <w:r w:rsidR="001C771B">
        <w:rPr>
          <w:color w:val="000000"/>
        </w:rPr>
        <w:t>G</w:t>
      </w:r>
      <w:r w:rsidRPr="000A4439">
        <w:rPr>
          <w:color w:val="000000"/>
        </w:rPr>
        <w:t>ouvernement</w:t>
      </w:r>
      <w:r>
        <w:rPr>
          <w:color w:val="000000"/>
        </w:rPr>
        <w:t xml:space="preserve"> éthiopien </w:t>
      </w:r>
      <w:r w:rsidR="006C0F3A">
        <w:rPr>
          <w:color w:val="000000"/>
        </w:rPr>
        <w:t>d</w:t>
      </w:r>
      <w:r w:rsidR="00346F1B">
        <w:rPr>
          <w:color w:val="000000"/>
        </w:rPr>
        <w:t>’</w:t>
      </w:r>
      <w:r w:rsidR="006C0F3A">
        <w:rPr>
          <w:color w:val="000000"/>
        </w:rPr>
        <w:t>avoir veillé au bien-être des délégués. Des remerciements ont également été adressés au Président, pour sa patience et sa diplomatie, et au Secrétariat.</w:t>
      </w:r>
    </w:p>
    <w:p w14:paraId="2615EB0D" w14:textId="036CCCA3" w:rsidR="006C0F3A" w:rsidRPr="006C0F3A" w:rsidRDefault="006C0F3A" w:rsidP="004F7B48">
      <w:pPr>
        <w:pStyle w:val="Orateurengris"/>
        <w:spacing w:before="120"/>
        <w:ind w:left="709" w:hanging="709"/>
        <w:rPr>
          <w:color w:val="000000"/>
        </w:rPr>
      </w:pPr>
      <w:r>
        <w:rPr>
          <w:color w:val="000000"/>
        </w:rPr>
        <w:t xml:space="preserve">La </w:t>
      </w:r>
      <w:r w:rsidRPr="006C0F3A">
        <w:rPr>
          <w:color w:val="000000"/>
        </w:rPr>
        <w:t>délégation</w:t>
      </w:r>
      <w:r>
        <w:rPr>
          <w:color w:val="000000"/>
        </w:rPr>
        <w:t xml:space="preserve"> de la </w:t>
      </w:r>
      <w:r w:rsidRPr="006C0F3A">
        <w:rPr>
          <w:b/>
          <w:color w:val="000000"/>
        </w:rPr>
        <w:t>Turquie</w:t>
      </w:r>
      <w:r>
        <w:rPr>
          <w:color w:val="000000"/>
        </w:rPr>
        <w:t xml:space="preserve"> a remercié le </w:t>
      </w:r>
      <w:r w:rsidR="001C771B">
        <w:rPr>
          <w:color w:val="000000"/>
        </w:rPr>
        <w:t>G</w:t>
      </w:r>
      <w:r w:rsidRPr="006C0F3A">
        <w:rPr>
          <w:color w:val="000000"/>
        </w:rPr>
        <w:t>ouvernement</w:t>
      </w:r>
      <w:r>
        <w:rPr>
          <w:color w:val="000000"/>
        </w:rPr>
        <w:t xml:space="preserve"> éthiopien et la population pour leur hospitalité, ajoutant que cela avait été un plaisir de découvrir cette merveilleuse ville et sa </w:t>
      </w:r>
      <w:r w:rsidRPr="006C0F3A">
        <w:rPr>
          <w:color w:val="000000"/>
        </w:rPr>
        <w:t xml:space="preserve">population </w:t>
      </w:r>
      <w:r>
        <w:rPr>
          <w:color w:val="000000"/>
        </w:rPr>
        <w:t xml:space="preserve">sur « la terre des origines ». La </w:t>
      </w:r>
      <w:r w:rsidRPr="006C0F3A">
        <w:rPr>
          <w:color w:val="000000"/>
        </w:rPr>
        <w:t>délégation</w:t>
      </w:r>
      <w:r>
        <w:rPr>
          <w:color w:val="000000"/>
        </w:rPr>
        <w:t xml:space="preserve"> a salué le Président pour sa conduite des débats en dépit des difficultés. Elle a </w:t>
      </w:r>
      <w:r w:rsidRPr="006C0F3A">
        <w:rPr>
          <w:color w:val="000000"/>
        </w:rPr>
        <w:t>également</w:t>
      </w:r>
      <w:r>
        <w:rPr>
          <w:color w:val="000000"/>
        </w:rPr>
        <w:t xml:space="preserve"> remercié le Secrétariat pour son travail ardu ainsi que les interprètes et le personnel logistique pour leurs contributions. Elle a remercié l</w:t>
      </w:r>
      <w:r w:rsidR="00346F1B">
        <w:rPr>
          <w:color w:val="000000"/>
        </w:rPr>
        <w:t>’</w:t>
      </w:r>
      <w:r>
        <w:rPr>
          <w:color w:val="000000"/>
        </w:rPr>
        <w:t>Organe d</w:t>
      </w:r>
      <w:r w:rsidR="00346F1B">
        <w:rPr>
          <w:color w:val="000000"/>
        </w:rPr>
        <w:t>’</w:t>
      </w:r>
      <w:r>
        <w:rPr>
          <w:color w:val="000000"/>
        </w:rPr>
        <w:t>évaluation pour son important et inestimable travail, dans lequel elle avait pleinement confiance. Elle espérait, à l</w:t>
      </w:r>
      <w:r w:rsidR="00346F1B">
        <w:rPr>
          <w:color w:val="000000"/>
        </w:rPr>
        <w:t>’</w:t>
      </w:r>
      <w:r>
        <w:rPr>
          <w:color w:val="000000"/>
        </w:rPr>
        <w:t xml:space="preserve">avenir, pouvoir travailler en plus étroite </w:t>
      </w:r>
      <w:r w:rsidRPr="006C0F3A">
        <w:rPr>
          <w:color w:val="000000"/>
        </w:rPr>
        <w:t>collaboration</w:t>
      </w:r>
      <w:r>
        <w:rPr>
          <w:color w:val="000000"/>
        </w:rPr>
        <w:t xml:space="preserve"> avec les experts. Enfin, la </w:t>
      </w:r>
      <w:r w:rsidRPr="006C0F3A">
        <w:rPr>
          <w:color w:val="000000"/>
        </w:rPr>
        <w:t>délégation</w:t>
      </w:r>
      <w:r>
        <w:rPr>
          <w:color w:val="000000"/>
        </w:rPr>
        <w:t xml:space="preserve"> a félicité la République de Corée, hôte de la prochaine session du Comité, avec qui elle travaillerait tout au long de l</w:t>
      </w:r>
      <w:r w:rsidR="00346F1B">
        <w:rPr>
          <w:color w:val="000000"/>
        </w:rPr>
        <w:t>’</w:t>
      </w:r>
      <w:r>
        <w:rPr>
          <w:color w:val="000000"/>
        </w:rPr>
        <w:t>année jusqu</w:t>
      </w:r>
      <w:r w:rsidR="00346F1B">
        <w:rPr>
          <w:color w:val="000000"/>
        </w:rPr>
        <w:t>’</w:t>
      </w:r>
      <w:r w:rsidR="004F7B48">
        <w:rPr>
          <w:color w:val="000000"/>
        </w:rPr>
        <w:t>à la prochaine session.</w:t>
      </w:r>
    </w:p>
    <w:p w14:paraId="6B017008" w14:textId="4A7E3357" w:rsidR="006C0F3A" w:rsidRDefault="006C0F3A" w:rsidP="004F7B48">
      <w:pPr>
        <w:pStyle w:val="Orateurengris"/>
        <w:spacing w:before="120"/>
        <w:ind w:left="709" w:hanging="709"/>
        <w:rPr>
          <w:color w:val="000000"/>
        </w:rPr>
      </w:pPr>
      <w:r>
        <w:rPr>
          <w:color w:val="000000"/>
        </w:rPr>
        <w:t xml:space="preserve">La </w:t>
      </w:r>
      <w:r w:rsidRPr="006C0F3A">
        <w:rPr>
          <w:color w:val="000000"/>
        </w:rPr>
        <w:t>délégation</w:t>
      </w:r>
      <w:r>
        <w:rPr>
          <w:color w:val="000000"/>
        </w:rPr>
        <w:t xml:space="preserve"> de l</w:t>
      </w:r>
      <w:r w:rsidR="00346F1B">
        <w:rPr>
          <w:color w:val="000000"/>
        </w:rPr>
        <w:t>’</w:t>
      </w:r>
      <w:r w:rsidRPr="00445423">
        <w:rPr>
          <w:b/>
          <w:color w:val="000000"/>
        </w:rPr>
        <w:t>Inde</w:t>
      </w:r>
      <w:r>
        <w:rPr>
          <w:color w:val="000000"/>
        </w:rPr>
        <w:t xml:space="preserve"> a félicité le Président pour son excellente conduite des débats</w:t>
      </w:r>
      <w:r w:rsidR="00445423">
        <w:rPr>
          <w:color w:val="000000"/>
        </w:rPr>
        <w:t xml:space="preserve">, malgré quelques problèmes de santé. On se souviendrait de lui pour son sourire et son excellente gestion du travail. La </w:t>
      </w:r>
      <w:r w:rsidR="00445423" w:rsidRPr="00445423">
        <w:rPr>
          <w:color w:val="000000"/>
        </w:rPr>
        <w:t>délégation</w:t>
      </w:r>
      <w:r w:rsidR="00445423">
        <w:rPr>
          <w:color w:val="000000"/>
        </w:rPr>
        <w:t xml:space="preserve"> a </w:t>
      </w:r>
      <w:r w:rsidR="00445423" w:rsidRPr="00445423">
        <w:rPr>
          <w:color w:val="000000"/>
        </w:rPr>
        <w:t>également</w:t>
      </w:r>
      <w:r w:rsidR="00445423">
        <w:rPr>
          <w:color w:val="000000"/>
        </w:rPr>
        <w:t xml:space="preserve"> remercié le </w:t>
      </w:r>
      <w:r w:rsidR="001C771B">
        <w:rPr>
          <w:color w:val="000000"/>
        </w:rPr>
        <w:t>G</w:t>
      </w:r>
      <w:r w:rsidR="00445423" w:rsidRPr="00445423">
        <w:rPr>
          <w:color w:val="000000"/>
        </w:rPr>
        <w:t>ouvernement</w:t>
      </w:r>
      <w:r w:rsidR="00445423">
        <w:rPr>
          <w:color w:val="000000"/>
        </w:rPr>
        <w:t xml:space="preserve"> éthiopien pour sa chaleureuse hospitalité et son excellent accueil de la réunion, ainsi que tous ceux qui avaient participé à son </w:t>
      </w:r>
      <w:r w:rsidR="00445423" w:rsidRPr="00445423">
        <w:rPr>
          <w:color w:val="000000"/>
        </w:rPr>
        <w:t>organisation</w:t>
      </w:r>
      <w:r w:rsidR="00445423">
        <w:rPr>
          <w:color w:val="000000"/>
        </w:rPr>
        <w:t xml:space="preserve">. La </w:t>
      </w:r>
      <w:r w:rsidR="00445423" w:rsidRPr="00445423">
        <w:rPr>
          <w:color w:val="000000"/>
        </w:rPr>
        <w:t>délégation</w:t>
      </w:r>
      <w:r w:rsidR="00445423">
        <w:rPr>
          <w:color w:val="000000"/>
        </w:rPr>
        <w:t xml:space="preserve"> a </w:t>
      </w:r>
      <w:r w:rsidR="00445423" w:rsidRPr="00445423">
        <w:rPr>
          <w:color w:val="000000"/>
        </w:rPr>
        <w:t>également</w:t>
      </w:r>
      <w:r w:rsidR="00445423">
        <w:rPr>
          <w:color w:val="000000"/>
        </w:rPr>
        <w:t xml:space="preserve"> félicité le Secrétariat pour son travail acharné, ainsi que les interprètes, ajoutant que la petite équipe du Secrétariat avait géré la réunion de la meilleure manière possible. Enfin, elle a remercié la République de Corée d</w:t>
      </w:r>
      <w:r w:rsidR="00346F1B">
        <w:rPr>
          <w:color w:val="000000"/>
        </w:rPr>
        <w:t>’</w:t>
      </w:r>
      <w:r w:rsidR="00445423">
        <w:rPr>
          <w:color w:val="000000"/>
        </w:rPr>
        <w:t>accueillir la prochaine session du Comité, lui adres</w:t>
      </w:r>
      <w:r w:rsidR="004F7B48">
        <w:rPr>
          <w:color w:val="000000"/>
        </w:rPr>
        <w:t>sant tous ses vœux de réussite.</w:t>
      </w:r>
    </w:p>
    <w:p w14:paraId="296C8EF4" w14:textId="2C8F9A72" w:rsidR="00445423" w:rsidRDefault="00445423" w:rsidP="004F7B48">
      <w:pPr>
        <w:pStyle w:val="Orateurengris"/>
        <w:spacing w:before="120"/>
        <w:ind w:left="709" w:hanging="709"/>
        <w:rPr>
          <w:color w:val="000000"/>
        </w:rPr>
      </w:pPr>
      <w:r>
        <w:rPr>
          <w:color w:val="000000"/>
        </w:rPr>
        <w:t xml:space="preserve">La </w:t>
      </w:r>
      <w:r w:rsidRPr="00445423">
        <w:rPr>
          <w:color w:val="000000"/>
        </w:rPr>
        <w:t>délégation</w:t>
      </w:r>
      <w:r>
        <w:rPr>
          <w:color w:val="000000"/>
        </w:rPr>
        <w:t xml:space="preserve"> de </w:t>
      </w:r>
      <w:r w:rsidRPr="00445423">
        <w:rPr>
          <w:b/>
          <w:color w:val="000000"/>
        </w:rPr>
        <w:t>Chypre</w:t>
      </w:r>
      <w:r>
        <w:rPr>
          <w:color w:val="000000"/>
        </w:rPr>
        <w:t xml:space="preserve"> a félicité le Président pour sa patience et pour le chaleureux accueil du pays hôte. Elle a </w:t>
      </w:r>
      <w:r w:rsidRPr="00445423">
        <w:rPr>
          <w:color w:val="000000"/>
        </w:rPr>
        <w:t>également</w:t>
      </w:r>
      <w:r>
        <w:rPr>
          <w:color w:val="000000"/>
        </w:rPr>
        <w:t xml:space="preserve"> remercié l</w:t>
      </w:r>
      <w:r w:rsidR="00346F1B">
        <w:rPr>
          <w:color w:val="000000"/>
        </w:rPr>
        <w:t>’</w:t>
      </w:r>
      <w:r>
        <w:rPr>
          <w:color w:val="000000"/>
        </w:rPr>
        <w:t>Organe d</w:t>
      </w:r>
      <w:r w:rsidR="00346F1B">
        <w:rPr>
          <w:color w:val="000000"/>
        </w:rPr>
        <w:t>’</w:t>
      </w:r>
      <w:r>
        <w:rPr>
          <w:color w:val="000000"/>
        </w:rPr>
        <w:t xml:space="preserve">évaluation, avec lequel elle espérait travailler à nouveau en 2017. Et surtout, la </w:t>
      </w:r>
      <w:r w:rsidRPr="00445423">
        <w:rPr>
          <w:color w:val="000000"/>
        </w:rPr>
        <w:t>délégation</w:t>
      </w:r>
      <w:r>
        <w:rPr>
          <w:color w:val="000000"/>
        </w:rPr>
        <w:t xml:space="preserve"> voulait remercier le Secrétariat pour son travail sans relâche, et la République de Corée pour l</w:t>
      </w:r>
      <w:r w:rsidR="00346F1B">
        <w:rPr>
          <w:color w:val="000000"/>
        </w:rPr>
        <w:t>’</w:t>
      </w:r>
      <w:r>
        <w:rPr>
          <w:color w:val="000000"/>
        </w:rPr>
        <w:t>ac</w:t>
      </w:r>
      <w:r w:rsidR="004F7B48">
        <w:rPr>
          <w:color w:val="000000"/>
        </w:rPr>
        <w:t>cueil de la prochaine réunion.</w:t>
      </w:r>
    </w:p>
    <w:p w14:paraId="4F61D47F" w14:textId="4C95C71D" w:rsidR="00445423" w:rsidRDefault="00445423" w:rsidP="004F7B48">
      <w:pPr>
        <w:pStyle w:val="Orateurengris"/>
        <w:spacing w:before="120"/>
        <w:ind w:left="709" w:hanging="709"/>
        <w:rPr>
          <w:color w:val="000000"/>
        </w:rPr>
      </w:pPr>
      <w:r>
        <w:rPr>
          <w:color w:val="000000"/>
        </w:rPr>
        <w:t xml:space="preserve">La </w:t>
      </w:r>
      <w:r w:rsidRPr="00445423">
        <w:rPr>
          <w:color w:val="000000"/>
        </w:rPr>
        <w:t>délégation</w:t>
      </w:r>
      <w:r>
        <w:rPr>
          <w:color w:val="000000"/>
        </w:rPr>
        <w:t xml:space="preserve"> de </w:t>
      </w:r>
      <w:r w:rsidRPr="00445423">
        <w:rPr>
          <w:color w:val="000000"/>
        </w:rPr>
        <w:t>l</w:t>
      </w:r>
      <w:r w:rsidR="00346F1B">
        <w:rPr>
          <w:color w:val="000000"/>
        </w:rPr>
        <w:t>’</w:t>
      </w:r>
      <w:r w:rsidRPr="00445423">
        <w:rPr>
          <w:b/>
          <w:color w:val="000000"/>
        </w:rPr>
        <w:t>Afghanistan</w:t>
      </w:r>
      <w:r>
        <w:rPr>
          <w:color w:val="000000"/>
        </w:rPr>
        <w:t xml:space="preserve"> a joint sa voix aux remarques des précédents intervena</w:t>
      </w:r>
      <w:r w:rsidR="001B7F31">
        <w:rPr>
          <w:color w:val="000000"/>
        </w:rPr>
        <w:t>nts pour exprimer sa gratitude au</w:t>
      </w:r>
      <w:r>
        <w:rPr>
          <w:color w:val="000000"/>
        </w:rPr>
        <w:t xml:space="preserve"> pays hôte, au Président, au Secrétariat et à l</w:t>
      </w:r>
      <w:r w:rsidR="00346F1B">
        <w:rPr>
          <w:color w:val="000000"/>
        </w:rPr>
        <w:t>’</w:t>
      </w:r>
      <w:r>
        <w:rPr>
          <w:color w:val="000000"/>
        </w:rPr>
        <w:t>Organe d</w:t>
      </w:r>
      <w:r w:rsidR="00346F1B">
        <w:rPr>
          <w:color w:val="000000"/>
        </w:rPr>
        <w:t>’</w:t>
      </w:r>
      <w:r>
        <w:rPr>
          <w:color w:val="000000"/>
        </w:rPr>
        <w:t>évaluation, ainsi qu</w:t>
      </w:r>
      <w:r w:rsidR="00346F1B">
        <w:rPr>
          <w:color w:val="000000"/>
        </w:rPr>
        <w:t>’</w:t>
      </w:r>
      <w:r>
        <w:rPr>
          <w:color w:val="000000"/>
        </w:rPr>
        <w:t>à toutes les autres pers</w:t>
      </w:r>
      <w:r w:rsidR="004F7B48">
        <w:rPr>
          <w:color w:val="000000"/>
        </w:rPr>
        <w:t>onnes précédemment mentionnées.</w:t>
      </w:r>
    </w:p>
    <w:p w14:paraId="2395C727" w14:textId="25D2AC82" w:rsidR="001B7F31" w:rsidRDefault="001B7F31" w:rsidP="004F7B48">
      <w:pPr>
        <w:pStyle w:val="Orateurengris"/>
        <w:spacing w:before="120"/>
        <w:ind w:left="709" w:hanging="709"/>
        <w:rPr>
          <w:color w:val="000000"/>
        </w:rPr>
      </w:pPr>
      <w:r>
        <w:rPr>
          <w:color w:val="000000"/>
        </w:rPr>
        <w:t xml:space="preserve">La </w:t>
      </w:r>
      <w:r w:rsidRPr="001B7F31">
        <w:rPr>
          <w:color w:val="000000"/>
        </w:rPr>
        <w:t>délégation</w:t>
      </w:r>
      <w:r>
        <w:rPr>
          <w:color w:val="000000"/>
        </w:rPr>
        <w:t xml:space="preserve"> de </w:t>
      </w:r>
      <w:r w:rsidRPr="001B7F31">
        <w:rPr>
          <w:b/>
          <w:color w:val="000000"/>
        </w:rPr>
        <w:t>Cuba</w:t>
      </w:r>
      <w:r>
        <w:rPr>
          <w:color w:val="000000"/>
        </w:rPr>
        <w:t xml:space="preserve"> a remercié le Secrétariat, le Président pour sa </w:t>
      </w:r>
      <w:r w:rsidRPr="001B7F31">
        <w:rPr>
          <w:color w:val="000000"/>
        </w:rPr>
        <w:t>compréhension</w:t>
      </w:r>
      <w:r>
        <w:rPr>
          <w:color w:val="000000"/>
        </w:rPr>
        <w:t xml:space="preserve"> et sa tolérance, toutes les ONG, l</w:t>
      </w:r>
      <w:r w:rsidR="00346F1B">
        <w:rPr>
          <w:color w:val="000000"/>
        </w:rPr>
        <w:t>’</w:t>
      </w:r>
      <w:r>
        <w:rPr>
          <w:color w:val="000000"/>
        </w:rPr>
        <w:t>Organe d</w:t>
      </w:r>
      <w:r w:rsidR="00346F1B">
        <w:rPr>
          <w:color w:val="000000"/>
        </w:rPr>
        <w:t>’</w:t>
      </w:r>
      <w:r>
        <w:rPr>
          <w:color w:val="000000"/>
        </w:rPr>
        <w:t>évaluation et l</w:t>
      </w:r>
      <w:r w:rsidR="00346F1B">
        <w:rPr>
          <w:color w:val="000000"/>
        </w:rPr>
        <w:t>’</w:t>
      </w:r>
      <w:r>
        <w:rPr>
          <w:color w:val="000000"/>
        </w:rPr>
        <w:t>UNESCO, ajoutant que cette session avait été une réuni</w:t>
      </w:r>
      <w:r w:rsidR="004F7B48">
        <w:rPr>
          <w:color w:val="000000"/>
        </w:rPr>
        <w:t>on de la grande famille du PCI.</w:t>
      </w:r>
    </w:p>
    <w:p w14:paraId="3509B8A1" w14:textId="17C970EF" w:rsidR="001B7F31" w:rsidRDefault="001B7F31" w:rsidP="004F7B48">
      <w:pPr>
        <w:pStyle w:val="Orateurengris"/>
        <w:spacing w:before="120"/>
        <w:ind w:left="709" w:hanging="709"/>
        <w:rPr>
          <w:color w:val="000000"/>
        </w:rPr>
      </w:pPr>
      <w:r>
        <w:rPr>
          <w:color w:val="000000"/>
        </w:rPr>
        <w:t xml:space="preserve">La </w:t>
      </w:r>
      <w:r w:rsidRPr="001B7F31">
        <w:rPr>
          <w:color w:val="000000"/>
        </w:rPr>
        <w:t>délégation</w:t>
      </w:r>
      <w:r>
        <w:rPr>
          <w:color w:val="000000"/>
        </w:rPr>
        <w:t xml:space="preserve"> de la </w:t>
      </w:r>
      <w:r w:rsidRPr="001B7F31">
        <w:rPr>
          <w:b/>
          <w:color w:val="000000"/>
        </w:rPr>
        <w:t>Colombie</w:t>
      </w:r>
      <w:r>
        <w:rPr>
          <w:color w:val="000000"/>
        </w:rPr>
        <w:t xml:space="preserve"> a remercié le Secrétariat pour son travail ardu, et le Président pour son extrême patience et son excellente conduite des débats. Elle a </w:t>
      </w:r>
      <w:r w:rsidRPr="001B7F31">
        <w:rPr>
          <w:color w:val="000000"/>
        </w:rPr>
        <w:t>également</w:t>
      </w:r>
      <w:r>
        <w:rPr>
          <w:color w:val="000000"/>
        </w:rPr>
        <w:t xml:space="preserve"> remercié le </w:t>
      </w:r>
      <w:r w:rsidR="001C771B">
        <w:rPr>
          <w:color w:val="000000"/>
        </w:rPr>
        <w:t>G</w:t>
      </w:r>
      <w:r w:rsidRPr="001B7F31">
        <w:rPr>
          <w:color w:val="000000"/>
        </w:rPr>
        <w:t>ouvernement</w:t>
      </w:r>
      <w:r>
        <w:rPr>
          <w:color w:val="000000"/>
        </w:rPr>
        <w:t xml:space="preserve"> éthiopien pour son chaleureux accueil, ainsi que le République de Corée pour sa </w:t>
      </w:r>
      <w:r w:rsidRPr="001B7F31">
        <w:rPr>
          <w:color w:val="000000"/>
        </w:rPr>
        <w:t xml:space="preserve">proposition </w:t>
      </w:r>
      <w:r>
        <w:rPr>
          <w:color w:val="000000"/>
        </w:rPr>
        <w:t>d</w:t>
      </w:r>
      <w:r w:rsidR="00346F1B">
        <w:rPr>
          <w:color w:val="000000"/>
        </w:rPr>
        <w:t>’</w:t>
      </w:r>
      <w:r>
        <w:rPr>
          <w:color w:val="000000"/>
        </w:rPr>
        <w:t xml:space="preserve">accueillir la prochaine session. La </w:t>
      </w:r>
      <w:r w:rsidRPr="001B7F31">
        <w:rPr>
          <w:color w:val="000000"/>
        </w:rPr>
        <w:t>délégation</w:t>
      </w:r>
      <w:r>
        <w:rPr>
          <w:color w:val="000000"/>
        </w:rPr>
        <w:t xml:space="preserve"> a évoqué l</w:t>
      </w:r>
      <w:r w:rsidR="00346F1B">
        <w:rPr>
          <w:color w:val="000000"/>
        </w:rPr>
        <w:t>’</w:t>
      </w:r>
      <w:r>
        <w:rPr>
          <w:color w:val="000000"/>
        </w:rPr>
        <w:t>importance de ce travail pour de nombreuses communautés dans le monde entier, et, étant membre du Comité pour la première fois, elle s</w:t>
      </w:r>
      <w:r w:rsidR="00346F1B">
        <w:rPr>
          <w:color w:val="000000"/>
        </w:rPr>
        <w:t>’</w:t>
      </w:r>
      <w:r>
        <w:rPr>
          <w:color w:val="000000"/>
        </w:rPr>
        <w:t xml:space="preserve">est dite très heureuse de </w:t>
      </w:r>
      <w:r w:rsidR="004F7B48">
        <w:rPr>
          <w:color w:val="000000"/>
        </w:rPr>
        <w:t>cette expérience enrichissante.</w:t>
      </w:r>
    </w:p>
    <w:p w14:paraId="110FEECD" w14:textId="583D218F" w:rsidR="001B7F31" w:rsidRPr="001B7F31" w:rsidRDefault="001B7F31" w:rsidP="004F7B48">
      <w:pPr>
        <w:pStyle w:val="Orateurengris"/>
        <w:spacing w:before="120"/>
        <w:ind w:left="709" w:hanging="709"/>
        <w:rPr>
          <w:color w:val="000000"/>
        </w:rPr>
      </w:pPr>
      <w:r w:rsidRPr="001B7F31">
        <w:rPr>
          <w:color w:val="000000"/>
        </w:rPr>
        <w:t>La délégation de la</w:t>
      </w:r>
      <w:r>
        <w:rPr>
          <w:color w:val="000000"/>
        </w:rPr>
        <w:t xml:space="preserve"> </w:t>
      </w:r>
      <w:r w:rsidRPr="00BC00F2">
        <w:rPr>
          <w:b/>
          <w:color w:val="000000"/>
        </w:rPr>
        <w:t>Bulgarie</w:t>
      </w:r>
      <w:r>
        <w:rPr>
          <w:color w:val="000000"/>
        </w:rPr>
        <w:t xml:space="preserve"> a exprimé sa gratitude à l</w:t>
      </w:r>
      <w:r w:rsidR="00346F1B">
        <w:rPr>
          <w:color w:val="000000"/>
        </w:rPr>
        <w:t>’</w:t>
      </w:r>
      <w:r w:rsidRPr="001B7F31">
        <w:rPr>
          <w:color w:val="000000"/>
        </w:rPr>
        <w:t>Éthiopie</w:t>
      </w:r>
      <w:r>
        <w:rPr>
          <w:color w:val="000000"/>
        </w:rPr>
        <w:t xml:space="preserve"> pour sa chaleureuse hospitalité et l</w:t>
      </w:r>
      <w:r w:rsidR="00346F1B">
        <w:rPr>
          <w:color w:val="000000"/>
        </w:rPr>
        <w:t>’</w:t>
      </w:r>
      <w:r w:rsidRPr="001B7F31">
        <w:rPr>
          <w:color w:val="000000"/>
        </w:rPr>
        <w:t>organisation</w:t>
      </w:r>
      <w:r>
        <w:rPr>
          <w:color w:val="000000"/>
        </w:rPr>
        <w:t xml:space="preserve"> de cette session, ainsi qu</w:t>
      </w:r>
      <w:r w:rsidR="00346F1B">
        <w:rPr>
          <w:color w:val="000000"/>
        </w:rPr>
        <w:t>’</w:t>
      </w:r>
      <w:r>
        <w:rPr>
          <w:color w:val="000000"/>
        </w:rPr>
        <w:t xml:space="preserve">au Secrétariat pour son travail acharné et efficace dans un climat de </w:t>
      </w:r>
      <w:r w:rsidRPr="001B7F31">
        <w:rPr>
          <w:color w:val="000000"/>
        </w:rPr>
        <w:t>coopération</w:t>
      </w:r>
      <w:r>
        <w:rPr>
          <w:color w:val="000000"/>
        </w:rPr>
        <w:t xml:space="preserve"> et un esprit de consensus qui avaient prévalu tout au long de cette session. Elle a adressé au Comité</w:t>
      </w:r>
      <w:r w:rsidR="00BC00F2">
        <w:rPr>
          <w:color w:val="000000"/>
        </w:rPr>
        <w:t xml:space="preserve"> ses</w:t>
      </w:r>
      <w:r>
        <w:rPr>
          <w:color w:val="000000"/>
        </w:rPr>
        <w:t xml:space="preserve"> vœux de réussite</w:t>
      </w:r>
      <w:r w:rsidR="00BC00F2">
        <w:rPr>
          <w:color w:val="000000"/>
        </w:rPr>
        <w:t xml:space="preserve"> pour la session </w:t>
      </w:r>
      <w:r w:rsidR="004F7B48">
        <w:rPr>
          <w:color w:val="000000"/>
        </w:rPr>
        <w:t>à venir en République de Corée.</w:t>
      </w:r>
    </w:p>
    <w:p w14:paraId="6A1F4DCC" w14:textId="3219E099" w:rsidR="00BC00F2" w:rsidRDefault="00BC00F2" w:rsidP="004F7B48">
      <w:pPr>
        <w:pStyle w:val="Orateurengris"/>
        <w:spacing w:before="120"/>
        <w:ind w:left="709" w:hanging="709"/>
        <w:rPr>
          <w:color w:val="000000"/>
        </w:rPr>
      </w:pPr>
      <w:r>
        <w:rPr>
          <w:color w:val="000000"/>
        </w:rPr>
        <w:t xml:space="preserve">La </w:t>
      </w:r>
      <w:r w:rsidRPr="00BC00F2">
        <w:rPr>
          <w:color w:val="000000"/>
        </w:rPr>
        <w:t>délégation</w:t>
      </w:r>
      <w:r>
        <w:rPr>
          <w:color w:val="000000"/>
        </w:rPr>
        <w:t xml:space="preserve"> de la </w:t>
      </w:r>
      <w:r w:rsidRPr="00BC00F2">
        <w:rPr>
          <w:b/>
          <w:color w:val="000000"/>
        </w:rPr>
        <w:t>Hongrie</w:t>
      </w:r>
      <w:r>
        <w:rPr>
          <w:color w:val="000000"/>
        </w:rPr>
        <w:t xml:space="preserve"> a vivement remercié l</w:t>
      </w:r>
      <w:r w:rsidR="00346F1B">
        <w:rPr>
          <w:color w:val="000000"/>
        </w:rPr>
        <w:t>’</w:t>
      </w:r>
      <w:r w:rsidRPr="00BC00F2">
        <w:rPr>
          <w:color w:val="000000"/>
        </w:rPr>
        <w:t>Éthiopie</w:t>
      </w:r>
      <w:r>
        <w:rPr>
          <w:color w:val="000000"/>
        </w:rPr>
        <w:t xml:space="preserve"> pour son accueil chaleureux et son attention aux détails, et </w:t>
      </w:r>
      <w:r w:rsidRPr="00BC00F2">
        <w:rPr>
          <w:color w:val="000000"/>
        </w:rPr>
        <w:t>en particulier</w:t>
      </w:r>
      <w:r>
        <w:rPr>
          <w:color w:val="000000"/>
        </w:rPr>
        <w:t xml:space="preserve"> le Président pour sa direction des débats dans des </w:t>
      </w:r>
      <w:r w:rsidRPr="00BC00F2">
        <w:rPr>
          <w:color w:val="000000"/>
        </w:rPr>
        <w:t>situations</w:t>
      </w:r>
      <w:r>
        <w:rPr>
          <w:color w:val="000000"/>
        </w:rPr>
        <w:t xml:space="preserve"> parfois difficiles. Elle l</w:t>
      </w:r>
      <w:r w:rsidR="00346F1B">
        <w:rPr>
          <w:color w:val="000000"/>
        </w:rPr>
        <w:t>’</w:t>
      </w:r>
      <w:r>
        <w:rPr>
          <w:color w:val="000000"/>
        </w:rPr>
        <w:t xml:space="preserve">a </w:t>
      </w:r>
      <w:r w:rsidRPr="00BC00F2">
        <w:rPr>
          <w:color w:val="000000"/>
        </w:rPr>
        <w:t>également</w:t>
      </w:r>
      <w:r>
        <w:rPr>
          <w:color w:val="000000"/>
        </w:rPr>
        <w:t xml:space="preserve"> remercié d</w:t>
      </w:r>
      <w:r w:rsidR="00346F1B">
        <w:rPr>
          <w:color w:val="000000"/>
        </w:rPr>
        <w:t>’</w:t>
      </w:r>
      <w:r>
        <w:rPr>
          <w:color w:val="000000"/>
        </w:rPr>
        <w:t xml:space="preserve">avoir facilité le consensus. La </w:t>
      </w:r>
      <w:r w:rsidRPr="00BC00F2">
        <w:rPr>
          <w:color w:val="000000"/>
        </w:rPr>
        <w:t>délégation</w:t>
      </w:r>
      <w:r>
        <w:rPr>
          <w:color w:val="000000"/>
        </w:rPr>
        <w:t xml:space="preserve"> a adressé ses remerciements au </w:t>
      </w:r>
      <w:r w:rsidRPr="00BC00F2">
        <w:rPr>
          <w:color w:val="000000"/>
        </w:rPr>
        <w:t>Secrétaire</w:t>
      </w:r>
      <w:r>
        <w:rPr>
          <w:color w:val="000000"/>
        </w:rPr>
        <w:t xml:space="preserve"> et à son équipe, à l</w:t>
      </w:r>
      <w:r w:rsidR="00346F1B">
        <w:rPr>
          <w:color w:val="000000"/>
        </w:rPr>
        <w:t>’</w:t>
      </w:r>
      <w:r>
        <w:rPr>
          <w:color w:val="000000"/>
        </w:rPr>
        <w:t>Organe d</w:t>
      </w:r>
      <w:r w:rsidR="00346F1B">
        <w:rPr>
          <w:color w:val="000000"/>
        </w:rPr>
        <w:t>’</w:t>
      </w:r>
      <w:r>
        <w:rPr>
          <w:color w:val="000000"/>
        </w:rPr>
        <w:t xml:space="preserve">évaluation pour son excellent travail, et </w:t>
      </w:r>
      <w:r w:rsidR="004F7B48">
        <w:rPr>
          <w:color w:val="000000"/>
        </w:rPr>
        <w:t>aux traducteurs et interprètes.</w:t>
      </w:r>
    </w:p>
    <w:p w14:paraId="412B8EDC" w14:textId="7D927B94" w:rsidR="00BC00F2" w:rsidRDefault="00BC00F2" w:rsidP="004F7B48">
      <w:pPr>
        <w:pStyle w:val="Orateurengris"/>
        <w:spacing w:before="120"/>
        <w:ind w:left="709" w:hanging="709"/>
        <w:rPr>
          <w:color w:val="000000"/>
        </w:rPr>
      </w:pPr>
      <w:r>
        <w:rPr>
          <w:color w:val="000000"/>
        </w:rPr>
        <w:t xml:space="preserve">La </w:t>
      </w:r>
      <w:r w:rsidRPr="00BC00F2">
        <w:rPr>
          <w:color w:val="000000"/>
        </w:rPr>
        <w:t>délégation</w:t>
      </w:r>
      <w:r>
        <w:rPr>
          <w:color w:val="000000"/>
        </w:rPr>
        <w:t xml:space="preserve"> de l</w:t>
      </w:r>
      <w:r w:rsidR="00346F1B">
        <w:rPr>
          <w:color w:val="000000"/>
        </w:rPr>
        <w:t>’</w:t>
      </w:r>
      <w:r w:rsidRPr="00BC00F2">
        <w:rPr>
          <w:b/>
          <w:color w:val="000000"/>
        </w:rPr>
        <w:t>Algérie</w:t>
      </w:r>
      <w:r>
        <w:rPr>
          <w:color w:val="000000"/>
        </w:rPr>
        <w:t xml:space="preserve"> a félicité le Président et a remercié l</w:t>
      </w:r>
      <w:r w:rsidR="00346F1B">
        <w:rPr>
          <w:color w:val="000000"/>
        </w:rPr>
        <w:t>’</w:t>
      </w:r>
      <w:r w:rsidRPr="00BC00F2">
        <w:rPr>
          <w:color w:val="000000"/>
        </w:rPr>
        <w:t>Éthiopie</w:t>
      </w:r>
      <w:r>
        <w:rPr>
          <w:color w:val="000000"/>
        </w:rPr>
        <w:t xml:space="preserve"> pour son accueil chaleureux typiquement africain, soulignant que l</w:t>
      </w:r>
      <w:r w:rsidR="00346F1B">
        <w:rPr>
          <w:color w:val="000000"/>
        </w:rPr>
        <w:t>’</w:t>
      </w:r>
      <w:r w:rsidRPr="00BC00F2">
        <w:rPr>
          <w:color w:val="000000"/>
        </w:rPr>
        <w:t>Éthiopie</w:t>
      </w:r>
      <w:r>
        <w:rPr>
          <w:color w:val="000000"/>
        </w:rPr>
        <w:t xml:space="preserve"> était le quatrième pays d</w:t>
      </w:r>
      <w:r w:rsidR="00346F1B">
        <w:rPr>
          <w:color w:val="000000"/>
        </w:rPr>
        <w:t>’</w:t>
      </w:r>
      <w:r>
        <w:rPr>
          <w:color w:val="000000"/>
        </w:rPr>
        <w:t xml:space="preserve">Afrique à accueillir une session du Comité après Alger, Nairobi, Windhoek et désormais </w:t>
      </w:r>
      <w:r w:rsidRPr="00BC00F2">
        <w:rPr>
          <w:color w:val="000000"/>
        </w:rPr>
        <w:t>Addis Abeba</w:t>
      </w:r>
      <w:r>
        <w:rPr>
          <w:color w:val="000000"/>
        </w:rPr>
        <w:t xml:space="preserve">, ce qui ne faisait </w:t>
      </w:r>
      <w:r w:rsidR="007709AC">
        <w:rPr>
          <w:color w:val="000000"/>
        </w:rPr>
        <w:t xml:space="preserve">que </w:t>
      </w:r>
      <w:r>
        <w:rPr>
          <w:color w:val="000000"/>
        </w:rPr>
        <w:t>souligner l</w:t>
      </w:r>
      <w:r w:rsidR="00346F1B">
        <w:rPr>
          <w:color w:val="000000"/>
        </w:rPr>
        <w:t>’</w:t>
      </w:r>
      <w:r>
        <w:rPr>
          <w:color w:val="000000"/>
        </w:rPr>
        <w:t xml:space="preserve">importance du continent pour la </w:t>
      </w:r>
      <w:r w:rsidRPr="00BC00F2">
        <w:rPr>
          <w:color w:val="000000"/>
        </w:rPr>
        <w:t>Convention</w:t>
      </w:r>
      <w:r>
        <w:rPr>
          <w:color w:val="000000"/>
        </w:rPr>
        <w:t xml:space="preserve">. La </w:t>
      </w:r>
      <w:r w:rsidRPr="00BC00F2">
        <w:rPr>
          <w:color w:val="000000"/>
        </w:rPr>
        <w:t>délégation</w:t>
      </w:r>
      <w:r>
        <w:rPr>
          <w:color w:val="000000"/>
        </w:rPr>
        <w:t xml:space="preserve"> a </w:t>
      </w:r>
      <w:r w:rsidRPr="00BC00F2">
        <w:rPr>
          <w:color w:val="000000"/>
        </w:rPr>
        <w:t>également</w:t>
      </w:r>
      <w:r>
        <w:rPr>
          <w:color w:val="000000"/>
        </w:rPr>
        <w:t xml:space="preserve"> félicité et remercié le Secrétariat pour son brio et son haut niveau de compétences. Elle souhaitait égale</w:t>
      </w:r>
      <w:r w:rsidR="007709AC">
        <w:rPr>
          <w:color w:val="000000"/>
        </w:rPr>
        <w:t>ment</w:t>
      </w:r>
      <w:r>
        <w:rPr>
          <w:color w:val="000000"/>
        </w:rPr>
        <w:t xml:space="preserve"> remercier l</w:t>
      </w:r>
      <w:r w:rsidR="00346F1B">
        <w:rPr>
          <w:color w:val="000000"/>
        </w:rPr>
        <w:t>’</w:t>
      </w:r>
      <w:r>
        <w:rPr>
          <w:color w:val="000000"/>
        </w:rPr>
        <w:t>Organe d</w:t>
      </w:r>
      <w:r w:rsidR="00346F1B">
        <w:rPr>
          <w:color w:val="000000"/>
        </w:rPr>
        <w:t>’</w:t>
      </w:r>
      <w:r>
        <w:rPr>
          <w:color w:val="000000"/>
        </w:rPr>
        <w:t>évaluation pour son remarquable et minutieux travail d</w:t>
      </w:r>
      <w:r w:rsidR="00346F1B">
        <w:rPr>
          <w:color w:val="000000"/>
        </w:rPr>
        <w:t>’</w:t>
      </w:r>
      <w:r>
        <w:rPr>
          <w:color w:val="000000"/>
        </w:rPr>
        <w:t>analyse qui avait permis au Comité de prendre ses décisions, ainsi que les membres du Comité pour leurs contributions.</w:t>
      </w:r>
    </w:p>
    <w:p w14:paraId="0FCBC462" w14:textId="49FA36DF" w:rsidR="007709AC" w:rsidRPr="007709AC" w:rsidRDefault="007709AC" w:rsidP="004F7B48">
      <w:pPr>
        <w:pStyle w:val="Orateurengris"/>
        <w:spacing w:before="120"/>
        <w:ind w:left="709" w:hanging="709"/>
      </w:pPr>
      <w:r>
        <w:t xml:space="preserve">Le </w:t>
      </w:r>
      <w:r w:rsidRPr="007709AC">
        <w:rPr>
          <w:b/>
        </w:rPr>
        <w:t>Président</w:t>
      </w:r>
      <w:r>
        <w:t xml:space="preserve"> a remercié l</w:t>
      </w:r>
      <w:r w:rsidR="00346F1B">
        <w:t>’</w:t>
      </w:r>
      <w:r>
        <w:t>Algérie et tous les intervenants de leurs aimables paroles. Il a rappelé aux délégués la fête de clôture qui se tiendrait le soir même, à laquelle il se réjouissait de retrouver tout le monde. Il a souhaité à chacun un bon retour, avant de déclarer la onzième session du Comité intergouvernemental pour la sauvegarde du patrimoine culturel i</w:t>
      </w:r>
      <w:r w:rsidR="004F7B48">
        <w:t>mmatériel officiellement close.</w:t>
      </w:r>
    </w:p>
    <w:p w14:paraId="3F1E9945" w14:textId="0BE7E3AE" w:rsidR="00F35A37" w:rsidRPr="001B7F31" w:rsidRDefault="007709AC" w:rsidP="004F7B48">
      <w:pPr>
        <w:pStyle w:val="Orateurengris"/>
        <w:numPr>
          <w:ilvl w:val="0"/>
          <w:numId w:val="0"/>
        </w:numPr>
        <w:spacing w:before="120"/>
        <w:ind w:left="709" w:hanging="709"/>
        <w:jc w:val="center"/>
        <w:rPr>
          <w:i/>
        </w:rPr>
      </w:pPr>
      <w:r>
        <w:rPr>
          <w:i/>
        </w:rPr>
        <w:t>[Fin de la onzième session du Comité</w:t>
      </w:r>
      <w:r w:rsidR="00F35A37" w:rsidRPr="001B7F31">
        <w:rPr>
          <w:i/>
        </w:rPr>
        <w:t>]</w:t>
      </w:r>
    </w:p>
    <w:sectPr w:rsidR="00F35A37" w:rsidRPr="001B7F31" w:rsidSect="000A6378">
      <w:headerReference w:type="even" r:id="rId58"/>
      <w:headerReference w:type="default" r:id="rId59"/>
      <w:footerReference w:type="even" r:id="rId60"/>
      <w:footerReference w:type="default" r:id="rId61"/>
      <w:headerReference w:type="first" r:id="rId6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6EC2F" w14:textId="77777777" w:rsidR="00AE1302" w:rsidRDefault="00AE1302" w:rsidP="00FF32CD">
      <w:r>
        <w:separator/>
      </w:r>
    </w:p>
  </w:endnote>
  <w:endnote w:type="continuationSeparator" w:id="0">
    <w:p w14:paraId="29BDA02B" w14:textId="77777777" w:rsidR="00AE1302" w:rsidRDefault="00AE1302" w:rsidP="00FF32CD">
      <w:r>
        <w:continuationSeparator/>
      </w:r>
    </w:p>
  </w:endnote>
  <w:endnote w:type="continuationNotice" w:id="1">
    <w:p w14:paraId="7048C1F0" w14:textId="77777777" w:rsidR="00AE1302" w:rsidRDefault="00AE1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9440" w14:textId="77777777" w:rsidR="00AE1302" w:rsidRPr="00311274" w:rsidRDefault="00AE1302" w:rsidP="00FC644A">
    <w:pPr>
      <w:pStyle w:val="Footer"/>
      <w:ind w:right="36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BBE0" w14:textId="77777777" w:rsidR="00AE1302" w:rsidRDefault="00AE1302" w:rsidP="00FC64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707EA" w14:textId="77777777" w:rsidR="00AE1302" w:rsidRDefault="00AE1302" w:rsidP="00FF32CD">
      <w:r>
        <w:separator/>
      </w:r>
    </w:p>
  </w:footnote>
  <w:footnote w:type="continuationSeparator" w:id="0">
    <w:p w14:paraId="5F419619" w14:textId="77777777" w:rsidR="00AE1302" w:rsidRDefault="00AE1302" w:rsidP="00FF32CD">
      <w:r>
        <w:continuationSeparator/>
      </w:r>
    </w:p>
  </w:footnote>
  <w:footnote w:type="continuationNotice" w:id="1">
    <w:p w14:paraId="06E76EB4" w14:textId="77777777" w:rsidR="00AE1302" w:rsidRDefault="00AE1302"/>
  </w:footnote>
  <w:footnote w:id="2">
    <w:p w14:paraId="094F986A" w14:textId="43F5FFA6" w:rsidR="00AE1302" w:rsidRPr="00926C09" w:rsidRDefault="00AE1302">
      <w:pPr>
        <w:pStyle w:val="FootnoteText"/>
        <w:rPr>
          <w:rFonts w:ascii="Arial" w:hAnsi="Arial" w:cs="Arial"/>
          <w:sz w:val="18"/>
          <w:szCs w:val="18"/>
        </w:rPr>
      </w:pPr>
      <w:r w:rsidRPr="00926C09">
        <w:rPr>
          <w:rStyle w:val="FootnoteReference"/>
          <w:rFonts w:ascii="Arial" w:hAnsi="Arial" w:cs="Arial"/>
          <w:sz w:val="18"/>
          <w:szCs w:val="18"/>
          <w:vertAlign w:val="baseline"/>
        </w:rPr>
        <w:footnoteRef/>
      </w:r>
      <w:r w:rsidRPr="00926C09">
        <w:rPr>
          <w:rFonts w:ascii="Arial" w:hAnsi="Arial" w:cs="Arial"/>
          <w:sz w:val="18"/>
          <w:szCs w:val="18"/>
        </w:rPr>
        <w:t xml:space="preserve">. </w:t>
      </w:r>
      <w:r w:rsidRPr="00926C09">
        <w:rPr>
          <w:rFonts w:ascii="Arial" w:hAnsi="Arial" w:cs="Arial"/>
          <w:sz w:val="18"/>
          <w:szCs w:val="18"/>
        </w:rPr>
        <w:tab/>
        <w:t xml:space="preserve">Le rapport est disponible à </w:t>
      </w:r>
      <w:hyperlink r:id="rId1" w:history="1">
        <w:r w:rsidRPr="00926C09">
          <w:rPr>
            <w:rStyle w:val="Hyperlink"/>
            <w:rFonts w:ascii="Arial" w:hAnsi="Arial" w:cs="Arial"/>
            <w:sz w:val="18"/>
            <w:szCs w:val="18"/>
          </w:rPr>
          <w:t>http://unesdoc.unesco.org/images/0023/002351/235186f.pdf</w:t>
        </w:r>
      </w:hyperlink>
      <w:r w:rsidRPr="00926C09">
        <w:rPr>
          <w:rFonts w:ascii="Arial" w:hAnsi="Arial" w:cs="Arial"/>
          <w:sz w:val="18"/>
          <w:szCs w:val="18"/>
        </w:rPr>
        <w:t>.</w:t>
      </w:r>
    </w:p>
  </w:footnote>
  <w:footnote w:id="3">
    <w:p w14:paraId="0F245D1B" w14:textId="2CC06D75" w:rsidR="00AE1302" w:rsidRPr="00DE0564" w:rsidRDefault="00AE1302" w:rsidP="00DE0564">
      <w:pPr>
        <w:pStyle w:val="FootnoteText"/>
        <w:ind w:left="709" w:hanging="709"/>
        <w:jc w:val="both"/>
        <w:rPr>
          <w:rFonts w:ascii="Arial" w:hAnsi="Arial" w:cs="Arial"/>
          <w:sz w:val="18"/>
          <w:szCs w:val="16"/>
        </w:rPr>
      </w:pPr>
      <w:r w:rsidRPr="00DE0564">
        <w:rPr>
          <w:rStyle w:val="FootnoteReference"/>
          <w:rFonts w:ascii="Arial" w:hAnsi="Arial" w:cs="Arial"/>
          <w:sz w:val="18"/>
          <w:szCs w:val="16"/>
          <w:vertAlign w:val="baseline"/>
        </w:rPr>
        <w:footnoteRef/>
      </w:r>
      <w:r>
        <w:rPr>
          <w:rFonts w:ascii="Arial" w:hAnsi="Arial" w:cs="Arial"/>
          <w:sz w:val="18"/>
          <w:szCs w:val="16"/>
        </w:rPr>
        <w:t>.</w:t>
      </w:r>
      <w:r w:rsidRPr="00DE0564">
        <w:rPr>
          <w:rFonts w:ascii="Arial" w:hAnsi="Arial" w:cs="Arial"/>
          <w:sz w:val="18"/>
          <w:szCs w:val="16"/>
        </w:rPr>
        <w:t xml:space="preserve"> </w:t>
      </w:r>
      <w:r>
        <w:rPr>
          <w:rFonts w:ascii="Arial" w:hAnsi="Arial" w:cs="Arial"/>
          <w:sz w:val="18"/>
          <w:szCs w:val="16"/>
        </w:rPr>
        <w:tab/>
      </w:r>
      <w:r w:rsidRPr="00DE0564">
        <w:rPr>
          <w:rFonts w:ascii="Arial" w:hAnsi="Arial" w:cs="Arial"/>
          <w:sz w:val="18"/>
          <w:szCs w:val="16"/>
        </w:rPr>
        <w:t>Recommandation 11 : Supprimer l</w:t>
      </w:r>
      <w:r>
        <w:rPr>
          <w:rFonts w:ascii="Arial" w:hAnsi="Arial" w:cs="Arial"/>
          <w:sz w:val="18"/>
          <w:szCs w:val="16"/>
        </w:rPr>
        <w:t>’</w:t>
      </w:r>
      <w:r w:rsidRPr="00DE0564">
        <w:rPr>
          <w:rFonts w:ascii="Arial" w:hAnsi="Arial" w:cs="Arial"/>
          <w:sz w:val="18"/>
          <w:szCs w:val="16"/>
        </w:rPr>
        <w:t>Organe subsidiaire afin que toutes les candidatures soient évaluées par u</w:t>
      </w:r>
      <w:r>
        <w:rPr>
          <w:rFonts w:ascii="Arial" w:hAnsi="Arial" w:cs="Arial"/>
          <w:sz w:val="18"/>
          <w:szCs w:val="16"/>
        </w:rPr>
        <w:t>n organe commun et indépendant.</w:t>
      </w:r>
    </w:p>
  </w:footnote>
  <w:footnote w:id="4">
    <w:p w14:paraId="64D5EBA9" w14:textId="7C3877DE" w:rsidR="00AE1302" w:rsidRPr="00DE0564" w:rsidRDefault="00AE1302" w:rsidP="00DE0564">
      <w:pPr>
        <w:pStyle w:val="FootnoteText"/>
        <w:ind w:left="709" w:hanging="709"/>
        <w:jc w:val="both"/>
        <w:rPr>
          <w:rFonts w:ascii="Arial" w:hAnsi="Arial"/>
          <w:sz w:val="18"/>
          <w:szCs w:val="16"/>
        </w:rPr>
      </w:pPr>
      <w:r w:rsidRPr="00DE0564">
        <w:rPr>
          <w:rStyle w:val="FootnoteReference"/>
          <w:rFonts w:ascii="Arial" w:hAnsi="Arial"/>
          <w:sz w:val="18"/>
          <w:szCs w:val="16"/>
          <w:vertAlign w:val="baseline"/>
        </w:rPr>
        <w:footnoteRef/>
      </w:r>
      <w:r>
        <w:rPr>
          <w:rFonts w:ascii="Arial" w:hAnsi="Arial"/>
          <w:sz w:val="18"/>
          <w:szCs w:val="16"/>
        </w:rPr>
        <w:t>.</w:t>
      </w:r>
      <w:r w:rsidRPr="00DE0564">
        <w:rPr>
          <w:rFonts w:ascii="Arial" w:hAnsi="Arial"/>
          <w:sz w:val="18"/>
          <w:szCs w:val="16"/>
        </w:rPr>
        <w:t xml:space="preserve"> </w:t>
      </w:r>
      <w:r>
        <w:rPr>
          <w:rFonts w:ascii="Arial" w:hAnsi="Arial"/>
          <w:sz w:val="18"/>
          <w:szCs w:val="16"/>
        </w:rPr>
        <w:tab/>
      </w:r>
      <w:r w:rsidRPr="00DE0564">
        <w:rPr>
          <w:rFonts w:ascii="Arial" w:hAnsi="Arial"/>
          <w:sz w:val="18"/>
          <w:szCs w:val="16"/>
        </w:rPr>
        <w:t>Lancé en 1992, le Programme UNITWIN/Chaires UNESCO promeut la coopération et la mise en réseaux internationales des universités afin de renforcer les capacités des établissements grâce au partage des connaissances et aux travaux menés en collaboration.</w:t>
      </w:r>
    </w:p>
  </w:footnote>
  <w:footnote w:id="5">
    <w:p w14:paraId="2AC7F490" w14:textId="3864FAB6" w:rsidR="00AE1302" w:rsidRPr="00926C09" w:rsidRDefault="00AE1302">
      <w:pPr>
        <w:pStyle w:val="FootnoteText"/>
        <w:rPr>
          <w:rFonts w:ascii="Arial" w:hAnsi="Arial" w:cs="Arial"/>
          <w:sz w:val="18"/>
          <w:szCs w:val="16"/>
        </w:rPr>
      </w:pPr>
      <w:r w:rsidRPr="00926C09">
        <w:rPr>
          <w:rStyle w:val="FootnoteReference"/>
          <w:rFonts w:ascii="Arial" w:hAnsi="Arial" w:cs="Arial"/>
          <w:sz w:val="18"/>
          <w:szCs w:val="16"/>
          <w:vertAlign w:val="baseline"/>
        </w:rPr>
        <w:footnoteRef/>
      </w:r>
      <w:r>
        <w:rPr>
          <w:rFonts w:ascii="Arial" w:hAnsi="Arial" w:cs="Arial"/>
          <w:sz w:val="18"/>
          <w:szCs w:val="16"/>
        </w:rPr>
        <w:t>.</w:t>
      </w:r>
      <w:r w:rsidRPr="00926C09">
        <w:rPr>
          <w:rFonts w:ascii="Arial" w:hAnsi="Arial" w:cs="Arial"/>
          <w:sz w:val="18"/>
          <w:szCs w:val="16"/>
        </w:rPr>
        <w:t xml:space="preserve"> </w:t>
      </w:r>
      <w:r>
        <w:rPr>
          <w:rFonts w:ascii="Arial" w:hAnsi="Arial" w:cs="Arial"/>
          <w:sz w:val="18"/>
          <w:szCs w:val="16"/>
        </w:rPr>
        <w:tab/>
      </w:r>
      <w:r w:rsidRPr="00926C09">
        <w:rPr>
          <w:rFonts w:ascii="Arial" w:hAnsi="Arial" w:cs="Arial"/>
          <w:sz w:val="18"/>
          <w:szCs w:val="16"/>
        </w:rPr>
        <w:t>Le terme « Tchéquie » est le nouveau nom en français pour la République tchèque.</w:t>
      </w:r>
    </w:p>
  </w:footnote>
  <w:footnote w:id="6">
    <w:p w14:paraId="21B724D9" w14:textId="239CA9C5" w:rsidR="00AE1302" w:rsidRPr="00926C09" w:rsidRDefault="00AE1302">
      <w:pPr>
        <w:pStyle w:val="FootnoteText"/>
        <w:rPr>
          <w:rFonts w:ascii="Arial" w:hAnsi="Arial" w:cs="Arial"/>
          <w:sz w:val="18"/>
          <w:szCs w:val="16"/>
        </w:rPr>
      </w:pPr>
      <w:r w:rsidRPr="00926C09">
        <w:rPr>
          <w:rStyle w:val="FootnoteReference"/>
          <w:rFonts w:ascii="Arial" w:hAnsi="Arial" w:cs="Arial"/>
          <w:sz w:val="18"/>
          <w:szCs w:val="16"/>
          <w:vertAlign w:val="baseline"/>
        </w:rPr>
        <w:footnoteRef/>
      </w:r>
      <w:r>
        <w:rPr>
          <w:rFonts w:ascii="Arial" w:hAnsi="Arial" w:cs="Arial"/>
          <w:sz w:val="18"/>
          <w:szCs w:val="16"/>
        </w:rPr>
        <w:t>.</w:t>
      </w:r>
      <w:r w:rsidRPr="00926C09">
        <w:rPr>
          <w:rFonts w:ascii="Arial" w:hAnsi="Arial" w:cs="Arial"/>
          <w:sz w:val="18"/>
          <w:szCs w:val="16"/>
        </w:rPr>
        <w:t xml:space="preserve"> </w:t>
      </w:r>
      <w:r>
        <w:rPr>
          <w:rFonts w:ascii="Arial" w:hAnsi="Arial" w:cs="Arial"/>
          <w:sz w:val="18"/>
          <w:szCs w:val="16"/>
        </w:rPr>
        <w:tab/>
      </w:r>
      <w:r w:rsidRPr="00926C09">
        <w:rPr>
          <w:rFonts w:ascii="Arial" w:hAnsi="Arial" w:cs="Arial"/>
          <w:sz w:val="18"/>
          <w:szCs w:val="16"/>
        </w:rPr>
        <w:t>Les nouveaux États parties étaient : l’Allemagne, l’Italie, le Kazakhstan, le Pakistan et le Portugal.</w:t>
      </w:r>
    </w:p>
  </w:footnote>
  <w:footnote w:id="7">
    <w:p w14:paraId="7877437B" w14:textId="4D1395FC" w:rsidR="00AE1302" w:rsidRPr="00926C09" w:rsidRDefault="00AE1302" w:rsidP="00926C09">
      <w:pPr>
        <w:pStyle w:val="FootnoteText"/>
        <w:ind w:left="709" w:hanging="709"/>
        <w:rPr>
          <w:rFonts w:ascii="Arial" w:hAnsi="Arial" w:cs="Arial"/>
          <w:sz w:val="18"/>
          <w:szCs w:val="16"/>
        </w:rPr>
      </w:pPr>
      <w:r w:rsidRPr="00926C09">
        <w:rPr>
          <w:rStyle w:val="FootnoteReference"/>
          <w:rFonts w:ascii="Arial" w:hAnsi="Arial" w:cs="Arial"/>
          <w:sz w:val="18"/>
          <w:szCs w:val="16"/>
          <w:vertAlign w:val="baseline"/>
        </w:rPr>
        <w:footnoteRef/>
      </w:r>
      <w:r>
        <w:rPr>
          <w:rFonts w:ascii="Arial" w:hAnsi="Arial" w:cs="Arial"/>
          <w:sz w:val="18"/>
          <w:szCs w:val="16"/>
        </w:rPr>
        <w:t>.</w:t>
      </w:r>
      <w:r w:rsidRPr="00926C09">
        <w:rPr>
          <w:rFonts w:ascii="Arial" w:hAnsi="Arial" w:cs="Arial"/>
          <w:sz w:val="18"/>
          <w:szCs w:val="16"/>
        </w:rPr>
        <w:t xml:space="preserve"> </w:t>
      </w:r>
      <w:r>
        <w:rPr>
          <w:rFonts w:ascii="Arial" w:hAnsi="Arial" w:cs="Arial"/>
          <w:sz w:val="18"/>
          <w:szCs w:val="16"/>
        </w:rPr>
        <w:tab/>
      </w:r>
      <w:r w:rsidRPr="00926C09">
        <w:rPr>
          <w:rFonts w:ascii="Arial" w:hAnsi="Arial" w:cs="Arial"/>
          <w:sz w:val="18"/>
          <w:szCs w:val="16"/>
        </w:rPr>
        <w:t>Un changement de nom de l’élément avait été proposé par l’Organe d’évaluation, et approuvé par le Mexique le 14 octobre 2016.</w:t>
      </w:r>
    </w:p>
  </w:footnote>
  <w:footnote w:id="8">
    <w:p w14:paraId="0EA5DF35" w14:textId="524D9611" w:rsidR="00AE1302" w:rsidRPr="00926C09" w:rsidRDefault="00AE1302" w:rsidP="00926C09">
      <w:pPr>
        <w:pStyle w:val="FootnoteText"/>
        <w:ind w:left="709" w:hanging="709"/>
        <w:jc w:val="both"/>
        <w:rPr>
          <w:rFonts w:ascii="Arial" w:hAnsi="Arial"/>
          <w:sz w:val="18"/>
          <w:szCs w:val="16"/>
        </w:rPr>
      </w:pPr>
      <w:r w:rsidRPr="00926C09">
        <w:rPr>
          <w:rStyle w:val="FootnoteReference"/>
          <w:rFonts w:ascii="Arial" w:hAnsi="Arial"/>
          <w:sz w:val="18"/>
          <w:szCs w:val="16"/>
          <w:vertAlign w:val="baseline"/>
        </w:rPr>
        <w:footnoteRef/>
      </w:r>
      <w:r>
        <w:rPr>
          <w:rFonts w:ascii="Arial" w:hAnsi="Arial"/>
          <w:sz w:val="18"/>
          <w:szCs w:val="16"/>
        </w:rPr>
        <w:t>.</w:t>
      </w:r>
      <w:r w:rsidRPr="00926C09">
        <w:rPr>
          <w:rFonts w:ascii="Arial" w:hAnsi="Arial"/>
          <w:sz w:val="18"/>
          <w:szCs w:val="16"/>
        </w:rPr>
        <w:t xml:space="preserve"> </w:t>
      </w:r>
      <w:r>
        <w:rPr>
          <w:rFonts w:ascii="Arial" w:hAnsi="Arial"/>
          <w:sz w:val="18"/>
          <w:szCs w:val="16"/>
        </w:rPr>
        <w:tab/>
      </w:r>
      <w:r w:rsidRPr="00926C09">
        <w:rPr>
          <w:rFonts w:ascii="Arial" w:hAnsi="Arial"/>
          <w:sz w:val="18"/>
          <w:szCs w:val="16"/>
        </w:rPr>
        <w:t>Une modification du nom de l’élément a été proposée par l’Organe d’évaluation et approuvée par le Sri Lanka le 28 sep</w:t>
      </w:r>
      <w:r>
        <w:rPr>
          <w:rFonts w:ascii="Arial" w:hAnsi="Arial"/>
          <w:sz w:val="18"/>
          <w:szCs w:val="16"/>
        </w:rPr>
        <w:t>tembre 2016.</w:t>
      </w:r>
    </w:p>
  </w:footnote>
  <w:footnote w:id="9">
    <w:p w14:paraId="084F0C1B" w14:textId="72A1F804" w:rsidR="00AE1302" w:rsidRPr="00926C09" w:rsidRDefault="00AE1302">
      <w:pPr>
        <w:pStyle w:val="FootnoteText"/>
        <w:rPr>
          <w:rFonts w:ascii="Arial" w:hAnsi="Arial" w:cs="Arial"/>
          <w:sz w:val="18"/>
          <w:szCs w:val="18"/>
        </w:rPr>
      </w:pPr>
      <w:r w:rsidRPr="00926C09">
        <w:rPr>
          <w:rStyle w:val="FootnoteReference"/>
          <w:rFonts w:ascii="Arial" w:hAnsi="Arial" w:cs="Arial"/>
          <w:sz w:val="18"/>
          <w:szCs w:val="18"/>
          <w:vertAlign w:val="baseline"/>
        </w:rPr>
        <w:footnoteRef/>
      </w:r>
      <w:r>
        <w:rPr>
          <w:rFonts w:ascii="Arial" w:hAnsi="Arial" w:cs="Arial"/>
          <w:sz w:val="18"/>
          <w:szCs w:val="18"/>
        </w:rPr>
        <w:t>.</w:t>
      </w:r>
      <w:r w:rsidRPr="00926C09">
        <w:rPr>
          <w:rFonts w:ascii="Arial" w:hAnsi="Arial" w:cs="Arial"/>
          <w:sz w:val="18"/>
          <w:szCs w:val="18"/>
        </w:rPr>
        <w:t xml:space="preserve"> </w:t>
      </w:r>
      <w:r>
        <w:rPr>
          <w:rFonts w:ascii="Arial" w:hAnsi="Arial" w:cs="Arial"/>
          <w:sz w:val="18"/>
          <w:szCs w:val="18"/>
        </w:rPr>
        <w:tab/>
      </w:r>
      <w:r w:rsidRPr="00926C09">
        <w:rPr>
          <w:rFonts w:ascii="Arial" w:hAnsi="Arial" w:cs="Arial"/>
          <w:sz w:val="18"/>
          <w:szCs w:val="18"/>
        </w:rPr>
        <w:t xml:space="preserve">Pour de amples informations : </w:t>
      </w:r>
      <w:hyperlink r:id="rId2" w:history="1">
        <w:r w:rsidRPr="00926C09">
          <w:rPr>
            <w:rStyle w:val="Hyperlink"/>
            <w:rFonts w:ascii="Arial" w:hAnsi="Arial" w:cs="Arial"/>
            <w:sz w:val="18"/>
            <w:szCs w:val="18"/>
          </w:rPr>
          <w:t>http://fr.unesco.org/patrimoine-menacé/Stratégie-culture-conflit-armé</w:t>
        </w:r>
      </w:hyperlink>
    </w:p>
  </w:footnote>
  <w:footnote w:id="10">
    <w:p w14:paraId="0CA0D69A" w14:textId="463476E3" w:rsidR="00AE1302" w:rsidRPr="00926C09" w:rsidRDefault="00AE1302" w:rsidP="00926C09">
      <w:pPr>
        <w:pStyle w:val="FootnoteText"/>
        <w:ind w:left="709" w:hanging="709"/>
        <w:rPr>
          <w:rFonts w:ascii="Arial" w:hAnsi="Arial" w:cs="Arial"/>
          <w:sz w:val="18"/>
          <w:szCs w:val="18"/>
        </w:rPr>
      </w:pPr>
      <w:r w:rsidRPr="00926C09">
        <w:rPr>
          <w:rStyle w:val="FootnoteReference"/>
          <w:rFonts w:ascii="Arial" w:hAnsi="Arial" w:cs="Arial"/>
          <w:sz w:val="18"/>
          <w:szCs w:val="18"/>
          <w:vertAlign w:val="baseline"/>
        </w:rPr>
        <w:footnoteRef/>
      </w:r>
      <w:r>
        <w:rPr>
          <w:rFonts w:ascii="Arial" w:hAnsi="Arial" w:cs="Arial"/>
          <w:sz w:val="18"/>
          <w:szCs w:val="18"/>
        </w:rPr>
        <w:t>.</w:t>
      </w:r>
      <w:r w:rsidRPr="00926C09">
        <w:rPr>
          <w:rFonts w:ascii="Arial" w:hAnsi="Arial" w:cs="Arial"/>
          <w:sz w:val="18"/>
          <w:szCs w:val="18"/>
        </w:rPr>
        <w:t xml:space="preserve"> </w:t>
      </w:r>
      <w:r>
        <w:rPr>
          <w:rFonts w:ascii="Arial" w:hAnsi="Arial" w:cs="Arial"/>
          <w:sz w:val="18"/>
          <w:szCs w:val="18"/>
        </w:rPr>
        <w:tab/>
      </w:r>
      <w:r w:rsidRPr="00926C09">
        <w:rPr>
          <w:rFonts w:ascii="Arial" w:hAnsi="Arial" w:cs="Arial"/>
          <w:sz w:val="18"/>
          <w:szCs w:val="18"/>
        </w:rPr>
        <w:t xml:space="preserve">Programme de l’UNESCO pour la gestion des transformations sociales (MOST) </w:t>
      </w:r>
      <w:hyperlink r:id="rId3" w:history="1">
        <w:r w:rsidRPr="00926C09">
          <w:rPr>
            <w:rStyle w:val="Hyperlink"/>
            <w:rFonts w:ascii="Arial" w:hAnsi="Arial" w:cs="Arial"/>
            <w:sz w:val="18"/>
            <w:szCs w:val="18"/>
          </w:rPr>
          <w:t>http://www.unesco.org/new/fr/social-and-human-sciences/themes/most-programme/</w:t>
        </w:r>
      </w:hyperlink>
    </w:p>
  </w:footnote>
  <w:footnote w:id="11">
    <w:p w14:paraId="5299F5CA" w14:textId="3C0A0C94" w:rsidR="00AE1302" w:rsidRPr="00926C09" w:rsidRDefault="00AE1302" w:rsidP="00926C09">
      <w:pPr>
        <w:pStyle w:val="FootnoteText"/>
        <w:ind w:left="709" w:hanging="709"/>
        <w:rPr>
          <w:rFonts w:ascii="Arial" w:hAnsi="Arial" w:cs="Arial"/>
          <w:sz w:val="18"/>
          <w:szCs w:val="18"/>
        </w:rPr>
      </w:pPr>
      <w:r w:rsidRPr="00926C09">
        <w:rPr>
          <w:rStyle w:val="FootnoteReference"/>
          <w:rFonts w:ascii="Arial" w:hAnsi="Arial" w:cs="Arial"/>
          <w:sz w:val="18"/>
          <w:szCs w:val="18"/>
          <w:vertAlign w:val="baseline"/>
        </w:rPr>
        <w:footnoteRef/>
      </w:r>
      <w:r>
        <w:rPr>
          <w:rFonts w:ascii="Arial" w:hAnsi="Arial" w:cs="Arial"/>
          <w:sz w:val="18"/>
          <w:szCs w:val="18"/>
        </w:rPr>
        <w:t>.</w:t>
      </w:r>
      <w:r w:rsidRPr="00926C09">
        <w:rPr>
          <w:rFonts w:ascii="Arial" w:hAnsi="Arial" w:cs="Arial"/>
          <w:sz w:val="18"/>
          <w:szCs w:val="18"/>
        </w:rPr>
        <w:t xml:space="preserve"> </w:t>
      </w:r>
      <w:r>
        <w:rPr>
          <w:rFonts w:ascii="Arial" w:hAnsi="Arial" w:cs="Arial"/>
          <w:sz w:val="18"/>
          <w:szCs w:val="18"/>
        </w:rPr>
        <w:tab/>
      </w:r>
      <w:r w:rsidRPr="00926C09">
        <w:rPr>
          <w:rFonts w:ascii="Arial" w:hAnsi="Arial" w:cs="Arial"/>
          <w:sz w:val="18"/>
          <w:szCs w:val="18"/>
        </w:rPr>
        <w:t xml:space="preserve">Pour de plus amples informations : </w:t>
      </w:r>
      <w:hyperlink r:id="rId4" w:history="1">
        <w:r w:rsidRPr="00926C09">
          <w:rPr>
            <w:rStyle w:val="Hyperlink"/>
            <w:rFonts w:ascii="Arial" w:hAnsi="Arial" w:cs="Arial"/>
            <w:sz w:val="18"/>
            <w:szCs w:val="18"/>
          </w:rPr>
          <w:t>http://www.ecowas.int/forum-de-la-cedeao-a-niamey-sur-leducation-a-la-culture-de-la-paix-par-le-dialogue-intra-et-interreligieux/?lang=fr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D969" w14:textId="2A955511" w:rsidR="00AE1302" w:rsidRPr="004D71E7" w:rsidRDefault="00AE1302">
    <w:pPr>
      <w:pStyle w:val="Header"/>
      <w:rPr>
        <w:rFonts w:ascii="Arial" w:hAnsi="Arial" w:cs="Arial"/>
        <w:lang w:val="en-US"/>
      </w:rPr>
    </w:pPr>
    <w:r>
      <w:rPr>
        <w:rFonts w:ascii="Arial" w:hAnsi="Arial" w:cs="Arial"/>
        <w:lang w:val="en-US"/>
      </w:rPr>
      <w:t>ITH/17/12</w:t>
    </w:r>
    <w:r w:rsidRPr="00905D46">
      <w:rPr>
        <w:rFonts w:ascii="Arial" w:hAnsi="Arial" w:cs="Arial"/>
        <w:lang w:val="en-US"/>
      </w:rPr>
      <w:t>.COM/4</w:t>
    </w:r>
    <w:r>
      <w:rPr>
        <w:rFonts w:ascii="Arial" w:hAnsi="Arial" w:cs="Arial"/>
        <w:lang w:val="en-US"/>
      </w:rPr>
      <w:t xml:space="preserve"> </w:t>
    </w:r>
    <w:r w:rsidRPr="00EF563B">
      <w:rPr>
        <w:rFonts w:ascii="Arial" w:hAnsi="Arial" w:cs="Arial"/>
        <w:lang w:val="en-US"/>
      </w:rPr>
      <w:t xml:space="preserve">– page </w:t>
    </w:r>
    <w:r w:rsidRPr="00EF563B">
      <w:rPr>
        <w:rStyle w:val="PageNumber"/>
        <w:rFonts w:ascii="Arial" w:hAnsi="Arial" w:cs="Arial"/>
      </w:rPr>
      <w:fldChar w:fldCharType="begin"/>
    </w:r>
    <w:r w:rsidRPr="00EF563B">
      <w:rPr>
        <w:rStyle w:val="PageNumber"/>
        <w:rFonts w:ascii="Arial" w:hAnsi="Arial" w:cs="Arial"/>
        <w:lang w:val="en-US"/>
      </w:rPr>
      <w:instrText xml:space="preserve"> </w:instrText>
    </w:r>
    <w:r>
      <w:rPr>
        <w:rStyle w:val="PageNumber"/>
        <w:rFonts w:ascii="Arial" w:hAnsi="Arial" w:cs="Arial"/>
        <w:lang w:val="en-US"/>
      </w:rPr>
      <w:instrText>PAGE</w:instrText>
    </w:r>
    <w:r w:rsidRPr="00EF563B">
      <w:rPr>
        <w:rStyle w:val="PageNumber"/>
        <w:rFonts w:ascii="Arial" w:hAnsi="Arial" w:cs="Arial"/>
        <w:lang w:val="en-US"/>
      </w:rPr>
      <w:instrText xml:space="preserve"> </w:instrText>
    </w:r>
    <w:r w:rsidRPr="00EF563B">
      <w:rPr>
        <w:rStyle w:val="PageNumber"/>
        <w:rFonts w:ascii="Arial" w:hAnsi="Arial" w:cs="Arial"/>
      </w:rPr>
      <w:fldChar w:fldCharType="separate"/>
    </w:r>
    <w:r w:rsidR="007B1438">
      <w:rPr>
        <w:rStyle w:val="PageNumber"/>
        <w:rFonts w:ascii="Arial" w:hAnsi="Arial" w:cs="Arial"/>
        <w:noProof/>
        <w:lang w:val="en-US"/>
      </w:rPr>
      <w:t>234</w:t>
    </w:r>
    <w:r w:rsidRPr="00EF563B">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633C" w14:textId="7D854579" w:rsidR="00AE1302" w:rsidRPr="000A6378" w:rsidRDefault="00AE1302" w:rsidP="000A6378">
    <w:pPr>
      <w:pStyle w:val="Header"/>
      <w:jc w:val="right"/>
      <w:rPr>
        <w:rFonts w:ascii="Arial" w:hAnsi="Arial" w:cs="Arial"/>
        <w:lang w:val="en-US"/>
      </w:rPr>
    </w:pPr>
    <w:r>
      <w:rPr>
        <w:rFonts w:ascii="Arial" w:hAnsi="Arial" w:cs="Arial"/>
        <w:lang w:val="en-US"/>
      </w:rPr>
      <w:t>ITH/1</w:t>
    </w:r>
    <w:r>
      <w:rPr>
        <w:rFonts w:ascii="Arial" w:eastAsiaTheme="minorEastAsia" w:hAnsi="Arial" w:cs="Arial" w:hint="eastAsia"/>
        <w:lang w:val="en-US" w:eastAsia="ko-KR"/>
      </w:rPr>
      <w:t>7</w:t>
    </w:r>
    <w:r>
      <w:rPr>
        <w:rFonts w:ascii="Arial" w:hAnsi="Arial" w:cs="Arial"/>
        <w:lang w:val="en-US"/>
      </w:rPr>
      <w:t>/1</w:t>
    </w:r>
    <w:r>
      <w:rPr>
        <w:rFonts w:ascii="Arial" w:eastAsiaTheme="minorEastAsia" w:hAnsi="Arial" w:cs="Arial" w:hint="eastAsia"/>
        <w:lang w:val="en-US" w:eastAsia="ko-KR"/>
      </w:rPr>
      <w:t>2</w:t>
    </w:r>
    <w:r>
      <w:rPr>
        <w:rFonts w:ascii="Arial" w:hAnsi="Arial" w:cs="Arial"/>
        <w:lang w:val="en-US"/>
      </w:rPr>
      <w:t>.COM/4</w:t>
    </w:r>
    <w:r w:rsidRPr="00EF563B">
      <w:rPr>
        <w:rFonts w:ascii="Arial" w:hAnsi="Arial" w:cs="Arial"/>
        <w:lang w:val="en-US"/>
      </w:rPr>
      <w:t xml:space="preserve"> – page </w:t>
    </w:r>
    <w:r w:rsidRPr="00EF563B">
      <w:rPr>
        <w:rStyle w:val="PageNumber"/>
        <w:rFonts w:ascii="Arial" w:hAnsi="Arial" w:cs="Arial"/>
      </w:rPr>
      <w:fldChar w:fldCharType="begin"/>
    </w:r>
    <w:r w:rsidRPr="00EF563B">
      <w:rPr>
        <w:rStyle w:val="PageNumber"/>
        <w:rFonts w:ascii="Arial" w:hAnsi="Arial" w:cs="Arial"/>
        <w:lang w:val="en-US"/>
      </w:rPr>
      <w:instrText xml:space="preserve"> </w:instrText>
    </w:r>
    <w:r>
      <w:rPr>
        <w:rStyle w:val="PageNumber"/>
        <w:rFonts w:ascii="Arial" w:hAnsi="Arial" w:cs="Arial"/>
        <w:lang w:val="en-US"/>
      </w:rPr>
      <w:instrText>PAGE</w:instrText>
    </w:r>
    <w:r w:rsidRPr="00EF563B">
      <w:rPr>
        <w:rStyle w:val="PageNumber"/>
        <w:rFonts w:ascii="Arial" w:hAnsi="Arial" w:cs="Arial"/>
        <w:lang w:val="en-US"/>
      </w:rPr>
      <w:instrText xml:space="preserve"> </w:instrText>
    </w:r>
    <w:r w:rsidRPr="00EF563B">
      <w:rPr>
        <w:rStyle w:val="PageNumber"/>
        <w:rFonts w:ascii="Arial" w:hAnsi="Arial" w:cs="Arial"/>
      </w:rPr>
      <w:fldChar w:fldCharType="separate"/>
    </w:r>
    <w:r w:rsidR="007B1438">
      <w:rPr>
        <w:rStyle w:val="PageNumber"/>
        <w:rFonts w:ascii="Arial" w:hAnsi="Arial" w:cs="Arial"/>
        <w:noProof/>
        <w:lang w:val="en-US"/>
      </w:rPr>
      <w:t>235</w:t>
    </w:r>
    <w:r w:rsidRPr="00EF563B">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04E2" w14:textId="77777777" w:rsidR="00AE1302" w:rsidRPr="008724E5" w:rsidRDefault="00AE1302" w:rsidP="000A6378">
    <w:pPr>
      <w:pStyle w:val="Header"/>
    </w:pPr>
    <w:r>
      <w:rPr>
        <w:noProof/>
        <w:lang w:val="en-US" w:eastAsia="ko-KR"/>
      </w:rPr>
      <w:drawing>
        <wp:anchor distT="0" distB="0" distL="114300" distR="114300" simplePos="0" relativeHeight="251659264" behindDoc="0" locked="0" layoutInCell="1" allowOverlap="1" wp14:anchorId="665992B1" wp14:editId="155D8F15">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F31B6" w14:textId="77777777" w:rsidR="00AE1302" w:rsidRPr="00165170" w:rsidRDefault="00AE1302" w:rsidP="000A6378">
    <w:pPr>
      <w:pStyle w:val="Header"/>
      <w:spacing w:after="520"/>
      <w:jc w:val="right"/>
      <w:rPr>
        <w:rFonts w:ascii="Arial" w:hAnsi="Arial" w:cs="Arial"/>
        <w:b/>
        <w:sz w:val="44"/>
        <w:szCs w:val="44"/>
        <w:lang w:val="en-US"/>
      </w:rPr>
    </w:pPr>
    <w:r>
      <w:rPr>
        <w:rFonts w:ascii="Arial" w:hAnsi="Arial" w:cs="Arial"/>
        <w:b/>
        <w:sz w:val="44"/>
        <w:szCs w:val="44"/>
        <w:lang w:val="en-US"/>
      </w:rPr>
      <w:t>1</w:t>
    </w:r>
    <w:r>
      <w:rPr>
        <w:rFonts w:ascii="Arial" w:eastAsiaTheme="minorEastAsia" w:hAnsi="Arial" w:cs="Arial" w:hint="eastAsia"/>
        <w:b/>
        <w:sz w:val="44"/>
        <w:szCs w:val="44"/>
        <w:lang w:val="en-US" w:eastAsia="ko-KR"/>
      </w:rPr>
      <w:t>2</w:t>
    </w:r>
    <w:r w:rsidRPr="00165170">
      <w:rPr>
        <w:rFonts w:ascii="Arial" w:hAnsi="Arial" w:cs="Arial"/>
        <w:b/>
        <w:sz w:val="44"/>
        <w:szCs w:val="44"/>
        <w:lang w:val="en-US"/>
      </w:rPr>
      <w:t xml:space="preserve"> COM</w:t>
    </w:r>
  </w:p>
  <w:p w14:paraId="7182E443" w14:textId="03D9B1EA" w:rsidR="00AE1302" w:rsidRPr="00165170" w:rsidRDefault="00AE1302" w:rsidP="000A6378">
    <w:pPr>
      <w:jc w:val="right"/>
      <w:rPr>
        <w:rFonts w:ascii="Arial" w:hAnsi="Arial" w:cs="Arial"/>
        <w:b/>
        <w:sz w:val="22"/>
        <w:szCs w:val="22"/>
        <w:lang w:val="en-US"/>
      </w:rPr>
    </w:pPr>
    <w:r>
      <w:rPr>
        <w:rFonts w:ascii="Arial" w:hAnsi="Arial" w:cs="Arial"/>
        <w:b/>
        <w:sz w:val="22"/>
        <w:szCs w:val="22"/>
        <w:lang w:val="en-US"/>
      </w:rPr>
      <w:t>ITH/1</w:t>
    </w:r>
    <w:r>
      <w:rPr>
        <w:rFonts w:ascii="Arial" w:eastAsiaTheme="minorEastAsia" w:hAnsi="Arial" w:cs="Arial" w:hint="eastAsia"/>
        <w:b/>
        <w:sz w:val="22"/>
        <w:szCs w:val="22"/>
        <w:lang w:val="en-US" w:eastAsia="ko-KR"/>
      </w:rPr>
      <w:t>7</w:t>
    </w:r>
    <w:r w:rsidRPr="00165170">
      <w:rPr>
        <w:rFonts w:ascii="Arial" w:hAnsi="Arial" w:cs="Arial"/>
        <w:b/>
        <w:sz w:val="22"/>
        <w:szCs w:val="22"/>
        <w:lang w:val="en-US"/>
      </w:rPr>
      <w:t>/</w:t>
    </w:r>
    <w:r>
      <w:rPr>
        <w:rFonts w:ascii="Arial" w:hAnsi="Arial" w:cs="Arial"/>
        <w:b/>
        <w:sz w:val="22"/>
        <w:szCs w:val="22"/>
        <w:lang w:val="en-US"/>
      </w:rPr>
      <w:t>1</w:t>
    </w:r>
    <w:r>
      <w:rPr>
        <w:rFonts w:ascii="Arial" w:eastAsiaTheme="minorEastAsia" w:hAnsi="Arial" w:cs="Arial" w:hint="eastAsia"/>
        <w:b/>
        <w:sz w:val="22"/>
        <w:szCs w:val="22"/>
        <w:lang w:val="en-US" w:eastAsia="ko-KR"/>
      </w:rPr>
      <w:t>2</w:t>
    </w:r>
    <w:r w:rsidRPr="00165170">
      <w:rPr>
        <w:rFonts w:ascii="Arial" w:hAnsi="Arial" w:cs="Arial"/>
        <w:b/>
        <w:sz w:val="22"/>
        <w:szCs w:val="22"/>
        <w:lang w:val="en-US"/>
      </w:rPr>
      <w:t>.COM/</w:t>
    </w:r>
    <w:r>
      <w:rPr>
        <w:rFonts w:ascii="Arial" w:hAnsi="Arial" w:cs="Arial"/>
        <w:b/>
        <w:sz w:val="22"/>
        <w:szCs w:val="22"/>
        <w:lang w:val="en-US"/>
      </w:rPr>
      <w:t>4</w:t>
    </w:r>
  </w:p>
  <w:p w14:paraId="457BD3AD" w14:textId="123243AF" w:rsidR="00AE1302" w:rsidRPr="00495C25" w:rsidRDefault="00AE1302" w:rsidP="000A6378">
    <w:pPr>
      <w:jc w:val="right"/>
      <w:rPr>
        <w:rFonts w:ascii="Arial" w:eastAsiaTheme="minorEastAsia" w:hAnsi="Arial" w:cs="Arial"/>
        <w:b/>
        <w:sz w:val="22"/>
        <w:szCs w:val="22"/>
        <w:lang w:val="en-US" w:eastAsia="ko-KR"/>
      </w:rPr>
    </w:pPr>
    <w:r w:rsidRPr="00165170">
      <w:rPr>
        <w:rFonts w:ascii="Arial" w:hAnsi="Arial" w:cs="Arial"/>
        <w:b/>
        <w:sz w:val="22"/>
        <w:szCs w:val="22"/>
        <w:lang w:val="en-US"/>
      </w:rPr>
      <w:t>Paris, le</w:t>
    </w:r>
    <w:r>
      <w:rPr>
        <w:rFonts w:ascii="Arial" w:hAnsi="Arial" w:cs="Arial"/>
        <w:b/>
        <w:sz w:val="22"/>
        <w:szCs w:val="22"/>
        <w:lang w:val="en-US"/>
      </w:rPr>
      <w:t xml:space="preserve"> 6 octobre</w:t>
    </w:r>
    <w:r w:rsidRPr="00165170">
      <w:rPr>
        <w:rFonts w:ascii="Arial" w:hAnsi="Arial" w:cs="Arial"/>
        <w:b/>
        <w:sz w:val="22"/>
        <w:szCs w:val="22"/>
        <w:lang w:val="en-US"/>
      </w:rPr>
      <w:t xml:space="preserve"> </w:t>
    </w:r>
    <w:r>
      <w:rPr>
        <w:rFonts w:ascii="Arial" w:hAnsi="Arial" w:cs="Arial"/>
        <w:b/>
        <w:sz w:val="22"/>
        <w:szCs w:val="22"/>
        <w:lang w:val="en-US"/>
      </w:rPr>
      <w:t>201</w:t>
    </w:r>
    <w:r>
      <w:rPr>
        <w:rFonts w:ascii="Arial" w:eastAsiaTheme="minorEastAsia" w:hAnsi="Arial" w:cs="Arial" w:hint="eastAsia"/>
        <w:b/>
        <w:sz w:val="22"/>
        <w:szCs w:val="22"/>
        <w:lang w:val="en-US" w:eastAsia="ko-KR"/>
      </w:rPr>
      <w:t>7</w:t>
    </w:r>
  </w:p>
  <w:p w14:paraId="3A747F12" w14:textId="2D22226A" w:rsidR="00AE1302" w:rsidRPr="0020150F" w:rsidRDefault="00AE1302" w:rsidP="000A6378">
    <w:pPr>
      <w:jc w:val="right"/>
      <w:rPr>
        <w:rFonts w:ascii="Arial" w:hAnsi="Arial" w:cs="Arial"/>
        <w:b/>
        <w:sz w:val="22"/>
        <w:szCs w:val="22"/>
      </w:rPr>
    </w:pPr>
    <w:r w:rsidRPr="00022428">
      <w:rPr>
        <w:rFonts w:ascii="Arial" w:hAnsi="Arial" w:cs="Arial"/>
        <w:b/>
        <w:sz w:val="22"/>
        <w:szCs w:val="22"/>
      </w:rPr>
      <w:t xml:space="preserve">Original : </w:t>
    </w:r>
    <w:r>
      <w:rPr>
        <w:rFonts w:ascii="Arial" w:hAnsi="Arial" w:cs="Arial"/>
        <w:b/>
        <w:sz w:val="22"/>
        <w:szCs w:val="22"/>
      </w:rPr>
      <w:t>anglais</w:t>
    </w:r>
  </w:p>
  <w:p w14:paraId="3CE05EE6" w14:textId="77777777" w:rsidR="00AE1302" w:rsidRPr="000A6378" w:rsidRDefault="00AE1302" w:rsidP="000A6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DCA551C"/>
    <w:lvl w:ilvl="0">
      <w:start w:val="1"/>
      <w:numFmt w:val="bullet"/>
      <w:pStyle w:val="ListBullet"/>
      <w:lvlText w:val=""/>
      <w:lvlJc w:val="left"/>
      <w:pPr>
        <w:tabs>
          <w:tab w:val="num" w:pos="926"/>
        </w:tabs>
        <w:ind w:left="926" w:hanging="360"/>
      </w:pPr>
      <w:rPr>
        <w:rFonts w:ascii="Symbol" w:hAnsi="Symbol" w:hint="default"/>
      </w:rPr>
    </w:lvl>
  </w:abstractNum>
  <w:abstractNum w:abstractNumId="1" w15:restartNumberingAfterBreak="0">
    <w:nsid w:val="000C7AC6"/>
    <w:multiLevelType w:val="hybridMultilevel"/>
    <w:tmpl w:val="080C3060"/>
    <w:lvl w:ilvl="0" w:tplc="443C45B2">
      <w:start w:val="1"/>
      <w:numFmt w:val="decimal"/>
      <w:pStyle w:val="Orateurengris"/>
      <w:lvlText w:val="%1."/>
      <w:lvlJc w:val="left"/>
      <w:pPr>
        <w:tabs>
          <w:tab w:val="num" w:pos="2694"/>
        </w:tabs>
        <w:ind w:left="2694" w:hanging="567"/>
      </w:pPr>
      <w:rPr>
        <w:rFonts w:hint="default"/>
        <w:b w:val="0"/>
        <w:i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2F41D5"/>
    <w:multiLevelType w:val="multilevel"/>
    <w:tmpl w:val="B9BACD6C"/>
    <w:lvl w:ilvl="0">
      <w:start w:val="1"/>
      <w:numFmt w:val="none"/>
      <w:pStyle w:val="Heading11"/>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5D3350"/>
    <w:multiLevelType w:val="multilevel"/>
    <w:tmpl w:val="668C75D2"/>
    <w:lvl w:ilvl="0">
      <w:start w:val="1"/>
      <w:numFmt w:val="decimal"/>
      <w:lvlText w:val="%1."/>
      <w:lvlJc w:val="left"/>
      <w:pPr>
        <w:tabs>
          <w:tab w:val="num" w:pos="567"/>
        </w:tabs>
        <w:ind w:left="567" w:hanging="567"/>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7165F5"/>
    <w:multiLevelType w:val="hybridMultilevel"/>
    <w:tmpl w:val="4858DFE4"/>
    <w:lvl w:ilvl="0" w:tplc="E27A0428">
      <w:start w:val="1"/>
      <w:numFmt w:val="bullet"/>
      <w:pStyle w:val="ListBullet3"/>
      <w:lvlText w:val=""/>
      <w:lvlJc w:val="left"/>
      <w:pPr>
        <w:tabs>
          <w:tab w:val="num" w:pos="397"/>
        </w:tabs>
        <w:ind w:left="397"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9143C95"/>
    <w:multiLevelType w:val="hybridMultilevel"/>
    <w:tmpl w:val="D7F2F01C"/>
    <w:lvl w:ilvl="0" w:tplc="99D6089C">
      <w:start w:val="1"/>
      <w:numFmt w:val="bullet"/>
      <w:pStyle w:val="BlockText"/>
      <w:lvlText w:val=""/>
      <w:lvlJc w:val="left"/>
      <w:pPr>
        <w:tabs>
          <w:tab w:val="num" w:pos="397"/>
        </w:tabs>
        <w:ind w:left="397"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1C075DAB"/>
    <w:multiLevelType w:val="hybridMultilevel"/>
    <w:tmpl w:val="5804FE3C"/>
    <w:lvl w:ilvl="0" w:tplc="1E1EE1A0">
      <w:start w:val="1"/>
      <w:numFmt w:val="decimal"/>
      <w:pStyle w:val="ListBullet1"/>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EC52FED"/>
    <w:multiLevelType w:val="hybridMultilevel"/>
    <w:tmpl w:val="6FDCD916"/>
    <w:lvl w:ilvl="0" w:tplc="ACDC0B0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0" w15:restartNumberingAfterBreak="0">
    <w:nsid w:val="40CE7015"/>
    <w:multiLevelType w:val="hybridMultilevel"/>
    <w:tmpl w:val="2CB8E03C"/>
    <w:lvl w:ilvl="0" w:tplc="F438B4EC">
      <w:start w:val="1"/>
      <w:numFmt w:val="decimal"/>
      <w:pStyle w:val="Para"/>
      <w:lvlText w:val="%1."/>
      <w:lvlJc w:val="left"/>
      <w:pPr>
        <w:ind w:left="502" w:hanging="360"/>
      </w:pPr>
      <w:rPr>
        <w:b w:val="0"/>
        <w:color w:val="auto"/>
        <w:sz w:val="22"/>
        <w:szCs w:val="22"/>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43BD769D"/>
    <w:multiLevelType w:val="multilevel"/>
    <w:tmpl w:val="668C75D2"/>
    <w:lvl w:ilvl="0">
      <w:start w:val="1"/>
      <w:numFmt w:val="decimal"/>
      <w:lvlText w:val="%1."/>
      <w:lvlJc w:val="left"/>
      <w:pPr>
        <w:tabs>
          <w:tab w:val="num" w:pos="567"/>
        </w:tabs>
        <w:ind w:left="567" w:hanging="567"/>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EA799B"/>
    <w:multiLevelType w:val="hybridMultilevel"/>
    <w:tmpl w:val="E29C370C"/>
    <w:lvl w:ilvl="0" w:tplc="7AFC7CCE">
      <w:start w:val="15"/>
      <w:numFmt w:val="bullet"/>
      <w:pStyle w:val="Parasubdec"/>
      <w:lvlText w:val="-"/>
      <w:lvlJc w:val="left"/>
      <w:pPr>
        <w:ind w:left="1494" w:hanging="360"/>
      </w:pPr>
      <w:rPr>
        <w:rFonts w:ascii="Arial" w:eastAsia="Times New Roman" w:hAnsi="Arial" w:cs="Times" w:hint="default"/>
      </w:rPr>
    </w:lvl>
    <w:lvl w:ilvl="1" w:tplc="86C80B80" w:tentative="1">
      <w:start w:val="1"/>
      <w:numFmt w:val="bullet"/>
      <w:lvlText w:val="o"/>
      <w:lvlJc w:val="left"/>
      <w:pPr>
        <w:ind w:left="2214" w:hanging="360"/>
      </w:pPr>
      <w:rPr>
        <w:rFonts w:ascii="Courier New" w:hAnsi="Courier New" w:cs="MS Gothic" w:hint="default"/>
      </w:rPr>
    </w:lvl>
    <w:lvl w:ilvl="2" w:tplc="7F520B2C" w:tentative="1">
      <w:start w:val="1"/>
      <w:numFmt w:val="bullet"/>
      <w:lvlText w:val=""/>
      <w:lvlJc w:val="left"/>
      <w:pPr>
        <w:ind w:left="2934" w:hanging="360"/>
      </w:pPr>
      <w:rPr>
        <w:rFonts w:ascii="Wingdings" w:hAnsi="Wingdings" w:hint="default"/>
      </w:rPr>
    </w:lvl>
    <w:lvl w:ilvl="3" w:tplc="D1BA8302" w:tentative="1">
      <w:start w:val="1"/>
      <w:numFmt w:val="bullet"/>
      <w:lvlText w:val=""/>
      <w:lvlJc w:val="left"/>
      <w:pPr>
        <w:ind w:left="3654" w:hanging="360"/>
      </w:pPr>
      <w:rPr>
        <w:rFonts w:ascii="Symbol" w:hAnsi="Symbol" w:hint="default"/>
      </w:rPr>
    </w:lvl>
    <w:lvl w:ilvl="4" w:tplc="5BC62710" w:tentative="1">
      <w:start w:val="1"/>
      <w:numFmt w:val="bullet"/>
      <w:lvlText w:val="o"/>
      <w:lvlJc w:val="left"/>
      <w:pPr>
        <w:ind w:left="4374" w:hanging="360"/>
      </w:pPr>
      <w:rPr>
        <w:rFonts w:ascii="Courier New" w:hAnsi="Courier New" w:cs="MS Gothic" w:hint="default"/>
      </w:rPr>
    </w:lvl>
    <w:lvl w:ilvl="5" w:tplc="E5488D02" w:tentative="1">
      <w:start w:val="1"/>
      <w:numFmt w:val="bullet"/>
      <w:lvlText w:val=""/>
      <w:lvlJc w:val="left"/>
      <w:pPr>
        <w:ind w:left="5094" w:hanging="360"/>
      </w:pPr>
      <w:rPr>
        <w:rFonts w:ascii="Wingdings" w:hAnsi="Wingdings" w:hint="default"/>
      </w:rPr>
    </w:lvl>
    <w:lvl w:ilvl="6" w:tplc="2D5EEFA8" w:tentative="1">
      <w:start w:val="1"/>
      <w:numFmt w:val="bullet"/>
      <w:lvlText w:val=""/>
      <w:lvlJc w:val="left"/>
      <w:pPr>
        <w:ind w:left="5814" w:hanging="360"/>
      </w:pPr>
      <w:rPr>
        <w:rFonts w:ascii="Symbol" w:hAnsi="Symbol" w:hint="default"/>
      </w:rPr>
    </w:lvl>
    <w:lvl w:ilvl="7" w:tplc="ACF810C2" w:tentative="1">
      <w:start w:val="1"/>
      <w:numFmt w:val="bullet"/>
      <w:lvlText w:val="o"/>
      <w:lvlJc w:val="left"/>
      <w:pPr>
        <w:ind w:left="6534" w:hanging="360"/>
      </w:pPr>
      <w:rPr>
        <w:rFonts w:ascii="Courier New" w:hAnsi="Courier New" w:cs="MS Gothic" w:hint="default"/>
      </w:rPr>
    </w:lvl>
    <w:lvl w:ilvl="8" w:tplc="43FEE1A0" w:tentative="1">
      <w:start w:val="1"/>
      <w:numFmt w:val="bullet"/>
      <w:lvlText w:val=""/>
      <w:lvlJc w:val="left"/>
      <w:pPr>
        <w:ind w:left="7254" w:hanging="360"/>
      </w:pPr>
      <w:rPr>
        <w:rFonts w:ascii="Wingdings" w:hAnsi="Wingdings" w:hint="default"/>
      </w:rPr>
    </w:lvl>
  </w:abstractNum>
  <w:abstractNum w:abstractNumId="13" w15:restartNumberingAfterBreak="0">
    <w:nsid w:val="509A5F9B"/>
    <w:multiLevelType w:val="multilevel"/>
    <w:tmpl w:val="080C3060"/>
    <w:lvl w:ilvl="0">
      <w:start w:val="1"/>
      <w:numFmt w:val="decimal"/>
      <w:lvlText w:val="%1."/>
      <w:lvlJc w:val="left"/>
      <w:pPr>
        <w:tabs>
          <w:tab w:val="num" w:pos="2269"/>
        </w:tabs>
        <w:ind w:left="2269" w:hanging="567"/>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94573A"/>
    <w:multiLevelType w:val="hybridMultilevel"/>
    <w:tmpl w:val="FFC03196"/>
    <w:lvl w:ilvl="0" w:tplc="208A99B8">
      <w:start w:val="1"/>
      <w:numFmt w:val="bullet"/>
      <w:pStyle w:val="Bullet1"/>
      <w:lvlText w:val=""/>
      <w:lvlJc w:val="left"/>
      <w:pPr>
        <w:ind w:left="1778" w:hanging="360"/>
      </w:pPr>
      <w:rPr>
        <w:rFonts w:ascii="Symbol" w:hAnsi="Symbol" w:hint="default"/>
      </w:rPr>
    </w:lvl>
    <w:lvl w:ilvl="1" w:tplc="B0DC9B7C">
      <w:start w:val="1"/>
      <w:numFmt w:val="bullet"/>
      <w:pStyle w:val="Bullet2"/>
      <w:lvlText w:val="o"/>
      <w:lvlJc w:val="left"/>
      <w:pPr>
        <w:ind w:left="10153" w:hanging="360"/>
      </w:pPr>
      <w:rPr>
        <w:rFonts w:ascii="Courier New" w:hAnsi="Courier New" w:cs="Times" w:hint="default"/>
      </w:rPr>
    </w:lvl>
    <w:lvl w:ilvl="2" w:tplc="7E0C009A">
      <w:start w:val="1"/>
      <w:numFmt w:val="bullet"/>
      <w:lvlText w:val=""/>
      <w:lvlJc w:val="left"/>
      <w:pPr>
        <w:ind w:left="10873" w:hanging="360"/>
      </w:pPr>
      <w:rPr>
        <w:rFonts w:ascii="Wingdings" w:hAnsi="Wingdings" w:hint="default"/>
      </w:rPr>
    </w:lvl>
    <w:lvl w:ilvl="3" w:tplc="60E48B76" w:tentative="1">
      <w:start w:val="1"/>
      <w:numFmt w:val="bullet"/>
      <w:lvlText w:val=""/>
      <w:lvlJc w:val="left"/>
      <w:pPr>
        <w:ind w:left="11593" w:hanging="360"/>
      </w:pPr>
      <w:rPr>
        <w:rFonts w:ascii="Symbol" w:hAnsi="Symbol" w:hint="default"/>
      </w:rPr>
    </w:lvl>
    <w:lvl w:ilvl="4" w:tplc="BA56135C" w:tentative="1">
      <w:start w:val="1"/>
      <w:numFmt w:val="bullet"/>
      <w:lvlText w:val="o"/>
      <w:lvlJc w:val="left"/>
      <w:pPr>
        <w:ind w:left="12313" w:hanging="360"/>
      </w:pPr>
      <w:rPr>
        <w:rFonts w:ascii="Courier New" w:hAnsi="Courier New" w:cs="Times" w:hint="default"/>
      </w:rPr>
    </w:lvl>
    <w:lvl w:ilvl="5" w:tplc="F19EFD64" w:tentative="1">
      <w:start w:val="1"/>
      <w:numFmt w:val="bullet"/>
      <w:lvlText w:val=""/>
      <w:lvlJc w:val="left"/>
      <w:pPr>
        <w:ind w:left="13033" w:hanging="360"/>
      </w:pPr>
      <w:rPr>
        <w:rFonts w:ascii="Wingdings" w:hAnsi="Wingdings" w:hint="default"/>
      </w:rPr>
    </w:lvl>
    <w:lvl w:ilvl="6" w:tplc="6A7235F4" w:tentative="1">
      <w:start w:val="1"/>
      <w:numFmt w:val="bullet"/>
      <w:lvlText w:val=""/>
      <w:lvlJc w:val="left"/>
      <w:pPr>
        <w:ind w:left="13753" w:hanging="360"/>
      </w:pPr>
      <w:rPr>
        <w:rFonts w:ascii="Symbol" w:hAnsi="Symbol" w:hint="default"/>
      </w:rPr>
    </w:lvl>
    <w:lvl w:ilvl="7" w:tplc="31B69ACA" w:tentative="1">
      <w:start w:val="1"/>
      <w:numFmt w:val="bullet"/>
      <w:lvlText w:val="o"/>
      <w:lvlJc w:val="left"/>
      <w:pPr>
        <w:ind w:left="14473" w:hanging="360"/>
      </w:pPr>
      <w:rPr>
        <w:rFonts w:ascii="Courier New" w:hAnsi="Courier New" w:cs="Times" w:hint="default"/>
      </w:rPr>
    </w:lvl>
    <w:lvl w:ilvl="8" w:tplc="AF26DC38" w:tentative="1">
      <w:start w:val="1"/>
      <w:numFmt w:val="bullet"/>
      <w:lvlText w:val=""/>
      <w:lvlJc w:val="left"/>
      <w:pPr>
        <w:ind w:left="15193" w:hanging="360"/>
      </w:pPr>
      <w:rPr>
        <w:rFonts w:ascii="Wingdings" w:hAnsi="Wingdings" w:hint="default"/>
      </w:rPr>
    </w:lvl>
  </w:abstractNum>
  <w:abstractNum w:abstractNumId="15" w15:restartNumberingAfterBreak="0">
    <w:nsid w:val="69C90BC9"/>
    <w:multiLevelType w:val="hybridMultilevel"/>
    <w:tmpl w:val="201E6D0C"/>
    <w:lvl w:ilvl="0" w:tplc="FB941CCA">
      <w:start w:val="1"/>
      <w:numFmt w:val="decimal"/>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E883377"/>
    <w:multiLevelType w:val="hybridMultilevel"/>
    <w:tmpl w:val="2A3EE97A"/>
    <w:lvl w:ilvl="0" w:tplc="AB74F6BE">
      <w:start w:val="1"/>
      <w:numFmt w:val="lowerLetter"/>
      <w:lvlText w:val="%1)"/>
      <w:lvlJc w:val="left"/>
      <w:pPr>
        <w:tabs>
          <w:tab w:val="num" w:pos="-2333"/>
        </w:tabs>
        <w:ind w:left="-2409" w:hanging="284"/>
      </w:pPr>
      <w:rPr>
        <w:rFonts w:hint="default"/>
      </w:rPr>
    </w:lvl>
    <w:lvl w:ilvl="1" w:tplc="87A43B9E">
      <w:start w:val="1"/>
      <w:numFmt w:val="decimal"/>
      <w:lvlText w:val="%2."/>
      <w:lvlJc w:val="left"/>
      <w:pPr>
        <w:tabs>
          <w:tab w:val="num" w:pos="-1536"/>
        </w:tabs>
        <w:ind w:left="-1536" w:hanging="360"/>
      </w:pPr>
      <w:rPr>
        <w:rFonts w:hint="default"/>
      </w:rPr>
    </w:lvl>
    <w:lvl w:ilvl="2" w:tplc="8B30165C">
      <w:start w:val="1"/>
      <w:numFmt w:val="bullet"/>
      <w:lvlText w:val=""/>
      <w:lvlJc w:val="left"/>
      <w:pPr>
        <w:tabs>
          <w:tab w:val="num" w:pos="-816"/>
        </w:tabs>
        <w:ind w:left="-816" w:hanging="360"/>
      </w:pPr>
      <w:rPr>
        <w:rFonts w:ascii="Wingdings" w:hAnsi="Wingdings" w:hint="default"/>
      </w:rPr>
    </w:lvl>
    <w:lvl w:ilvl="3" w:tplc="179C3B52">
      <w:start w:val="1"/>
      <w:numFmt w:val="bullet"/>
      <w:lvlText w:val=""/>
      <w:lvlJc w:val="left"/>
      <w:pPr>
        <w:tabs>
          <w:tab w:val="num" w:pos="-96"/>
        </w:tabs>
        <w:ind w:left="-96" w:hanging="360"/>
      </w:pPr>
      <w:rPr>
        <w:rFonts w:ascii="Symbol" w:hAnsi="Symbol" w:hint="default"/>
      </w:rPr>
    </w:lvl>
    <w:lvl w:ilvl="4" w:tplc="00ECA234" w:tentative="1">
      <w:start w:val="1"/>
      <w:numFmt w:val="bullet"/>
      <w:lvlText w:val="o"/>
      <w:lvlJc w:val="left"/>
      <w:pPr>
        <w:tabs>
          <w:tab w:val="num" w:pos="624"/>
        </w:tabs>
        <w:ind w:left="624" w:hanging="360"/>
      </w:pPr>
      <w:rPr>
        <w:rFonts w:ascii="Courier New" w:hAnsi="Courier New" w:hint="default"/>
      </w:rPr>
    </w:lvl>
    <w:lvl w:ilvl="5" w:tplc="19B45F16" w:tentative="1">
      <w:start w:val="1"/>
      <w:numFmt w:val="bullet"/>
      <w:lvlText w:val=""/>
      <w:lvlJc w:val="left"/>
      <w:pPr>
        <w:tabs>
          <w:tab w:val="num" w:pos="1344"/>
        </w:tabs>
        <w:ind w:left="1344" w:hanging="360"/>
      </w:pPr>
      <w:rPr>
        <w:rFonts w:ascii="Wingdings" w:hAnsi="Wingdings" w:hint="default"/>
      </w:rPr>
    </w:lvl>
    <w:lvl w:ilvl="6" w:tplc="6E309DA4" w:tentative="1">
      <w:start w:val="1"/>
      <w:numFmt w:val="bullet"/>
      <w:lvlText w:val=""/>
      <w:lvlJc w:val="left"/>
      <w:pPr>
        <w:tabs>
          <w:tab w:val="num" w:pos="2064"/>
        </w:tabs>
        <w:ind w:left="2064" w:hanging="360"/>
      </w:pPr>
      <w:rPr>
        <w:rFonts w:ascii="Symbol" w:hAnsi="Symbol" w:hint="default"/>
      </w:rPr>
    </w:lvl>
    <w:lvl w:ilvl="7" w:tplc="25AC9A06" w:tentative="1">
      <w:start w:val="1"/>
      <w:numFmt w:val="bullet"/>
      <w:lvlText w:val="o"/>
      <w:lvlJc w:val="left"/>
      <w:pPr>
        <w:tabs>
          <w:tab w:val="num" w:pos="2784"/>
        </w:tabs>
        <w:ind w:left="2784" w:hanging="360"/>
      </w:pPr>
      <w:rPr>
        <w:rFonts w:ascii="Courier New" w:hAnsi="Courier New" w:hint="default"/>
      </w:rPr>
    </w:lvl>
    <w:lvl w:ilvl="8" w:tplc="63D086E0" w:tentative="1">
      <w:start w:val="1"/>
      <w:numFmt w:val="bullet"/>
      <w:lvlText w:val=""/>
      <w:lvlJc w:val="left"/>
      <w:pPr>
        <w:tabs>
          <w:tab w:val="num" w:pos="3504"/>
        </w:tabs>
        <w:ind w:left="3504" w:hanging="360"/>
      </w:pPr>
      <w:rPr>
        <w:rFonts w:ascii="Wingdings" w:hAnsi="Wingdings" w:hint="default"/>
      </w:rPr>
    </w:lvl>
  </w:abstractNum>
  <w:num w:numId="1">
    <w:abstractNumId w:val="7"/>
  </w:num>
  <w:num w:numId="2">
    <w:abstractNumId w:val="5"/>
  </w:num>
  <w:num w:numId="3">
    <w:abstractNumId w:val="12"/>
  </w:num>
  <w:num w:numId="4">
    <w:abstractNumId w:val="16"/>
  </w:num>
  <w:num w:numId="5">
    <w:abstractNumId w:val="0"/>
  </w:num>
  <w:num w:numId="6">
    <w:abstractNumId w:val="4"/>
  </w:num>
  <w:num w:numId="7">
    <w:abstractNumId w:val="6"/>
  </w:num>
  <w:num w:numId="8">
    <w:abstractNumId w:val="2"/>
  </w:num>
  <w:num w:numId="9">
    <w:abstractNumId w:val="14"/>
  </w:num>
  <w:num w:numId="10">
    <w:abstractNumId w:val="9"/>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 w:numId="16">
    <w:abstractNumId w:val="13"/>
  </w:num>
  <w:num w:numId="17">
    <w:abstractNumId w:val="8"/>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CD"/>
    <w:rsid w:val="0000065E"/>
    <w:rsid w:val="00000A3D"/>
    <w:rsid w:val="0000113E"/>
    <w:rsid w:val="000012C5"/>
    <w:rsid w:val="00001719"/>
    <w:rsid w:val="00001BB6"/>
    <w:rsid w:val="00001CF7"/>
    <w:rsid w:val="000021CD"/>
    <w:rsid w:val="00002225"/>
    <w:rsid w:val="00002B2D"/>
    <w:rsid w:val="00003714"/>
    <w:rsid w:val="00003A47"/>
    <w:rsid w:val="000041DD"/>
    <w:rsid w:val="00004CAB"/>
    <w:rsid w:val="00004CF3"/>
    <w:rsid w:val="0000516F"/>
    <w:rsid w:val="000052D2"/>
    <w:rsid w:val="000053F8"/>
    <w:rsid w:val="00005D42"/>
    <w:rsid w:val="000064BD"/>
    <w:rsid w:val="00006F80"/>
    <w:rsid w:val="00007004"/>
    <w:rsid w:val="000073D8"/>
    <w:rsid w:val="00007A52"/>
    <w:rsid w:val="000102DE"/>
    <w:rsid w:val="000114F0"/>
    <w:rsid w:val="00011526"/>
    <w:rsid w:val="000117C0"/>
    <w:rsid w:val="00011F01"/>
    <w:rsid w:val="00012ED3"/>
    <w:rsid w:val="0001349C"/>
    <w:rsid w:val="00013599"/>
    <w:rsid w:val="00014B9E"/>
    <w:rsid w:val="00015130"/>
    <w:rsid w:val="00015DED"/>
    <w:rsid w:val="0001637B"/>
    <w:rsid w:val="000165EF"/>
    <w:rsid w:val="000166A3"/>
    <w:rsid w:val="00016C3F"/>
    <w:rsid w:val="00016C6E"/>
    <w:rsid w:val="00017989"/>
    <w:rsid w:val="0001798C"/>
    <w:rsid w:val="00017FD7"/>
    <w:rsid w:val="000202BB"/>
    <w:rsid w:val="00020670"/>
    <w:rsid w:val="00020B13"/>
    <w:rsid w:val="00020E97"/>
    <w:rsid w:val="000214C2"/>
    <w:rsid w:val="00021EF6"/>
    <w:rsid w:val="00022E79"/>
    <w:rsid w:val="00023075"/>
    <w:rsid w:val="00023A75"/>
    <w:rsid w:val="00023CF1"/>
    <w:rsid w:val="000246AA"/>
    <w:rsid w:val="00024AAA"/>
    <w:rsid w:val="000251E6"/>
    <w:rsid w:val="000257E1"/>
    <w:rsid w:val="00026113"/>
    <w:rsid w:val="0002679C"/>
    <w:rsid w:val="000268D0"/>
    <w:rsid w:val="00026970"/>
    <w:rsid w:val="00026DCD"/>
    <w:rsid w:val="00026FD0"/>
    <w:rsid w:val="00027448"/>
    <w:rsid w:val="000274B1"/>
    <w:rsid w:val="00027A54"/>
    <w:rsid w:val="00027C5D"/>
    <w:rsid w:val="00027FDE"/>
    <w:rsid w:val="0003014C"/>
    <w:rsid w:val="0003054C"/>
    <w:rsid w:val="00030D82"/>
    <w:rsid w:val="000310A3"/>
    <w:rsid w:val="00031393"/>
    <w:rsid w:val="00031672"/>
    <w:rsid w:val="00031A49"/>
    <w:rsid w:val="00031B0E"/>
    <w:rsid w:val="000327E9"/>
    <w:rsid w:val="00032B19"/>
    <w:rsid w:val="000330BF"/>
    <w:rsid w:val="0003370F"/>
    <w:rsid w:val="00033E12"/>
    <w:rsid w:val="00033FD6"/>
    <w:rsid w:val="000340A7"/>
    <w:rsid w:val="00034112"/>
    <w:rsid w:val="00034F01"/>
    <w:rsid w:val="000356B5"/>
    <w:rsid w:val="00035B99"/>
    <w:rsid w:val="00036AC2"/>
    <w:rsid w:val="00036DDE"/>
    <w:rsid w:val="00036FF2"/>
    <w:rsid w:val="0003701C"/>
    <w:rsid w:val="000379B8"/>
    <w:rsid w:val="00040712"/>
    <w:rsid w:val="00040C23"/>
    <w:rsid w:val="0004329E"/>
    <w:rsid w:val="000433AE"/>
    <w:rsid w:val="00043D89"/>
    <w:rsid w:val="0004468B"/>
    <w:rsid w:val="000452D4"/>
    <w:rsid w:val="000452F7"/>
    <w:rsid w:val="000457B5"/>
    <w:rsid w:val="000459DA"/>
    <w:rsid w:val="00045AF7"/>
    <w:rsid w:val="00045D9F"/>
    <w:rsid w:val="000462B1"/>
    <w:rsid w:val="00047B21"/>
    <w:rsid w:val="00047B52"/>
    <w:rsid w:val="00047C3D"/>
    <w:rsid w:val="00047DE7"/>
    <w:rsid w:val="00050621"/>
    <w:rsid w:val="000507DC"/>
    <w:rsid w:val="00051004"/>
    <w:rsid w:val="00051060"/>
    <w:rsid w:val="00051667"/>
    <w:rsid w:val="00051BE5"/>
    <w:rsid w:val="00051D02"/>
    <w:rsid w:val="000528FB"/>
    <w:rsid w:val="00053204"/>
    <w:rsid w:val="00054E24"/>
    <w:rsid w:val="00054EBC"/>
    <w:rsid w:val="000553B8"/>
    <w:rsid w:val="00056696"/>
    <w:rsid w:val="00056722"/>
    <w:rsid w:val="0005692D"/>
    <w:rsid w:val="00056E3E"/>
    <w:rsid w:val="0005729F"/>
    <w:rsid w:val="00057562"/>
    <w:rsid w:val="0006017E"/>
    <w:rsid w:val="0006039E"/>
    <w:rsid w:val="000607B2"/>
    <w:rsid w:val="00060C9C"/>
    <w:rsid w:val="00061EAF"/>
    <w:rsid w:val="00061EC8"/>
    <w:rsid w:val="00061F4A"/>
    <w:rsid w:val="00062ADA"/>
    <w:rsid w:val="00062DE4"/>
    <w:rsid w:val="000635AD"/>
    <w:rsid w:val="000637A8"/>
    <w:rsid w:val="000639FC"/>
    <w:rsid w:val="00064A23"/>
    <w:rsid w:val="000650E9"/>
    <w:rsid w:val="00065468"/>
    <w:rsid w:val="00065559"/>
    <w:rsid w:val="00066BCD"/>
    <w:rsid w:val="00066E1B"/>
    <w:rsid w:val="00070056"/>
    <w:rsid w:val="00070110"/>
    <w:rsid w:val="000706B0"/>
    <w:rsid w:val="000706F7"/>
    <w:rsid w:val="000708AA"/>
    <w:rsid w:val="00070919"/>
    <w:rsid w:val="00070D76"/>
    <w:rsid w:val="0007230D"/>
    <w:rsid w:val="000725D2"/>
    <w:rsid w:val="00072C7C"/>
    <w:rsid w:val="00072CED"/>
    <w:rsid w:val="00072F04"/>
    <w:rsid w:val="00072F33"/>
    <w:rsid w:val="00074B3F"/>
    <w:rsid w:val="00074D6A"/>
    <w:rsid w:val="00074EB6"/>
    <w:rsid w:val="000750E8"/>
    <w:rsid w:val="000759F8"/>
    <w:rsid w:val="00075D93"/>
    <w:rsid w:val="0007629C"/>
    <w:rsid w:val="00076F94"/>
    <w:rsid w:val="0007719C"/>
    <w:rsid w:val="000772F0"/>
    <w:rsid w:val="000778C3"/>
    <w:rsid w:val="000779B2"/>
    <w:rsid w:val="000809FA"/>
    <w:rsid w:val="00081093"/>
    <w:rsid w:val="000811CF"/>
    <w:rsid w:val="00081392"/>
    <w:rsid w:val="0008182D"/>
    <w:rsid w:val="00081A9B"/>
    <w:rsid w:val="00082286"/>
    <w:rsid w:val="000822F4"/>
    <w:rsid w:val="0008239C"/>
    <w:rsid w:val="00082E54"/>
    <w:rsid w:val="000830DB"/>
    <w:rsid w:val="00083174"/>
    <w:rsid w:val="00083260"/>
    <w:rsid w:val="000832F8"/>
    <w:rsid w:val="00083BCF"/>
    <w:rsid w:val="00084038"/>
    <w:rsid w:val="0008438E"/>
    <w:rsid w:val="00084573"/>
    <w:rsid w:val="0008490B"/>
    <w:rsid w:val="00084E3C"/>
    <w:rsid w:val="00084E49"/>
    <w:rsid w:val="00084ED0"/>
    <w:rsid w:val="0008544D"/>
    <w:rsid w:val="00085569"/>
    <w:rsid w:val="00085854"/>
    <w:rsid w:val="00085938"/>
    <w:rsid w:val="00086818"/>
    <w:rsid w:val="00086A90"/>
    <w:rsid w:val="0008742D"/>
    <w:rsid w:val="00087782"/>
    <w:rsid w:val="0008788A"/>
    <w:rsid w:val="00087A65"/>
    <w:rsid w:val="00090F54"/>
    <w:rsid w:val="0009175C"/>
    <w:rsid w:val="00091781"/>
    <w:rsid w:val="000917ED"/>
    <w:rsid w:val="000928A6"/>
    <w:rsid w:val="00092C90"/>
    <w:rsid w:val="00093108"/>
    <w:rsid w:val="0009374C"/>
    <w:rsid w:val="00094012"/>
    <w:rsid w:val="000940EC"/>
    <w:rsid w:val="00094428"/>
    <w:rsid w:val="00094860"/>
    <w:rsid w:val="000954B9"/>
    <w:rsid w:val="000955D3"/>
    <w:rsid w:val="000958B8"/>
    <w:rsid w:val="0009594E"/>
    <w:rsid w:val="00095B2C"/>
    <w:rsid w:val="00095DB2"/>
    <w:rsid w:val="0009601A"/>
    <w:rsid w:val="000960A8"/>
    <w:rsid w:val="000960AA"/>
    <w:rsid w:val="000963BB"/>
    <w:rsid w:val="00096B02"/>
    <w:rsid w:val="00096D1B"/>
    <w:rsid w:val="000A0DD1"/>
    <w:rsid w:val="000A112D"/>
    <w:rsid w:val="000A1F0F"/>
    <w:rsid w:val="000A2B02"/>
    <w:rsid w:val="000A2D90"/>
    <w:rsid w:val="000A3269"/>
    <w:rsid w:val="000A3386"/>
    <w:rsid w:val="000A33D0"/>
    <w:rsid w:val="000A348D"/>
    <w:rsid w:val="000A35DD"/>
    <w:rsid w:val="000A39C3"/>
    <w:rsid w:val="000A3B7A"/>
    <w:rsid w:val="000A3C7A"/>
    <w:rsid w:val="000A4439"/>
    <w:rsid w:val="000A4B71"/>
    <w:rsid w:val="000A4F5D"/>
    <w:rsid w:val="000A522C"/>
    <w:rsid w:val="000A55E7"/>
    <w:rsid w:val="000A55FB"/>
    <w:rsid w:val="000A59EE"/>
    <w:rsid w:val="000A612A"/>
    <w:rsid w:val="000A6378"/>
    <w:rsid w:val="000B0158"/>
    <w:rsid w:val="000B03E0"/>
    <w:rsid w:val="000B03FF"/>
    <w:rsid w:val="000B07B3"/>
    <w:rsid w:val="000B093D"/>
    <w:rsid w:val="000B0A37"/>
    <w:rsid w:val="000B1064"/>
    <w:rsid w:val="000B33B7"/>
    <w:rsid w:val="000B38CE"/>
    <w:rsid w:val="000B4265"/>
    <w:rsid w:val="000B4909"/>
    <w:rsid w:val="000B4918"/>
    <w:rsid w:val="000B499C"/>
    <w:rsid w:val="000B4D76"/>
    <w:rsid w:val="000B55D3"/>
    <w:rsid w:val="000B55F4"/>
    <w:rsid w:val="000B5A87"/>
    <w:rsid w:val="000B6124"/>
    <w:rsid w:val="000B6FFD"/>
    <w:rsid w:val="000B7643"/>
    <w:rsid w:val="000B7661"/>
    <w:rsid w:val="000B78A2"/>
    <w:rsid w:val="000B7E8D"/>
    <w:rsid w:val="000C0867"/>
    <w:rsid w:val="000C0B20"/>
    <w:rsid w:val="000C0E4F"/>
    <w:rsid w:val="000C1492"/>
    <w:rsid w:val="000C1781"/>
    <w:rsid w:val="000C1F27"/>
    <w:rsid w:val="000C2754"/>
    <w:rsid w:val="000C29AF"/>
    <w:rsid w:val="000C2BF1"/>
    <w:rsid w:val="000C2D18"/>
    <w:rsid w:val="000C2F83"/>
    <w:rsid w:val="000C3DA1"/>
    <w:rsid w:val="000C3F6E"/>
    <w:rsid w:val="000C4404"/>
    <w:rsid w:val="000C4D2A"/>
    <w:rsid w:val="000C4FE1"/>
    <w:rsid w:val="000C52BF"/>
    <w:rsid w:val="000C5474"/>
    <w:rsid w:val="000C570E"/>
    <w:rsid w:val="000C6812"/>
    <w:rsid w:val="000C7FD7"/>
    <w:rsid w:val="000D01DB"/>
    <w:rsid w:val="000D080C"/>
    <w:rsid w:val="000D16B2"/>
    <w:rsid w:val="000D1FD3"/>
    <w:rsid w:val="000D2236"/>
    <w:rsid w:val="000D2972"/>
    <w:rsid w:val="000D3706"/>
    <w:rsid w:val="000D3922"/>
    <w:rsid w:val="000D3FF8"/>
    <w:rsid w:val="000D4127"/>
    <w:rsid w:val="000D4815"/>
    <w:rsid w:val="000D4AEA"/>
    <w:rsid w:val="000D4CE9"/>
    <w:rsid w:val="000D4E85"/>
    <w:rsid w:val="000D560A"/>
    <w:rsid w:val="000D573E"/>
    <w:rsid w:val="000D573F"/>
    <w:rsid w:val="000D660F"/>
    <w:rsid w:val="000D696F"/>
    <w:rsid w:val="000D69BA"/>
    <w:rsid w:val="000D6C46"/>
    <w:rsid w:val="000D6CE3"/>
    <w:rsid w:val="000D6D32"/>
    <w:rsid w:val="000E0EE1"/>
    <w:rsid w:val="000E1407"/>
    <w:rsid w:val="000E18A8"/>
    <w:rsid w:val="000E1912"/>
    <w:rsid w:val="000E1AD6"/>
    <w:rsid w:val="000E1E14"/>
    <w:rsid w:val="000E29A8"/>
    <w:rsid w:val="000E2F67"/>
    <w:rsid w:val="000E3500"/>
    <w:rsid w:val="000E3746"/>
    <w:rsid w:val="000E4573"/>
    <w:rsid w:val="000E48B3"/>
    <w:rsid w:val="000E4924"/>
    <w:rsid w:val="000E4B4F"/>
    <w:rsid w:val="000E4BB3"/>
    <w:rsid w:val="000E4D5D"/>
    <w:rsid w:val="000E4EC7"/>
    <w:rsid w:val="000E50B6"/>
    <w:rsid w:val="000E536C"/>
    <w:rsid w:val="000E5612"/>
    <w:rsid w:val="000E5B6F"/>
    <w:rsid w:val="000E5DFB"/>
    <w:rsid w:val="000E648A"/>
    <w:rsid w:val="000E6766"/>
    <w:rsid w:val="000E6C99"/>
    <w:rsid w:val="000E76B9"/>
    <w:rsid w:val="000E7793"/>
    <w:rsid w:val="000E7C4D"/>
    <w:rsid w:val="000E7E72"/>
    <w:rsid w:val="000E7E94"/>
    <w:rsid w:val="000F01E4"/>
    <w:rsid w:val="000F054E"/>
    <w:rsid w:val="000F14F7"/>
    <w:rsid w:val="000F1653"/>
    <w:rsid w:val="000F1C71"/>
    <w:rsid w:val="000F290A"/>
    <w:rsid w:val="000F308B"/>
    <w:rsid w:val="000F355B"/>
    <w:rsid w:val="000F3B67"/>
    <w:rsid w:val="000F3F8E"/>
    <w:rsid w:val="000F403D"/>
    <w:rsid w:val="000F42B6"/>
    <w:rsid w:val="000F4370"/>
    <w:rsid w:val="000F4C7C"/>
    <w:rsid w:val="000F4D28"/>
    <w:rsid w:val="000F4E32"/>
    <w:rsid w:val="000F51C3"/>
    <w:rsid w:val="000F56B9"/>
    <w:rsid w:val="000F5F6C"/>
    <w:rsid w:val="000F652C"/>
    <w:rsid w:val="000F67FE"/>
    <w:rsid w:val="000F6ACB"/>
    <w:rsid w:val="000F6F49"/>
    <w:rsid w:val="000F72CA"/>
    <w:rsid w:val="000F7B49"/>
    <w:rsid w:val="0010042E"/>
    <w:rsid w:val="0010083F"/>
    <w:rsid w:val="00100A1B"/>
    <w:rsid w:val="00100DDF"/>
    <w:rsid w:val="00100F18"/>
    <w:rsid w:val="001014D7"/>
    <w:rsid w:val="001016C6"/>
    <w:rsid w:val="00102300"/>
    <w:rsid w:val="0010243E"/>
    <w:rsid w:val="001026BA"/>
    <w:rsid w:val="001027B5"/>
    <w:rsid w:val="001028DC"/>
    <w:rsid w:val="00102CD2"/>
    <w:rsid w:val="00104593"/>
    <w:rsid w:val="00104A58"/>
    <w:rsid w:val="00105305"/>
    <w:rsid w:val="001059D7"/>
    <w:rsid w:val="00105D08"/>
    <w:rsid w:val="0010613C"/>
    <w:rsid w:val="00106AEB"/>
    <w:rsid w:val="00106E94"/>
    <w:rsid w:val="00107837"/>
    <w:rsid w:val="001104E2"/>
    <w:rsid w:val="00111296"/>
    <w:rsid w:val="001113B2"/>
    <w:rsid w:val="001114D2"/>
    <w:rsid w:val="001119C7"/>
    <w:rsid w:val="00111BF9"/>
    <w:rsid w:val="00112018"/>
    <w:rsid w:val="00112267"/>
    <w:rsid w:val="0011290A"/>
    <w:rsid w:val="00112A5D"/>
    <w:rsid w:val="00112DEF"/>
    <w:rsid w:val="00113365"/>
    <w:rsid w:val="0011482D"/>
    <w:rsid w:val="00114A87"/>
    <w:rsid w:val="00114D0C"/>
    <w:rsid w:val="001156E7"/>
    <w:rsid w:val="00115767"/>
    <w:rsid w:val="00115931"/>
    <w:rsid w:val="00115F15"/>
    <w:rsid w:val="0011609C"/>
    <w:rsid w:val="00117544"/>
    <w:rsid w:val="0012073A"/>
    <w:rsid w:val="00120997"/>
    <w:rsid w:val="00120EA1"/>
    <w:rsid w:val="00120F86"/>
    <w:rsid w:val="00121150"/>
    <w:rsid w:val="001212D3"/>
    <w:rsid w:val="00121CAC"/>
    <w:rsid w:val="00121D0F"/>
    <w:rsid w:val="00122960"/>
    <w:rsid w:val="00122A87"/>
    <w:rsid w:val="00122E9F"/>
    <w:rsid w:val="001232D7"/>
    <w:rsid w:val="00123615"/>
    <w:rsid w:val="001237CC"/>
    <w:rsid w:val="00123AE6"/>
    <w:rsid w:val="00124F65"/>
    <w:rsid w:val="00125FB4"/>
    <w:rsid w:val="00126DD3"/>
    <w:rsid w:val="00127624"/>
    <w:rsid w:val="00130AFC"/>
    <w:rsid w:val="00130BF6"/>
    <w:rsid w:val="00130E48"/>
    <w:rsid w:val="00130FC3"/>
    <w:rsid w:val="001313B0"/>
    <w:rsid w:val="0013155A"/>
    <w:rsid w:val="001320E9"/>
    <w:rsid w:val="00132E93"/>
    <w:rsid w:val="00133B1B"/>
    <w:rsid w:val="00133C0A"/>
    <w:rsid w:val="00133E5C"/>
    <w:rsid w:val="00134319"/>
    <w:rsid w:val="001343C6"/>
    <w:rsid w:val="00134BA8"/>
    <w:rsid w:val="00134F62"/>
    <w:rsid w:val="0013548C"/>
    <w:rsid w:val="0013599E"/>
    <w:rsid w:val="00135D06"/>
    <w:rsid w:val="00136195"/>
    <w:rsid w:val="00136827"/>
    <w:rsid w:val="00136EC5"/>
    <w:rsid w:val="0013718A"/>
    <w:rsid w:val="00137419"/>
    <w:rsid w:val="0013777F"/>
    <w:rsid w:val="00137AF8"/>
    <w:rsid w:val="00140C4F"/>
    <w:rsid w:val="00141065"/>
    <w:rsid w:val="00141077"/>
    <w:rsid w:val="00141730"/>
    <w:rsid w:val="00141D86"/>
    <w:rsid w:val="0014215D"/>
    <w:rsid w:val="0014251F"/>
    <w:rsid w:val="00142F12"/>
    <w:rsid w:val="001430F2"/>
    <w:rsid w:val="001433F2"/>
    <w:rsid w:val="001437FF"/>
    <w:rsid w:val="001443C7"/>
    <w:rsid w:val="00145057"/>
    <w:rsid w:val="0014522C"/>
    <w:rsid w:val="001452F9"/>
    <w:rsid w:val="001454EF"/>
    <w:rsid w:val="00145DAD"/>
    <w:rsid w:val="00145ED6"/>
    <w:rsid w:val="00145F7F"/>
    <w:rsid w:val="00146744"/>
    <w:rsid w:val="00146864"/>
    <w:rsid w:val="00146A8E"/>
    <w:rsid w:val="00146C55"/>
    <w:rsid w:val="00146EED"/>
    <w:rsid w:val="00147A98"/>
    <w:rsid w:val="00147FCA"/>
    <w:rsid w:val="00150529"/>
    <w:rsid w:val="0015075A"/>
    <w:rsid w:val="00151918"/>
    <w:rsid w:val="00151E27"/>
    <w:rsid w:val="00152430"/>
    <w:rsid w:val="0015286F"/>
    <w:rsid w:val="00152E3F"/>
    <w:rsid w:val="001533FD"/>
    <w:rsid w:val="00153B53"/>
    <w:rsid w:val="001544ED"/>
    <w:rsid w:val="00154F5D"/>
    <w:rsid w:val="00155FCC"/>
    <w:rsid w:val="00157BE9"/>
    <w:rsid w:val="00160446"/>
    <w:rsid w:val="0016059A"/>
    <w:rsid w:val="00160F24"/>
    <w:rsid w:val="0016165C"/>
    <w:rsid w:val="00161E98"/>
    <w:rsid w:val="00161FEF"/>
    <w:rsid w:val="00162155"/>
    <w:rsid w:val="0016278B"/>
    <w:rsid w:val="00162CA9"/>
    <w:rsid w:val="00163285"/>
    <w:rsid w:val="0016351C"/>
    <w:rsid w:val="00163692"/>
    <w:rsid w:val="001637E6"/>
    <w:rsid w:val="001640A2"/>
    <w:rsid w:val="001645D0"/>
    <w:rsid w:val="00164F97"/>
    <w:rsid w:val="001652A8"/>
    <w:rsid w:val="0016582D"/>
    <w:rsid w:val="00166180"/>
    <w:rsid w:val="0016627F"/>
    <w:rsid w:val="00166E84"/>
    <w:rsid w:val="00167D22"/>
    <w:rsid w:val="00167D46"/>
    <w:rsid w:val="00170644"/>
    <w:rsid w:val="00170CEE"/>
    <w:rsid w:val="00170FF2"/>
    <w:rsid w:val="0017102D"/>
    <w:rsid w:val="0017118B"/>
    <w:rsid w:val="00171F21"/>
    <w:rsid w:val="00171FF7"/>
    <w:rsid w:val="00172AFA"/>
    <w:rsid w:val="00172CA8"/>
    <w:rsid w:val="00172CCF"/>
    <w:rsid w:val="001730BB"/>
    <w:rsid w:val="001734F2"/>
    <w:rsid w:val="00173B6A"/>
    <w:rsid w:val="00173FB3"/>
    <w:rsid w:val="001745BD"/>
    <w:rsid w:val="00174895"/>
    <w:rsid w:val="001752FB"/>
    <w:rsid w:val="00175387"/>
    <w:rsid w:val="00175423"/>
    <w:rsid w:val="00175A41"/>
    <w:rsid w:val="0017658A"/>
    <w:rsid w:val="00176F37"/>
    <w:rsid w:val="001770A9"/>
    <w:rsid w:val="0017781E"/>
    <w:rsid w:val="001779CD"/>
    <w:rsid w:val="00177FEF"/>
    <w:rsid w:val="0018125A"/>
    <w:rsid w:val="00181B83"/>
    <w:rsid w:val="001820F4"/>
    <w:rsid w:val="001829C4"/>
    <w:rsid w:val="00182C80"/>
    <w:rsid w:val="00182F6D"/>
    <w:rsid w:val="001830C0"/>
    <w:rsid w:val="00183575"/>
    <w:rsid w:val="001837D1"/>
    <w:rsid w:val="00184081"/>
    <w:rsid w:val="001841A0"/>
    <w:rsid w:val="001848F0"/>
    <w:rsid w:val="00184C3B"/>
    <w:rsid w:val="0018504E"/>
    <w:rsid w:val="00185394"/>
    <w:rsid w:val="00185CEE"/>
    <w:rsid w:val="00185D65"/>
    <w:rsid w:val="001860EE"/>
    <w:rsid w:val="001866FB"/>
    <w:rsid w:val="001879DB"/>
    <w:rsid w:val="00190127"/>
    <w:rsid w:val="00190EB0"/>
    <w:rsid w:val="00190F68"/>
    <w:rsid w:val="00190FF5"/>
    <w:rsid w:val="001915B2"/>
    <w:rsid w:val="00193860"/>
    <w:rsid w:val="00193A49"/>
    <w:rsid w:val="00194EF5"/>
    <w:rsid w:val="00195777"/>
    <w:rsid w:val="0019622F"/>
    <w:rsid w:val="001964DF"/>
    <w:rsid w:val="00196C79"/>
    <w:rsid w:val="00196D10"/>
    <w:rsid w:val="00197324"/>
    <w:rsid w:val="00197F7F"/>
    <w:rsid w:val="001A0A55"/>
    <w:rsid w:val="001A0EAB"/>
    <w:rsid w:val="001A0F3A"/>
    <w:rsid w:val="001A0FC3"/>
    <w:rsid w:val="001A19FC"/>
    <w:rsid w:val="001A27C7"/>
    <w:rsid w:val="001A2805"/>
    <w:rsid w:val="001A2AD5"/>
    <w:rsid w:val="001A2C48"/>
    <w:rsid w:val="001A30B6"/>
    <w:rsid w:val="001A3461"/>
    <w:rsid w:val="001A3669"/>
    <w:rsid w:val="001A3CA6"/>
    <w:rsid w:val="001A3FC9"/>
    <w:rsid w:val="001A4704"/>
    <w:rsid w:val="001A49F7"/>
    <w:rsid w:val="001A4B6F"/>
    <w:rsid w:val="001A4C2B"/>
    <w:rsid w:val="001A5F7F"/>
    <w:rsid w:val="001A6396"/>
    <w:rsid w:val="001A6D74"/>
    <w:rsid w:val="001A7235"/>
    <w:rsid w:val="001A78AE"/>
    <w:rsid w:val="001A7BE0"/>
    <w:rsid w:val="001A7F40"/>
    <w:rsid w:val="001B00D6"/>
    <w:rsid w:val="001B043E"/>
    <w:rsid w:val="001B061E"/>
    <w:rsid w:val="001B11CE"/>
    <w:rsid w:val="001B1EE4"/>
    <w:rsid w:val="001B264C"/>
    <w:rsid w:val="001B2717"/>
    <w:rsid w:val="001B2DE0"/>
    <w:rsid w:val="001B3A29"/>
    <w:rsid w:val="001B3FF4"/>
    <w:rsid w:val="001B4285"/>
    <w:rsid w:val="001B4B66"/>
    <w:rsid w:val="001B54DA"/>
    <w:rsid w:val="001B5B83"/>
    <w:rsid w:val="001B5D91"/>
    <w:rsid w:val="001B6757"/>
    <w:rsid w:val="001B6E3B"/>
    <w:rsid w:val="001B736C"/>
    <w:rsid w:val="001B75FE"/>
    <w:rsid w:val="001B786D"/>
    <w:rsid w:val="001B7B5D"/>
    <w:rsid w:val="001B7CD2"/>
    <w:rsid w:val="001B7D4E"/>
    <w:rsid w:val="001B7F31"/>
    <w:rsid w:val="001C08F3"/>
    <w:rsid w:val="001C0F4D"/>
    <w:rsid w:val="001C1409"/>
    <w:rsid w:val="001C14CC"/>
    <w:rsid w:val="001C164D"/>
    <w:rsid w:val="001C1A8C"/>
    <w:rsid w:val="001C2026"/>
    <w:rsid w:val="001C2AFB"/>
    <w:rsid w:val="001C2F74"/>
    <w:rsid w:val="001C3237"/>
    <w:rsid w:val="001C34BF"/>
    <w:rsid w:val="001C3885"/>
    <w:rsid w:val="001C39B1"/>
    <w:rsid w:val="001C4437"/>
    <w:rsid w:val="001C49D3"/>
    <w:rsid w:val="001C4F40"/>
    <w:rsid w:val="001C508E"/>
    <w:rsid w:val="001C5965"/>
    <w:rsid w:val="001C59C3"/>
    <w:rsid w:val="001C63FF"/>
    <w:rsid w:val="001C771B"/>
    <w:rsid w:val="001D002C"/>
    <w:rsid w:val="001D01D3"/>
    <w:rsid w:val="001D038E"/>
    <w:rsid w:val="001D0AE2"/>
    <w:rsid w:val="001D15C8"/>
    <w:rsid w:val="001D1740"/>
    <w:rsid w:val="001D19FC"/>
    <w:rsid w:val="001D1E8D"/>
    <w:rsid w:val="001D2FC8"/>
    <w:rsid w:val="001D387C"/>
    <w:rsid w:val="001D3996"/>
    <w:rsid w:val="001D4414"/>
    <w:rsid w:val="001D6C3B"/>
    <w:rsid w:val="001D71D7"/>
    <w:rsid w:val="001D733C"/>
    <w:rsid w:val="001D7D09"/>
    <w:rsid w:val="001D7E3B"/>
    <w:rsid w:val="001E0A4B"/>
    <w:rsid w:val="001E0B93"/>
    <w:rsid w:val="001E13ED"/>
    <w:rsid w:val="001E271E"/>
    <w:rsid w:val="001E2A23"/>
    <w:rsid w:val="001E2DA7"/>
    <w:rsid w:val="001E2EC5"/>
    <w:rsid w:val="001E4086"/>
    <w:rsid w:val="001E40BB"/>
    <w:rsid w:val="001E4368"/>
    <w:rsid w:val="001E4A01"/>
    <w:rsid w:val="001E50DF"/>
    <w:rsid w:val="001E5515"/>
    <w:rsid w:val="001E571E"/>
    <w:rsid w:val="001E5DC7"/>
    <w:rsid w:val="001E60BE"/>
    <w:rsid w:val="001E64BD"/>
    <w:rsid w:val="001E6BA9"/>
    <w:rsid w:val="001E6DA0"/>
    <w:rsid w:val="001E702A"/>
    <w:rsid w:val="001E7F9D"/>
    <w:rsid w:val="001F043A"/>
    <w:rsid w:val="001F0466"/>
    <w:rsid w:val="001F0672"/>
    <w:rsid w:val="001F0745"/>
    <w:rsid w:val="001F07A9"/>
    <w:rsid w:val="001F0CCA"/>
    <w:rsid w:val="001F11A4"/>
    <w:rsid w:val="001F14D1"/>
    <w:rsid w:val="001F1898"/>
    <w:rsid w:val="001F1A36"/>
    <w:rsid w:val="001F1DCB"/>
    <w:rsid w:val="001F2935"/>
    <w:rsid w:val="001F2D17"/>
    <w:rsid w:val="001F38D6"/>
    <w:rsid w:val="001F3F46"/>
    <w:rsid w:val="001F4DAA"/>
    <w:rsid w:val="001F59A5"/>
    <w:rsid w:val="001F5E34"/>
    <w:rsid w:val="001F6075"/>
    <w:rsid w:val="001F60A9"/>
    <w:rsid w:val="001F6212"/>
    <w:rsid w:val="001F622C"/>
    <w:rsid w:val="001F62AE"/>
    <w:rsid w:val="001F6F28"/>
    <w:rsid w:val="001F77FB"/>
    <w:rsid w:val="001F7E78"/>
    <w:rsid w:val="002003CA"/>
    <w:rsid w:val="00200749"/>
    <w:rsid w:val="002011F7"/>
    <w:rsid w:val="00201524"/>
    <w:rsid w:val="00201C55"/>
    <w:rsid w:val="00202522"/>
    <w:rsid w:val="00203D50"/>
    <w:rsid w:val="00203EA9"/>
    <w:rsid w:val="002040DA"/>
    <w:rsid w:val="002044F1"/>
    <w:rsid w:val="00204556"/>
    <w:rsid w:val="00204669"/>
    <w:rsid w:val="00204CFA"/>
    <w:rsid w:val="002054B8"/>
    <w:rsid w:val="00205D2B"/>
    <w:rsid w:val="0020649E"/>
    <w:rsid w:val="00206A6D"/>
    <w:rsid w:val="00206DED"/>
    <w:rsid w:val="00206F38"/>
    <w:rsid w:val="00206F69"/>
    <w:rsid w:val="00206F6D"/>
    <w:rsid w:val="002072C6"/>
    <w:rsid w:val="002072E2"/>
    <w:rsid w:val="002075C7"/>
    <w:rsid w:val="0020793B"/>
    <w:rsid w:val="00210256"/>
    <w:rsid w:val="0021080C"/>
    <w:rsid w:val="0021081A"/>
    <w:rsid w:val="00210839"/>
    <w:rsid w:val="00210B08"/>
    <w:rsid w:val="00210DE6"/>
    <w:rsid w:val="002117F7"/>
    <w:rsid w:val="00211FA3"/>
    <w:rsid w:val="0021229F"/>
    <w:rsid w:val="002124E3"/>
    <w:rsid w:val="002129E1"/>
    <w:rsid w:val="00213766"/>
    <w:rsid w:val="00213E9B"/>
    <w:rsid w:val="00213EEC"/>
    <w:rsid w:val="00214005"/>
    <w:rsid w:val="00214531"/>
    <w:rsid w:val="002150A9"/>
    <w:rsid w:val="00215299"/>
    <w:rsid w:val="002153A6"/>
    <w:rsid w:val="00215893"/>
    <w:rsid w:val="0021657B"/>
    <w:rsid w:val="00216AD0"/>
    <w:rsid w:val="00216B1F"/>
    <w:rsid w:val="00216CDD"/>
    <w:rsid w:val="002170BE"/>
    <w:rsid w:val="002178E5"/>
    <w:rsid w:val="00217957"/>
    <w:rsid w:val="00217BD7"/>
    <w:rsid w:val="00220401"/>
    <w:rsid w:val="00220608"/>
    <w:rsid w:val="00220E0D"/>
    <w:rsid w:val="00221031"/>
    <w:rsid w:val="0022108B"/>
    <w:rsid w:val="002216EC"/>
    <w:rsid w:val="002222BD"/>
    <w:rsid w:val="002224EA"/>
    <w:rsid w:val="00222D1E"/>
    <w:rsid w:val="00222DAD"/>
    <w:rsid w:val="00222FB8"/>
    <w:rsid w:val="0022387E"/>
    <w:rsid w:val="002239C3"/>
    <w:rsid w:val="00223C56"/>
    <w:rsid w:val="002245EF"/>
    <w:rsid w:val="00224D61"/>
    <w:rsid w:val="002251FA"/>
    <w:rsid w:val="0022576B"/>
    <w:rsid w:val="00225B24"/>
    <w:rsid w:val="00225DC9"/>
    <w:rsid w:val="0022637F"/>
    <w:rsid w:val="002268ED"/>
    <w:rsid w:val="002271D4"/>
    <w:rsid w:val="00227673"/>
    <w:rsid w:val="002277AE"/>
    <w:rsid w:val="0022782A"/>
    <w:rsid w:val="00227E03"/>
    <w:rsid w:val="00227FD0"/>
    <w:rsid w:val="002300A8"/>
    <w:rsid w:val="002303C2"/>
    <w:rsid w:val="00230679"/>
    <w:rsid w:val="002314BF"/>
    <w:rsid w:val="00231910"/>
    <w:rsid w:val="002319A0"/>
    <w:rsid w:val="00231C38"/>
    <w:rsid w:val="00232137"/>
    <w:rsid w:val="00232402"/>
    <w:rsid w:val="00232519"/>
    <w:rsid w:val="0023289D"/>
    <w:rsid w:val="00233778"/>
    <w:rsid w:val="00233A4E"/>
    <w:rsid w:val="00233C5A"/>
    <w:rsid w:val="002340EF"/>
    <w:rsid w:val="0023413C"/>
    <w:rsid w:val="00235223"/>
    <w:rsid w:val="00235640"/>
    <w:rsid w:val="00235807"/>
    <w:rsid w:val="00235B6E"/>
    <w:rsid w:val="002363E2"/>
    <w:rsid w:val="00236513"/>
    <w:rsid w:val="00236892"/>
    <w:rsid w:val="00237724"/>
    <w:rsid w:val="00240057"/>
    <w:rsid w:val="00240D06"/>
    <w:rsid w:val="0024118F"/>
    <w:rsid w:val="00241ACB"/>
    <w:rsid w:val="00241D65"/>
    <w:rsid w:val="00241F10"/>
    <w:rsid w:val="00242ED4"/>
    <w:rsid w:val="00242F40"/>
    <w:rsid w:val="00243065"/>
    <w:rsid w:val="00243AF2"/>
    <w:rsid w:val="0024432A"/>
    <w:rsid w:val="00244449"/>
    <w:rsid w:val="002449BE"/>
    <w:rsid w:val="0024585A"/>
    <w:rsid w:val="00246292"/>
    <w:rsid w:val="002469E7"/>
    <w:rsid w:val="0024737A"/>
    <w:rsid w:val="00247638"/>
    <w:rsid w:val="00250334"/>
    <w:rsid w:val="002505D0"/>
    <w:rsid w:val="00250CC7"/>
    <w:rsid w:val="00251945"/>
    <w:rsid w:val="0025194F"/>
    <w:rsid w:val="002522C5"/>
    <w:rsid w:val="002524BA"/>
    <w:rsid w:val="00252BAC"/>
    <w:rsid w:val="002533B9"/>
    <w:rsid w:val="00253553"/>
    <w:rsid w:val="002539C0"/>
    <w:rsid w:val="0025434B"/>
    <w:rsid w:val="00254C55"/>
    <w:rsid w:val="00254C79"/>
    <w:rsid w:val="00254F38"/>
    <w:rsid w:val="00255311"/>
    <w:rsid w:val="00255D7A"/>
    <w:rsid w:val="00256046"/>
    <w:rsid w:val="002567C8"/>
    <w:rsid w:val="002569C6"/>
    <w:rsid w:val="00257944"/>
    <w:rsid w:val="0026002E"/>
    <w:rsid w:val="00260119"/>
    <w:rsid w:val="00261414"/>
    <w:rsid w:val="00261707"/>
    <w:rsid w:val="00261F34"/>
    <w:rsid w:val="002622FA"/>
    <w:rsid w:val="00263CDD"/>
    <w:rsid w:val="00264302"/>
    <w:rsid w:val="002649B6"/>
    <w:rsid w:val="00264B8E"/>
    <w:rsid w:val="00264DFB"/>
    <w:rsid w:val="0026563E"/>
    <w:rsid w:val="0026587F"/>
    <w:rsid w:val="002658BE"/>
    <w:rsid w:val="00265F73"/>
    <w:rsid w:val="00266551"/>
    <w:rsid w:val="0026696D"/>
    <w:rsid w:val="00266BD2"/>
    <w:rsid w:val="00266C71"/>
    <w:rsid w:val="00267109"/>
    <w:rsid w:val="0026749A"/>
    <w:rsid w:val="002679BD"/>
    <w:rsid w:val="00267EE3"/>
    <w:rsid w:val="00270752"/>
    <w:rsid w:val="00270959"/>
    <w:rsid w:val="00270E85"/>
    <w:rsid w:val="002710EB"/>
    <w:rsid w:val="002712FB"/>
    <w:rsid w:val="00271A77"/>
    <w:rsid w:val="00271C39"/>
    <w:rsid w:val="00272C87"/>
    <w:rsid w:val="0027304B"/>
    <w:rsid w:val="002737CC"/>
    <w:rsid w:val="00273B69"/>
    <w:rsid w:val="00273F3C"/>
    <w:rsid w:val="0027407A"/>
    <w:rsid w:val="00274162"/>
    <w:rsid w:val="002747CA"/>
    <w:rsid w:val="00274D6D"/>
    <w:rsid w:val="002754D8"/>
    <w:rsid w:val="002755EE"/>
    <w:rsid w:val="002759B2"/>
    <w:rsid w:val="002760AA"/>
    <w:rsid w:val="0027659D"/>
    <w:rsid w:val="00276A80"/>
    <w:rsid w:val="00276E5A"/>
    <w:rsid w:val="00276FDE"/>
    <w:rsid w:val="00277116"/>
    <w:rsid w:val="00280292"/>
    <w:rsid w:val="0028049A"/>
    <w:rsid w:val="00280622"/>
    <w:rsid w:val="00280768"/>
    <w:rsid w:val="00280DB1"/>
    <w:rsid w:val="00280E6F"/>
    <w:rsid w:val="0028101C"/>
    <w:rsid w:val="0028156A"/>
    <w:rsid w:val="002816FE"/>
    <w:rsid w:val="00281792"/>
    <w:rsid w:val="00281A90"/>
    <w:rsid w:val="00282800"/>
    <w:rsid w:val="00283E65"/>
    <w:rsid w:val="00284260"/>
    <w:rsid w:val="00284BC6"/>
    <w:rsid w:val="00284CCD"/>
    <w:rsid w:val="0028503D"/>
    <w:rsid w:val="00286316"/>
    <w:rsid w:val="0028654D"/>
    <w:rsid w:val="00286E10"/>
    <w:rsid w:val="00286FE6"/>
    <w:rsid w:val="002872B2"/>
    <w:rsid w:val="0028785E"/>
    <w:rsid w:val="00287D75"/>
    <w:rsid w:val="00291178"/>
    <w:rsid w:val="002914DC"/>
    <w:rsid w:val="00291637"/>
    <w:rsid w:val="00292032"/>
    <w:rsid w:val="002920B3"/>
    <w:rsid w:val="00292259"/>
    <w:rsid w:val="00292327"/>
    <w:rsid w:val="002926D4"/>
    <w:rsid w:val="00292801"/>
    <w:rsid w:val="00292B77"/>
    <w:rsid w:val="00292C10"/>
    <w:rsid w:val="00292DD0"/>
    <w:rsid w:val="00293174"/>
    <w:rsid w:val="0029361B"/>
    <w:rsid w:val="0029361C"/>
    <w:rsid w:val="00293855"/>
    <w:rsid w:val="002949C7"/>
    <w:rsid w:val="00295A8F"/>
    <w:rsid w:val="00295C0E"/>
    <w:rsid w:val="00295E44"/>
    <w:rsid w:val="00295F05"/>
    <w:rsid w:val="00297A46"/>
    <w:rsid w:val="00297A7F"/>
    <w:rsid w:val="00297CED"/>
    <w:rsid w:val="00297E06"/>
    <w:rsid w:val="002A0436"/>
    <w:rsid w:val="002A064F"/>
    <w:rsid w:val="002A0E4E"/>
    <w:rsid w:val="002A1201"/>
    <w:rsid w:val="002A13B7"/>
    <w:rsid w:val="002A1921"/>
    <w:rsid w:val="002A1E8F"/>
    <w:rsid w:val="002A2E11"/>
    <w:rsid w:val="002A2FC4"/>
    <w:rsid w:val="002A39DC"/>
    <w:rsid w:val="002A47E1"/>
    <w:rsid w:val="002A4FA3"/>
    <w:rsid w:val="002A728F"/>
    <w:rsid w:val="002A72E2"/>
    <w:rsid w:val="002B023B"/>
    <w:rsid w:val="002B09D6"/>
    <w:rsid w:val="002B15C3"/>
    <w:rsid w:val="002B1891"/>
    <w:rsid w:val="002B2097"/>
    <w:rsid w:val="002B233F"/>
    <w:rsid w:val="002B345A"/>
    <w:rsid w:val="002B34F6"/>
    <w:rsid w:val="002B38BA"/>
    <w:rsid w:val="002B3DBA"/>
    <w:rsid w:val="002B44E1"/>
    <w:rsid w:val="002B47D1"/>
    <w:rsid w:val="002B47E1"/>
    <w:rsid w:val="002B4948"/>
    <w:rsid w:val="002B4C0E"/>
    <w:rsid w:val="002B4CFF"/>
    <w:rsid w:val="002B556D"/>
    <w:rsid w:val="002B5F98"/>
    <w:rsid w:val="002B664E"/>
    <w:rsid w:val="002B6656"/>
    <w:rsid w:val="002B6DEC"/>
    <w:rsid w:val="002B718D"/>
    <w:rsid w:val="002B77F9"/>
    <w:rsid w:val="002C088A"/>
    <w:rsid w:val="002C117B"/>
    <w:rsid w:val="002C11AB"/>
    <w:rsid w:val="002C191F"/>
    <w:rsid w:val="002C20A2"/>
    <w:rsid w:val="002C33A9"/>
    <w:rsid w:val="002C3691"/>
    <w:rsid w:val="002C416F"/>
    <w:rsid w:val="002C43FC"/>
    <w:rsid w:val="002C4452"/>
    <w:rsid w:val="002C461A"/>
    <w:rsid w:val="002C4B82"/>
    <w:rsid w:val="002C503B"/>
    <w:rsid w:val="002C5B3E"/>
    <w:rsid w:val="002C5B51"/>
    <w:rsid w:val="002C5C1E"/>
    <w:rsid w:val="002C6860"/>
    <w:rsid w:val="002C6DE3"/>
    <w:rsid w:val="002C6FC6"/>
    <w:rsid w:val="002C7B40"/>
    <w:rsid w:val="002D06FA"/>
    <w:rsid w:val="002D0D2B"/>
    <w:rsid w:val="002D0EAA"/>
    <w:rsid w:val="002D151D"/>
    <w:rsid w:val="002D2275"/>
    <w:rsid w:val="002D32FE"/>
    <w:rsid w:val="002D3669"/>
    <w:rsid w:val="002D3737"/>
    <w:rsid w:val="002D3879"/>
    <w:rsid w:val="002D389A"/>
    <w:rsid w:val="002D39BD"/>
    <w:rsid w:val="002D3B0C"/>
    <w:rsid w:val="002D462E"/>
    <w:rsid w:val="002D4D88"/>
    <w:rsid w:val="002D532F"/>
    <w:rsid w:val="002D5A25"/>
    <w:rsid w:val="002D5CE9"/>
    <w:rsid w:val="002D63BC"/>
    <w:rsid w:val="002D6784"/>
    <w:rsid w:val="002D6A86"/>
    <w:rsid w:val="002D6CAA"/>
    <w:rsid w:val="002D6E3A"/>
    <w:rsid w:val="002D71D8"/>
    <w:rsid w:val="002D7441"/>
    <w:rsid w:val="002D7732"/>
    <w:rsid w:val="002D7AFD"/>
    <w:rsid w:val="002D7B9D"/>
    <w:rsid w:val="002D7C4B"/>
    <w:rsid w:val="002E0A5F"/>
    <w:rsid w:val="002E18F0"/>
    <w:rsid w:val="002E1BC6"/>
    <w:rsid w:val="002E1F23"/>
    <w:rsid w:val="002E2AAE"/>
    <w:rsid w:val="002E2B4D"/>
    <w:rsid w:val="002E2F2F"/>
    <w:rsid w:val="002E3360"/>
    <w:rsid w:val="002E3E1D"/>
    <w:rsid w:val="002E4080"/>
    <w:rsid w:val="002E4E4C"/>
    <w:rsid w:val="002E54BA"/>
    <w:rsid w:val="002E58E3"/>
    <w:rsid w:val="002E5C43"/>
    <w:rsid w:val="002E62B1"/>
    <w:rsid w:val="002E652C"/>
    <w:rsid w:val="002E6626"/>
    <w:rsid w:val="002E675E"/>
    <w:rsid w:val="002E6A6E"/>
    <w:rsid w:val="002E6F9C"/>
    <w:rsid w:val="002E70EE"/>
    <w:rsid w:val="002E7740"/>
    <w:rsid w:val="002F0575"/>
    <w:rsid w:val="002F092F"/>
    <w:rsid w:val="002F1299"/>
    <w:rsid w:val="002F15C5"/>
    <w:rsid w:val="002F1EB2"/>
    <w:rsid w:val="002F2375"/>
    <w:rsid w:val="002F2553"/>
    <w:rsid w:val="002F354B"/>
    <w:rsid w:val="002F36FB"/>
    <w:rsid w:val="002F3EA2"/>
    <w:rsid w:val="002F3F78"/>
    <w:rsid w:val="002F469A"/>
    <w:rsid w:val="002F5252"/>
    <w:rsid w:val="002F78FB"/>
    <w:rsid w:val="00300464"/>
    <w:rsid w:val="00300C28"/>
    <w:rsid w:val="003019B7"/>
    <w:rsid w:val="00301CAD"/>
    <w:rsid w:val="00302080"/>
    <w:rsid w:val="003022CF"/>
    <w:rsid w:val="00302AE9"/>
    <w:rsid w:val="00303228"/>
    <w:rsid w:val="0030322C"/>
    <w:rsid w:val="003034DF"/>
    <w:rsid w:val="00303703"/>
    <w:rsid w:val="00303A73"/>
    <w:rsid w:val="00304594"/>
    <w:rsid w:val="00304CE2"/>
    <w:rsid w:val="00304D58"/>
    <w:rsid w:val="003050BC"/>
    <w:rsid w:val="00305786"/>
    <w:rsid w:val="003069F7"/>
    <w:rsid w:val="00306E78"/>
    <w:rsid w:val="00307384"/>
    <w:rsid w:val="00307AAD"/>
    <w:rsid w:val="00307BCB"/>
    <w:rsid w:val="00310482"/>
    <w:rsid w:val="003108A0"/>
    <w:rsid w:val="00310A6C"/>
    <w:rsid w:val="00310B54"/>
    <w:rsid w:val="00311274"/>
    <w:rsid w:val="00311A7B"/>
    <w:rsid w:val="00311C6B"/>
    <w:rsid w:val="003123D4"/>
    <w:rsid w:val="003149CB"/>
    <w:rsid w:val="00314FDB"/>
    <w:rsid w:val="00315297"/>
    <w:rsid w:val="00315FDC"/>
    <w:rsid w:val="0031658E"/>
    <w:rsid w:val="00316B32"/>
    <w:rsid w:val="00316CAD"/>
    <w:rsid w:val="003175D2"/>
    <w:rsid w:val="00317846"/>
    <w:rsid w:val="00317EC0"/>
    <w:rsid w:val="00320548"/>
    <w:rsid w:val="00321411"/>
    <w:rsid w:val="00321A2E"/>
    <w:rsid w:val="00321B18"/>
    <w:rsid w:val="00321BC4"/>
    <w:rsid w:val="00321DDF"/>
    <w:rsid w:val="0032242C"/>
    <w:rsid w:val="003227D4"/>
    <w:rsid w:val="003228BF"/>
    <w:rsid w:val="003229ED"/>
    <w:rsid w:val="00323032"/>
    <w:rsid w:val="00323042"/>
    <w:rsid w:val="003232B5"/>
    <w:rsid w:val="003240B7"/>
    <w:rsid w:val="003241BC"/>
    <w:rsid w:val="00324B2C"/>
    <w:rsid w:val="00324E80"/>
    <w:rsid w:val="0032556A"/>
    <w:rsid w:val="003266E0"/>
    <w:rsid w:val="00326C5F"/>
    <w:rsid w:val="00326D6C"/>
    <w:rsid w:val="00326E63"/>
    <w:rsid w:val="00326FF2"/>
    <w:rsid w:val="00327271"/>
    <w:rsid w:val="00327475"/>
    <w:rsid w:val="00327638"/>
    <w:rsid w:val="00327791"/>
    <w:rsid w:val="003304AD"/>
    <w:rsid w:val="0033058A"/>
    <w:rsid w:val="003305DB"/>
    <w:rsid w:val="00330685"/>
    <w:rsid w:val="00330876"/>
    <w:rsid w:val="00331255"/>
    <w:rsid w:val="0033142D"/>
    <w:rsid w:val="003316CD"/>
    <w:rsid w:val="00331797"/>
    <w:rsid w:val="00331A35"/>
    <w:rsid w:val="00331DF7"/>
    <w:rsid w:val="0033293E"/>
    <w:rsid w:val="00332F43"/>
    <w:rsid w:val="00333052"/>
    <w:rsid w:val="00333476"/>
    <w:rsid w:val="003335D4"/>
    <w:rsid w:val="00333618"/>
    <w:rsid w:val="003337DE"/>
    <w:rsid w:val="00333D38"/>
    <w:rsid w:val="00333FC2"/>
    <w:rsid w:val="00334A2F"/>
    <w:rsid w:val="00334CC7"/>
    <w:rsid w:val="0033524F"/>
    <w:rsid w:val="003353F0"/>
    <w:rsid w:val="00337004"/>
    <w:rsid w:val="003372EF"/>
    <w:rsid w:val="00337D5F"/>
    <w:rsid w:val="0034121F"/>
    <w:rsid w:val="00341329"/>
    <w:rsid w:val="0034187B"/>
    <w:rsid w:val="003418D4"/>
    <w:rsid w:val="00341FE2"/>
    <w:rsid w:val="003427EF"/>
    <w:rsid w:val="00344222"/>
    <w:rsid w:val="00344913"/>
    <w:rsid w:val="00345D62"/>
    <w:rsid w:val="0034665B"/>
    <w:rsid w:val="00346B25"/>
    <w:rsid w:val="00346BB2"/>
    <w:rsid w:val="00346F1B"/>
    <w:rsid w:val="00347178"/>
    <w:rsid w:val="00347196"/>
    <w:rsid w:val="00347811"/>
    <w:rsid w:val="00347E8F"/>
    <w:rsid w:val="003502D5"/>
    <w:rsid w:val="00350457"/>
    <w:rsid w:val="00350CF3"/>
    <w:rsid w:val="00350DDB"/>
    <w:rsid w:val="0035116E"/>
    <w:rsid w:val="0035138A"/>
    <w:rsid w:val="003515BD"/>
    <w:rsid w:val="00351D5E"/>
    <w:rsid w:val="00351FE4"/>
    <w:rsid w:val="00352367"/>
    <w:rsid w:val="003524EE"/>
    <w:rsid w:val="00352C4E"/>
    <w:rsid w:val="00352DA6"/>
    <w:rsid w:val="00352EE4"/>
    <w:rsid w:val="00352F55"/>
    <w:rsid w:val="00353B0F"/>
    <w:rsid w:val="00353EAF"/>
    <w:rsid w:val="0035462C"/>
    <w:rsid w:val="00354FDF"/>
    <w:rsid w:val="00355363"/>
    <w:rsid w:val="00355C79"/>
    <w:rsid w:val="00355DF5"/>
    <w:rsid w:val="00355DFA"/>
    <w:rsid w:val="003561AA"/>
    <w:rsid w:val="0035680E"/>
    <w:rsid w:val="00356B56"/>
    <w:rsid w:val="00356C5D"/>
    <w:rsid w:val="00356F47"/>
    <w:rsid w:val="00360838"/>
    <w:rsid w:val="00360CDD"/>
    <w:rsid w:val="00360F1A"/>
    <w:rsid w:val="00361210"/>
    <w:rsid w:val="0036135F"/>
    <w:rsid w:val="003615C9"/>
    <w:rsid w:val="00361D42"/>
    <w:rsid w:val="00361DC2"/>
    <w:rsid w:val="00362927"/>
    <w:rsid w:val="00362C1D"/>
    <w:rsid w:val="00363E08"/>
    <w:rsid w:val="003648CE"/>
    <w:rsid w:val="00365997"/>
    <w:rsid w:val="00365A02"/>
    <w:rsid w:val="00365AC4"/>
    <w:rsid w:val="00365B6B"/>
    <w:rsid w:val="00366372"/>
    <w:rsid w:val="003665EF"/>
    <w:rsid w:val="003666CD"/>
    <w:rsid w:val="00367832"/>
    <w:rsid w:val="00367E4A"/>
    <w:rsid w:val="00367F79"/>
    <w:rsid w:val="00370136"/>
    <w:rsid w:val="0037172D"/>
    <w:rsid w:val="00372E85"/>
    <w:rsid w:val="003733EC"/>
    <w:rsid w:val="003739EE"/>
    <w:rsid w:val="00373D09"/>
    <w:rsid w:val="003740CC"/>
    <w:rsid w:val="00374F9C"/>
    <w:rsid w:val="00375B38"/>
    <w:rsid w:val="00375B6A"/>
    <w:rsid w:val="003762F3"/>
    <w:rsid w:val="00376DE7"/>
    <w:rsid w:val="0037712C"/>
    <w:rsid w:val="00377821"/>
    <w:rsid w:val="00377A45"/>
    <w:rsid w:val="0038101F"/>
    <w:rsid w:val="00381A31"/>
    <w:rsid w:val="00381FE8"/>
    <w:rsid w:val="0038235D"/>
    <w:rsid w:val="00382619"/>
    <w:rsid w:val="00382806"/>
    <w:rsid w:val="00383572"/>
    <w:rsid w:val="00384178"/>
    <w:rsid w:val="00384FED"/>
    <w:rsid w:val="003853D5"/>
    <w:rsid w:val="00385425"/>
    <w:rsid w:val="003854F0"/>
    <w:rsid w:val="0038566A"/>
    <w:rsid w:val="003856AE"/>
    <w:rsid w:val="00385F7F"/>
    <w:rsid w:val="00386119"/>
    <w:rsid w:val="00386C9E"/>
    <w:rsid w:val="00386DB6"/>
    <w:rsid w:val="0038791F"/>
    <w:rsid w:val="00387A39"/>
    <w:rsid w:val="003903A2"/>
    <w:rsid w:val="00390FD1"/>
    <w:rsid w:val="003912A2"/>
    <w:rsid w:val="00391500"/>
    <w:rsid w:val="00391B4B"/>
    <w:rsid w:val="00391DE0"/>
    <w:rsid w:val="00393E3A"/>
    <w:rsid w:val="0039403B"/>
    <w:rsid w:val="00394D60"/>
    <w:rsid w:val="003955E0"/>
    <w:rsid w:val="00396826"/>
    <w:rsid w:val="00396CB0"/>
    <w:rsid w:val="00397231"/>
    <w:rsid w:val="0039742F"/>
    <w:rsid w:val="00397A22"/>
    <w:rsid w:val="00397A6C"/>
    <w:rsid w:val="00397AB0"/>
    <w:rsid w:val="00397F8C"/>
    <w:rsid w:val="003A02C9"/>
    <w:rsid w:val="003A0644"/>
    <w:rsid w:val="003A172B"/>
    <w:rsid w:val="003A262E"/>
    <w:rsid w:val="003A266F"/>
    <w:rsid w:val="003A3AED"/>
    <w:rsid w:val="003A3BB1"/>
    <w:rsid w:val="003A6112"/>
    <w:rsid w:val="003A6355"/>
    <w:rsid w:val="003A745D"/>
    <w:rsid w:val="003A750C"/>
    <w:rsid w:val="003A7984"/>
    <w:rsid w:val="003A7B05"/>
    <w:rsid w:val="003A7F42"/>
    <w:rsid w:val="003B0208"/>
    <w:rsid w:val="003B06A8"/>
    <w:rsid w:val="003B0AFF"/>
    <w:rsid w:val="003B17AA"/>
    <w:rsid w:val="003B1E54"/>
    <w:rsid w:val="003B2173"/>
    <w:rsid w:val="003B2243"/>
    <w:rsid w:val="003B2502"/>
    <w:rsid w:val="003B277E"/>
    <w:rsid w:val="003B2CF8"/>
    <w:rsid w:val="003B43B0"/>
    <w:rsid w:val="003B4487"/>
    <w:rsid w:val="003B450B"/>
    <w:rsid w:val="003B46DF"/>
    <w:rsid w:val="003B5425"/>
    <w:rsid w:val="003B66A4"/>
    <w:rsid w:val="003B66EA"/>
    <w:rsid w:val="003B73AF"/>
    <w:rsid w:val="003B762E"/>
    <w:rsid w:val="003C01B9"/>
    <w:rsid w:val="003C069A"/>
    <w:rsid w:val="003C0959"/>
    <w:rsid w:val="003C0E94"/>
    <w:rsid w:val="003C12B9"/>
    <w:rsid w:val="003C15EB"/>
    <w:rsid w:val="003C1F2C"/>
    <w:rsid w:val="003C1FFF"/>
    <w:rsid w:val="003C2402"/>
    <w:rsid w:val="003C2990"/>
    <w:rsid w:val="003C2D18"/>
    <w:rsid w:val="003C30C9"/>
    <w:rsid w:val="003C34DA"/>
    <w:rsid w:val="003C3F11"/>
    <w:rsid w:val="003C5CA8"/>
    <w:rsid w:val="003C6066"/>
    <w:rsid w:val="003C66A4"/>
    <w:rsid w:val="003C6D75"/>
    <w:rsid w:val="003C7134"/>
    <w:rsid w:val="003C716F"/>
    <w:rsid w:val="003C7969"/>
    <w:rsid w:val="003C7A61"/>
    <w:rsid w:val="003C7E05"/>
    <w:rsid w:val="003D08A5"/>
    <w:rsid w:val="003D08EA"/>
    <w:rsid w:val="003D0C0D"/>
    <w:rsid w:val="003D10E2"/>
    <w:rsid w:val="003D11A4"/>
    <w:rsid w:val="003D14AA"/>
    <w:rsid w:val="003D16FC"/>
    <w:rsid w:val="003D2004"/>
    <w:rsid w:val="003D2158"/>
    <w:rsid w:val="003D27C2"/>
    <w:rsid w:val="003D3404"/>
    <w:rsid w:val="003D37C3"/>
    <w:rsid w:val="003D37D9"/>
    <w:rsid w:val="003D41B1"/>
    <w:rsid w:val="003D430F"/>
    <w:rsid w:val="003D4831"/>
    <w:rsid w:val="003D4E73"/>
    <w:rsid w:val="003D4F5A"/>
    <w:rsid w:val="003D560E"/>
    <w:rsid w:val="003D563D"/>
    <w:rsid w:val="003D60D2"/>
    <w:rsid w:val="003D62FD"/>
    <w:rsid w:val="003D6619"/>
    <w:rsid w:val="003D6ACA"/>
    <w:rsid w:val="003D6D27"/>
    <w:rsid w:val="003D7066"/>
    <w:rsid w:val="003D7273"/>
    <w:rsid w:val="003E0A12"/>
    <w:rsid w:val="003E0BF5"/>
    <w:rsid w:val="003E1E78"/>
    <w:rsid w:val="003E2925"/>
    <w:rsid w:val="003E3A61"/>
    <w:rsid w:val="003E3E71"/>
    <w:rsid w:val="003E44CD"/>
    <w:rsid w:val="003E4990"/>
    <w:rsid w:val="003E4DE9"/>
    <w:rsid w:val="003E5A68"/>
    <w:rsid w:val="003E6105"/>
    <w:rsid w:val="003E633B"/>
    <w:rsid w:val="003E6A02"/>
    <w:rsid w:val="003E7873"/>
    <w:rsid w:val="003E7BC2"/>
    <w:rsid w:val="003E7F82"/>
    <w:rsid w:val="003F000D"/>
    <w:rsid w:val="003F0355"/>
    <w:rsid w:val="003F1EDA"/>
    <w:rsid w:val="003F28B5"/>
    <w:rsid w:val="003F2A68"/>
    <w:rsid w:val="003F39EB"/>
    <w:rsid w:val="003F44E0"/>
    <w:rsid w:val="003F4D9A"/>
    <w:rsid w:val="003F56D3"/>
    <w:rsid w:val="003F5A08"/>
    <w:rsid w:val="003F6EBD"/>
    <w:rsid w:val="003F7730"/>
    <w:rsid w:val="00400468"/>
    <w:rsid w:val="0040131A"/>
    <w:rsid w:val="00401C2F"/>
    <w:rsid w:val="00401C53"/>
    <w:rsid w:val="0040205B"/>
    <w:rsid w:val="004029DB"/>
    <w:rsid w:val="00403703"/>
    <w:rsid w:val="00403A5C"/>
    <w:rsid w:val="00403D06"/>
    <w:rsid w:val="0040468D"/>
    <w:rsid w:val="0040476C"/>
    <w:rsid w:val="00404995"/>
    <w:rsid w:val="00404C1F"/>
    <w:rsid w:val="00404FBB"/>
    <w:rsid w:val="0040517F"/>
    <w:rsid w:val="004056CF"/>
    <w:rsid w:val="00405A82"/>
    <w:rsid w:val="004068D9"/>
    <w:rsid w:val="0040719F"/>
    <w:rsid w:val="00407AB3"/>
    <w:rsid w:val="00407BDA"/>
    <w:rsid w:val="00410006"/>
    <w:rsid w:val="00410994"/>
    <w:rsid w:val="004109EC"/>
    <w:rsid w:val="00410B04"/>
    <w:rsid w:val="0041104F"/>
    <w:rsid w:val="0041122C"/>
    <w:rsid w:val="0041195D"/>
    <w:rsid w:val="00411B56"/>
    <w:rsid w:val="00411C80"/>
    <w:rsid w:val="004121B3"/>
    <w:rsid w:val="00412247"/>
    <w:rsid w:val="00412600"/>
    <w:rsid w:val="00412ECB"/>
    <w:rsid w:val="004137C0"/>
    <w:rsid w:val="00413AF7"/>
    <w:rsid w:val="00414E9B"/>
    <w:rsid w:val="00415026"/>
    <w:rsid w:val="00415DEF"/>
    <w:rsid w:val="004161FA"/>
    <w:rsid w:val="004163D0"/>
    <w:rsid w:val="004164D1"/>
    <w:rsid w:val="00416C5F"/>
    <w:rsid w:val="004173EA"/>
    <w:rsid w:val="00417BA1"/>
    <w:rsid w:val="00420EDA"/>
    <w:rsid w:val="00421B32"/>
    <w:rsid w:val="00422323"/>
    <w:rsid w:val="004223B8"/>
    <w:rsid w:val="004226C1"/>
    <w:rsid w:val="004230C2"/>
    <w:rsid w:val="00423145"/>
    <w:rsid w:val="004237DB"/>
    <w:rsid w:val="00423DC2"/>
    <w:rsid w:val="00423DE7"/>
    <w:rsid w:val="00423E8A"/>
    <w:rsid w:val="00423F4D"/>
    <w:rsid w:val="00423FF8"/>
    <w:rsid w:val="004243DD"/>
    <w:rsid w:val="0042719B"/>
    <w:rsid w:val="00427999"/>
    <w:rsid w:val="004279CC"/>
    <w:rsid w:val="004308A0"/>
    <w:rsid w:val="004310D9"/>
    <w:rsid w:val="0043141B"/>
    <w:rsid w:val="00431807"/>
    <w:rsid w:val="00432046"/>
    <w:rsid w:val="00432C5D"/>
    <w:rsid w:val="004337E6"/>
    <w:rsid w:val="0043383A"/>
    <w:rsid w:val="0043391F"/>
    <w:rsid w:val="00434522"/>
    <w:rsid w:val="004355A4"/>
    <w:rsid w:val="004359C1"/>
    <w:rsid w:val="00436144"/>
    <w:rsid w:val="00436258"/>
    <w:rsid w:val="004362BA"/>
    <w:rsid w:val="004374FC"/>
    <w:rsid w:val="00437956"/>
    <w:rsid w:val="00437FF8"/>
    <w:rsid w:val="00440915"/>
    <w:rsid w:val="00440CA5"/>
    <w:rsid w:val="00440F04"/>
    <w:rsid w:val="00441000"/>
    <w:rsid w:val="00441BCB"/>
    <w:rsid w:val="00443DC9"/>
    <w:rsid w:val="00443EB2"/>
    <w:rsid w:val="00443FC6"/>
    <w:rsid w:val="0044469A"/>
    <w:rsid w:val="004446AF"/>
    <w:rsid w:val="004448E9"/>
    <w:rsid w:val="004453FC"/>
    <w:rsid w:val="00445423"/>
    <w:rsid w:val="004459F3"/>
    <w:rsid w:val="00445C67"/>
    <w:rsid w:val="00446FB2"/>
    <w:rsid w:val="0044772C"/>
    <w:rsid w:val="00450503"/>
    <w:rsid w:val="00450978"/>
    <w:rsid w:val="00450DD0"/>
    <w:rsid w:val="004512A3"/>
    <w:rsid w:val="0045217F"/>
    <w:rsid w:val="004523FA"/>
    <w:rsid w:val="00452786"/>
    <w:rsid w:val="00452789"/>
    <w:rsid w:val="00453A8A"/>
    <w:rsid w:val="004543BD"/>
    <w:rsid w:val="004547EC"/>
    <w:rsid w:val="00454BE5"/>
    <w:rsid w:val="0045585A"/>
    <w:rsid w:val="00455CB2"/>
    <w:rsid w:val="00455D05"/>
    <w:rsid w:val="00456094"/>
    <w:rsid w:val="00456311"/>
    <w:rsid w:val="00457221"/>
    <w:rsid w:val="0045757C"/>
    <w:rsid w:val="004575E5"/>
    <w:rsid w:val="00457D25"/>
    <w:rsid w:val="00460355"/>
    <w:rsid w:val="00460505"/>
    <w:rsid w:val="00461362"/>
    <w:rsid w:val="004621F0"/>
    <w:rsid w:val="0046524D"/>
    <w:rsid w:val="00465807"/>
    <w:rsid w:val="0046587E"/>
    <w:rsid w:val="00467396"/>
    <w:rsid w:val="004674C7"/>
    <w:rsid w:val="00467EE2"/>
    <w:rsid w:val="00470232"/>
    <w:rsid w:val="00470D19"/>
    <w:rsid w:val="004713B0"/>
    <w:rsid w:val="00471E2E"/>
    <w:rsid w:val="0047224F"/>
    <w:rsid w:val="00472BD8"/>
    <w:rsid w:val="00472F14"/>
    <w:rsid w:val="00473C71"/>
    <w:rsid w:val="00473F10"/>
    <w:rsid w:val="0047426A"/>
    <w:rsid w:val="00475FB5"/>
    <w:rsid w:val="00476212"/>
    <w:rsid w:val="0047661F"/>
    <w:rsid w:val="00476784"/>
    <w:rsid w:val="00476B72"/>
    <w:rsid w:val="00477139"/>
    <w:rsid w:val="0047735A"/>
    <w:rsid w:val="004774DC"/>
    <w:rsid w:val="0048022A"/>
    <w:rsid w:val="00480594"/>
    <w:rsid w:val="00481454"/>
    <w:rsid w:val="004815D4"/>
    <w:rsid w:val="004815E5"/>
    <w:rsid w:val="00481C3B"/>
    <w:rsid w:val="0048240A"/>
    <w:rsid w:val="00482A06"/>
    <w:rsid w:val="00482B87"/>
    <w:rsid w:val="00482CE1"/>
    <w:rsid w:val="004831BD"/>
    <w:rsid w:val="004838D0"/>
    <w:rsid w:val="00483EDA"/>
    <w:rsid w:val="00484250"/>
    <w:rsid w:val="0048493B"/>
    <w:rsid w:val="00484A0E"/>
    <w:rsid w:val="00484AF3"/>
    <w:rsid w:val="00484D90"/>
    <w:rsid w:val="00484EAD"/>
    <w:rsid w:val="00485044"/>
    <w:rsid w:val="004859CB"/>
    <w:rsid w:val="00485A47"/>
    <w:rsid w:val="00485F02"/>
    <w:rsid w:val="004865C9"/>
    <w:rsid w:val="00486FA5"/>
    <w:rsid w:val="0048724E"/>
    <w:rsid w:val="004872DC"/>
    <w:rsid w:val="0048750B"/>
    <w:rsid w:val="00487B50"/>
    <w:rsid w:val="00491437"/>
    <w:rsid w:val="00491D06"/>
    <w:rsid w:val="004925F3"/>
    <w:rsid w:val="0049272D"/>
    <w:rsid w:val="00492DFF"/>
    <w:rsid w:val="00492E28"/>
    <w:rsid w:val="00493264"/>
    <w:rsid w:val="0049339F"/>
    <w:rsid w:val="00493945"/>
    <w:rsid w:val="00493B04"/>
    <w:rsid w:val="00493D66"/>
    <w:rsid w:val="00493F73"/>
    <w:rsid w:val="00493FC6"/>
    <w:rsid w:val="00494428"/>
    <w:rsid w:val="00494A1A"/>
    <w:rsid w:val="00494C37"/>
    <w:rsid w:val="00494F05"/>
    <w:rsid w:val="00495531"/>
    <w:rsid w:val="00495BA8"/>
    <w:rsid w:val="00495FB7"/>
    <w:rsid w:val="0049603B"/>
    <w:rsid w:val="0049607B"/>
    <w:rsid w:val="004963BE"/>
    <w:rsid w:val="00496617"/>
    <w:rsid w:val="0049674F"/>
    <w:rsid w:val="004968C0"/>
    <w:rsid w:val="004A03D5"/>
    <w:rsid w:val="004A0AF5"/>
    <w:rsid w:val="004A0D8A"/>
    <w:rsid w:val="004A1521"/>
    <w:rsid w:val="004A1BBC"/>
    <w:rsid w:val="004A2D3F"/>
    <w:rsid w:val="004A3A1C"/>
    <w:rsid w:val="004A3BBA"/>
    <w:rsid w:val="004A4107"/>
    <w:rsid w:val="004A4634"/>
    <w:rsid w:val="004A4A3E"/>
    <w:rsid w:val="004A52A7"/>
    <w:rsid w:val="004A596C"/>
    <w:rsid w:val="004A5BA7"/>
    <w:rsid w:val="004A6B2A"/>
    <w:rsid w:val="004A6D33"/>
    <w:rsid w:val="004A71D6"/>
    <w:rsid w:val="004A7659"/>
    <w:rsid w:val="004A79BE"/>
    <w:rsid w:val="004A7B30"/>
    <w:rsid w:val="004B023A"/>
    <w:rsid w:val="004B02F1"/>
    <w:rsid w:val="004B0437"/>
    <w:rsid w:val="004B1093"/>
    <w:rsid w:val="004B13D9"/>
    <w:rsid w:val="004B16E5"/>
    <w:rsid w:val="004B193B"/>
    <w:rsid w:val="004B1B0A"/>
    <w:rsid w:val="004B1D98"/>
    <w:rsid w:val="004B1FBB"/>
    <w:rsid w:val="004B26B7"/>
    <w:rsid w:val="004B29E5"/>
    <w:rsid w:val="004B3408"/>
    <w:rsid w:val="004B345D"/>
    <w:rsid w:val="004B3991"/>
    <w:rsid w:val="004B3F49"/>
    <w:rsid w:val="004B4B01"/>
    <w:rsid w:val="004B517C"/>
    <w:rsid w:val="004B5D26"/>
    <w:rsid w:val="004B5D99"/>
    <w:rsid w:val="004B6194"/>
    <w:rsid w:val="004B6935"/>
    <w:rsid w:val="004B6ACB"/>
    <w:rsid w:val="004B7140"/>
    <w:rsid w:val="004B75C0"/>
    <w:rsid w:val="004B778B"/>
    <w:rsid w:val="004B7C6E"/>
    <w:rsid w:val="004B7D24"/>
    <w:rsid w:val="004B7F1F"/>
    <w:rsid w:val="004C0C45"/>
    <w:rsid w:val="004C0C7E"/>
    <w:rsid w:val="004C126B"/>
    <w:rsid w:val="004C161A"/>
    <w:rsid w:val="004C164E"/>
    <w:rsid w:val="004C167B"/>
    <w:rsid w:val="004C168E"/>
    <w:rsid w:val="004C21C0"/>
    <w:rsid w:val="004C366A"/>
    <w:rsid w:val="004C43D4"/>
    <w:rsid w:val="004C4CE9"/>
    <w:rsid w:val="004C5146"/>
    <w:rsid w:val="004C53A8"/>
    <w:rsid w:val="004C5B5C"/>
    <w:rsid w:val="004C6324"/>
    <w:rsid w:val="004C6514"/>
    <w:rsid w:val="004C7907"/>
    <w:rsid w:val="004C7CE8"/>
    <w:rsid w:val="004D0252"/>
    <w:rsid w:val="004D07FA"/>
    <w:rsid w:val="004D178A"/>
    <w:rsid w:val="004D17B5"/>
    <w:rsid w:val="004D1B51"/>
    <w:rsid w:val="004D2649"/>
    <w:rsid w:val="004D314F"/>
    <w:rsid w:val="004D3156"/>
    <w:rsid w:val="004D373D"/>
    <w:rsid w:val="004D39C5"/>
    <w:rsid w:val="004D3D88"/>
    <w:rsid w:val="004D3E14"/>
    <w:rsid w:val="004D426D"/>
    <w:rsid w:val="004D471A"/>
    <w:rsid w:val="004D5544"/>
    <w:rsid w:val="004D6216"/>
    <w:rsid w:val="004D65F2"/>
    <w:rsid w:val="004D6C6A"/>
    <w:rsid w:val="004D6FD4"/>
    <w:rsid w:val="004D7579"/>
    <w:rsid w:val="004D7951"/>
    <w:rsid w:val="004E0318"/>
    <w:rsid w:val="004E2A85"/>
    <w:rsid w:val="004E2B6A"/>
    <w:rsid w:val="004E3D45"/>
    <w:rsid w:val="004E51CE"/>
    <w:rsid w:val="004E5207"/>
    <w:rsid w:val="004E59D9"/>
    <w:rsid w:val="004E6CC2"/>
    <w:rsid w:val="004E7376"/>
    <w:rsid w:val="004E76DB"/>
    <w:rsid w:val="004E7C1A"/>
    <w:rsid w:val="004E7CCE"/>
    <w:rsid w:val="004F09A9"/>
    <w:rsid w:val="004F0AB6"/>
    <w:rsid w:val="004F0B35"/>
    <w:rsid w:val="004F1A31"/>
    <w:rsid w:val="004F2229"/>
    <w:rsid w:val="004F236F"/>
    <w:rsid w:val="004F2653"/>
    <w:rsid w:val="004F265C"/>
    <w:rsid w:val="004F283F"/>
    <w:rsid w:val="004F3299"/>
    <w:rsid w:val="004F36B6"/>
    <w:rsid w:val="004F39D6"/>
    <w:rsid w:val="004F40DD"/>
    <w:rsid w:val="004F42BE"/>
    <w:rsid w:val="004F46B8"/>
    <w:rsid w:val="004F4B80"/>
    <w:rsid w:val="004F4F93"/>
    <w:rsid w:val="004F4FF2"/>
    <w:rsid w:val="004F5651"/>
    <w:rsid w:val="004F5A61"/>
    <w:rsid w:val="004F5DE2"/>
    <w:rsid w:val="004F5F34"/>
    <w:rsid w:val="004F6588"/>
    <w:rsid w:val="004F6D9C"/>
    <w:rsid w:val="004F72AC"/>
    <w:rsid w:val="004F75FA"/>
    <w:rsid w:val="004F786C"/>
    <w:rsid w:val="004F7B48"/>
    <w:rsid w:val="004F7C6E"/>
    <w:rsid w:val="00500011"/>
    <w:rsid w:val="005002B3"/>
    <w:rsid w:val="0050058B"/>
    <w:rsid w:val="005008E4"/>
    <w:rsid w:val="00501FA6"/>
    <w:rsid w:val="00503324"/>
    <w:rsid w:val="00503398"/>
    <w:rsid w:val="005035D4"/>
    <w:rsid w:val="00503AE3"/>
    <w:rsid w:val="00503D70"/>
    <w:rsid w:val="0050423D"/>
    <w:rsid w:val="00504BCB"/>
    <w:rsid w:val="00504E85"/>
    <w:rsid w:val="00505793"/>
    <w:rsid w:val="00507056"/>
    <w:rsid w:val="005070EE"/>
    <w:rsid w:val="00511242"/>
    <w:rsid w:val="005121A7"/>
    <w:rsid w:val="00512E77"/>
    <w:rsid w:val="00513EA7"/>
    <w:rsid w:val="0051438E"/>
    <w:rsid w:val="00515A3E"/>
    <w:rsid w:val="00516558"/>
    <w:rsid w:val="005169F5"/>
    <w:rsid w:val="005173D4"/>
    <w:rsid w:val="005176E2"/>
    <w:rsid w:val="0051788B"/>
    <w:rsid w:val="00517EFB"/>
    <w:rsid w:val="00520AA2"/>
    <w:rsid w:val="00520FB5"/>
    <w:rsid w:val="00521D72"/>
    <w:rsid w:val="005224EB"/>
    <w:rsid w:val="00524D82"/>
    <w:rsid w:val="00524E3E"/>
    <w:rsid w:val="00525173"/>
    <w:rsid w:val="0052524E"/>
    <w:rsid w:val="005252F0"/>
    <w:rsid w:val="00525664"/>
    <w:rsid w:val="0052609B"/>
    <w:rsid w:val="00526162"/>
    <w:rsid w:val="005264FB"/>
    <w:rsid w:val="00526DF5"/>
    <w:rsid w:val="00526E4E"/>
    <w:rsid w:val="0052706E"/>
    <w:rsid w:val="00530BFE"/>
    <w:rsid w:val="00530D99"/>
    <w:rsid w:val="005315A4"/>
    <w:rsid w:val="00531617"/>
    <w:rsid w:val="00531699"/>
    <w:rsid w:val="00531D8B"/>
    <w:rsid w:val="00531EA5"/>
    <w:rsid w:val="0053220A"/>
    <w:rsid w:val="005327DB"/>
    <w:rsid w:val="00533507"/>
    <w:rsid w:val="00534612"/>
    <w:rsid w:val="005350EB"/>
    <w:rsid w:val="00535E50"/>
    <w:rsid w:val="005361AE"/>
    <w:rsid w:val="005367F2"/>
    <w:rsid w:val="00536C17"/>
    <w:rsid w:val="00536D1A"/>
    <w:rsid w:val="00536EFA"/>
    <w:rsid w:val="00537329"/>
    <w:rsid w:val="00537F19"/>
    <w:rsid w:val="005400D5"/>
    <w:rsid w:val="0054028C"/>
    <w:rsid w:val="00540BB0"/>
    <w:rsid w:val="00540E16"/>
    <w:rsid w:val="00541152"/>
    <w:rsid w:val="005418C8"/>
    <w:rsid w:val="00541A0F"/>
    <w:rsid w:val="00542298"/>
    <w:rsid w:val="005423EA"/>
    <w:rsid w:val="00543161"/>
    <w:rsid w:val="00543472"/>
    <w:rsid w:val="005434FE"/>
    <w:rsid w:val="0054357D"/>
    <w:rsid w:val="00543692"/>
    <w:rsid w:val="00543B73"/>
    <w:rsid w:val="00543CB4"/>
    <w:rsid w:val="00544685"/>
    <w:rsid w:val="0054483C"/>
    <w:rsid w:val="00544E88"/>
    <w:rsid w:val="005455B8"/>
    <w:rsid w:val="00545722"/>
    <w:rsid w:val="00545891"/>
    <w:rsid w:val="00545A3C"/>
    <w:rsid w:val="00546AEB"/>
    <w:rsid w:val="00546F06"/>
    <w:rsid w:val="00547275"/>
    <w:rsid w:val="00547C45"/>
    <w:rsid w:val="005503F4"/>
    <w:rsid w:val="00550643"/>
    <w:rsid w:val="005509B8"/>
    <w:rsid w:val="005511DA"/>
    <w:rsid w:val="005511DE"/>
    <w:rsid w:val="0055128D"/>
    <w:rsid w:val="005520FC"/>
    <w:rsid w:val="00552277"/>
    <w:rsid w:val="00552520"/>
    <w:rsid w:val="00553B38"/>
    <w:rsid w:val="00553CBA"/>
    <w:rsid w:val="00553D02"/>
    <w:rsid w:val="00554043"/>
    <w:rsid w:val="0055448E"/>
    <w:rsid w:val="0055451E"/>
    <w:rsid w:val="0055499F"/>
    <w:rsid w:val="00554F6F"/>
    <w:rsid w:val="00555A3C"/>
    <w:rsid w:val="00555B14"/>
    <w:rsid w:val="005561EA"/>
    <w:rsid w:val="0055630B"/>
    <w:rsid w:val="005564AE"/>
    <w:rsid w:val="00556942"/>
    <w:rsid w:val="00556EEB"/>
    <w:rsid w:val="00557F45"/>
    <w:rsid w:val="00557FEC"/>
    <w:rsid w:val="00560543"/>
    <w:rsid w:val="00560D56"/>
    <w:rsid w:val="005610D8"/>
    <w:rsid w:val="005619A6"/>
    <w:rsid w:val="00561F0B"/>
    <w:rsid w:val="0056267B"/>
    <w:rsid w:val="00562ADB"/>
    <w:rsid w:val="00562F3C"/>
    <w:rsid w:val="00562FD1"/>
    <w:rsid w:val="00563ADB"/>
    <w:rsid w:val="00563CA4"/>
    <w:rsid w:val="00564046"/>
    <w:rsid w:val="00564C72"/>
    <w:rsid w:val="00564C78"/>
    <w:rsid w:val="00564D11"/>
    <w:rsid w:val="00564ECE"/>
    <w:rsid w:val="00565370"/>
    <w:rsid w:val="005658B6"/>
    <w:rsid w:val="00566445"/>
    <w:rsid w:val="00566E11"/>
    <w:rsid w:val="00566F3C"/>
    <w:rsid w:val="00567381"/>
    <w:rsid w:val="00567499"/>
    <w:rsid w:val="005705ED"/>
    <w:rsid w:val="005715A5"/>
    <w:rsid w:val="00571861"/>
    <w:rsid w:val="00573E0D"/>
    <w:rsid w:val="005754AD"/>
    <w:rsid w:val="00575688"/>
    <w:rsid w:val="00575AC4"/>
    <w:rsid w:val="00575EB0"/>
    <w:rsid w:val="0057645D"/>
    <w:rsid w:val="00576959"/>
    <w:rsid w:val="00576A61"/>
    <w:rsid w:val="00576D0C"/>
    <w:rsid w:val="00576E5C"/>
    <w:rsid w:val="00577DAB"/>
    <w:rsid w:val="00577EC3"/>
    <w:rsid w:val="005801B4"/>
    <w:rsid w:val="00581126"/>
    <w:rsid w:val="00581871"/>
    <w:rsid w:val="00582E37"/>
    <w:rsid w:val="005841B8"/>
    <w:rsid w:val="005843FB"/>
    <w:rsid w:val="005847BD"/>
    <w:rsid w:val="005848C7"/>
    <w:rsid w:val="00584C7F"/>
    <w:rsid w:val="00584FA0"/>
    <w:rsid w:val="00584FB6"/>
    <w:rsid w:val="005852E2"/>
    <w:rsid w:val="00585F77"/>
    <w:rsid w:val="0058607E"/>
    <w:rsid w:val="005861ED"/>
    <w:rsid w:val="0058646C"/>
    <w:rsid w:val="00586C3F"/>
    <w:rsid w:val="00586C9D"/>
    <w:rsid w:val="00586D25"/>
    <w:rsid w:val="0058783B"/>
    <w:rsid w:val="00590864"/>
    <w:rsid w:val="00590A93"/>
    <w:rsid w:val="00590ADC"/>
    <w:rsid w:val="00590BD5"/>
    <w:rsid w:val="00591017"/>
    <w:rsid w:val="005913B6"/>
    <w:rsid w:val="0059140B"/>
    <w:rsid w:val="005915E3"/>
    <w:rsid w:val="00591AAB"/>
    <w:rsid w:val="00591C43"/>
    <w:rsid w:val="00592226"/>
    <w:rsid w:val="00592382"/>
    <w:rsid w:val="0059257E"/>
    <w:rsid w:val="00592A00"/>
    <w:rsid w:val="00592C5D"/>
    <w:rsid w:val="00593024"/>
    <w:rsid w:val="0059430A"/>
    <w:rsid w:val="00594C1E"/>
    <w:rsid w:val="005958CB"/>
    <w:rsid w:val="00596039"/>
    <w:rsid w:val="005963F8"/>
    <w:rsid w:val="005965D5"/>
    <w:rsid w:val="00596A29"/>
    <w:rsid w:val="00596C18"/>
    <w:rsid w:val="00596D34"/>
    <w:rsid w:val="0059701D"/>
    <w:rsid w:val="00597376"/>
    <w:rsid w:val="005A0334"/>
    <w:rsid w:val="005A06E7"/>
    <w:rsid w:val="005A071F"/>
    <w:rsid w:val="005A08D1"/>
    <w:rsid w:val="005A12C8"/>
    <w:rsid w:val="005A198F"/>
    <w:rsid w:val="005A1C3F"/>
    <w:rsid w:val="005A1CAD"/>
    <w:rsid w:val="005A1D5C"/>
    <w:rsid w:val="005A25FE"/>
    <w:rsid w:val="005A2CD0"/>
    <w:rsid w:val="005A2F28"/>
    <w:rsid w:val="005A311E"/>
    <w:rsid w:val="005A340D"/>
    <w:rsid w:val="005A45C4"/>
    <w:rsid w:val="005A45DB"/>
    <w:rsid w:val="005A4603"/>
    <w:rsid w:val="005A4B42"/>
    <w:rsid w:val="005A548D"/>
    <w:rsid w:val="005A62B3"/>
    <w:rsid w:val="005A65B8"/>
    <w:rsid w:val="005A6685"/>
    <w:rsid w:val="005A6786"/>
    <w:rsid w:val="005A685B"/>
    <w:rsid w:val="005A6915"/>
    <w:rsid w:val="005A6DE7"/>
    <w:rsid w:val="005A7A56"/>
    <w:rsid w:val="005B03E7"/>
    <w:rsid w:val="005B04D3"/>
    <w:rsid w:val="005B07AF"/>
    <w:rsid w:val="005B08C0"/>
    <w:rsid w:val="005B0BA6"/>
    <w:rsid w:val="005B1B0E"/>
    <w:rsid w:val="005B1C68"/>
    <w:rsid w:val="005B1FD7"/>
    <w:rsid w:val="005B20C4"/>
    <w:rsid w:val="005B24D6"/>
    <w:rsid w:val="005B3611"/>
    <w:rsid w:val="005B3ED2"/>
    <w:rsid w:val="005B3F65"/>
    <w:rsid w:val="005B456E"/>
    <w:rsid w:val="005B5D2C"/>
    <w:rsid w:val="005B6166"/>
    <w:rsid w:val="005B6430"/>
    <w:rsid w:val="005B752D"/>
    <w:rsid w:val="005B79E2"/>
    <w:rsid w:val="005B7D69"/>
    <w:rsid w:val="005B7E85"/>
    <w:rsid w:val="005C07CE"/>
    <w:rsid w:val="005C08D8"/>
    <w:rsid w:val="005C09B5"/>
    <w:rsid w:val="005C1089"/>
    <w:rsid w:val="005C1DFC"/>
    <w:rsid w:val="005C230D"/>
    <w:rsid w:val="005C296E"/>
    <w:rsid w:val="005C2B47"/>
    <w:rsid w:val="005C30D5"/>
    <w:rsid w:val="005C33E8"/>
    <w:rsid w:val="005C3471"/>
    <w:rsid w:val="005C3498"/>
    <w:rsid w:val="005C34AA"/>
    <w:rsid w:val="005C37D6"/>
    <w:rsid w:val="005C3A90"/>
    <w:rsid w:val="005C3D0C"/>
    <w:rsid w:val="005C41DD"/>
    <w:rsid w:val="005C469B"/>
    <w:rsid w:val="005C47C8"/>
    <w:rsid w:val="005C4D1D"/>
    <w:rsid w:val="005C4E29"/>
    <w:rsid w:val="005C4F1E"/>
    <w:rsid w:val="005C5428"/>
    <w:rsid w:val="005C5561"/>
    <w:rsid w:val="005C58DA"/>
    <w:rsid w:val="005C5B9B"/>
    <w:rsid w:val="005C66C7"/>
    <w:rsid w:val="005C6F6F"/>
    <w:rsid w:val="005C7073"/>
    <w:rsid w:val="005C7E18"/>
    <w:rsid w:val="005D0B99"/>
    <w:rsid w:val="005D0CF6"/>
    <w:rsid w:val="005D11CF"/>
    <w:rsid w:val="005D1698"/>
    <w:rsid w:val="005D1DDF"/>
    <w:rsid w:val="005D2993"/>
    <w:rsid w:val="005D2BFC"/>
    <w:rsid w:val="005D4506"/>
    <w:rsid w:val="005D4945"/>
    <w:rsid w:val="005D4E6F"/>
    <w:rsid w:val="005D4EFC"/>
    <w:rsid w:val="005D4FB1"/>
    <w:rsid w:val="005D54D3"/>
    <w:rsid w:val="005D5CD3"/>
    <w:rsid w:val="005D6A24"/>
    <w:rsid w:val="005D6D38"/>
    <w:rsid w:val="005D6D97"/>
    <w:rsid w:val="005D702C"/>
    <w:rsid w:val="005D759B"/>
    <w:rsid w:val="005D760E"/>
    <w:rsid w:val="005E1E26"/>
    <w:rsid w:val="005E21A2"/>
    <w:rsid w:val="005E2549"/>
    <w:rsid w:val="005E27B6"/>
    <w:rsid w:val="005E3795"/>
    <w:rsid w:val="005E3904"/>
    <w:rsid w:val="005E3BA7"/>
    <w:rsid w:val="005E3DC7"/>
    <w:rsid w:val="005E4DE4"/>
    <w:rsid w:val="005E64CE"/>
    <w:rsid w:val="005E67FF"/>
    <w:rsid w:val="005E68B9"/>
    <w:rsid w:val="005E6906"/>
    <w:rsid w:val="005E7A13"/>
    <w:rsid w:val="005F01A1"/>
    <w:rsid w:val="005F01E3"/>
    <w:rsid w:val="005F13DF"/>
    <w:rsid w:val="005F1DE0"/>
    <w:rsid w:val="005F2205"/>
    <w:rsid w:val="005F2FB5"/>
    <w:rsid w:val="005F4076"/>
    <w:rsid w:val="005F4577"/>
    <w:rsid w:val="005F46FB"/>
    <w:rsid w:val="005F4B8C"/>
    <w:rsid w:val="005F4BD3"/>
    <w:rsid w:val="005F54FD"/>
    <w:rsid w:val="005F6669"/>
    <w:rsid w:val="005F6780"/>
    <w:rsid w:val="005F6867"/>
    <w:rsid w:val="005F6D0D"/>
    <w:rsid w:val="005F7961"/>
    <w:rsid w:val="005F7F5F"/>
    <w:rsid w:val="006005AA"/>
    <w:rsid w:val="0060169D"/>
    <w:rsid w:val="00601D04"/>
    <w:rsid w:val="0060243D"/>
    <w:rsid w:val="00602938"/>
    <w:rsid w:val="00602D2C"/>
    <w:rsid w:val="006032BD"/>
    <w:rsid w:val="006034B9"/>
    <w:rsid w:val="00603663"/>
    <w:rsid w:val="00604CAB"/>
    <w:rsid w:val="00604FD3"/>
    <w:rsid w:val="00605B7C"/>
    <w:rsid w:val="00606122"/>
    <w:rsid w:val="006061F5"/>
    <w:rsid w:val="006067DF"/>
    <w:rsid w:val="00606CD1"/>
    <w:rsid w:val="00607372"/>
    <w:rsid w:val="0060760C"/>
    <w:rsid w:val="00607ADB"/>
    <w:rsid w:val="0061054A"/>
    <w:rsid w:val="00610869"/>
    <w:rsid w:val="00610D30"/>
    <w:rsid w:val="00610EE6"/>
    <w:rsid w:val="006113E7"/>
    <w:rsid w:val="0061172C"/>
    <w:rsid w:val="006118B4"/>
    <w:rsid w:val="00611B26"/>
    <w:rsid w:val="00612BD2"/>
    <w:rsid w:val="00613028"/>
    <w:rsid w:val="006130A8"/>
    <w:rsid w:val="00613C36"/>
    <w:rsid w:val="00613D80"/>
    <w:rsid w:val="0061495F"/>
    <w:rsid w:val="00614B9F"/>
    <w:rsid w:val="0061520F"/>
    <w:rsid w:val="00616095"/>
    <w:rsid w:val="006163B0"/>
    <w:rsid w:val="006166E4"/>
    <w:rsid w:val="00616FA4"/>
    <w:rsid w:val="00617361"/>
    <w:rsid w:val="00617AEB"/>
    <w:rsid w:val="00617B4E"/>
    <w:rsid w:val="00620208"/>
    <w:rsid w:val="00620EE6"/>
    <w:rsid w:val="006220F6"/>
    <w:rsid w:val="006225CC"/>
    <w:rsid w:val="00622765"/>
    <w:rsid w:val="006228FC"/>
    <w:rsid w:val="00623775"/>
    <w:rsid w:val="00623862"/>
    <w:rsid w:val="0062392D"/>
    <w:rsid w:val="00623BF3"/>
    <w:rsid w:val="00623D19"/>
    <w:rsid w:val="00625763"/>
    <w:rsid w:val="00626EE0"/>
    <w:rsid w:val="006273B0"/>
    <w:rsid w:val="006274F5"/>
    <w:rsid w:val="006309C8"/>
    <w:rsid w:val="00630AF5"/>
    <w:rsid w:val="0063187B"/>
    <w:rsid w:val="00631C22"/>
    <w:rsid w:val="00633631"/>
    <w:rsid w:val="00633960"/>
    <w:rsid w:val="00633A38"/>
    <w:rsid w:val="00633D6A"/>
    <w:rsid w:val="0063426D"/>
    <w:rsid w:val="00635651"/>
    <w:rsid w:val="0063575A"/>
    <w:rsid w:val="00635860"/>
    <w:rsid w:val="00635916"/>
    <w:rsid w:val="00636394"/>
    <w:rsid w:val="00636BFD"/>
    <w:rsid w:val="00636FB5"/>
    <w:rsid w:val="00637302"/>
    <w:rsid w:val="006407F3"/>
    <w:rsid w:val="006409D5"/>
    <w:rsid w:val="00640C6D"/>
    <w:rsid w:val="0064106B"/>
    <w:rsid w:val="00641308"/>
    <w:rsid w:val="00641965"/>
    <w:rsid w:val="00641A4E"/>
    <w:rsid w:val="00641D52"/>
    <w:rsid w:val="006423A5"/>
    <w:rsid w:val="00642461"/>
    <w:rsid w:val="0064397D"/>
    <w:rsid w:val="006452D8"/>
    <w:rsid w:val="00645923"/>
    <w:rsid w:val="00645B25"/>
    <w:rsid w:val="006462C8"/>
    <w:rsid w:val="00646365"/>
    <w:rsid w:val="0064661A"/>
    <w:rsid w:val="00646B4B"/>
    <w:rsid w:val="00646DB1"/>
    <w:rsid w:val="006475ED"/>
    <w:rsid w:val="00647E00"/>
    <w:rsid w:val="00647F07"/>
    <w:rsid w:val="00647F71"/>
    <w:rsid w:val="006501B3"/>
    <w:rsid w:val="00651759"/>
    <w:rsid w:val="00651B00"/>
    <w:rsid w:val="00652881"/>
    <w:rsid w:val="006532B9"/>
    <w:rsid w:val="00653AF9"/>
    <w:rsid w:val="00653CF8"/>
    <w:rsid w:val="00653DAF"/>
    <w:rsid w:val="00653E33"/>
    <w:rsid w:val="00654D33"/>
    <w:rsid w:val="00654E55"/>
    <w:rsid w:val="00655102"/>
    <w:rsid w:val="0065552E"/>
    <w:rsid w:val="00655A22"/>
    <w:rsid w:val="00656B68"/>
    <w:rsid w:val="00656D72"/>
    <w:rsid w:val="00657356"/>
    <w:rsid w:val="00657438"/>
    <w:rsid w:val="00657641"/>
    <w:rsid w:val="00657D95"/>
    <w:rsid w:val="00657E6D"/>
    <w:rsid w:val="0066011A"/>
    <w:rsid w:val="00660291"/>
    <w:rsid w:val="006611C3"/>
    <w:rsid w:val="006611E7"/>
    <w:rsid w:val="006615A1"/>
    <w:rsid w:val="00661C56"/>
    <w:rsid w:val="00661FD3"/>
    <w:rsid w:val="006624D0"/>
    <w:rsid w:val="00662C7E"/>
    <w:rsid w:val="006633C2"/>
    <w:rsid w:val="006633E6"/>
    <w:rsid w:val="00663493"/>
    <w:rsid w:val="00663770"/>
    <w:rsid w:val="0066396E"/>
    <w:rsid w:val="006639DE"/>
    <w:rsid w:val="00663A0B"/>
    <w:rsid w:val="00663FE4"/>
    <w:rsid w:val="00664397"/>
    <w:rsid w:val="00664E62"/>
    <w:rsid w:val="0066577A"/>
    <w:rsid w:val="0066598B"/>
    <w:rsid w:val="00665CB0"/>
    <w:rsid w:val="006663E8"/>
    <w:rsid w:val="00666480"/>
    <w:rsid w:val="00666BEF"/>
    <w:rsid w:val="00666CEF"/>
    <w:rsid w:val="006674C1"/>
    <w:rsid w:val="0066798A"/>
    <w:rsid w:val="00667A63"/>
    <w:rsid w:val="00667F45"/>
    <w:rsid w:val="00670268"/>
    <w:rsid w:val="006704D2"/>
    <w:rsid w:val="0067053A"/>
    <w:rsid w:val="0067089D"/>
    <w:rsid w:val="00670D00"/>
    <w:rsid w:val="00671110"/>
    <w:rsid w:val="006711E3"/>
    <w:rsid w:val="0067180C"/>
    <w:rsid w:val="0067257D"/>
    <w:rsid w:val="006729CC"/>
    <w:rsid w:val="00672B9D"/>
    <w:rsid w:val="006732C6"/>
    <w:rsid w:val="00673342"/>
    <w:rsid w:val="0067465B"/>
    <w:rsid w:val="00675CDA"/>
    <w:rsid w:val="00676133"/>
    <w:rsid w:val="00676187"/>
    <w:rsid w:val="0067780A"/>
    <w:rsid w:val="00677A5B"/>
    <w:rsid w:val="00677B4C"/>
    <w:rsid w:val="00680067"/>
    <w:rsid w:val="00680924"/>
    <w:rsid w:val="0068180E"/>
    <w:rsid w:val="00682572"/>
    <w:rsid w:val="00682A97"/>
    <w:rsid w:val="00682CAD"/>
    <w:rsid w:val="00683736"/>
    <w:rsid w:val="00683800"/>
    <w:rsid w:val="0068391C"/>
    <w:rsid w:val="006841B2"/>
    <w:rsid w:val="006844BD"/>
    <w:rsid w:val="00684859"/>
    <w:rsid w:val="0068510E"/>
    <w:rsid w:val="00685856"/>
    <w:rsid w:val="0068587D"/>
    <w:rsid w:val="00685916"/>
    <w:rsid w:val="00685A30"/>
    <w:rsid w:val="00685AE7"/>
    <w:rsid w:val="00685B6E"/>
    <w:rsid w:val="00685ED4"/>
    <w:rsid w:val="00685F6C"/>
    <w:rsid w:val="0068641E"/>
    <w:rsid w:val="00686522"/>
    <w:rsid w:val="00686922"/>
    <w:rsid w:val="00686B9A"/>
    <w:rsid w:val="006872EC"/>
    <w:rsid w:val="00687801"/>
    <w:rsid w:val="00690208"/>
    <w:rsid w:val="00690689"/>
    <w:rsid w:val="00690854"/>
    <w:rsid w:val="00690D07"/>
    <w:rsid w:val="00691230"/>
    <w:rsid w:val="0069157A"/>
    <w:rsid w:val="0069161F"/>
    <w:rsid w:val="00691AD1"/>
    <w:rsid w:val="0069213D"/>
    <w:rsid w:val="006923D1"/>
    <w:rsid w:val="00692A01"/>
    <w:rsid w:val="00693042"/>
    <w:rsid w:val="006936BC"/>
    <w:rsid w:val="00694C6E"/>
    <w:rsid w:val="00694F42"/>
    <w:rsid w:val="00695748"/>
    <w:rsid w:val="00695858"/>
    <w:rsid w:val="00695E8B"/>
    <w:rsid w:val="00696A4D"/>
    <w:rsid w:val="00696E8B"/>
    <w:rsid w:val="006A0265"/>
    <w:rsid w:val="006A0353"/>
    <w:rsid w:val="006A23CF"/>
    <w:rsid w:val="006A2467"/>
    <w:rsid w:val="006A2CD7"/>
    <w:rsid w:val="006A2F21"/>
    <w:rsid w:val="006A351A"/>
    <w:rsid w:val="006A353C"/>
    <w:rsid w:val="006A37E0"/>
    <w:rsid w:val="006A3869"/>
    <w:rsid w:val="006A4BF2"/>
    <w:rsid w:val="006A524B"/>
    <w:rsid w:val="006A57EF"/>
    <w:rsid w:val="006A5C70"/>
    <w:rsid w:val="006A692B"/>
    <w:rsid w:val="006A6982"/>
    <w:rsid w:val="006A6BCF"/>
    <w:rsid w:val="006A7168"/>
    <w:rsid w:val="006B0273"/>
    <w:rsid w:val="006B0BC1"/>
    <w:rsid w:val="006B140A"/>
    <w:rsid w:val="006B1459"/>
    <w:rsid w:val="006B2274"/>
    <w:rsid w:val="006B24DB"/>
    <w:rsid w:val="006B257A"/>
    <w:rsid w:val="006B2987"/>
    <w:rsid w:val="006B36C4"/>
    <w:rsid w:val="006B3F2B"/>
    <w:rsid w:val="006B4507"/>
    <w:rsid w:val="006B49F0"/>
    <w:rsid w:val="006B5434"/>
    <w:rsid w:val="006B5650"/>
    <w:rsid w:val="006B5823"/>
    <w:rsid w:val="006B5958"/>
    <w:rsid w:val="006B5988"/>
    <w:rsid w:val="006B5C99"/>
    <w:rsid w:val="006B5D1E"/>
    <w:rsid w:val="006B5F88"/>
    <w:rsid w:val="006B6034"/>
    <w:rsid w:val="006B60D4"/>
    <w:rsid w:val="006B67FF"/>
    <w:rsid w:val="006B6F51"/>
    <w:rsid w:val="006B7546"/>
    <w:rsid w:val="006B756A"/>
    <w:rsid w:val="006B7B40"/>
    <w:rsid w:val="006C0057"/>
    <w:rsid w:val="006C0276"/>
    <w:rsid w:val="006C0405"/>
    <w:rsid w:val="006C0464"/>
    <w:rsid w:val="006C0A9F"/>
    <w:rsid w:val="006C0C56"/>
    <w:rsid w:val="006C0D19"/>
    <w:rsid w:val="006C0F3A"/>
    <w:rsid w:val="006C126B"/>
    <w:rsid w:val="006C1676"/>
    <w:rsid w:val="006C1FAF"/>
    <w:rsid w:val="006C273B"/>
    <w:rsid w:val="006C2762"/>
    <w:rsid w:val="006C2974"/>
    <w:rsid w:val="006C3058"/>
    <w:rsid w:val="006C38B4"/>
    <w:rsid w:val="006C395A"/>
    <w:rsid w:val="006C3F35"/>
    <w:rsid w:val="006C4023"/>
    <w:rsid w:val="006C470D"/>
    <w:rsid w:val="006C4DDC"/>
    <w:rsid w:val="006C5DEB"/>
    <w:rsid w:val="006C6017"/>
    <w:rsid w:val="006C6112"/>
    <w:rsid w:val="006C63B4"/>
    <w:rsid w:val="006C66C6"/>
    <w:rsid w:val="006C6767"/>
    <w:rsid w:val="006C68F7"/>
    <w:rsid w:val="006C7249"/>
    <w:rsid w:val="006C7BB2"/>
    <w:rsid w:val="006D169C"/>
    <w:rsid w:val="006D1AEC"/>
    <w:rsid w:val="006D1B57"/>
    <w:rsid w:val="006D2CD1"/>
    <w:rsid w:val="006D38CE"/>
    <w:rsid w:val="006D39CA"/>
    <w:rsid w:val="006D3D76"/>
    <w:rsid w:val="006D4762"/>
    <w:rsid w:val="006D483A"/>
    <w:rsid w:val="006D4E74"/>
    <w:rsid w:val="006D5850"/>
    <w:rsid w:val="006D61D5"/>
    <w:rsid w:val="006D69C4"/>
    <w:rsid w:val="006D6C08"/>
    <w:rsid w:val="006D6D9D"/>
    <w:rsid w:val="006D742F"/>
    <w:rsid w:val="006D7DC9"/>
    <w:rsid w:val="006E0082"/>
    <w:rsid w:val="006E0D2E"/>
    <w:rsid w:val="006E1B1A"/>
    <w:rsid w:val="006E2CD8"/>
    <w:rsid w:val="006E3224"/>
    <w:rsid w:val="006E33DD"/>
    <w:rsid w:val="006E3E6E"/>
    <w:rsid w:val="006E3F8B"/>
    <w:rsid w:val="006E4623"/>
    <w:rsid w:val="006E4AD5"/>
    <w:rsid w:val="006E512C"/>
    <w:rsid w:val="006E5420"/>
    <w:rsid w:val="006E6108"/>
    <w:rsid w:val="006E626A"/>
    <w:rsid w:val="006E62D4"/>
    <w:rsid w:val="006E6DDB"/>
    <w:rsid w:val="006E767B"/>
    <w:rsid w:val="006E7977"/>
    <w:rsid w:val="006F09EA"/>
    <w:rsid w:val="006F1116"/>
    <w:rsid w:val="006F13A0"/>
    <w:rsid w:val="006F1CDA"/>
    <w:rsid w:val="006F2898"/>
    <w:rsid w:val="006F2A3A"/>
    <w:rsid w:val="006F2EDB"/>
    <w:rsid w:val="006F317F"/>
    <w:rsid w:val="006F31B5"/>
    <w:rsid w:val="006F438E"/>
    <w:rsid w:val="006F47FB"/>
    <w:rsid w:val="006F4F67"/>
    <w:rsid w:val="006F50EE"/>
    <w:rsid w:val="006F5336"/>
    <w:rsid w:val="006F5801"/>
    <w:rsid w:val="006F58D3"/>
    <w:rsid w:val="006F5E36"/>
    <w:rsid w:val="006F6732"/>
    <w:rsid w:val="006F6C84"/>
    <w:rsid w:val="006F7026"/>
    <w:rsid w:val="006F72FB"/>
    <w:rsid w:val="006F797B"/>
    <w:rsid w:val="00700397"/>
    <w:rsid w:val="00701408"/>
    <w:rsid w:val="00701508"/>
    <w:rsid w:val="007019F2"/>
    <w:rsid w:val="00701B19"/>
    <w:rsid w:val="00702875"/>
    <w:rsid w:val="0070290D"/>
    <w:rsid w:val="00703EC6"/>
    <w:rsid w:val="007042C7"/>
    <w:rsid w:val="0070440F"/>
    <w:rsid w:val="00704B49"/>
    <w:rsid w:val="00705E1A"/>
    <w:rsid w:val="00705ECE"/>
    <w:rsid w:val="00706A52"/>
    <w:rsid w:val="00706A54"/>
    <w:rsid w:val="00706B17"/>
    <w:rsid w:val="00707233"/>
    <w:rsid w:val="007074F2"/>
    <w:rsid w:val="00707630"/>
    <w:rsid w:val="007107ED"/>
    <w:rsid w:val="00710950"/>
    <w:rsid w:val="00710DA1"/>
    <w:rsid w:val="00710ED0"/>
    <w:rsid w:val="00711379"/>
    <w:rsid w:val="00711965"/>
    <w:rsid w:val="007129FD"/>
    <w:rsid w:val="00712CE7"/>
    <w:rsid w:val="00713A0B"/>
    <w:rsid w:val="00713BC7"/>
    <w:rsid w:val="00713D9F"/>
    <w:rsid w:val="00714698"/>
    <w:rsid w:val="007147F7"/>
    <w:rsid w:val="007156F4"/>
    <w:rsid w:val="007158AE"/>
    <w:rsid w:val="00715DFA"/>
    <w:rsid w:val="00715EDB"/>
    <w:rsid w:val="0071631C"/>
    <w:rsid w:val="00716AD4"/>
    <w:rsid w:val="0071799D"/>
    <w:rsid w:val="00717D63"/>
    <w:rsid w:val="00717F19"/>
    <w:rsid w:val="0072062C"/>
    <w:rsid w:val="00720BD2"/>
    <w:rsid w:val="00720DDB"/>
    <w:rsid w:val="00721A1C"/>
    <w:rsid w:val="00721A95"/>
    <w:rsid w:val="00721E6C"/>
    <w:rsid w:val="007221C7"/>
    <w:rsid w:val="007222D0"/>
    <w:rsid w:val="00722C90"/>
    <w:rsid w:val="0072343D"/>
    <w:rsid w:val="00723E98"/>
    <w:rsid w:val="007247FB"/>
    <w:rsid w:val="007249C7"/>
    <w:rsid w:val="00724D9F"/>
    <w:rsid w:val="00724FB7"/>
    <w:rsid w:val="00725282"/>
    <w:rsid w:val="00725C5E"/>
    <w:rsid w:val="00726198"/>
    <w:rsid w:val="007264BC"/>
    <w:rsid w:val="007265F2"/>
    <w:rsid w:val="007268BD"/>
    <w:rsid w:val="00726DD2"/>
    <w:rsid w:val="00726F7B"/>
    <w:rsid w:val="00726FFF"/>
    <w:rsid w:val="0072792F"/>
    <w:rsid w:val="00727931"/>
    <w:rsid w:val="00727AD4"/>
    <w:rsid w:val="007303B8"/>
    <w:rsid w:val="0073063E"/>
    <w:rsid w:val="00730970"/>
    <w:rsid w:val="00730B9B"/>
    <w:rsid w:val="007312CD"/>
    <w:rsid w:val="0073159D"/>
    <w:rsid w:val="00731A41"/>
    <w:rsid w:val="00731CB5"/>
    <w:rsid w:val="00732051"/>
    <w:rsid w:val="00732FD2"/>
    <w:rsid w:val="007338C8"/>
    <w:rsid w:val="00733C8C"/>
    <w:rsid w:val="00733D48"/>
    <w:rsid w:val="00733D4F"/>
    <w:rsid w:val="007345E4"/>
    <w:rsid w:val="007347E0"/>
    <w:rsid w:val="00734A66"/>
    <w:rsid w:val="00734DCA"/>
    <w:rsid w:val="00734EC5"/>
    <w:rsid w:val="00735B09"/>
    <w:rsid w:val="007371C2"/>
    <w:rsid w:val="00737F06"/>
    <w:rsid w:val="007401F9"/>
    <w:rsid w:val="007412CD"/>
    <w:rsid w:val="0074183B"/>
    <w:rsid w:val="00741886"/>
    <w:rsid w:val="00741992"/>
    <w:rsid w:val="00741A09"/>
    <w:rsid w:val="00741DFA"/>
    <w:rsid w:val="00741F09"/>
    <w:rsid w:val="007420F3"/>
    <w:rsid w:val="00742B0F"/>
    <w:rsid w:val="00742F5E"/>
    <w:rsid w:val="0074356C"/>
    <w:rsid w:val="00743A46"/>
    <w:rsid w:val="00744DD4"/>
    <w:rsid w:val="00745146"/>
    <w:rsid w:val="00745183"/>
    <w:rsid w:val="00745909"/>
    <w:rsid w:val="00745D7F"/>
    <w:rsid w:val="00746D02"/>
    <w:rsid w:val="00747370"/>
    <w:rsid w:val="00750755"/>
    <w:rsid w:val="00750D63"/>
    <w:rsid w:val="00751209"/>
    <w:rsid w:val="00752CC1"/>
    <w:rsid w:val="00752CDE"/>
    <w:rsid w:val="00752DE5"/>
    <w:rsid w:val="00752F14"/>
    <w:rsid w:val="007531D0"/>
    <w:rsid w:val="00753309"/>
    <w:rsid w:val="007538D3"/>
    <w:rsid w:val="007541CD"/>
    <w:rsid w:val="00754EC3"/>
    <w:rsid w:val="00755295"/>
    <w:rsid w:val="007554AA"/>
    <w:rsid w:val="00755E00"/>
    <w:rsid w:val="00756544"/>
    <w:rsid w:val="00756669"/>
    <w:rsid w:val="007566DB"/>
    <w:rsid w:val="007569B2"/>
    <w:rsid w:val="00756F35"/>
    <w:rsid w:val="007576F6"/>
    <w:rsid w:val="00757B47"/>
    <w:rsid w:val="007602F1"/>
    <w:rsid w:val="00760826"/>
    <w:rsid w:val="00760E69"/>
    <w:rsid w:val="00760F60"/>
    <w:rsid w:val="00761E05"/>
    <w:rsid w:val="007622A7"/>
    <w:rsid w:val="007629B6"/>
    <w:rsid w:val="00762B4E"/>
    <w:rsid w:val="00762C08"/>
    <w:rsid w:val="0076360C"/>
    <w:rsid w:val="007636B0"/>
    <w:rsid w:val="00763B34"/>
    <w:rsid w:val="00763F59"/>
    <w:rsid w:val="007646D7"/>
    <w:rsid w:val="00764AB1"/>
    <w:rsid w:val="00764E98"/>
    <w:rsid w:val="00765016"/>
    <w:rsid w:val="007654FF"/>
    <w:rsid w:val="007657A1"/>
    <w:rsid w:val="00765B07"/>
    <w:rsid w:val="00766FFD"/>
    <w:rsid w:val="00767294"/>
    <w:rsid w:val="00767323"/>
    <w:rsid w:val="00767390"/>
    <w:rsid w:val="007676AA"/>
    <w:rsid w:val="00767AAB"/>
    <w:rsid w:val="00767E2E"/>
    <w:rsid w:val="00770450"/>
    <w:rsid w:val="007709AC"/>
    <w:rsid w:val="00771840"/>
    <w:rsid w:val="007719A7"/>
    <w:rsid w:val="007719B5"/>
    <w:rsid w:val="00771B03"/>
    <w:rsid w:val="00771B33"/>
    <w:rsid w:val="007726C0"/>
    <w:rsid w:val="0077372D"/>
    <w:rsid w:val="0077389A"/>
    <w:rsid w:val="00773954"/>
    <w:rsid w:val="00773B93"/>
    <w:rsid w:val="00773DC9"/>
    <w:rsid w:val="00773EB7"/>
    <w:rsid w:val="0077406D"/>
    <w:rsid w:val="00774113"/>
    <w:rsid w:val="007741CB"/>
    <w:rsid w:val="00774206"/>
    <w:rsid w:val="00774A80"/>
    <w:rsid w:val="00774F90"/>
    <w:rsid w:val="00775108"/>
    <w:rsid w:val="00775A0D"/>
    <w:rsid w:val="00775BB1"/>
    <w:rsid w:val="00775D4F"/>
    <w:rsid w:val="00775FD2"/>
    <w:rsid w:val="007764DA"/>
    <w:rsid w:val="0077673A"/>
    <w:rsid w:val="00776AA2"/>
    <w:rsid w:val="00776C50"/>
    <w:rsid w:val="0077723A"/>
    <w:rsid w:val="007773E9"/>
    <w:rsid w:val="00777761"/>
    <w:rsid w:val="00777EBA"/>
    <w:rsid w:val="007802EF"/>
    <w:rsid w:val="007802FF"/>
    <w:rsid w:val="007805C0"/>
    <w:rsid w:val="007809DA"/>
    <w:rsid w:val="007809E7"/>
    <w:rsid w:val="00780E69"/>
    <w:rsid w:val="00781B5F"/>
    <w:rsid w:val="00781FEF"/>
    <w:rsid w:val="00782181"/>
    <w:rsid w:val="007826AF"/>
    <w:rsid w:val="007828CE"/>
    <w:rsid w:val="007833F3"/>
    <w:rsid w:val="00783924"/>
    <w:rsid w:val="00783BBA"/>
    <w:rsid w:val="00783C17"/>
    <w:rsid w:val="00784242"/>
    <w:rsid w:val="00784EE0"/>
    <w:rsid w:val="00784FA0"/>
    <w:rsid w:val="0078543D"/>
    <w:rsid w:val="007854F7"/>
    <w:rsid w:val="00785AD2"/>
    <w:rsid w:val="00785E80"/>
    <w:rsid w:val="007861B6"/>
    <w:rsid w:val="00786502"/>
    <w:rsid w:val="0078687B"/>
    <w:rsid w:val="007878F7"/>
    <w:rsid w:val="0079076B"/>
    <w:rsid w:val="00790C4E"/>
    <w:rsid w:val="007915A3"/>
    <w:rsid w:val="00791F24"/>
    <w:rsid w:val="00791FE8"/>
    <w:rsid w:val="00792670"/>
    <w:rsid w:val="00793707"/>
    <w:rsid w:val="00793D22"/>
    <w:rsid w:val="00793E15"/>
    <w:rsid w:val="00794003"/>
    <w:rsid w:val="00794392"/>
    <w:rsid w:val="0079469F"/>
    <w:rsid w:val="00794A45"/>
    <w:rsid w:val="00794D3E"/>
    <w:rsid w:val="00795529"/>
    <w:rsid w:val="00795B63"/>
    <w:rsid w:val="00795EF7"/>
    <w:rsid w:val="00795F62"/>
    <w:rsid w:val="00796A0F"/>
    <w:rsid w:val="00796EF9"/>
    <w:rsid w:val="0079736F"/>
    <w:rsid w:val="007975DD"/>
    <w:rsid w:val="007978C0"/>
    <w:rsid w:val="007A0EA2"/>
    <w:rsid w:val="007A105E"/>
    <w:rsid w:val="007A125A"/>
    <w:rsid w:val="007A13DC"/>
    <w:rsid w:val="007A1590"/>
    <w:rsid w:val="007A1A09"/>
    <w:rsid w:val="007A24BB"/>
    <w:rsid w:val="007A2A07"/>
    <w:rsid w:val="007A2B6A"/>
    <w:rsid w:val="007A2BC6"/>
    <w:rsid w:val="007A300E"/>
    <w:rsid w:val="007A31E3"/>
    <w:rsid w:val="007A36D4"/>
    <w:rsid w:val="007A3AC2"/>
    <w:rsid w:val="007A3AD6"/>
    <w:rsid w:val="007A404C"/>
    <w:rsid w:val="007A424B"/>
    <w:rsid w:val="007A4E05"/>
    <w:rsid w:val="007A54C3"/>
    <w:rsid w:val="007A59EC"/>
    <w:rsid w:val="007A7193"/>
    <w:rsid w:val="007A71F4"/>
    <w:rsid w:val="007A7885"/>
    <w:rsid w:val="007A7B94"/>
    <w:rsid w:val="007B061E"/>
    <w:rsid w:val="007B0B9C"/>
    <w:rsid w:val="007B0F7C"/>
    <w:rsid w:val="007B1027"/>
    <w:rsid w:val="007B13D8"/>
    <w:rsid w:val="007B1438"/>
    <w:rsid w:val="007B1A51"/>
    <w:rsid w:val="007B25E8"/>
    <w:rsid w:val="007B4508"/>
    <w:rsid w:val="007B46C3"/>
    <w:rsid w:val="007B479F"/>
    <w:rsid w:val="007B4D62"/>
    <w:rsid w:val="007B503E"/>
    <w:rsid w:val="007B50AC"/>
    <w:rsid w:val="007B5A25"/>
    <w:rsid w:val="007B5C13"/>
    <w:rsid w:val="007B5E15"/>
    <w:rsid w:val="007B5E4C"/>
    <w:rsid w:val="007B60C8"/>
    <w:rsid w:val="007B60D0"/>
    <w:rsid w:val="007B690D"/>
    <w:rsid w:val="007B6AC8"/>
    <w:rsid w:val="007B6B90"/>
    <w:rsid w:val="007B7C74"/>
    <w:rsid w:val="007B7E03"/>
    <w:rsid w:val="007C0047"/>
    <w:rsid w:val="007C04CF"/>
    <w:rsid w:val="007C0511"/>
    <w:rsid w:val="007C098B"/>
    <w:rsid w:val="007C1050"/>
    <w:rsid w:val="007C1ED0"/>
    <w:rsid w:val="007C229F"/>
    <w:rsid w:val="007C2B42"/>
    <w:rsid w:val="007C2CCD"/>
    <w:rsid w:val="007C2FBA"/>
    <w:rsid w:val="007C3207"/>
    <w:rsid w:val="007C3F26"/>
    <w:rsid w:val="007C3FCD"/>
    <w:rsid w:val="007C3FD2"/>
    <w:rsid w:val="007C49BF"/>
    <w:rsid w:val="007C5979"/>
    <w:rsid w:val="007C5EE3"/>
    <w:rsid w:val="007C5EFE"/>
    <w:rsid w:val="007C6416"/>
    <w:rsid w:val="007C6D85"/>
    <w:rsid w:val="007C7226"/>
    <w:rsid w:val="007C7429"/>
    <w:rsid w:val="007C7E82"/>
    <w:rsid w:val="007D07F0"/>
    <w:rsid w:val="007D0B8D"/>
    <w:rsid w:val="007D0E4F"/>
    <w:rsid w:val="007D1781"/>
    <w:rsid w:val="007D1B37"/>
    <w:rsid w:val="007D1E88"/>
    <w:rsid w:val="007D1FA0"/>
    <w:rsid w:val="007D2D3F"/>
    <w:rsid w:val="007D2EE1"/>
    <w:rsid w:val="007D30BD"/>
    <w:rsid w:val="007D31AB"/>
    <w:rsid w:val="007D33E1"/>
    <w:rsid w:val="007D340F"/>
    <w:rsid w:val="007D363A"/>
    <w:rsid w:val="007D3BD0"/>
    <w:rsid w:val="007D4755"/>
    <w:rsid w:val="007D4C18"/>
    <w:rsid w:val="007D4DF5"/>
    <w:rsid w:val="007D5109"/>
    <w:rsid w:val="007D55FA"/>
    <w:rsid w:val="007D60AC"/>
    <w:rsid w:val="007D6284"/>
    <w:rsid w:val="007D67AA"/>
    <w:rsid w:val="007D7742"/>
    <w:rsid w:val="007D7CAD"/>
    <w:rsid w:val="007D7D90"/>
    <w:rsid w:val="007E043A"/>
    <w:rsid w:val="007E0556"/>
    <w:rsid w:val="007E08D2"/>
    <w:rsid w:val="007E096F"/>
    <w:rsid w:val="007E11AE"/>
    <w:rsid w:val="007E1414"/>
    <w:rsid w:val="007E1F18"/>
    <w:rsid w:val="007E26EE"/>
    <w:rsid w:val="007E3C44"/>
    <w:rsid w:val="007E3FB7"/>
    <w:rsid w:val="007E43B1"/>
    <w:rsid w:val="007E473F"/>
    <w:rsid w:val="007E4EC0"/>
    <w:rsid w:val="007E4F61"/>
    <w:rsid w:val="007E5AB7"/>
    <w:rsid w:val="007E6127"/>
    <w:rsid w:val="007E645B"/>
    <w:rsid w:val="007E7CCE"/>
    <w:rsid w:val="007F03AA"/>
    <w:rsid w:val="007F0B85"/>
    <w:rsid w:val="007F0F51"/>
    <w:rsid w:val="007F2320"/>
    <w:rsid w:val="007F2503"/>
    <w:rsid w:val="007F2F70"/>
    <w:rsid w:val="007F37F2"/>
    <w:rsid w:val="007F39CE"/>
    <w:rsid w:val="007F3B4B"/>
    <w:rsid w:val="007F448E"/>
    <w:rsid w:val="007F4549"/>
    <w:rsid w:val="007F53B5"/>
    <w:rsid w:val="007F5AB8"/>
    <w:rsid w:val="007F5C4F"/>
    <w:rsid w:val="007F6076"/>
    <w:rsid w:val="007F616D"/>
    <w:rsid w:val="007F68D5"/>
    <w:rsid w:val="007F6D02"/>
    <w:rsid w:val="007F6E62"/>
    <w:rsid w:val="007F6E92"/>
    <w:rsid w:val="008001EC"/>
    <w:rsid w:val="00801078"/>
    <w:rsid w:val="0080128F"/>
    <w:rsid w:val="008013E1"/>
    <w:rsid w:val="00801692"/>
    <w:rsid w:val="00801846"/>
    <w:rsid w:val="0080220F"/>
    <w:rsid w:val="00802468"/>
    <w:rsid w:val="00802CFA"/>
    <w:rsid w:val="00802D01"/>
    <w:rsid w:val="00802D37"/>
    <w:rsid w:val="00802DCD"/>
    <w:rsid w:val="0080411A"/>
    <w:rsid w:val="0080464F"/>
    <w:rsid w:val="008047E5"/>
    <w:rsid w:val="00804DE1"/>
    <w:rsid w:val="00805126"/>
    <w:rsid w:val="008052AC"/>
    <w:rsid w:val="00805B84"/>
    <w:rsid w:val="0080744C"/>
    <w:rsid w:val="00810743"/>
    <w:rsid w:val="0081075E"/>
    <w:rsid w:val="00810F66"/>
    <w:rsid w:val="008119E6"/>
    <w:rsid w:val="008119EB"/>
    <w:rsid w:val="00811C53"/>
    <w:rsid w:val="00811C5A"/>
    <w:rsid w:val="0081200E"/>
    <w:rsid w:val="00812230"/>
    <w:rsid w:val="0081273F"/>
    <w:rsid w:val="008129BD"/>
    <w:rsid w:val="00813622"/>
    <w:rsid w:val="0081412D"/>
    <w:rsid w:val="0081511B"/>
    <w:rsid w:val="008154A1"/>
    <w:rsid w:val="008155AF"/>
    <w:rsid w:val="008167AC"/>
    <w:rsid w:val="00816AB4"/>
    <w:rsid w:val="00817225"/>
    <w:rsid w:val="008179F1"/>
    <w:rsid w:val="00817CCF"/>
    <w:rsid w:val="00817CDA"/>
    <w:rsid w:val="008202F7"/>
    <w:rsid w:val="0082064A"/>
    <w:rsid w:val="00820D36"/>
    <w:rsid w:val="008210B6"/>
    <w:rsid w:val="00821831"/>
    <w:rsid w:val="00821ACB"/>
    <w:rsid w:val="00821ACE"/>
    <w:rsid w:val="008225F1"/>
    <w:rsid w:val="00822706"/>
    <w:rsid w:val="00823077"/>
    <w:rsid w:val="0082309E"/>
    <w:rsid w:val="00823B55"/>
    <w:rsid w:val="00823B69"/>
    <w:rsid w:val="0082513B"/>
    <w:rsid w:val="00825772"/>
    <w:rsid w:val="00825F53"/>
    <w:rsid w:val="00826B85"/>
    <w:rsid w:val="008302EB"/>
    <w:rsid w:val="00830447"/>
    <w:rsid w:val="00830D0B"/>
    <w:rsid w:val="008319DF"/>
    <w:rsid w:val="00831B3D"/>
    <w:rsid w:val="00831EE1"/>
    <w:rsid w:val="008328C8"/>
    <w:rsid w:val="0083344A"/>
    <w:rsid w:val="00833B9A"/>
    <w:rsid w:val="00833C35"/>
    <w:rsid w:val="00833F56"/>
    <w:rsid w:val="00833F61"/>
    <w:rsid w:val="0083426C"/>
    <w:rsid w:val="0083443A"/>
    <w:rsid w:val="00835850"/>
    <w:rsid w:val="00836711"/>
    <w:rsid w:val="00836CFD"/>
    <w:rsid w:val="008371F2"/>
    <w:rsid w:val="00837225"/>
    <w:rsid w:val="00837A5D"/>
    <w:rsid w:val="00837C31"/>
    <w:rsid w:val="00837E42"/>
    <w:rsid w:val="00840DA7"/>
    <w:rsid w:val="008412A8"/>
    <w:rsid w:val="00841743"/>
    <w:rsid w:val="00841AB2"/>
    <w:rsid w:val="0084338A"/>
    <w:rsid w:val="0084496D"/>
    <w:rsid w:val="00844B36"/>
    <w:rsid w:val="00845487"/>
    <w:rsid w:val="008462B0"/>
    <w:rsid w:val="00846C78"/>
    <w:rsid w:val="008473EC"/>
    <w:rsid w:val="0084750F"/>
    <w:rsid w:val="00847C27"/>
    <w:rsid w:val="00850047"/>
    <w:rsid w:val="00851604"/>
    <w:rsid w:val="00851AA3"/>
    <w:rsid w:val="00851CCF"/>
    <w:rsid w:val="00851E31"/>
    <w:rsid w:val="00852786"/>
    <w:rsid w:val="0085294C"/>
    <w:rsid w:val="00852A71"/>
    <w:rsid w:val="00852BB2"/>
    <w:rsid w:val="00852D3C"/>
    <w:rsid w:val="008532B0"/>
    <w:rsid w:val="008543D3"/>
    <w:rsid w:val="0085518B"/>
    <w:rsid w:val="0085559A"/>
    <w:rsid w:val="008559EB"/>
    <w:rsid w:val="00855A3E"/>
    <w:rsid w:val="008561AD"/>
    <w:rsid w:val="0085623E"/>
    <w:rsid w:val="00856E40"/>
    <w:rsid w:val="00857154"/>
    <w:rsid w:val="00857A38"/>
    <w:rsid w:val="00857A94"/>
    <w:rsid w:val="0086028B"/>
    <w:rsid w:val="00860980"/>
    <w:rsid w:val="00860AFA"/>
    <w:rsid w:val="00860F2E"/>
    <w:rsid w:val="008614DC"/>
    <w:rsid w:val="00861870"/>
    <w:rsid w:val="00862576"/>
    <w:rsid w:val="00862B4F"/>
    <w:rsid w:val="0086343D"/>
    <w:rsid w:val="00863567"/>
    <w:rsid w:val="0086402F"/>
    <w:rsid w:val="00864D4E"/>
    <w:rsid w:val="00864D66"/>
    <w:rsid w:val="00865121"/>
    <w:rsid w:val="008654D8"/>
    <w:rsid w:val="008657EE"/>
    <w:rsid w:val="00865A30"/>
    <w:rsid w:val="00866492"/>
    <w:rsid w:val="00866583"/>
    <w:rsid w:val="0086678C"/>
    <w:rsid w:val="00866A46"/>
    <w:rsid w:val="008676AA"/>
    <w:rsid w:val="00867C91"/>
    <w:rsid w:val="00867D60"/>
    <w:rsid w:val="00867D72"/>
    <w:rsid w:val="008700D2"/>
    <w:rsid w:val="00870A1B"/>
    <w:rsid w:val="00870D6B"/>
    <w:rsid w:val="0087119B"/>
    <w:rsid w:val="00871235"/>
    <w:rsid w:val="008712FD"/>
    <w:rsid w:val="00871C71"/>
    <w:rsid w:val="00871E74"/>
    <w:rsid w:val="0087216A"/>
    <w:rsid w:val="00872C35"/>
    <w:rsid w:val="00872D87"/>
    <w:rsid w:val="0087306E"/>
    <w:rsid w:val="0087352E"/>
    <w:rsid w:val="008739F2"/>
    <w:rsid w:val="00873A89"/>
    <w:rsid w:val="00873AAD"/>
    <w:rsid w:val="008742AB"/>
    <w:rsid w:val="008743BE"/>
    <w:rsid w:val="00874806"/>
    <w:rsid w:val="008749EB"/>
    <w:rsid w:val="00874B36"/>
    <w:rsid w:val="00874F06"/>
    <w:rsid w:val="00875CB4"/>
    <w:rsid w:val="00876167"/>
    <w:rsid w:val="00876E4B"/>
    <w:rsid w:val="00876EDE"/>
    <w:rsid w:val="0087742A"/>
    <w:rsid w:val="00877F3B"/>
    <w:rsid w:val="00880B58"/>
    <w:rsid w:val="00880B6B"/>
    <w:rsid w:val="00880BE6"/>
    <w:rsid w:val="00881526"/>
    <w:rsid w:val="00881797"/>
    <w:rsid w:val="00881A0A"/>
    <w:rsid w:val="00881B27"/>
    <w:rsid w:val="00881DBE"/>
    <w:rsid w:val="00882C42"/>
    <w:rsid w:val="00882D60"/>
    <w:rsid w:val="00882F83"/>
    <w:rsid w:val="00883380"/>
    <w:rsid w:val="00883550"/>
    <w:rsid w:val="00883836"/>
    <w:rsid w:val="00883E32"/>
    <w:rsid w:val="00884093"/>
    <w:rsid w:val="008842BF"/>
    <w:rsid w:val="00884889"/>
    <w:rsid w:val="00884A4C"/>
    <w:rsid w:val="00884ADA"/>
    <w:rsid w:val="00884ADC"/>
    <w:rsid w:val="00884CBC"/>
    <w:rsid w:val="008851A8"/>
    <w:rsid w:val="0088526F"/>
    <w:rsid w:val="00885679"/>
    <w:rsid w:val="00885FC8"/>
    <w:rsid w:val="008877E0"/>
    <w:rsid w:val="008877EF"/>
    <w:rsid w:val="00887871"/>
    <w:rsid w:val="008878AA"/>
    <w:rsid w:val="008903AA"/>
    <w:rsid w:val="0089073B"/>
    <w:rsid w:val="00891D6E"/>
    <w:rsid w:val="00891F9A"/>
    <w:rsid w:val="0089254A"/>
    <w:rsid w:val="00892595"/>
    <w:rsid w:val="00892BD4"/>
    <w:rsid w:val="00892F80"/>
    <w:rsid w:val="0089397F"/>
    <w:rsid w:val="00893F34"/>
    <w:rsid w:val="00894670"/>
    <w:rsid w:val="00894D5B"/>
    <w:rsid w:val="00894EB6"/>
    <w:rsid w:val="008957A4"/>
    <w:rsid w:val="008959A5"/>
    <w:rsid w:val="00897477"/>
    <w:rsid w:val="00897727"/>
    <w:rsid w:val="008979DE"/>
    <w:rsid w:val="00897FA3"/>
    <w:rsid w:val="008A00A0"/>
    <w:rsid w:val="008A184B"/>
    <w:rsid w:val="008A190B"/>
    <w:rsid w:val="008A1DB5"/>
    <w:rsid w:val="008A2073"/>
    <w:rsid w:val="008A230B"/>
    <w:rsid w:val="008A26F8"/>
    <w:rsid w:val="008A3108"/>
    <w:rsid w:val="008A3699"/>
    <w:rsid w:val="008A3A68"/>
    <w:rsid w:val="008A3BB3"/>
    <w:rsid w:val="008A3D06"/>
    <w:rsid w:val="008A409C"/>
    <w:rsid w:val="008A57F2"/>
    <w:rsid w:val="008A5C3E"/>
    <w:rsid w:val="008A5E5E"/>
    <w:rsid w:val="008A64D1"/>
    <w:rsid w:val="008A6C75"/>
    <w:rsid w:val="008A75FF"/>
    <w:rsid w:val="008A76EB"/>
    <w:rsid w:val="008A7AAD"/>
    <w:rsid w:val="008B0238"/>
    <w:rsid w:val="008B04D9"/>
    <w:rsid w:val="008B0AEC"/>
    <w:rsid w:val="008B0E75"/>
    <w:rsid w:val="008B0E81"/>
    <w:rsid w:val="008B101A"/>
    <w:rsid w:val="008B15C9"/>
    <w:rsid w:val="008B229D"/>
    <w:rsid w:val="008B2AC8"/>
    <w:rsid w:val="008B2C33"/>
    <w:rsid w:val="008B335C"/>
    <w:rsid w:val="008B36BB"/>
    <w:rsid w:val="008B38DC"/>
    <w:rsid w:val="008B49C9"/>
    <w:rsid w:val="008B538E"/>
    <w:rsid w:val="008B547D"/>
    <w:rsid w:val="008B61D4"/>
    <w:rsid w:val="008B7405"/>
    <w:rsid w:val="008B7856"/>
    <w:rsid w:val="008C00CB"/>
    <w:rsid w:val="008C02A6"/>
    <w:rsid w:val="008C0712"/>
    <w:rsid w:val="008C0B2F"/>
    <w:rsid w:val="008C0DE5"/>
    <w:rsid w:val="008C1369"/>
    <w:rsid w:val="008C1658"/>
    <w:rsid w:val="008C2684"/>
    <w:rsid w:val="008C297C"/>
    <w:rsid w:val="008C2F5A"/>
    <w:rsid w:val="008C3C3D"/>
    <w:rsid w:val="008C4128"/>
    <w:rsid w:val="008C51EB"/>
    <w:rsid w:val="008C525E"/>
    <w:rsid w:val="008C57D3"/>
    <w:rsid w:val="008C5842"/>
    <w:rsid w:val="008C5E54"/>
    <w:rsid w:val="008C6DA4"/>
    <w:rsid w:val="008C6DFF"/>
    <w:rsid w:val="008C7495"/>
    <w:rsid w:val="008D0716"/>
    <w:rsid w:val="008D1024"/>
    <w:rsid w:val="008D15E0"/>
    <w:rsid w:val="008D177B"/>
    <w:rsid w:val="008D28E4"/>
    <w:rsid w:val="008D2938"/>
    <w:rsid w:val="008D2A4D"/>
    <w:rsid w:val="008D3475"/>
    <w:rsid w:val="008D3552"/>
    <w:rsid w:val="008D3A0B"/>
    <w:rsid w:val="008D3AF1"/>
    <w:rsid w:val="008D3C70"/>
    <w:rsid w:val="008D3E86"/>
    <w:rsid w:val="008D3EA7"/>
    <w:rsid w:val="008D4151"/>
    <w:rsid w:val="008D4702"/>
    <w:rsid w:val="008D48F5"/>
    <w:rsid w:val="008D4A3A"/>
    <w:rsid w:val="008D4DDD"/>
    <w:rsid w:val="008D5710"/>
    <w:rsid w:val="008D589A"/>
    <w:rsid w:val="008D58B4"/>
    <w:rsid w:val="008D596F"/>
    <w:rsid w:val="008D5D61"/>
    <w:rsid w:val="008D736F"/>
    <w:rsid w:val="008D77AA"/>
    <w:rsid w:val="008E0061"/>
    <w:rsid w:val="008E042D"/>
    <w:rsid w:val="008E0526"/>
    <w:rsid w:val="008E0EE3"/>
    <w:rsid w:val="008E102F"/>
    <w:rsid w:val="008E14A1"/>
    <w:rsid w:val="008E16B5"/>
    <w:rsid w:val="008E2442"/>
    <w:rsid w:val="008E2836"/>
    <w:rsid w:val="008E3139"/>
    <w:rsid w:val="008E3C96"/>
    <w:rsid w:val="008E3F8A"/>
    <w:rsid w:val="008E413A"/>
    <w:rsid w:val="008E4640"/>
    <w:rsid w:val="008E515D"/>
    <w:rsid w:val="008E578C"/>
    <w:rsid w:val="008E5A58"/>
    <w:rsid w:val="008E62D6"/>
    <w:rsid w:val="008E6B4E"/>
    <w:rsid w:val="008E73FA"/>
    <w:rsid w:val="008E78DA"/>
    <w:rsid w:val="008E7B99"/>
    <w:rsid w:val="008F0562"/>
    <w:rsid w:val="008F1097"/>
    <w:rsid w:val="008F1D07"/>
    <w:rsid w:val="008F23E7"/>
    <w:rsid w:val="008F3075"/>
    <w:rsid w:val="008F3798"/>
    <w:rsid w:val="008F3828"/>
    <w:rsid w:val="008F3E49"/>
    <w:rsid w:val="008F41B8"/>
    <w:rsid w:val="008F4506"/>
    <w:rsid w:val="008F45DA"/>
    <w:rsid w:val="008F4F32"/>
    <w:rsid w:val="008F563F"/>
    <w:rsid w:val="008F57E9"/>
    <w:rsid w:val="008F5A1A"/>
    <w:rsid w:val="008F5DD9"/>
    <w:rsid w:val="008F5EC2"/>
    <w:rsid w:val="008F6639"/>
    <w:rsid w:val="008F6940"/>
    <w:rsid w:val="008F6AE0"/>
    <w:rsid w:val="008F6DF3"/>
    <w:rsid w:val="008F6F1A"/>
    <w:rsid w:val="008F6FC5"/>
    <w:rsid w:val="008F7152"/>
    <w:rsid w:val="008F7D8E"/>
    <w:rsid w:val="0090048C"/>
    <w:rsid w:val="009015D0"/>
    <w:rsid w:val="009018C1"/>
    <w:rsid w:val="00902493"/>
    <w:rsid w:val="00902A38"/>
    <w:rsid w:val="009041D5"/>
    <w:rsid w:val="009043CF"/>
    <w:rsid w:val="00904F75"/>
    <w:rsid w:val="009054A6"/>
    <w:rsid w:val="0090561F"/>
    <w:rsid w:val="00905ED9"/>
    <w:rsid w:val="00905FE7"/>
    <w:rsid w:val="00906F9C"/>
    <w:rsid w:val="009073AA"/>
    <w:rsid w:val="009075D5"/>
    <w:rsid w:val="00907965"/>
    <w:rsid w:val="00907EDE"/>
    <w:rsid w:val="00910032"/>
    <w:rsid w:val="00910856"/>
    <w:rsid w:val="00911F71"/>
    <w:rsid w:val="00912586"/>
    <w:rsid w:val="00912A73"/>
    <w:rsid w:val="00913F08"/>
    <w:rsid w:val="009148B1"/>
    <w:rsid w:val="00914BB4"/>
    <w:rsid w:val="00915234"/>
    <w:rsid w:val="00916510"/>
    <w:rsid w:val="00916657"/>
    <w:rsid w:val="00916843"/>
    <w:rsid w:val="009168F6"/>
    <w:rsid w:val="009169BE"/>
    <w:rsid w:val="00916DF9"/>
    <w:rsid w:val="00917B49"/>
    <w:rsid w:val="00917BE3"/>
    <w:rsid w:val="009200F7"/>
    <w:rsid w:val="00920320"/>
    <w:rsid w:val="00920943"/>
    <w:rsid w:val="00920ACB"/>
    <w:rsid w:val="00920E30"/>
    <w:rsid w:val="00920EB5"/>
    <w:rsid w:val="00921127"/>
    <w:rsid w:val="00921298"/>
    <w:rsid w:val="009212F1"/>
    <w:rsid w:val="00921AAC"/>
    <w:rsid w:val="00921B80"/>
    <w:rsid w:val="009224D8"/>
    <w:rsid w:val="009228A1"/>
    <w:rsid w:val="00923064"/>
    <w:rsid w:val="009231C7"/>
    <w:rsid w:val="00923C14"/>
    <w:rsid w:val="00924176"/>
    <w:rsid w:val="009242AC"/>
    <w:rsid w:val="0092543D"/>
    <w:rsid w:val="00925EE7"/>
    <w:rsid w:val="00926012"/>
    <w:rsid w:val="00926639"/>
    <w:rsid w:val="00926C09"/>
    <w:rsid w:val="00927398"/>
    <w:rsid w:val="00927461"/>
    <w:rsid w:val="00927B0D"/>
    <w:rsid w:val="00927E9D"/>
    <w:rsid w:val="009301B2"/>
    <w:rsid w:val="009308B2"/>
    <w:rsid w:val="00930B1A"/>
    <w:rsid w:val="00930E65"/>
    <w:rsid w:val="0093105B"/>
    <w:rsid w:val="00931AFF"/>
    <w:rsid w:val="00931ECD"/>
    <w:rsid w:val="0093226A"/>
    <w:rsid w:val="00932411"/>
    <w:rsid w:val="009325A0"/>
    <w:rsid w:val="00932E67"/>
    <w:rsid w:val="0093340B"/>
    <w:rsid w:val="00933A0D"/>
    <w:rsid w:val="00934742"/>
    <w:rsid w:val="009349A8"/>
    <w:rsid w:val="00934D7F"/>
    <w:rsid w:val="00934F32"/>
    <w:rsid w:val="009359C9"/>
    <w:rsid w:val="00935CB7"/>
    <w:rsid w:val="00935F73"/>
    <w:rsid w:val="00936620"/>
    <w:rsid w:val="00936BEB"/>
    <w:rsid w:val="00936DD6"/>
    <w:rsid w:val="009370EB"/>
    <w:rsid w:val="0094051E"/>
    <w:rsid w:val="009407E3"/>
    <w:rsid w:val="009408CD"/>
    <w:rsid w:val="00940ABE"/>
    <w:rsid w:val="00940DE2"/>
    <w:rsid w:val="009412AE"/>
    <w:rsid w:val="009418C6"/>
    <w:rsid w:val="00942104"/>
    <w:rsid w:val="009422AA"/>
    <w:rsid w:val="00942412"/>
    <w:rsid w:val="00942B31"/>
    <w:rsid w:val="009433AA"/>
    <w:rsid w:val="0094359A"/>
    <w:rsid w:val="0094371B"/>
    <w:rsid w:val="009438D5"/>
    <w:rsid w:val="00944854"/>
    <w:rsid w:val="00944B0F"/>
    <w:rsid w:val="00944DB7"/>
    <w:rsid w:val="00944E72"/>
    <w:rsid w:val="009454BF"/>
    <w:rsid w:val="00945BF4"/>
    <w:rsid w:val="00945E2D"/>
    <w:rsid w:val="00945E7B"/>
    <w:rsid w:val="00945EDB"/>
    <w:rsid w:val="00946636"/>
    <w:rsid w:val="00946B88"/>
    <w:rsid w:val="00947A67"/>
    <w:rsid w:val="00947BDC"/>
    <w:rsid w:val="00947FD5"/>
    <w:rsid w:val="0095080E"/>
    <w:rsid w:val="00950952"/>
    <w:rsid w:val="00950A58"/>
    <w:rsid w:val="00950FB7"/>
    <w:rsid w:val="0095115E"/>
    <w:rsid w:val="00951B21"/>
    <w:rsid w:val="00951E76"/>
    <w:rsid w:val="00951FA6"/>
    <w:rsid w:val="00952408"/>
    <w:rsid w:val="009527F7"/>
    <w:rsid w:val="00952AE8"/>
    <w:rsid w:val="00953B55"/>
    <w:rsid w:val="00953B63"/>
    <w:rsid w:val="0095401D"/>
    <w:rsid w:val="009548BD"/>
    <w:rsid w:val="00954E29"/>
    <w:rsid w:val="00955093"/>
    <w:rsid w:val="009555FB"/>
    <w:rsid w:val="00955C07"/>
    <w:rsid w:val="00955E7C"/>
    <w:rsid w:val="0095671F"/>
    <w:rsid w:val="00956F08"/>
    <w:rsid w:val="009572CE"/>
    <w:rsid w:val="00957602"/>
    <w:rsid w:val="00957BE9"/>
    <w:rsid w:val="009609B8"/>
    <w:rsid w:val="009611E0"/>
    <w:rsid w:val="009612D3"/>
    <w:rsid w:val="00961547"/>
    <w:rsid w:val="009617D2"/>
    <w:rsid w:val="00961938"/>
    <w:rsid w:val="00961C5D"/>
    <w:rsid w:val="00962B2B"/>
    <w:rsid w:val="00962D1F"/>
    <w:rsid w:val="00962D49"/>
    <w:rsid w:val="00962FCA"/>
    <w:rsid w:val="009634D4"/>
    <w:rsid w:val="00963ADA"/>
    <w:rsid w:val="00964186"/>
    <w:rsid w:val="009642BF"/>
    <w:rsid w:val="009644CE"/>
    <w:rsid w:val="00964C16"/>
    <w:rsid w:val="00964C23"/>
    <w:rsid w:val="00964D33"/>
    <w:rsid w:val="009655E0"/>
    <w:rsid w:val="009656AA"/>
    <w:rsid w:val="009657A9"/>
    <w:rsid w:val="00966864"/>
    <w:rsid w:val="00966BBC"/>
    <w:rsid w:val="00967147"/>
    <w:rsid w:val="00967480"/>
    <w:rsid w:val="009677CB"/>
    <w:rsid w:val="00967A1B"/>
    <w:rsid w:val="00970317"/>
    <w:rsid w:val="0097100E"/>
    <w:rsid w:val="0097194E"/>
    <w:rsid w:val="00971BB5"/>
    <w:rsid w:val="00971F5E"/>
    <w:rsid w:val="00972011"/>
    <w:rsid w:val="00972333"/>
    <w:rsid w:val="009726C2"/>
    <w:rsid w:val="00972AA8"/>
    <w:rsid w:val="00972C42"/>
    <w:rsid w:val="009730A6"/>
    <w:rsid w:val="0097472C"/>
    <w:rsid w:val="00974853"/>
    <w:rsid w:val="00974B75"/>
    <w:rsid w:val="00974DC2"/>
    <w:rsid w:val="0097502C"/>
    <w:rsid w:val="009752BA"/>
    <w:rsid w:val="00975355"/>
    <w:rsid w:val="0097654A"/>
    <w:rsid w:val="00976B5B"/>
    <w:rsid w:val="009776E8"/>
    <w:rsid w:val="00977BF3"/>
    <w:rsid w:val="0098026E"/>
    <w:rsid w:val="0098027D"/>
    <w:rsid w:val="00980810"/>
    <w:rsid w:val="0098088C"/>
    <w:rsid w:val="009810EB"/>
    <w:rsid w:val="009813F3"/>
    <w:rsid w:val="00981424"/>
    <w:rsid w:val="00982001"/>
    <w:rsid w:val="00982033"/>
    <w:rsid w:val="00982C2A"/>
    <w:rsid w:val="009837BB"/>
    <w:rsid w:val="0098388A"/>
    <w:rsid w:val="009839BB"/>
    <w:rsid w:val="0098425D"/>
    <w:rsid w:val="009842A8"/>
    <w:rsid w:val="009845C1"/>
    <w:rsid w:val="009848E7"/>
    <w:rsid w:val="0098511D"/>
    <w:rsid w:val="00985631"/>
    <w:rsid w:val="00985714"/>
    <w:rsid w:val="00985B38"/>
    <w:rsid w:val="00985F67"/>
    <w:rsid w:val="00986837"/>
    <w:rsid w:val="009868C1"/>
    <w:rsid w:val="009869B9"/>
    <w:rsid w:val="00986DEB"/>
    <w:rsid w:val="00987A03"/>
    <w:rsid w:val="00987AC0"/>
    <w:rsid w:val="00990404"/>
    <w:rsid w:val="0099047B"/>
    <w:rsid w:val="00990A0C"/>
    <w:rsid w:val="00990D4D"/>
    <w:rsid w:val="00991089"/>
    <w:rsid w:val="009910D5"/>
    <w:rsid w:val="0099118C"/>
    <w:rsid w:val="0099135B"/>
    <w:rsid w:val="00991E8D"/>
    <w:rsid w:val="00992439"/>
    <w:rsid w:val="00993EB2"/>
    <w:rsid w:val="009940E6"/>
    <w:rsid w:val="00995930"/>
    <w:rsid w:val="009959D7"/>
    <w:rsid w:val="00995C44"/>
    <w:rsid w:val="00996A74"/>
    <w:rsid w:val="00997034"/>
    <w:rsid w:val="00997271"/>
    <w:rsid w:val="00997B6B"/>
    <w:rsid w:val="009A0314"/>
    <w:rsid w:val="009A0439"/>
    <w:rsid w:val="009A053F"/>
    <w:rsid w:val="009A078A"/>
    <w:rsid w:val="009A0E02"/>
    <w:rsid w:val="009A0F6E"/>
    <w:rsid w:val="009A14BB"/>
    <w:rsid w:val="009A1B2F"/>
    <w:rsid w:val="009A1E03"/>
    <w:rsid w:val="009A207F"/>
    <w:rsid w:val="009A208A"/>
    <w:rsid w:val="009A208C"/>
    <w:rsid w:val="009A22EF"/>
    <w:rsid w:val="009A27F8"/>
    <w:rsid w:val="009A28AC"/>
    <w:rsid w:val="009A3503"/>
    <w:rsid w:val="009A3555"/>
    <w:rsid w:val="009A3BB6"/>
    <w:rsid w:val="009A3D45"/>
    <w:rsid w:val="009A415E"/>
    <w:rsid w:val="009A5757"/>
    <w:rsid w:val="009A5D47"/>
    <w:rsid w:val="009A6184"/>
    <w:rsid w:val="009A674E"/>
    <w:rsid w:val="009A6F46"/>
    <w:rsid w:val="009A71D5"/>
    <w:rsid w:val="009B0A38"/>
    <w:rsid w:val="009B0E72"/>
    <w:rsid w:val="009B1951"/>
    <w:rsid w:val="009B1E38"/>
    <w:rsid w:val="009B2083"/>
    <w:rsid w:val="009B3AD8"/>
    <w:rsid w:val="009B4CC3"/>
    <w:rsid w:val="009B518E"/>
    <w:rsid w:val="009B5265"/>
    <w:rsid w:val="009B5416"/>
    <w:rsid w:val="009B60F8"/>
    <w:rsid w:val="009B6100"/>
    <w:rsid w:val="009B62AE"/>
    <w:rsid w:val="009B6689"/>
    <w:rsid w:val="009B7351"/>
    <w:rsid w:val="009B7EF9"/>
    <w:rsid w:val="009C03CC"/>
    <w:rsid w:val="009C07D2"/>
    <w:rsid w:val="009C0C16"/>
    <w:rsid w:val="009C0F82"/>
    <w:rsid w:val="009C173D"/>
    <w:rsid w:val="009C186D"/>
    <w:rsid w:val="009C1F0B"/>
    <w:rsid w:val="009C2389"/>
    <w:rsid w:val="009C29DC"/>
    <w:rsid w:val="009C2F37"/>
    <w:rsid w:val="009C34CA"/>
    <w:rsid w:val="009C4128"/>
    <w:rsid w:val="009C42A4"/>
    <w:rsid w:val="009C483A"/>
    <w:rsid w:val="009C49C3"/>
    <w:rsid w:val="009C510B"/>
    <w:rsid w:val="009C56C5"/>
    <w:rsid w:val="009C5DF4"/>
    <w:rsid w:val="009C65EC"/>
    <w:rsid w:val="009C6DBA"/>
    <w:rsid w:val="009C7119"/>
    <w:rsid w:val="009C71A9"/>
    <w:rsid w:val="009D029A"/>
    <w:rsid w:val="009D0355"/>
    <w:rsid w:val="009D0401"/>
    <w:rsid w:val="009D0E9D"/>
    <w:rsid w:val="009D17E2"/>
    <w:rsid w:val="009D1AE3"/>
    <w:rsid w:val="009D2A4D"/>
    <w:rsid w:val="009D2BA9"/>
    <w:rsid w:val="009D3236"/>
    <w:rsid w:val="009D355F"/>
    <w:rsid w:val="009D3790"/>
    <w:rsid w:val="009D3802"/>
    <w:rsid w:val="009D4E6F"/>
    <w:rsid w:val="009D5047"/>
    <w:rsid w:val="009D537C"/>
    <w:rsid w:val="009D6086"/>
    <w:rsid w:val="009D662D"/>
    <w:rsid w:val="009D69C7"/>
    <w:rsid w:val="009D70E5"/>
    <w:rsid w:val="009D7D5D"/>
    <w:rsid w:val="009E0417"/>
    <w:rsid w:val="009E0877"/>
    <w:rsid w:val="009E08D1"/>
    <w:rsid w:val="009E1D90"/>
    <w:rsid w:val="009E3F86"/>
    <w:rsid w:val="009E4124"/>
    <w:rsid w:val="009E4398"/>
    <w:rsid w:val="009E465A"/>
    <w:rsid w:val="009E48CB"/>
    <w:rsid w:val="009E4A64"/>
    <w:rsid w:val="009E4DFD"/>
    <w:rsid w:val="009E504B"/>
    <w:rsid w:val="009E64DB"/>
    <w:rsid w:val="009E65E3"/>
    <w:rsid w:val="009E66AE"/>
    <w:rsid w:val="009E66E8"/>
    <w:rsid w:val="009E6846"/>
    <w:rsid w:val="009E73B3"/>
    <w:rsid w:val="009E79F8"/>
    <w:rsid w:val="009F0131"/>
    <w:rsid w:val="009F025B"/>
    <w:rsid w:val="009F1B95"/>
    <w:rsid w:val="009F1CE5"/>
    <w:rsid w:val="009F1FEE"/>
    <w:rsid w:val="009F2244"/>
    <w:rsid w:val="009F2477"/>
    <w:rsid w:val="009F24A2"/>
    <w:rsid w:val="009F26EC"/>
    <w:rsid w:val="009F2BD8"/>
    <w:rsid w:val="009F2CB7"/>
    <w:rsid w:val="009F2DD7"/>
    <w:rsid w:val="009F32D2"/>
    <w:rsid w:val="009F41F5"/>
    <w:rsid w:val="009F424C"/>
    <w:rsid w:val="009F55BB"/>
    <w:rsid w:val="009F5ACF"/>
    <w:rsid w:val="009F5C0E"/>
    <w:rsid w:val="009F67BD"/>
    <w:rsid w:val="009F690B"/>
    <w:rsid w:val="009F6C67"/>
    <w:rsid w:val="009F70C7"/>
    <w:rsid w:val="00A00067"/>
    <w:rsid w:val="00A00569"/>
    <w:rsid w:val="00A01564"/>
    <w:rsid w:val="00A023C7"/>
    <w:rsid w:val="00A024D6"/>
    <w:rsid w:val="00A024E4"/>
    <w:rsid w:val="00A02677"/>
    <w:rsid w:val="00A02B4E"/>
    <w:rsid w:val="00A0334E"/>
    <w:rsid w:val="00A03696"/>
    <w:rsid w:val="00A03802"/>
    <w:rsid w:val="00A03B92"/>
    <w:rsid w:val="00A03FBA"/>
    <w:rsid w:val="00A048F6"/>
    <w:rsid w:val="00A0574D"/>
    <w:rsid w:val="00A06227"/>
    <w:rsid w:val="00A062E7"/>
    <w:rsid w:val="00A06412"/>
    <w:rsid w:val="00A067E6"/>
    <w:rsid w:val="00A069C0"/>
    <w:rsid w:val="00A06B17"/>
    <w:rsid w:val="00A06E2A"/>
    <w:rsid w:val="00A07860"/>
    <w:rsid w:val="00A07B19"/>
    <w:rsid w:val="00A109EA"/>
    <w:rsid w:val="00A112D3"/>
    <w:rsid w:val="00A11C42"/>
    <w:rsid w:val="00A11CB3"/>
    <w:rsid w:val="00A12079"/>
    <w:rsid w:val="00A12841"/>
    <w:rsid w:val="00A1287B"/>
    <w:rsid w:val="00A12A71"/>
    <w:rsid w:val="00A13053"/>
    <w:rsid w:val="00A14092"/>
    <w:rsid w:val="00A14121"/>
    <w:rsid w:val="00A14442"/>
    <w:rsid w:val="00A14821"/>
    <w:rsid w:val="00A149A5"/>
    <w:rsid w:val="00A14C64"/>
    <w:rsid w:val="00A157CD"/>
    <w:rsid w:val="00A15BE0"/>
    <w:rsid w:val="00A15D18"/>
    <w:rsid w:val="00A165E7"/>
    <w:rsid w:val="00A166EF"/>
    <w:rsid w:val="00A17544"/>
    <w:rsid w:val="00A17D5D"/>
    <w:rsid w:val="00A2112D"/>
    <w:rsid w:val="00A21855"/>
    <w:rsid w:val="00A21CBD"/>
    <w:rsid w:val="00A22C5E"/>
    <w:rsid w:val="00A236AF"/>
    <w:rsid w:val="00A2377D"/>
    <w:rsid w:val="00A23D15"/>
    <w:rsid w:val="00A24431"/>
    <w:rsid w:val="00A246E7"/>
    <w:rsid w:val="00A250F4"/>
    <w:rsid w:val="00A25775"/>
    <w:rsid w:val="00A26171"/>
    <w:rsid w:val="00A26FE5"/>
    <w:rsid w:val="00A279E2"/>
    <w:rsid w:val="00A27A02"/>
    <w:rsid w:val="00A303BA"/>
    <w:rsid w:val="00A3094C"/>
    <w:rsid w:val="00A31001"/>
    <w:rsid w:val="00A3138A"/>
    <w:rsid w:val="00A31A47"/>
    <w:rsid w:val="00A31ACC"/>
    <w:rsid w:val="00A31BC5"/>
    <w:rsid w:val="00A31DDD"/>
    <w:rsid w:val="00A320D2"/>
    <w:rsid w:val="00A32307"/>
    <w:rsid w:val="00A324BA"/>
    <w:rsid w:val="00A32941"/>
    <w:rsid w:val="00A32C99"/>
    <w:rsid w:val="00A32E0F"/>
    <w:rsid w:val="00A32E17"/>
    <w:rsid w:val="00A33065"/>
    <w:rsid w:val="00A33C7A"/>
    <w:rsid w:val="00A33F33"/>
    <w:rsid w:val="00A34532"/>
    <w:rsid w:val="00A34A5D"/>
    <w:rsid w:val="00A34D35"/>
    <w:rsid w:val="00A351FC"/>
    <w:rsid w:val="00A36048"/>
    <w:rsid w:val="00A366EE"/>
    <w:rsid w:val="00A368DB"/>
    <w:rsid w:val="00A36B96"/>
    <w:rsid w:val="00A3711C"/>
    <w:rsid w:val="00A3716B"/>
    <w:rsid w:val="00A37B84"/>
    <w:rsid w:val="00A37F03"/>
    <w:rsid w:val="00A408B4"/>
    <w:rsid w:val="00A40F2B"/>
    <w:rsid w:val="00A41178"/>
    <w:rsid w:val="00A41FA9"/>
    <w:rsid w:val="00A42A79"/>
    <w:rsid w:val="00A43794"/>
    <w:rsid w:val="00A439DF"/>
    <w:rsid w:val="00A43ED7"/>
    <w:rsid w:val="00A44140"/>
    <w:rsid w:val="00A449B3"/>
    <w:rsid w:val="00A449F8"/>
    <w:rsid w:val="00A44FD8"/>
    <w:rsid w:val="00A453FF"/>
    <w:rsid w:val="00A45537"/>
    <w:rsid w:val="00A45E97"/>
    <w:rsid w:val="00A45F94"/>
    <w:rsid w:val="00A4696F"/>
    <w:rsid w:val="00A46CAD"/>
    <w:rsid w:val="00A5078E"/>
    <w:rsid w:val="00A50BA5"/>
    <w:rsid w:val="00A51096"/>
    <w:rsid w:val="00A5145B"/>
    <w:rsid w:val="00A51601"/>
    <w:rsid w:val="00A51CD2"/>
    <w:rsid w:val="00A52083"/>
    <w:rsid w:val="00A52212"/>
    <w:rsid w:val="00A523C0"/>
    <w:rsid w:val="00A52657"/>
    <w:rsid w:val="00A5504B"/>
    <w:rsid w:val="00A5566D"/>
    <w:rsid w:val="00A5584C"/>
    <w:rsid w:val="00A55D13"/>
    <w:rsid w:val="00A55D1A"/>
    <w:rsid w:val="00A57BE2"/>
    <w:rsid w:val="00A57EEC"/>
    <w:rsid w:val="00A57EEF"/>
    <w:rsid w:val="00A60DF1"/>
    <w:rsid w:val="00A60E42"/>
    <w:rsid w:val="00A6112E"/>
    <w:rsid w:val="00A612DA"/>
    <w:rsid w:val="00A61444"/>
    <w:rsid w:val="00A61616"/>
    <w:rsid w:val="00A6176A"/>
    <w:rsid w:val="00A61848"/>
    <w:rsid w:val="00A62E23"/>
    <w:rsid w:val="00A62E3F"/>
    <w:rsid w:val="00A63113"/>
    <w:rsid w:val="00A631D8"/>
    <w:rsid w:val="00A644FC"/>
    <w:rsid w:val="00A648F0"/>
    <w:rsid w:val="00A64EB4"/>
    <w:rsid w:val="00A6578A"/>
    <w:rsid w:val="00A65823"/>
    <w:rsid w:val="00A659EF"/>
    <w:rsid w:val="00A67898"/>
    <w:rsid w:val="00A67AB8"/>
    <w:rsid w:val="00A7095C"/>
    <w:rsid w:val="00A70D54"/>
    <w:rsid w:val="00A710B7"/>
    <w:rsid w:val="00A713A3"/>
    <w:rsid w:val="00A714A2"/>
    <w:rsid w:val="00A7163F"/>
    <w:rsid w:val="00A724A5"/>
    <w:rsid w:val="00A72766"/>
    <w:rsid w:val="00A72840"/>
    <w:rsid w:val="00A72A90"/>
    <w:rsid w:val="00A7306B"/>
    <w:rsid w:val="00A74D88"/>
    <w:rsid w:val="00A75C80"/>
    <w:rsid w:val="00A75DE4"/>
    <w:rsid w:val="00A75EEA"/>
    <w:rsid w:val="00A75FEE"/>
    <w:rsid w:val="00A76047"/>
    <w:rsid w:val="00A774B0"/>
    <w:rsid w:val="00A775AB"/>
    <w:rsid w:val="00A77D3F"/>
    <w:rsid w:val="00A8036D"/>
    <w:rsid w:val="00A806BC"/>
    <w:rsid w:val="00A806E2"/>
    <w:rsid w:val="00A809F5"/>
    <w:rsid w:val="00A816C0"/>
    <w:rsid w:val="00A816CB"/>
    <w:rsid w:val="00A81D21"/>
    <w:rsid w:val="00A81E81"/>
    <w:rsid w:val="00A82BAF"/>
    <w:rsid w:val="00A83D22"/>
    <w:rsid w:val="00A8400E"/>
    <w:rsid w:val="00A8402B"/>
    <w:rsid w:val="00A844B5"/>
    <w:rsid w:val="00A848DC"/>
    <w:rsid w:val="00A848E8"/>
    <w:rsid w:val="00A85E22"/>
    <w:rsid w:val="00A860EC"/>
    <w:rsid w:val="00A86DD9"/>
    <w:rsid w:val="00A87091"/>
    <w:rsid w:val="00A87258"/>
    <w:rsid w:val="00A87458"/>
    <w:rsid w:val="00A87BDE"/>
    <w:rsid w:val="00A90012"/>
    <w:rsid w:val="00A9021D"/>
    <w:rsid w:val="00A90C0B"/>
    <w:rsid w:val="00A90C15"/>
    <w:rsid w:val="00A911ED"/>
    <w:rsid w:val="00A915E9"/>
    <w:rsid w:val="00A9174E"/>
    <w:rsid w:val="00A91C01"/>
    <w:rsid w:val="00A91CB5"/>
    <w:rsid w:val="00A91DE9"/>
    <w:rsid w:val="00A9202D"/>
    <w:rsid w:val="00A93701"/>
    <w:rsid w:val="00A93EE1"/>
    <w:rsid w:val="00A942BB"/>
    <w:rsid w:val="00A94525"/>
    <w:rsid w:val="00A948E8"/>
    <w:rsid w:val="00A948EC"/>
    <w:rsid w:val="00A94A4A"/>
    <w:rsid w:val="00A94BCC"/>
    <w:rsid w:val="00A95965"/>
    <w:rsid w:val="00A96A3D"/>
    <w:rsid w:val="00A97118"/>
    <w:rsid w:val="00A97C30"/>
    <w:rsid w:val="00A97EEF"/>
    <w:rsid w:val="00AA03C1"/>
    <w:rsid w:val="00AA0B0F"/>
    <w:rsid w:val="00AA0BCD"/>
    <w:rsid w:val="00AA0EC4"/>
    <w:rsid w:val="00AA0F36"/>
    <w:rsid w:val="00AA126D"/>
    <w:rsid w:val="00AA1548"/>
    <w:rsid w:val="00AA165C"/>
    <w:rsid w:val="00AA1F55"/>
    <w:rsid w:val="00AA2291"/>
    <w:rsid w:val="00AA2366"/>
    <w:rsid w:val="00AA2462"/>
    <w:rsid w:val="00AA2593"/>
    <w:rsid w:val="00AA25DA"/>
    <w:rsid w:val="00AA2CAB"/>
    <w:rsid w:val="00AA2E55"/>
    <w:rsid w:val="00AA3EBB"/>
    <w:rsid w:val="00AA5246"/>
    <w:rsid w:val="00AA588C"/>
    <w:rsid w:val="00AA62A1"/>
    <w:rsid w:val="00AB00A8"/>
    <w:rsid w:val="00AB00B8"/>
    <w:rsid w:val="00AB03D2"/>
    <w:rsid w:val="00AB04D1"/>
    <w:rsid w:val="00AB1DE7"/>
    <w:rsid w:val="00AB217D"/>
    <w:rsid w:val="00AB31F1"/>
    <w:rsid w:val="00AB37E4"/>
    <w:rsid w:val="00AB45E1"/>
    <w:rsid w:val="00AB4961"/>
    <w:rsid w:val="00AB4C03"/>
    <w:rsid w:val="00AB5042"/>
    <w:rsid w:val="00AB554D"/>
    <w:rsid w:val="00AB5722"/>
    <w:rsid w:val="00AB5D9E"/>
    <w:rsid w:val="00AB65A1"/>
    <w:rsid w:val="00AB6619"/>
    <w:rsid w:val="00AB6691"/>
    <w:rsid w:val="00AB6B4E"/>
    <w:rsid w:val="00AB710C"/>
    <w:rsid w:val="00AB77F5"/>
    <w:rsid w:val="00AB7851"/>
    <w:rsid w:val="00AC0660"/>
    <w:rsid w:val="00AC081D"/>
    <w:rsid w:val="00AC1052"/>
    <w:rsid w:val="00AC295B"/>
    <w:rsid w:val="00AC2CD3"/>
    <w:rsid w:val="00AC32D6"/>
    <w:rsid w:val="00AC33D8"/>
    <w:rsid w:val="00AC39C0"/>
    <w:rsid w:val="00AC3C65"/>
    <w:rsid w:val="00AC4AD7"/>
    <w:rsid w:val="00AC5666"/>
    <w:rsid w:val="00AC5DC6"/>
    <w:rsid w:val="00AC63B9"/>
    <w:rsid w:val="00AC72B3"/>
    <w:rsid w:val="00AC7E67"/>
    <w:rsid w:val="00AD0664"/>
    <w:rsid w:val="00AD0A44"/>
    <w:rsid w:val="00AD0B1F"/>
    <w:rsid w:val="00AD0E35"/>
    <w:rsid w:val="00AD15D8"/>
    <w:rsid w:val="00AD1AEB"/>
    <w:rsid w:val="00AD1C52"/>
    <w:rsid w:val="00AD2024"/>
    <w:rsid w:val="00AD246C"/>
    <w:rsid w:val="00AD3455"/>
    <w:rsid w:val="00AD34AC"/>
    <w:rsid w:val="00AD38FB"/>
    <w:rsid w:val="00AD3B2A"/>
    <w:rsid w:val="00AD3E9B"/>
    <w:rsid w:val="00AD3EFA"/>
    <w:rsid w:val="00AD6435"/>
    <w:rsid w:val="00AD6D4F"/>
    <w:rsid w:val="00AD730F"/>
    <w:rsid w:val="00AD7484"/>
    <w:rsid w:val="00AD7505"/>
    <w:rsid w:val="00AD7846"/>
    <w:rsid w:val="00AD7873"/>
    <w:rsid w:val="00AD7F23"/>
    <w:rsid w:val="00AE043B"/>
    <w:rsid w:val="00AE07E0"/>
    <w:rsid w:val="00AE09CC"/>
    <w:rsid w:val="00AE0E45"/>
    <w:rsid w:val="00AE1302"/>
    <w:rsid w:val="00AE15FA"/>
    <w:rsid w:val="00AE190B"/>
    <w:rsid w:val="00AE1EE8"/>
    <w:rsid w:val="00AE20BE"/>
    <w:rsid w:val="00AE2197"/>
    <w:rsid w:val="00AE255E"/>
    <w:rsid w:val="00AE27CE"/>
    <w:rsid w:val="00AE28B9"/>
    <w:rsid w:val="00AE2F2A"/>
    <w:rsid w:val="00AE38FB"/>
    <w:rsid w:val="00AE3911"/>
    <w:rsid w:val="00AE40A3"/>
    <w:rsid w:val="00AE44B4"/>
    <w:rsid w:val="00AE468E"/>
    <w:rsid w:val="00AE4DEE"/>
    <w:rsid w:val="00AE5222"/>
    <w:rsid w:val="00AE5859"/>
    <w:rsid w:val="00AE6884"/>
    <w:rsid w:val="00AE6995"/>
    <w:rsid w:val="00AE718E"/>
    <w:rsid w:val="00AF06FF"/>
    <w:rsid w:val="00AF0F0B"/>
    <w:rsid w:val="00AF15D5"/>
    <w:rsid w:val="00AF1992"/>
    <w:rsid w:val="00AF1ADA"/>
    <w:rsid w:val="00AF1DA0"/>
    <w:rsid w:val="00AF22B8"/>
    <w:rsid w:val="00AF2339"/>
    <w:rsid w:val="00AF26A5"/>
    <w:rsid w:val="00AF30B6"/>
    <w:rsid w:val="00AF331F"/>
    <w:rsid w:val="00AF33BE"/>
    <w:rsid w:val="00AF394F"/>
    <w:rsid w:val="00AF48DA"/>
    <w:rsid w:val="00AF49F7"/>
    <w:rsid w:val="00AF4B48"/>
    <w:rsid w:val="00AF4B74"/>
    <w:rsid w:val="00AF4C52"/>
    <w:rsid w:val="00AF4CE5"/>
    <w:rsid w:val="00AF513B"/>
    <w:rsid w:val="00AF5941"/>
    <w:rsid w:val="00AF5C3C"/>
    <w:rsid w:val="00AF5E8D"/>
    <w:rsid w:val="00AF63E6"/>
    <w:rsid w:val="00AF6920"/>
    <w:rsid w:val="00AF6A66"/>
    <w:rsid w:val="00AF6B5F"/>
    <w:rsid w:val="00AF6DA1"/>
    <w:rsid w:val="00AF7646"/>
    <w:rsid w:val="00AF7860"/>
    <w:rsid w:val="00AF7993"/>
    <w:rsid w:val="00AF7F46"/>
    <w:rsid w:val="00B0001B"/>
    <w:rsid w:val="00B01298"/>
    <w:rsid w:val="00B0173E"/>
    <w:rsid w:val="00B018EC"/>
    <w:rsid w:val="00B01AC3"/>
    <w:rsid w:val="00B02116"/>
    <w:rsid w:val="00B02722"/>
    <w:rsid w:val="00B03359"/>
    <w:rsid w:val="00B03946"/>
    <w:rsid w:val="00B03E3A"/>
    <w:rsid w:val="00B04824"/>
    <w:rsid w:val="00B04E9F"/>
    <w:rsid w:val="00B055A0"/>
    <w:rsid w:val="00B06437"/>
    <w:rsid w:val="00B0644A"/>
    <w:rsid w:val="00B06D22"/>
    <w:rsid w:val="00B06D72"/>
    <w:rsid w:val="00B06FDE"/>
    <w:rsid w:val="00B07461"/>
    <w:rsid w:val="00B077A0"/>
    <w:rsid w:val="00B07F6E"/>
    <w:rsid w:val="00B1081E"/>
    <w:rsid w:val="00B11032"/>
    <w:rsid w:val="00B11E66"/>
    <w:rsid w:val="00B125EF"/>
    <w:rsid w:val="00B12CC3"/>
    <w:rsid w:val="00B13D55"/>
    <w:rsid w:val="00B13FDC"/>
    <w:rsid w:val="00B1426C"/>
    <w:rsid w:val="00B14580"/>
    <w:rsid w:val="00B14997"/>
    <w:rsid w:val="00B14B61"/>
    <w:rsid w:val="00B154AC"/>
    <w:rsid w:val="00B155E7"/>
    <w:rsid w:val="00B15ED6"/>
    <w:rsid w:val="00B162C6"/>
    <w:rsid w:val="00B1662B"/>
    <w:rsid w:val="00B1694A"/>
    <w:rsid w:val="00B16D5C"/>
    <w:rsid w:val="00B17131"/>
    <w:rsid w:val="00B1716C"/>
    <w:rsid w:val="00B17465"/>
    <w:rsid w:val="00B17D2A"/>
    <w:rsid w:val="00B17D7A"/>
    <w:rsid w:val="00B17DFC"/>
    <w:rsid w:val="00B2007A"/>
    <w:rsid w:val="00B21D01"/>
    <w:rsid w:val="00B21FF7"/>
    <w:rsid w:val="00B22000"/>
    <w:rsid w:val="00B2246B"/>
    <w:rsid w:val="00B2299E"/>
    <w:rsid w:val="00B22B50"/>
    <w:rsid w:val="00B236AA"/>
    <w:rsid w:val="00B236EB"/>
    <w:rsid w:val="00B237BE"/>
    <w:rsid w:val="00B23BC7"/>
    <w:rsid w:val="00B23C18"/>
    <w:rsid w:val="00B23C7F"/>
    <w:rsid w:val="00B23E86"/>
    <w:rsid w:val="00B23F63"/>
    <w:rsid w:val="00B249D2"/>
    <w:rsid w:val="00B2513B"/>
    <w:rsid w:val="00B254BA"/>
    <w:rsid w:val="00B262B5"/>
    <w:rsid w:val="00B26A5F"/>
    <w:rsid w:val="00B26D77"/>
    <w:rsid w:val="00B274E9"/>
    <w:rsid w:val="00B275B0"/>
    <w:rsid w:val="00B27729"/>
    <w:rsid w:val="00B277AD"/>
    <w:rsid w:val="00B30030"/>
    <w:rsid w:val="00B3042F"/>
    <w:rsid w:val="00B30FDE"/>
    <w:rsid w:val="00B32DE7"/>
    <w:rsid w:val="00B347EC"/>
    <w:rsid w:val="00B34EE3"/>
    <w:rsid w:val="00B34F66"/>
    <w:rsid w:val="00B354F1"/>
    <w:rsid w:val="00B35D5A"/>
    <w:rsid w:val="00B35E23"/>
    <w:rsid w:val="00B35FC8"/>
    <w:rsid w:val="00B36D77"/>
    <w:rsid w:val="00B36F1A"/>
    <w:rsid w:val="00B371A9"/>
    <w:rsid w:val="00B371EB"/>
    <w:rsid w:val="00B37684"/>
    <w:rsid w:val="00B3777F"/>
    <w:rsid w:val="00B37B5E"/>
    <w:rsid w:val="00B37E29"/>
    <w:rsid w:val="00B403E3"/>
    <w:rsid w:val="00B404F1"/>
    <w:rsid w:val="00B4077D"/>
    <w:rsid w:val="00B413C4"/>
    <w:rsid w:val="00B41A29"/>
    <w:rsid w:val="00B423CF"/>
    <w:rsid w:val="00B4241A"/>
    <w:rsid w:val="00B43216"/>
    <w:rsid w:val="00B450D2"/>
    <w:rsid w:val="00B453DC"/>
    <w:rsid w:val="00B455CF"/>
    <w:rsid w:val="00B45D6F"/>
    <w:rsid w:val="00B4768D"/>
    <w:rsid w:val="00B47C5C"/>
    <w:rsid w:val="00B47D91"/>
    <w:rsid w:val="00B51E3E"/>
    <w:rsid w:val="00B520E2"/>
    <w:rsid w:val="00B52138"/>
    <w:rsid w:val="00B52A53"/>
    <w:rsid w:val="00B53055"/>
    <w:rsid w:val="00B53B17"/>
    <w:rsid w:val="00B54475"/>
    <w:rsid w:val="00B544AB"/>
    <w:rsid w:val="00B54974"/>
    <w:rsid w:val="00B55A2B"/>
    <w:rsid w:val="00B55F48"/>
    <w:rsid w:val="00B56778"/>
    <w:rsid w:val="00B5771F"/>
    <w:rsid w:val="00B578A0"/>
    <w:rsid w:val="00B57D86"/>
    <w:rsid w:val="00B57F5D"/>
    <w:rsid w:val="00B600B4"/>
    <w:rsid w:val="00B603D0"/>
    <w:rsid w:val="00B6093F"/>
    <w:rsid w:val="00B60D5D"/>
    <w:rsid w:val="00B60EE8"/>
    <w:rsid w:val="00B615A8"/>
    <w:rsid w:val="00B615D4"/>
    <w:rsid w:val="00B618FB"/>
    <w:rsid w:val="00B61C96"/>
    <w:rsid w:val="00B61CCE"/>
    <w:rsid w:val="00B61D17"/>
    <w:rsid w:val="00B624EA"/>
    <w:rsid w:val="00B624F4"/>
    <w:rsid w:val="00B63878"/>
    <w:rsid w:val="00B6445B"/>
    <w:rsid w:val="00B64721"/>
    <w:rsid w:val="00B648E2"/>
    <w:rsid w:val="00B64E08"/>
    <w:rsid w:val="00B658AF"/>
    <w:rsid w:val="00B6593A"/>
    <w:rsid w:val="00B66755"/>
    <w:rsid w:val="00B66992"/>
    <w:rsid w:val="00B67BF2"/>
    <w:rsid w:val="00B704BF"/>
    <w:rsid w:val="00B7069B"/>
    <w:rsid w:val="00B706BD"/>
    <w:rsid w:val="00B70B6D"/>
    <w:rsid w:val="00B71FF4"/>
    <w:rsid w:val="00B721AD"/>
    <w:rsid w:val="00B72243"/>
    <w:rsid w:val="00B72B46"/>
    <w:rsid w:val="00B73524"/>
    <w:rsid w:val="00B735CF"/>
    <w:rsid w:val="00B73ECA"/>
    <w:rsid w:val="00B73FBA"/>
    <w:rsid w:val="00B7404C"/>
    <w:rsid w:val="00B74425"/>
    <w:rsid w:val="00B74524"/>
    <w:rsid w:val="00B7479A"/>
    <w:rsid w:val="00B7504D"/>
    <w:rsid w:val="00B75657"/>
    <w:rsid w:val="00B75A94"/>
    <w:rsid w:val="00B75C25"/>
    <w:rsid w:val="00B767A1"/>
    <w:rsid w:val="00B76E62"/>
    <w:rsid w:val="00B77389"/>
    <w:rsid w:val="00B7750A"/>
    <w:rsid w:val="00B778FC"/>
    <w:rsid w:val="00B77A3F"/>
    <w:rsid w:val="00B77DAE"/>
    <w:rsid w:val="00B80317"/>
    <w:rsid w:val="00B80E7B"/>
    <w:rsid w:val="00B8112C"/>
    <w:rsid w:val="00B8151F"/>
    <w:rsid w:val="00B81712"/>
    <w:rsid w:val="00B81F88"/>
    <w:rsid w:val="00B8215F"/>
    <w:rsid w:val="00B823DE"/>
    <w:rsid w:val="00B8270D"/>
    <w:rsid w:val="00B828BD"/>
    <w:rsid w:val="00B82D98"/>
    <w:rsid w:val="00B8378E"/>
    <w:rsid w:val="00B838BC"/>
    <w:rsid w:val="00B84237"/>
    <w:rsid w:val="00B8431F"/>
    <w:rsid w:val="00B846EB"/>
    <w:rsid w:val="00B849F0"/>
    <w:rsid w:val="00B84A64"/>
    <w:rsid w:val="00B84E85"/>
    <w:rsid w:val="00B85E69"/>
    <w:rsid w:val="00B85FFA"/>
    <w:rsid w:val="00B862AF"/>
    <w:rsid w:val="00B862BF"/>
    <w:rsid w:val="00B869BF"/>
    <w:rsid w:val="00B86A44"/>
    <w:rsid w:val="00B86EEB"/>
    <w:rsid w:val="00B871FF"/>
    <w:rsid w:val="00B876FE"/>
    <w:rsid w:val="00B87ECA"/>
    <w:rsid w:val="00B87F05"/>
    <w:rsid w:val="00B9162E"/>
    <w:rsid w:val="00B91850"/>
    <w:rsid w:val="00B91F6E"/>
    <w:rsid w:val="00B925A3"/>
    <w:rsid w:val="00B92E2C"/>
    <w:rsid w:val="00B937E2"/>
    <w:rsid w:val="00B93C23"/>
    <w:rsid w:val="00B93EBC"/>
    <w:rsid w:val="00B93EBE"/>
    <w:rsid w:val="00B93F74"/>
    <w:rsid w:val="00B94577"/>
    <w:rsid w:val="00B94910"/>
    <w:rsid w:val="00B94AD2"/>
    <w:rsid w:val="00B94D77"/>
    <w:rsid w:val="00B95D0F"/>
    <w:rsid w:val="00B95F25"/>
    <w:rsid w:val="00B96254"/>
    <w:rsid w:val="00B96E2C"/>
    <w:rsid w:val="00B975EA"/>
    <w:rsid w:val="00B97826"/>
    <w:rsid w:val="00B978D3"/>
    <w:rsid w:val="00BA114D"/>
    <w:rsid w:val="00BA126E"/>
    <w:rsid w:val="00BA12C1"/>
    <w:rsid w:val="00BA1B0D"/>
    <w:rsid w:val="00BA1C7B"/>
    <w:rsid w:val="00BA1CC6"/>
    <w:rsid w:val="00BA271F"/>
    <w:rsid w:val="00BA3906"/>
    <w:rsid w:val="00BA392A"/>
    <w:rsid w:val="00BA3C7F"/>
    <w:rsid w:val="00BA40FD"/>
    <w:rsid w:val="00BA44BB"/>
    <w:rsid w:val="00BA45B6"/>
    <w:rsid w:val="00BA4ABC"/>
    <w:rsid w:val="00BA4DEA"/>
    <w:rsid w:val="00BA5021"/>
    <w:rsid w:val="00BA5890"/>
    <w:rsid w:val="00BA58B2"/>
    <w:rsid w:val="00BA5F89"/>
    <w:rsid w:val="00BA6001"/>
    <w:rsid w:val="00BA61A9"/>
    <w:rsid w:val="00BA63A9"/>
    <w:rsid w:val="00BA6438"/>
    <w:rsid w:val="00BA64B9"/>
    <w:rsid w:val="00BA6E5E"/>
    <w:rsid w:val="00BA7246"/>
    <w:rsid w:val="00BA774E"/>
    <w:rsid w:val="00BA7BE5"/>
    <w:rsid w:val="00BB092D"/>
    <w:rsid w:val="00BB0AE5"/>
    <w:rsid w:val="00BB0DEE"/>
    <w:rsid w:val="00BB1044"/>
    <w:rsid w:val="00BB12C8"/>
    <w:rsid w:val="00BB1803"/>
    <w:rsid w:val="00BB2331"/>
    <w:rsid w:val="00BB2401"/>
    <w:rsid w:val="00BB2615"/>
    <w:rsid w:val="00BB2658"/>
    <w:rsid w:val="00BB34C8"/>
    <w:rsid w:val="00BB3FDE"/>
    <w:rsid w:val="00BB4020"/>
    <w:rsid w:val="00BB4503"/>
    <w:rsid w:val="00BB455D"/>
    <w:rsid w:val="00BB46FD"/>
    <w:rsid w:val="00BB5E40"/>
    <w:rsid w:val="00BB72BF"/>
    <w:rsid w:val="00BB73C0"/>
    <w:rsid w:val="00BB7671"/>
    <w:rsid w:val="00BB797D"/>
    <w:rsid w:val="00BB7A7C"/>
    <w:rsid w:val="00BB7D6C"/>
    <w:rsid w:val="00BC00F2"/>
    <w:rsid w:val="00BC01AC"/>
    <w:rsid w:val="00BC0557"/>
    <w:rsid w:val="00BC05C6"/>
    <w:rsid w:val="00BC0916"/>
    <w:rsid w:val="00BC0A93"/>
    <w:rsid w:val="00BC0EF3"/>
    <w:rsid w:val="00BC12CA"/>
    <w:rsid w:val="00BC14D6"/>
    <w:rsid w:val="00BC179A"/>
    <w:rsid w:val="00BC27AD"/>
    <w:rsid w:val="00BC2EE2"/>
    <w:rsid w:val="00BC301B"/>
    <w:rsid w:val="00BC3250"/>
    <w:rsid w:val="00BC3597"/>
    <w:rsid w:val="00BC3665"/>
    <w:rsid w:val="00BC4607"/>
    <w:rsid w:val="00BC4651"/>
    <w:rsid w:val="00BC472E"/>
    <w:rsid w:val="00BC57E7"/>
    <w:rsid w:val="00BC6256"/>
    <w:rsid w:val="00BC646A"/>
    <w:rsid w:val="00BC67E9"/>
    <w:rsid w:val="00BC6CFC"/>
    <w:rsid w:val="00BC7405"/>
    <w:rsid w:val="00BC76E3"/>
    <w:rsid w:val="00BC7711"/>
    <w:rsid w:val="00BC7FBA"/>
    <w:rsid w:val="00BD0085"/>
    <w:rsid w:val="00BD095B"/>
    <w:rsid w:val="00BD1392"/>
    <w:rsid w:val="00BD1890"/>
    <w:rsid w:val="00BD1C0F"/>
    <w:rsid w:val="00BD2025"/>
    <w:rsid w:val="00BD2069"/>
    <w:rsid w:val="00BD21BC"/>
    <w:rsid w:val="00BD2809"/>
    <w:rsid w:val="00BD2A00"/>
    <w:rsid w:val="00BD2F9A"/>
    <w:rsid w:val="00BD36D8"/>
    <w:rsid w:val="00BD3834"/>
    <w:rsid w:val="00BD4535"/>
    <w:rsid w:val="00BD4E28"/>
    <w:rsid w:val="00BD4F68"/>
    <w:rsid w:val="00BD50A9"/>
    <w:rsid w:val="00BD5D4D"/>
    <w:rsid w:val="00BD5D9C"/>
    <w:rsid w:val="00BD6748"/>
    <w:rsid w:val="00BD7B3B"/>
    <w:rsid w:val="00BD7BE7"/>
    <w:rsid w:val="00BD7E7E"/>
    <w:rsid w:val="00BE0144"/>
    <w:rsid w:val="00BE050C"/>
    <w:rsid w:val="00BE09CA"/>
    <w:rsid w:val="00BE10F3"/>
    <w:rsid w:val="00BE15BB"/>
    <w:rsid w:val="00BE15EE"/>
    <w:rsid w:val="00BE1A65"/>
    <w:rsid w:val="00BE1DB9"/>
    <w:rsid w:val="00BE218C"/>
    <w:rsid w:val="00BE25D1"/>
    <w:rsid w:val="00BE2A66"/>
    <w:rsid w:val="00BE2E21"/>
    <w:rsid w:val="00BE4D2C"/>
    <w:rsid w:val="00BE5267"/>
    <w:rsid w:val="00BE55F6"/>
    <w:rsid w:val="00BE5B9D"/>
    <w:rsid w:val="00BE5CF2"/>
    <w:rsid w:val="00BE5D08"/>
    <w:rsid w:val="00BE5D68"/>
    <w:rsid w:val="00BE6C93"/>
    <w:rsid w:val="00BE6D86"/>
    <w:rsid w:val="00BE7002"/>
    <w:rsid w:val="00BF0374"/>
    <w:rsid w:val="00BF0A05"/>
    <w:rsid w:val="00BF1448"/>
    <w:rsid w:val="00BF15D9"/>
    <w:rsid w:val="00BF2090"/>
    <w:rsid w:val="00BF2DB5"/>
    <w:rsid w:val="00BF319E"/>
    <w:rsid w:val="00BF3AFD"/>
    <w:rsid w:val="00BF448D"/>
    <w:rsid w:val="00BF45E1"/>
    <w:rsid w:val="00BF491B"/>
    <w:rsid w:val="00BF4CCE"/>
    <w:rsid w:val="00BF52F5"/>
    <w:rsid w:val="00BF5699"/>
    <w:rsid w:val="00BF5AC8"/>
    <w:rsid w:val="00BF5D26"/>
    <w:rsid w:val="00BF6AD2"/>
    <w:rsid w:val="00BF76DB"/>
    <w:rsid w:val="00BF7A74"/>
    <w:rsid w:val="00BF7CA3"/>
    <w:rsid w:val="00BF7F80"/>
    <w:rsid w:val="00BF7FC8"/>
    <w:rsid w:val="00C00213"/>
    <w:rsid w:val="00C006FE"/>
    <w:rsid w:val="00C01BEA"/>
    <w:rsid w:val="00C02290"/>
    <w:rsid w:val="00C02C78"/>
    <w:rsid w:val="00C02E68"/>
    <w:rsid w:val="00C02F1C"/>
    <w:rsid w:val="00C03314"/>
    <w:rsid w:val="00C03711"/>
    <w:rsid w:val="00C0390B"/>
    <w:rsid w:val="00C040C2"/>
    <w:rsid w:val="00C047C9"/>
    <w:rsid w:val="00C04965"/>
    <w:rsid w:val="00C04975"/>
    <w:rsid w:val="00C049E1"/>
    <w:rsid w:val="00C06067"/>
    <w:rsid w:val="00C06176"/>
    <w:rsid w:val="00C065AA"/>
    <w:rsid w:val="00C06626"/>
    <w:rsid w:val="00C067B7"/>
    <w:rsid w:val="00C072CF"/>
    <w:rsid w:val="00C072D3"/>
    <w:rsid w:val="00C077E6"/>
    <w:rsid w:val="00C07B78"/>
    <w:rsid w:val="00C07FA1"/>
    <w:rsid w:val="00C109DF"/>
    <w:rsid w:val="00C10D6E"/>
    <w:rsid w:val="00C11196"/>
    <w:rsid w:val="00C11441"/>
    <w:rsid w:val="00C114C9"/>
    <w:rsid w:val="00C1166C"/>
    <w:rsid w:val="00C11EFD"/>
    <w:rsid w:val="00C12041"/>
    <w:rsid w:val="00C1228C"/>
    <w:rsid w:val="00C1265D"/>
    <w:rsid w:val="00C12DAB"/>
    <w:rsid w:val="00C13128"/>
    <w:rsid w:val="00C1425E"/>
    <w:rsid w:val="00C1441E"/>
    <w:rsid w:val="00C1447A"/>
    <w:rsid w:val="00C14521"/>
    <w:rsid w:val="00C14BA3"/>
    <w:rsid w:val="00C150E5"/>
    <w:rsid w:val="00C15808"/>
    <w:rsid w:val="00C15BD3"/>
    <w:rsid w:val="00C15DA7"/>
    <w:rsid w:val="00C15FEF"/>
    <w:rsid w:val="00C16720"/>
    <w:rsid w:val="00C16857"/>
    <w:rsid w:val="00C16F4D"/>
    <w:rsid w:val="00C17175"/>
    <w:rsid w:val="00C172D2"/>
    <w:rsid w:val="00C17969"/>
    <w:rsid w:val="00C17C25"/>
    <w:rsid w:val="00C17ED3"/>
    <w:rsid w:val="00C214DE"/>
    <w:rsid w:val="00C2197D"/>
    <w:rsid w:val="00C22103"/>
    <w:rsid w:val="00C231EA"/>
    <w:rsid w:val="00C23719"/>
    <w:rsid w:val="00C2374A"/>
    <w:rsid w:val="00C23BD8"/>
    <w:rsid w:val="00C23C63"/>
    <w:rsid w:val="00C23CD1"/>
    <w:rsid w:val="00C24B32"/>
    <w:rsid w:val="00C252F4"/>
    <w:rsid w:val="00C25392"/>
    <w:rsid w:val="00C2552B"/>
    <w:rsid w:val="00C25852"/>
    <w:rsid w:val="00C25942"/>
    <w:rsid w:val="00C25F02"/>
    <w:rsid w:val="00C26E18"/>
    <w:rsid w:val="00C271BB"/>
    <w:rsid w:val="00C2723E"/>
    <w:rsid w:val="00C27BF8"/>
    <w:rsid w:val="00C27E63"/>
    <w:rsid w:val="00C27F9B"/>
    <w:rsid w:val="00C30841"/>
    <w:rsid w:val="00C30CE3"/>
    <w:rsid w:val="00C31094"/>
    <w:rsid w:val="00C32CDA"/>
    <w:rsid w:val="00C33360"/>
    <w:rsid w:val="00C33DA2"/>
    <w:rsid w:val="00C33DA9"/>
    <w:rsid w:val="00C343B9"/>
    <w:rsid w:val="00C34C07"/>
    <w:rsid w:val="00C34E1E"/>
    <w:rsid w:val="00C34F7D"/>
    <w:rsid w:val="00C358C1"/>
    <w:rsid w:val="00C36123"/>
    <w:rsid w:val="00C361BD"/>
    <w:rsid w:val="00C3629F"/>
    <w:rsid w:val="00C36325"/>
    <w:rsid w:val="00C363EA"/>
    <w:rsid w:val="00C36E71"/>
    <w:rsid w:val="00C36F35"/>
    <w:rsid w:val="00C3719F"/>
    <w:rsid w:val="00C3789E"/>
    <w:rsid w:val="00C37925"/>
    <w:rsid w:val="00C37D0A"/>
    <w:rsid w:val="00C4009E"/>
    <w:rsid w:val="00C40974"/>
    <w:rsid w:val="00C4177F"/>
    <w:rsid w:val="00C41D08"/>
    <w:rsid w:val="00C43601"/>
    <w:rsid w:val="00C43941"/>
    <w:rsid w:val="00C4418F"/>
    <w:rsid w:val="00C44807"/>
    <w:rsid w:val="00C45691"/>
    <w:rsid w:val="00C45789"/>
    <w:rsid w:val="00C459FA"/>
    <w:rsid w:val="00C45EAB"/>
    <w:rsid w:val="00C4647E"/>
    <w:rsid w:val="00C464C7"/>
    <w:rsid w:val="00C46AA5"/>
    <w:rsid w:val="00C47115"/>
    <w:rsid w:val="00C50ED9"/>
    <w:rsid w:val="00C51C33"/>
    <w:rsid w:val="00C51EA2"/>
    <w:rsid w:val="00C51FE6"/>
    <w:rsid w:val="00C52A12"/>
    <w:rsid w:val="00C52A4F"/>
    <w:rsid w:val="00C52FFD"/>
    <w:rsid w:val="00C53C67"/>
    <w:rsid w:val="00C53FDE"/>
    <w:rsid w:val="00C541E8"/>
    <w:rsid w:val="00C54762"/>
    <w:rsid w:val="00C54D55"/>
    <w:rsid w:val="00C54D9A"/>
    <w:rsid w:val="00C5577D"/>
    <w:rsid w:val="00C567C7"/>
    <w:rsid w:val="00C56834"/>
    <w:rsid w:val="00C569FB"/>
    <w:rsid w:val="00C56BDA"/>
    <w:rsid w:val="00C56EED"/>
    <w:rsid w:val="00C57621"/>
    <w:rsid w:val="00C57809"/>
    <w:rsid w:val="00C57B0B"/>
    <w:rsid w:val="00C57D0C"/>
    <w:rsid w:val="00C609E6"/>
    <w:rsid w:val="00C612A9"/>
    <w:rsid w:val="00C61B15"/>
    <w:rsid w:val="00C61FFB"/>
    <w:rsid w:val="00C62793"/>
    <w:rsid w:val="00C62828"/>
    <w:rsid w:val="00C62F00"/>
    <w:rsid w:val="00C62FF6"/>
    <w:rsid w:val="00C63812"/>
    <w:rsid w:val="00C63B63"/>
    <w:rsid w:val="00C63D74"/>
    <w:rsid w:val="00C64BF5"/>
    <w:rsid w:val="00C66650"/>
    <w:rsid w:val="00C673DA"/>
    <w:rsid w:val="00C67E71"/>
    <w:rsid w:val="00C67FAC"/>
    <w:rsid w:val="00C70061"/>
    <w:rsid w:val="00C703AF"/>
    <w:rsid w:val="00C70DBF"/>
    <w:rsid w:val="00C71249"/>
    <w:rsid w:val="00C715B7"/>
    <w:rsid w:val="00C724D6"/>
    <w:rsid w:val="00C72894"/>
    <w:rsid w:val="00C72B1B"/>
    <w:rsid w:val="00C72FBB"/>
    <w:rsid w:val="00C7327C"/>
    <w:rsid w:val="00C733C1"/>
    <w:rsid w:val="00C7399E"/>
    <w:rsid w:val="00C73A0E"/>
    <w:rsid w:val="00C73C1F"/>
    <w:rsid w:val="00C73C97"/>
    <w:rsid w:val="00C7474C"/>
    <w:rsid w:val="00C75028"/>
    <w:rsid w:val="00C7584D"/>
    <w:rsid w:val="00C75B12"/>
    <w:rsid w:val="00C75B58"/>
    <w:rsid w:val="00C75FCD"/>
    <w:rsid w:val="00C7620D"/>
    <w:rsid w:val="00C76BE8"/>
    <w:rsid w:val="00C77EAC"/>
    <w:rsid w:val="00C8006D"/>
    <w:rsid w:val="00C804C2"/>
    <w:rsid w:val="00C8091D"/>
    <w:rsid w:val="00C80994"/>
    <w:rsid w:val="00C818B3"/>
    <w:rsid w:val="00C81962"/>
    <w:rsid w:val="00C81B5E"/>
    <w:rsid w:val="00C82189"/>
    <w:rsid w:val="00C8237F"/>
    <w:rsid w:val="00C826B2"/>
    <w:rsid w:val="00C829C8"/>
    <w:rsid w:val="00C82A4D"/>
    <w:rsid w:val="00C82D71"/>
    <w:rsid w:val="00C82E86"/>
    <w:rsid w:val="00C8312D"/>
    <w:rsid w:val="00C831E0"/>
    <w:rsid w:val="00C835A1"/>
    <w:rsid w:val="00C839D7"/>
    <w:rsid w:val="00C844D2"/>
    <w:rsid w:val="00C844D8"/>
    <w:rsid w:val="00C85BE2"/>
    <w:rsid w:val="00C86CFB"/>
    <w:rsid w:val="00C86E4E"/>
    <w:rsid w:val="00C87C26"/>
    <w:rsid w:val="00C87DDA"/>
    <w:rsid w:val="00C900EB"/>
    <w:rsid w:val="00C90378"/>
    <w:rsid w:val="00C90A11"/>
    <w:rsid w:val="00C90A34"/>
    <w:rsid w:val="00C91192"/>
    <w:rsid w:val="00C9151C"/>
    <w:rsid w:val="00C91846"/>
    <w:rsid w:val="00C91B56"/>
    <w:rsid w:val="00C91DE3"/>
    <w:rsid w:val="00C9307B"/>
    <w:rsid w:val="00C9314A"/>
    <w:rsid w:val="00C936BD"/>
    <w:rsid w:val="00C93EC4"/>
    <w:rsid w:val="00C94511"/>
    <w:rsid w:val="00C94A23"/>
    <w:rsid w:val="00C94D50"/>
    <w:rsid w:val="00C96125"/>
    <w:rsid w:val="00C961BB"/>
    <w:rsid w:val="00C973BD"/>
    <w:rsid w:val="00C97AE4"/>
    <w:rsid w:val="00C97B54"/>
    <w:rsid w:val="00C97DCB"/>
    <w:rsid w:val="00CA06CB"/>
    <w:rsid w:val="00CA083F"/>
    <w:rsid w:val="00CA0B61"/>
    <w:rsid w:val="00CA0C88"/>
    <w:rsid w:val="00CA199C"/>
    <w:rsid w:val="00CA1DD6"/>
    <w:rsid w:val="00CA2009"/>
    <w:rsid w:val="00CA251F"/>
    <w:rsid w:val="00CA26E1"/>
    <w:rsid w:val="00CA5F42"/>
    <w:rsid w:val="00CA618C"/>
    <w:rsid w:val="00CA66A5"/>
    <w:rsid w:val="00CA676D"/>
    <w:rsid w:val="00CA68A7"/>
    <w:rsid w:val="00CA6D62"/>
    <w:rsid w:val="00CA70BC"/>
    <w:rsid w:val="00CB09C1"/>
    <w:rsid w:val="00CB1613"/>
    <w:rsid w:val="00CB180D"/>
    <w:rsid w:val="00CB2196"/>
    <w:rsid w:val="00CB2312"/>
    <w:rsid w:val="00CB2F93"/>
    <w:rsid w:val="00CB3B5A"/>
    <w:rsid w:val="00CB4149"/>
    <w:rsid w:val="00CB432D"/>
    <w:rsid w:val="00CB4377"/>
    <w:rsid w:val="00CB48E2"/>
    <w:rsid w:val="00CB4A6E"/>
    <w:rsid w:val="00CB4CD6"/>
    <w:rsid w:val="00CB4FB1"/>
    <w:rsid w:val="00CB5552"/>
    <w:rsid w:val="00CB5D8B"/>
    <w:rsid w:val="00CB62EA"/>
    <w:rsid w:val="00CB64EA"/>
    <w:rsid w:val="00CB6B6C"/>
    <w:rsid w:val="00CB74FD"/>
    <w:rsid w:val="00CB78FA"/>
    <w:rsid w:val="00CB792C"/>
    <w:rsid w:val="00CB7AD7"/>
    <w:rsid w:val="00CB7BA8"/>
    <w:rsid w:val="00CC0282"/>
    <w:rsid w:val="00CC0379"/>
    <w:rsid w:val="00CC05A7"/>
    <w:rsid w:val="00CC0ACF"/>
    <w:rsid w:val="00CC0E19"/>
    <w:rsid w:val="00CC15D2"/>
    <w:rsid w:val="00CC2269"/>
    <w:rsid w:val="00CC2664"/>
    <w:rsid w:val="00CC2A7B"/>
    <w:rsid w:val="00CC2D95"/>
    <w:rsid w:val="00CC2F03"/>
    <w:rsid w:val="00CC3139"/>
    <w:rsid w:val="00CC31B9"/>
    <w:rsid w:val="00CC359C"/>
    <w:rsid w:val="00CC3BAF"/>
    <w:rsid w:val="00CC3C17"/>
    <w:rsid w:val="00CC4873"/>
    <w:rsid w:val="00CC6751"/>
    <w:rsid w:val="00CC77D3"/>
    <w:rsid w:val="00CC78AE"/>
    <w:rsid w:val="00CD00EB"/>
    <w:rsid w:val="00CD0173"/>
    <w:rsid w:val="00CD0C84"/>
    <w:rsid w:val="00CD100B"/>
    <w:rsid w:val="00CD1798"/>
    <w:rsid w:val="00CD238D"/>
    <w:rsid w:val="00CD34AB"/>
    <w:rsid w:val="00CD37D1"/>
    <w:rsid w:val="00CD38F1"/>
    <w:rsid w:val="00CD3DE5"/>
    <w:rsid w:val="00CD40E1"/>
    <w:rsid w:val="00CD4E13"/>
    <w:rsid w:val="00CD5140"/>
    <w:rsid w:val="00CD57DF"/>
    <w:rsid w:val="00CD5C38"/>
    <w:rsid w:val="00CD6264"/>
    <w:rsid w:val="00CD627B"/>
    <w:rsid w:val="00CD6331"/>
    <w:rsid w:val="00CD6421"/>
    <w:rsid w:val="00CD6432"/>
    <w:rsid w:val="00CD6E95"/>
    <w:rsid w:val="00CD7275"/>
    <w:rsid w:val="00CD7796"/>
    <w:rsid w:val="00CD7991"/>
    <w:rsid w:val="00CD7C77"/>
    <w:rsid w:val="00CE042D"/>
    <w:rsid w:val="00CE0D81"/>
    <w:rsid w:val="00CE1991"/>
    <w:rsid w:val="00CE1B88"/>
    <w:rsid w:val="00CE3535"/>
    <w:rsid w:val="00CE357A"/>
    <w:rsid w:val="00CE3993"/>
    <w:rsid w:val="00CE39AF"/>
    <w:rsid w:val="00CE3D18"/>
    <w:rsid w:val="00CE3EED"/>
    <w:rsid w:val="00CE467F"/>
    <w:rsid w:val="00CE4854"/>
    <w:rsid w:val="00CE4B9F"/>
    <w:rsid w:val="00CE4D31"/>
    <w:rsid w:val="00CE5006"/>
    <w:rsid w:val="00CE50E1"/>
    <w:rsid w:val="00CE514D"/>
    <w:rsid w:val="00CE5254"/>
    <w:rsid w:val="00CE544E"/>
    <w:rsid w:val="00CE5DD0"/>
    <w:rsid w:val="00CE62BB"/>
    <w:rsid w:val="00CE63CF"/>
    <w:rsid w:val="00CE63E3"/>
    <w:rsid w:val="00CE66E7"/>
    <w:rsid w:val="00CE68E2"/>
    <w:rsid w:val="00CE717D"/>
    <w:rsid w:val="00CE77AD"/>
    <w:rsid w:val="00CE7A74"/>
    <w:rsid w:val="00CE7AEE"/>
    <w:rsid w:val="00CE7C8C"/>
    <w:rsid w:val="00CF006A"/>
    <w:rsid w:val="00CF00A8"/>
    <w:rsid w:val="00CF04C0"/>
    <w:rsid w:val="00CF05D0"/>
    <w:rsid w:val="00CF0809"/>
    <w:rsid w:val="00CF0D2A"/>
    <w:rsid w:val="00CF0E38"/>
    <w:rsid w:val="00CF1197"/>
    <w:rsid w:val="00CF11B7"/>
    <w:rsid w:val="00CF1656"/>
    <w:rsid w:val="00CF1699"/>
    <w:rsid w:val="00CF2330"/>
    <w:rsid w:val="00CF3458"/>
    <w:rsid w:val="00CF36B3"/>
    <w:rsid w:val="00CF49D1"/>
    <w:rsid w:val="00CF4A4E"/>
    <w:rsid w:val="00CF4CFB"/>
    <w:rsid w:val="00CF4E77"/>
    <w:rsid w:val="00CF5138"/>
    <w:rsid w:val="00CF55DB"/>
    <w:rsid w:val="00CF6127"/>
    <w:rsid w:val="00CF6326"/>
    <w:rsid w:val="00CF6D89"/>
    <w:rsid w:val="00CF6E16"/>
    <w:rsid w:val="00CF6F86"/>
    <w:rsid w:val="00CF7298"/>
    <w:rsid w:val="00CF7D81"/>
    <w:rsid w:val="00D006BC"/>
    <w:rsid w:val="00D00872"/>
    <w:rsid w:val="00D00EA8"/>
    <w:rsid w:val="00D01135"/>
    <w:rsid w:val="00D016D1"/>
    <w:rsid w:val="00D023D7"/>
    <w:rsid w:val="00D0278E"/>
    <w:rsid w:val="00D039B1"/>
    <w:rsid w:val="00D03E14"/>
    <w:rsid w:val="00D04365"/>
    <w:rsid w:val="00D04F4F"/>
    <w:rsid w:val="00D05867"/>
    <w:rsid w:val="00D05C10"/>
    <w:rsid w:val="00D06058"/>
    <w:rsid w:val="00D060DA"/>
    <w:rsid w:val="00D068AB"/>
    <w:rsid w:val="00D06A6F"/>
    <w:rsid w:val="00D06FF0"/>
    <w:rsid w:val="00D07002"/>
    <w:rsid w:val="00D0723B"/>
    <w:rsid w:val="00D07856"/>
    <w:rsid w:val="00D07AD1"/>
    <w:rsid w:val="00D07ECC"/>
    <w:rsid w:val="00D105AA"/>
    <w:rsid w:val="00D1087B"/>
    <w:rsid w:val="00D10D57"/>
    <w:rsid w:val="00D11042"/>
    <w:rsid w:val="00D111A5"/>
    <w:rsid w:val="00D11595"/>
    <w:rsid w:val="00D121B8"/>
    <w:rsid w:val="00D124B3"/>
    <w:rsid w:val="00D12C3D"/>
    <w:rsid w:val="00D12E1A"/>
    <w:rsid w:val="00D12E29"/>
    <w:rsid w:val="00D1386B"/>
    <w:rsid w:val="00D1484B"/>
    <w:rsid w:val="00D14DBA"/>
    <w:rsid w:val="00D15223"/>
    <w:rsid w:val="00D15508"/>
    <w:rsid w:val="00D16628"/>
    <w:rsid w:val="00D16651"/>
    <w:rsid w:val="00D16802"/>
    <w:rsid w:val="00D168D2"/>
    <w:rsid w:val="00D16C29"/>
    <w:rsid w:val="00D17420"/>
    <w:rsid w:val="00D2095D"/>
    <w:rsid w:val="00D2098B"/>
    <w:rsid w:val="00D20996"/>
    <w:rsid w:val="00D20BCC"/>
    <w:rsid w:val="00D21346"/>
    <w:rsid w:val="00D215AC"/>
    <w:rsid w:val="00D21658"/>
    <w:rsid w:val="00D21875"/>
    <w:rsid w:val="00D218C0"/>
    <w:rsid w:val="00D219F7"/>
    <w:rsid w:val="00D21F63"/>
    <w:rsid w:val="00D228FB"/>
    <w:rsid w:val="00D23A6E"/>
    <w:rsid w:val="00D249A6"/>
    <w:rsid w:val="00D2500F"/>
    <w:rsid w:val="00D253FA"/>
    <w:rsid w:val="00D26442"/>
    <w:rsid w:val="00D26534"/>
    <w:rsid w:val="00D26850"/>
    <w:rsid w:val="00D27115"/>
    <w:rsid w:val="00D274C2"/>
    <w:rsid w:val="00D278F3"/>
    <w:rsid w:val="00D27C00"/>
    <w:rsid w:val="00D3013D"/>
    <w:rsid w:val="00D301C4"/>
    <w:rsid w:val="00D306FD"/>
    <w:rsid w:val="00D3153A"/>
    <w:rsid w:val="00D31814"/>
    <w:rsid w:val="00D3199E"/>
    <w:rsid w:val="00D319DB"/>
    <w:rsid w:val="00D31B3C"/>
    <w:rsid w:val="00D32457"/>
    <w:rsid w:val="00D327A5"/>
    <w:rsid w:val="00D32916"/>
    <w:rsid w:val="00D332A3"/>
    <w:rsid w:val="00D33729"/>
    <w:rsid w:val="00D33C6C"/>
    <w:rsid w:val="00D3448D"/>
    <w:rsid w:val="00D34AF1"/>
    <w:rsid w:val="00D34D42"/>
    <w:rsid w:val="00D3615B"/>
    <w:rsid w:val="00D36260"/>
    <w:rsid w:val="00D372DE"/>
    <w:rsid w:val="00D375F8"/>
    <w:rsid w:val="00D40343"/>
    <w:rsid w:val="00D4086B"/>
    <w:rsid w:val="00D4160F"/>
    <w:rsid w:val="00D41873"/>
    <w:rsid w:val="00D41C68"/>
    <w:rsid w:val="00D41FC1"/>
    <w:rsid w:val="00D42073"/>
    <w:rsid w:val="00D42260"/>
    <w:rsid w:val="00D42DCE"/>
    <w:rsid w:val="00D42E64"/>
    <w:rsid w:val="00D42E88"/>
    <w:rsid w:val="00D43B2D"/>
    <w:rsid w:val="00D43C0E"/>
    <w:rsid w:val="00D440C2"/>
    <w:rsid w:val="00D44155"/>
    <w:rsid w:val="00D44AF2"/>
    <w:rsid w:val="00D44B28"/>
    <w:rsid w:val="00D45088"/>
    <w:rsid w:val="00D452AB"/>
    <w:rsid w:val="00D452B4"/>
    <w:rsid w:val="00D456E7"/>
    <w:rsid w:val="00D45A63"/>
    <w:rsid w:val="00D4601B"/>
    <w:rsid w:val="00D46448"/>
    <w:rsid w:val="00D464DB"/>
    <w:rsid w:val="00D465FB"/>
    <w:rsid w:val="00D467FB"/>
    <w:rsid w:val="00D46B21"/>
    <w:rsid w:val="00D47179"/>
    <w:rsid w:val="00D47205"/>
    <w:rsid w:val="00D47441"/>
    <w:rsid w:val="00D47820"/>
    <w:rsid w:val="00D50097"/>
    <w:rsid w:val="00D50575"/>
    <w:rsid w:val="00D5077A"/>
    <w:rsid w:val="00D5116A"/>
    <w:rsid w:val="00D51265"/>
    <w:rsid w:val="00D518B9"/>
    <w:rsid w:val="00D51A33"/>
    <w:rsid w:val="00D51F99"/>
    <w:rsid w:val="00D527E6"/>
    <w:rsid w:val="00D52F0B"/>
    <w:rsid w:val="00D52FDB"/>
    <w:rsid w:val="00D535B9"/>
    <w:rsid w:val="00D538E2"/>
    <w:rsid w:val="00D539CD"/>
    <w:rsid w:val="00D53B22"/>
    <w:rsid w:val="00D53CBD"/>
    <w:rsid w:val="00D544D1"/>
    <w:rsid w:val="00D545EA"/>
    <w:rsid w:val="00D55144"/>
    <w:rsid w:val="00D55487"/>
    <w:rsid w:val="00D55B0D"/>
    <w:rsid w:val="00D55B95"/>
    <w:rsid w:val="00D55BFB"/>
    <w:rsid w:val="00D55C52"/>
    <w:rsid w:val="00D56240"/>
    <w:rsid w:val="00D5644F"/>
    <w:rsid w:val="00D56C4B"/>
    <w:rsid w:val="00D56C5F"/>
    <w:rsid w:val="00D5700F"/>
    <w:rsid w:val="00D578BD"/>
    <w:rsid w:val="00D57B36"/>
    <w:rsid w:val="00D57C04"/>
    <w:rsid w:val="00D60300"/>
    <w:rsid w:val="00D60DA5"/>
    <w:rsid w:val="00D60EAF"/>
    <w:rsid w:val="00D613CC"/>
    <w:rsid w:val="00D616FB"/>
    <w:rsid w:val="00D6192B"/>
    <w:rsid w:val="00D622EB"/>
    <w:rsid w:val="00D62455"/>
    <w:rsid w:val="00D625D7"/>
    <w:rsid w:val="00D627EB"/>
    <w:rsid w:val="00D62E3B"/>
    <w:rsid w:val="00D62E76"/>
    <w:rsid w:val="00D635A6"/>
    <w:rsid w:val="00D63B4D"/>
    <w:rsid w:val="00D63FD4"/>
    <w:rsid w:val="00D65D07"/>
    <w:rsid w:val="00D65D6F"/>
    <w:rsid w:val="00D65D93"/>
    <w:rsid w:val="00D66ADF"/>
    <w:rsid w:val="00D67660"/>
    <w:rsid w:val="00D67A15"/>
    <w:rsid w:val="00D67E0A"/>
    <w:rsid w:val="00D67FE0"/>
    <w:rsid w:val="00D70CDB"/>
    <w:rsid w:val="00D70E64"/>
    <w:rsid w:val="00D70EF7"/>
    <w:rsid w:val="00D710B1"/>
    <w:rsid w:val="00D71119"/>
    <w:rsid w:val="00D7118D"/>
    <w:rsid w:val="00D72A64"/>
    <w:rsid w:val="00D72D75"/>
    <w:rsid w:val="00D736F1"/>
    <w:rsid w:val="00D73B74"/>
    <w:rsid w:val="00D73E05"/>
    <w:rsid w:val="00D747AA"/>
    <w:rsid w:val="00D74981"/>
    <w:rsid w:val="00D7527B"/>
    <w:rsid w:val="00D760C1"/>
    <w:rsid w:val="00D76222"/>
    <w:rsid w:val="00D76445"/>
    <w:rsid w:val="00D765C6"/>
    <w:rsid w:val="00D76864"/>
    <w:rsid w:val="00D76BA5"/>
    <w:rsid w:val="00D76E7A"/>
    <w:rsid w:val="00D770AE"/>
    <w:rsid w:val="00D771B9"/>
    <w:rsid w:val="00D77439"/>
    <w:rsid w:val="00D775CF"/>
    <w:rsid w:val="00D77BA2"/>
    <w:rsid w:val="00D80362"/>
    <w:rsid w:val="00D8065C"/>
    <w:rsid w:val="00D8068F"/>
    <w:rsid w:val="00D80C38"/>
    <w:rsid w:val="00D80D9C"/>
    <w:rsid w:val="00D815EC"/>
    <w:rsid w:val="00D81A4E"/>
    <w:rsid w:val="00D828D5"/>
    <w:rsid w:val="00D82EF5"/>
    <w:rsid w:val="00D82F3B"/>
    <w:rsid w:val="00D83B86"/>
    <w:rsid w:val="00D83F64"/>
    <w:rsid w:val="00D84045"/>
    <w:rsid w:val="00D8506E"/>
    <w:rsid w:val="00D8520C"/>
    <w:rsid w:val="00D85447"/>
    <w:rsid w:val="00D86863"/>
    <w:rsid w:val="00D8721E"/>
    <w:rsid w:val="00D87DA3"/>
    <w:rsid w:val="00D90364"/>
    <w:rsid w:val="00D903F3"/>
    <w:rsid w:val="00D90B3E"/>
    <w:rsid w:val="00D90E4E"/>
    <w:rsid w:val="00D90F23"/>
    <w:rsid w:val="00D90FE8"/>
    <w:rsid w:val="00D9153A"/>
    <w:rsid w:val="00D916F6"/>
    <w:rsid w:val="00D9199A"/>
    <w:rsid w:val="00D91C1D"/>
    <w:rsid w:val="00D91FA8"/>
    <w:rsid w:val="00D922E9"/>
    <w:rsid w:val="00D925C3"/>
    <w:rsid w:val="00D9299B"/>
    <w:rsid w:val="00D93CC2"/>
    <w:rsid w:val="00D93CDF"/>
    <w:rsid w:val="00D9419A"/>
    <w:rsid w:val="00D946FB"/>
    <w:rsid w:val="00D94757"/>
    <w:rsid w:val="00D94AC5"/>
    <w:rsid w:val="00D94CEA"/>
    <w:rsid w:val="00D95190"/>
    <w:rsid w:val="00D95350"/>
    <w:rsid w:val="00D956BD"/>
    <w:rsid w:val="00D95BC5"/>
    <w:rsid w:val="00D95BF7"/>
    <w:rsid w:val="00D95CCC"/>
    <w:rsid w:val="00D9602D"/>
    <w:rsid w:val="00D9620F"/>
    <w:rsid w:val="00D963B7"/>
    <w:rsid w:val="00D965CA"/>
    <w:rsid w:val="00D96A90"/>
    <w:rsid w:val="00D96DF3"/>
    <w:rsid w:val="00D970AA"/>
    <w:rsid w:val="00DA01E5"/>
    <w:rsid w:val="00DA037A"/>
    <w:rsid w:val="00DA0A9E"/>
    <w:rsid w:val="00DA18C3"/>
    <w:rsid w:val="00DA1921"/>
    <w:rsid w:val="00DA206F"/>
    <w:rsid w:val="00DA2098"/>
    <w:rsid w:val="00DA20C5"/>
    <w:rsid w:val="00DA2A83"/>
    <w:rsid w:val="00DA334F"/>
    <w:rsid w:val="00DA3957"/>
    <w:rsid w:val="00DA3A5B"/>
    <w:rsid w:val="00DA3D77"/>
    <w:rsid w:val="00DA443B"/>
    <w:rsid w:val="00DA4AE3"/>
    <w:rsid w:val="00DA4D6C"/>
    <w:rsid w:val="00DA500F"/>
    <w:rsid w:val="00DA501E"/>
    <w:rsid w:val="00DA54CF"/>
    <w:rsid w:val="00DA54E4"/>
    <w:rsid w:val="00DA554E"/>
    <w:rsid w:val="00DA595C"/>
    <w:rsid w:val="00DA661C"/>
    <w:rsid w:val="00DA6B24"/>
    <w:rsid w:val="00DA7152"/>
    <w:rsid w:val="00DA72E6"/>
    <w:rsid w:val="00DA763E"/>
    <w:rsid w:val="00DA7730"/>
    <w:rsid w:val="00DA779B"/>
    <w:rsid w:val="00DA791F"/>
    <w:rsid w:val="00DB06D3"/>
    <w:rsid w:val="00DB06D9"/>
    <w:rsid w:val="00DB0851"/>
    <w:rsid w:val="00DB08E2"/>
    <w:rsid w:val="00DB09C1"/>
    <w:rsid w:val="00DB0E67"/>
    <w:rsid w:val="00DB13C7"/>
    <w:rsid w:val="00DB1FAE"/>
    <w:rsid w:val="00DB2233"/>
    <w:rsid w:val="00DB2CD8"/>
    <w:rsid w:val="00DB30E1"/>
    <w:rsid w:val="00DB3AE9"/>
    <w:rsid w:val="00DB3E20"/>
    <w:rsid w:val="00DB46AC"/>
    <w:rsid w:val="00DB49C8"/>
    <w:rsid w:val="00DB49E6"/>
    <w:rsid w:val="00DB4F0A"/>
    <w:rsid w:val="00DB5552"/>
    <w:rsid w:val="00DB7751"/>
    <w:rsid w:val="00DC0213"/>
    <w:rsid w:val="00DC021B"/>
    <w:rsid w:val="00DC1742"/>
    <w:rsid w:val="00DC179A"/>
    <w:rsid w:val="00DC1D44"/>
    <w:rsid w:val="00DC1E20"/>
    <w:rsid w:val="00DC2504"/>
    <w:rsid w:val="00DC278B"/>
    <w:rsid w:val="00DC2835"/>
    <w:rsid w:val="00DC2CD7"/>
    <w:rsid w:val="00DC368E"/>
    <w:rsid w:val="00DC389E"/>
    <w:rsid w:val="00DC3A93"/>
    <w:rsid w:val="00DC3AA7"/>
    <w:rsid w:val="00DC4707"/>
    <w:rsid w:val="00DC48FD"/>
    <w:rsid w:val="00DC4B37"/>
    <w:rsid w:val="00DC51A5"/>
    <w:rsid w:val="00DC54CC"/>
    <w:rsid w:val="00DC5A29"/>
    <w:rsid w:val="00DC5A65"/>
    <w:rsid w:val="00DC5E2C"/>
    <w:rsid w:val="00DC5F3D"/>
    <w:rsid w:val="00DC66E7"/>
    <w:rsid w:val="00DC69B5"/>
    <w:rsid w:val="00DC6CBA"/>
    <w:rsid w:val="00DC74D2"/>
    <w:rsid w:val="00DC7843"/>
    <w:rsid w:val="00DC7BD0"/>
    <w:rsid w:val="00DC7CF4"/>
    <w:rsid w:val="00DD0667"/>
    <w:rsid w:val="00DD08F3"/>
    <w:rsid w:val="00DD1E40"/>
    <w:rsid w:val="00DD1FC3"/>
    <w:rsid w:val="00DD2B5E"/>
    <w:rsid w:val="00DD2E90"/>
    <w:rsid w:val="00DD2F30"/>
    <w:rsid w:val="00DD3995"/>
    <w:rsid w:val="00DD39AF"/>
    <w:rsid w:val="00DD4719"/>
    <w:rsid w:val="00DD55D3"/>
    <w:rsid w:val="00DD5DA7"/>
    <w:rsid w:val="00DD617D"/>
    <w:rsid w:val="00DD672B"/>
    <w:rsid w:val="00DD693A"/>
    <w:rsid w:val="00DD6B39"/>
    <w:rsid w:val="00DD6BDC"/>
    <w:rsid w:val="00DD6E85"/>
    <w:rsid w:val="00DD6F6C"/>
    <w:rsid w:val="00DD756B"/>
    <w:rsid w:val="00DD7B6B"/>
    <w:rsid w:val="00DD7CCF"/>
    <w:rsid w:val="00DE0564"/>
    <w:rsid w:val="00DE0CBB"/>
    <w:rsid w:val="00DE0D8C"/>
    <w:rsid w:val="00DE0FC6"/>
    <w:rsid w:val="00DE1802"/>
    <w:rsid w:val="00DE2918"/>
    <w:rsid w:val="00DE2AC9"/>
    <w:rsid w:val="00DE350B"/>
    <w:rsid w:val="00DE459E"/>
    <w:rsid w:val="00DE45D7"/>
    <w:rsid w:val="00DE47ED"/>
    <w:rsid w:val="00DE4F87"/>
    <w:rsid w:val="00DE5B59"/>
    <w:rsid w:val="00DE5C80"/>
    <w:rsid w:val="00DE624D"/>
    <w:rsid w:val="00DE66A7"/>
    <w:rsid w:val="00DE66CA"/>
    <w:rsid w:val="00DE7610"/>
    <w:rsid w:val="00DE77B4"/>
    <w:rsid w:val="00DE77BC"/>
    <w:rsid w:val="00DE78D4"/>
    <w:rsid w:val="00DF0072"/>
    <w:rsid w:val="00DF03C8"/>
    <w:rsid w:val="00DF0BEB"/>
    <w:rsid w:val="00DF0D03"/>
    <w:rsid w:val="00DF112F"/>
    <w:rsid w:val="00DF168C"/>
    <w:rsid w:val="00DF17C7"/>
    <w:rsid w:val="00DF244A"/>
    <w:rsid w:val="00DF270F"/>
    <w:rsid w:val="00DF2DD5"/>
    <w:rsid w:val="00DF2DF1"/>
    <w:rsid w:val="00DF34E6"/>
    <w:rsid w:val="00DF43E6"/>
    <w:rsid w:val="00DF4A9A"/>
    <w:rsid w:val="00DF4B17"/>
    <w:rsid w:val="00DF4CC1"/>
    <w:rsid w:val="00DF5356"/>
    <w:rsid w:val="00DF54A0"/>
    <w:rsid w:val="00DF62F6"/>
    <w:rsid w:val="00DF66FC"/>
    <w:rsid w:val="00DF682F"/>
    <w:rsid w:val="00DF68DF"/>
    <w:rsid w:val="00DF6A24"/>
    <w:rsid w:val="00DF7277"/>
    <w:rsid w:val="00DF780E"/>
    <w:rsid w:val="00E0065F"/>
    <w:rsid w:val="00E011B8"/>
    <w:rsid w:val="00E02660"/>
    <w:rsid w:val="00E02FEC"/>
    <w:rsid w:val="00E03513"/>
    <w:rsid w:val="00E03613"/>
    <w:rsid w:val="00E03C46"/>
    <w:rsid w:val="00E042FB"/>
    <w:rsid w:val="00E04343"/>
    <w:rsid w:val="00E04471"/>
    <w:rsid w:val="00E045BF"/>
    <w:rsid w:val="00E04CE9"/>
    <w:rsid w:val="00E04D6B"/>
    <w:rsid w:val="00E059F4"/>
    <w:rsid w:val="00E061DE"/>
    <w:rsid w:val="00E06270"/>
    <w:rsid w:val="00E0638E"/>
    <w:rsid w:val="00E06546"/>
    <w:rsid w:val="00E0688E"/>
    <w:rsid w:val="00E06BD2"/>
    <w:rsid w:val="00E06EEA"/>
    <w:rsid w:val="00E07088"/>
    <w:rsid w:val="00E07334"/>
    <w:rsid w:val="00E07660"/>
    <w:rsid w:val="00E07E5F"/>
    <w:rsid w:val="00E07ED9"/>
    <w:rsid w:val="00E07F57"/>
    <w:rsid w:val="00E07F60"/>
    <w:rsid w:val="00E1025F"/>
    <w:rsid w:val="00E103CF"/>
    <w:rsid w:val="00E10693"/>
    <w:rsid w:val="00E10E4B"/>
    <w:rsid w:val="00E120A2"/>
    <w:rsid w:val="00E12931"/>
    <w:rsid w:val="00E12A1D"/>
    <w:rsid w:val="00E1313D"/>
    <w:rsid w:val="00E135B8"/>
    <w:rsid w:val="00E13D71"/>
    <w:rsid w:val="00E140AC"/>
    <w:rsid w:val="00E146F1"/>
    <w:rsid w:val="00E149C4"/>
    <w:rsid w:val="00E14B00"/>
    <w:rsid w:val="00E14B27"/>
    <w:rsid w:val="00E14D33"/>
    <w:rsid w:val="00E15843"/>
    <w:rsid w:val="00E159F8"/>
    <w:rsid w:val="00E15B3B"/>
    <w:rsid w:val="00E15BFB"/>
    <w:rsid w:val="00E16005"/>
    <w:rsid w:val="00E16594"/>
    <w:rsid w:val="00E16B2A"/>
    <w:rsid w:val="00E16C5D"/>
    <w:rsid w:val="00E16F8A"/>
    <w:rsid w:val="00E170E3"/>
    <w:rsid w:val="00E17456"/>
    <w:rsid w:val="00E17C27"/>
    <w:rsid w:val="00E20319"/>
    <w:rsid w:val="00E20854"/>
    <w:rsid w:val="00E20C02"/>
    <w:rsid w:val="00E210A6"/>
    <w:rsid w:val="00E212CF"/>
    <w:rsid w:val="00E21561"/>
    <w:rsid w:val="00E217A2"/>
    <w:rsid w:val="00E218C0"/>
    <w:rsid w:val="00E2195C"/>
    <w:rsid w:val="00E21B06"/>
    <w:rsid w:val="00E21EFB"/>
    <w:rsid w:val="00E21F5F"/>
    <w:rsid w:val="00E22340"/>
    <w:rsid w:val="00E22931"/>
    <w:rsid w:val="00E22E40"/>
    <w:rsid w:val="00E235F6"/>
    <w:rsid w:val="00E236A4"/>
    <w:rsid w:val="00E23EDA"/>
    <w:rsid w:val="00E24191"/>
    <w:rsid w:val="00E2494F"/>
    <w:rsid w:val="00E25A8D"/>
    <w:rsid w:val="00E2630B"/>
    <w:rsid w:val="00E26AB9"/>
    <w:rsid w:val="00E26B05"/>
    <w:rsid w:val="00E26DAF"/>
    <w:rsid w:val="00E26EC0"/>
    <w:rsid w:val="00E273E4"/>
    <w:rsid w:val="00E2761D"/>
    <w:rsid w:val="00E2769D"/>
    <w:rsid w:val="00E279E5"/>
    <w:rsid w:val="00E279FD"/>
    <w:rsid w:val="00E30BC9"/>
    <w:rsid w:val="00E310F7"/>
    <w:rsid w:val="00E318D6"/>
    <w:rsid w:val="00E3203A"/>
    <w:rsid w:val="00E32387"/>
    <w:rsid w:val="00E326A2"/>
    <w:rsid w:val="00E3360E"/>
    <w:rsid w:val="00E33C89"/>
    <w:rsid w:val="00E33EB9"/>
    <w:rsid w:val="00E347D5"/>
    <w:rsid w:val="00E34C5D"/>
    <w:rsid w:val="00E35066"/>
    <w:rsid w:val="00E352D5"/>
    <w:rsid w:val="00E359D9"/>
    <w:rsid w:val="00E361BE"/>
    <w:rsid w:val="00E3694F"/>
    <w:rsid w:val="00E36A4B"/>
    <w:rsid w:val="00E3741F"/>
    <w:rsid w:val="00E37809"/>
    <w:rsid w:val="00E37B2A"/>
    <w:rsid w:val="00E37C65"/>
    <w:rsid w:val="00E37CD7"/>
    <w:rsid w:val="00E40AC9"/>
    <w:rsid w:val="00E40C03"/>
    <w:rsid w:val="00E41262"/>
    <w:rsid w:val="00E413F9"/>
    <w:rsid w:val="00E4146D"/>
    <w:rsid w:val="00E41A21"/>
    <w:rsid w:val="00E42117"/>
    <w:rsid w:val="00E4215C"/>
    <w:rsid w:val="00E44053"/>
    <w:rsid w:val="00E44086"/>
    <w:rsid w:val="00E44694"/>
    <w:rsid w:val="00E45073"/>
    <w:rsid w:val="00E455F7"/>
    <w:rsid w:val="00E45E67"/>
    <w:rsid w:val="00E45E74"/>
    <w:rsid w:val="00E45F64"/>
    <w:rsid w:val="00E460D7"/>
    <w:rsid w:val="00E460F5"/>
    <w:rsid w:val="00E46ADA"/>
    <w:rsid w:val="00E470C0"/>
    <w:rsid w:val="00E4779D"/>
    <w:rsid w:val="00E47C3F"/>
    <w:rsid w:val="00E47E16"/>
    <w:rsid w:val="00E504CC"/>
    <w:rsid w:val="00E50987"/>
    <w:rsid w:val="00E50F84"/>
    <w:rsid w:val="00E52476"/>
    <w:rsid w:val="00E52562"/>
    <w:rsid w:val="00E526FA"/>
    <w:rsid w:val="00E529D5"/>
    <w:rsid w:val="00E53500"/>
    <w:rsid w:val="00E5543E"/>
    <w:rsid w:val="00E55DA9"/>
    <w:rsid w:val="00E55FD9"/>
    <w:rsid w:val="00E56521"/>
    <w:rsid w:val="00E566EE"/>
    <w:rsid w:val="00E56924"/>
    <w:rsid w:val="00E569BF"/>
    <w:rsid w:val="00E56AF8"/>
    <w:rsid w:val="00E56C70"/>
    <w:rsid w:val="00E57183"/>
    <w:rsid w:val="00E5728F"/>
    <w:rsid w:val="00E5746E"/>
    <w:rsid w:val="00E57AD2"/>
    <w:rsid w:val="00E57CAC"/>
    <w:rsid w:val="00E57EAC"/>
    <w:rsid w:val="00E600BB"/>
    <w:rsid w:val="00E604FF"/>
    <w:rsid w:val="00E60726"/>
    <w:rsid w:val="00E607E3"/>
    <w:rsid w:val="00E60F9C"/>
    <w:rsid w:val="00E61613"/>
    <w:rsid w:val="00E61649"/>
    <w:rsid w:val="00E61D6F"/>
    <w:rsid w:val="00E62042"/>
    <w:rsid w:val="00E6211F"/>
    <w:rsid w:val="00E62E21"/>
    <w:rsid w:val="00E63552"/>
    <w:rsid w:val="00E639FE"/>
    <w:rsid w:val="00E63AC7"/>
    <w:rsid w:val="00E63E62"/>
    <w:rsid w:val="00E63F52"/>
    <w:rsid w:val="00E64058"/>
    <w:rsid w:val="00E6416B"/>
    <w:rsid w:val="00E642B5"/>
    <w:rsid w:val="00E65276"/>
    <w:rsid w:val="00E656BB"/>
    <w:rsid w:val="00E65948"/>
    <w:rsid w:val="00E65AC8"/>
    <w:rsid w:val="00E65DC9"/>
    <w:rsid w:val="00E65FA1"/>
    <w:rsid w:val="00E66D6C"/>
    <w:rsid w:val="00E66FB5"/>
    <w:rsid w:val="00E66FD3"/>
    <w:rsid w:val="00E672CF"/>
    <w:rsid w:val="00E672E7"/>
    <w:rsid w:val="00E67B86"/>
    <w:rsid w:val="00E67F04"/>
    <w:rsid w:val="00E700AE"/>
    <w:rsid w:val="00E70168"/>
    <w:rsid w:val="00E70846"/>
    <w:rsid w:val="00E70932"/>
    <w:rsid w:val="00E71734"/>
    <w:rsid w:val="00E71C4C"/>
    <w:rsid w:val="00E72082"/>
    <w:rsid w:val="00E72532"/>
    <w:rsid w:val="00E729FA"/>
    <w:rsid w:val="00E72D3E"/>
    <w:rsid w:val="00E73847"/>
    <w:rsid w:val="00E7482E"/>
    <w:rsid w:val="00E74BED"/>
    <w:rsid w:val="00E74E9B"/>
    <w:rsid w:val="00E75105"/>
    <w:rsid w:val="00E75277"/>
    <w:rsid w:val="00E759E2"/>
    <w:rsid w:val="00E76255"/>
    <w:rsid w:val="00E765BC"/>
    <w:rsid w:val="00E80511"/>
    <w:rsid w:val="00E808FC"/>
    <w:rsid w:val="00E81A88"/>
    <w:rsid w:val="00E81EA0"/>
    <w:rsid w:val="00E82317"/>
    <w:rsid w:val="00E823C6"/>
    <w:rsid w:val="00E827CA"/>
    <w:rsid w:val="00E82B51"/>
    <w:rsid w:val="00E82F2C"/>
    <w:rsid w:val="00E83B33"/>
    <w:rsid w:val="00E83F40"/>
    <w:rsid w:val="00E8483B"/>
    <w:rsid w:val="00E8520B"/>
    <w:rsid w:val="00E8556A"/>
    <w:rsid w:val="00E85B4B"/>
    <w:rsid w:val="00E85BFD"/>
    <w:rsid w:val="00E86373"/>
    <w:rsid w:val="00E86860"/>
    <w:rsid w:val="00E86A15"/>
    <w:rsid w:val="00E86AC6"/>
    <w:rsid w:val="00E872CE"/>
    <w:rsid w:val="00E8780A"/>
    <w:rsid w:val="00E87E82"/>
    <w:rsid w:val="00E90459"/>
    <w:rsid w:val="00E904A9"/>
    <w:rsid w:val="00E90757"/>
    <w:rsid w:val="00E9103C"/>
    <w:rsid w:val="00E91069"/>
    <w:rsid w:val="00E911B3"/>
    <w:rsid w:val="00E91D7A"/>
    <w:rsid w:val="00E9212E"/>
    <w:rsid w:val="00E92D2D"/>
    <w:rsid w:val="00E92FD2"/>
    <w:rsid w:val="00E93227"/>
    <w:rsid w:val="00E93828"/>
    <w:rsid w:val="00E93C06"/>
    <w:rsid w:val="00E93D98"/>
    <w:rsid w:val="00E93DFC"/>
    <w:rsid w:val="00E94AC6"/>
    <w:rsid w:val="00E94D39"/>
    <w:rsid w:val="00E94DF8"/>
    <w:rsid w:val="00E95691"/>
    <w:rsid w:val="00E96F2F"/>
    <w:rsid w:val="00E972DB"/>
    <w:rsid w:val="00E9757D"/>
    <w:rsid w:val="00E97B46"/>
    <w:rsid w:val="00EA048B"/>
    <w:rsid w:val="00EA05D3"/>
    <w:rsid w:val="00EA0726"/>
    <w:rsid w:val="00EA1155"/>
    <w:rsid w:val="00EA13CC"/>
    <w:rsid w:val="00EA1471"/>
    <w:rsid w:val="00EA1BFF"/>
    <w:rsid w:val="00EA1C71"/>
    <w:rsid w:val="00EA1D1D"/>
    <w:rsid w:val="00EA223F"/>
    <w:rsid w:val="00EA2CA8"/>
    <w:rsid w:val="00EA2E18"/>
    <w:rsid w:val="00EA3015"/>
    <w:rsid w:val="00EA34B0"/>
    <w:rsid w:val="00EA4E40"/>
    <w:rsid w:val="00EA4EBD"/>
    <w:rsid w:val="00EA5119"/>
    <w:rsid w:val="00EA517F"/>
    <w:rsid w:val="00EA57AD"/>
    <w:rsid w:val="00EA68B6"/>
    <w:rsid w:val="00EA6A69"/>
    <w:rsid w:val="00EA6D6B"/>
    <w:rsid w:val="00EA7217"/>
    <w:rsid w:val="00EA7448"/>
    <w:rsid w:val="00EA77AE"/>
    <w:rsid w:val="00EA7A84"/>
    <w:rsid w:val="00EB023C"/>
    <w:rsid w:val="00EB07B9"/>
    <w:rsid w:val="00EB0CA3"/>
    <w:rsid w:val="00EB1043"/>
    <w:rsid w:val="00EB1131"/>
    <w:rsid w:val="00EB19FC"/>
    <w:rsid w:val="00EB1F3C"/>
    <w:rsid w:val="00EB2063"/>
    <w:rsid w:val="00EB2CC7"/>
    <w:rsid w:val="00EB34CE"/>
    <w:rsid w:val="00EB3662"/>
    <w:rsid w:val="00EB3B07"/>
    <w:rsid w:val="00EB463F"/>
    <w:rsid w:val="00EB51BB"/>
    <w:rsid w:val="00EB51E2"/>
    <w:rsid w:val="00EB5D39"/>
    <w:rsid w:val="00EB6949"/>
    <w:rsid w:val="00EB6F8F"/>
    <w:rsid w:val="00EB735E"/>
    <w:rsid w:val="00EB7390"/>
    <w:rsid w:val="00EB7583"/>
    <w:rsid w:val="00EC044C"/>
    <w:rsid w:val="00EC0ABA"/>
    <w:rsid w:val="00EC0D59"/>
    <w:rsid w:val="00EC0E64"/>
    <w:rsid w:val="00EC18E3"/>
    <w:rsid w:val="00EC1C16"/>
    <w:rsid w:val="00EC1D30"/>
    <w:rsid w:val="00EC1ED3"/>
    <w:rsid w:val="00EC20DB"/>
    <w:rsid w:val="00EC2632"/>
    <w:rsid w:val="00EC2C79"/>
    <w:rsid w:val="00EC3251"/>
    <w:rsid w:val="00EC3277"/>
    <w:rsid w:val="00EC3518"/>
    <w:rsid w:val="00EC3552"/>
    <w:rsid w:val="00EC358B"/>
    <w:rsid w:val="00EC39DE"/>
    <w:rsid w:val="00EC3DA6"/>
    <w:rsid w:val="00EC4186"/>
    <w:rsid w:val="00EC4CBF"/>
    <w:rsid w:val="00EC5411"/>
    <w:rsid w:val="00EC5C3D"/>
    <w:rsid w:val="00EC5CD0"/>
    <w:rsid w:val="00EC5D7C"/>
    <w:rsid w:val="00EC61E2"/>
    <w:rsid w:val="00EC63EB"/>
    <w:rsid w:val="00EC665D"/>
    <w:rsid w:val="00EC6860"/>
    <w:rsid w:val="00EC7176"/>
    <w:rsid w:val="00EC7638"/>
    <w:rsid w:val="00ED046D"/>
    <w:rsid w:val="00ED05EA"/>
    <w:rsid w:val="00ED085B"/>
    <w:rsid w:val="00ED0953"/>
    <w:rsid w:val="00ED0E22"/>
    <w:rsid w:val="00ED123F"/>
    <w:rsid w:val="00ED1839"/>
    <w:rsid w:val="00ED2691"/>
    <w:rsid w:val="00ED4668"/>
    <w:rsid w:val="00ED525C"/>
    <w:rsid w:val="00ED552F"/>
    <w:rsid w:val="00ED566E"/>
    <w:rsid w:val="00ED5A98"/>
    <w:rsid w:val="00ED6238"/>
    <w:rsid w:val="00ED68FA"/>
    <w:rsid w:val="00ED72F4"/>
    <w:rsid w:val="00ED7399"/>
    <w:rsid w:val="00ED791A"/>
    <w:rsid w:val="00ED7BC0"/>
    <w:rsid w:val="00ED7C66"/>
    <w:rsid w:val="00ED7CC8"/>
    <w:rsid w:val="00EE0AEA"/>
    <w:rsid w:val="00EE0BBB"/>
    <w:rsid w:val="00EE0DAF"/>
    <w:rsid w:val="00EE1097"/>
    <w:rsid w:val="00EE18B1"/>
    <w:rsid w:val="00EE19BC"/>
    <w:rsid w:val="00EE1E46"/>
    <w:rsid w:val="00EE21C5"/>
    <w:rsid w:val="00EE2247"/>
    <w:rsid w:val="00EE2734"/>
    <w:rsid w:val="00EE2D5F"/>
    <w:rsid w:val="00EE2DCF"/>
    <w:rsid w:val="00EE2DD0"/>
    <w:rsid w:val="00EE32F8"/>
    <w:rsid w:val="00EE3BDD"/>
    <w:rsid w:val="00EE3F84"/>
    <w:rsid w:val="00EE43A4"/>
    <w:rsid w:val="00EE4DA6"/>
    <w:rsid w:val="00EE5211"/>
    <w:rsid w:val="00EE583F"/>
    <w:rsid w:val="00EE5AE9"/>
    <w:rsid w:val="00EE5CBF"/>
    <w:rsid w:val="00EE6254"/>
    <w:rsid w:val="00EE6719"/>
    <w:rsid w:val="00EE6C5F"/>
    <w:rsid w:val="00EE71EC"/>
    <w:rsid w:val="00EE73A2"/>
    <w:rsid w:val="00EE78F7"/>
    <w:rsid w:val="00EE7A0B"/>
    <w:rsid w:val="00EF0180"/>
    <w:rsid w:val="00EF09EE"/>
    <w:rsid w:val="00EF0C3E"/>
    <w:rsid w:val="00EF0CFA"/>
    <w:rsid w:val="00EF0D90"/>
    <w:rsid w:val="00EF1364"/>
    <w:rsid w:val="00EF1799"/>
    <w:rsid w:val="00EF1F00"/>
    <w:rsid w:val="00EF2568"/>
    <w:rsid w:val="00EF26D0"/>
    <w:rsid w:val="00EF26EC"/>
    <w:rsid w:val="00EF2C0B"/>
    <w:rsid w:val="00EF2FB8"/>
    <w:rsid w:val="00EF358B"/>
    <w:rsid w:val="00EF41AD"/>
    <w:rsid w:val="00EF459D"/>
    <w:rsid w:val="00EF491F"/>
    <w:rsid w:val="00EF4CB7"/>
    <w:rsid w:val="00EF5010"/>
    <w:rsid w:val="00EF51D9"/>
    <w:rsid w:val="00EF536E"/>
    <w:rsid w:val="00EF5534"/>
    <w:rsid w:val="00EF55FB"/>
    <w:rsid w:val="00EF5CD1"/>
    <w:rsid w:val="00EF5E22"/>
    <w:rsid w:val="00EF6C61"/>
    <w:rsid w:val="00EF6E57"/>
    <w:rsid w:val="00EF7120"/>
    <w:rsid w:val="00EF7125"/>
    <w:rsid w:val="00EF75BB"/>
    <w:rsid w:val="00EF78A1"/>
    <w:rsid w:val="00EF7BC2"/>
    <w:rsid w:val="00F00717"/>
    <w:rsid w:val="00F00E31"/>
    <w:rsid w:val="00F016F7"/>
    <w:rsid w:val="00F018B1"/>
    <w:rsid w:val="00F025DC"/>
    <w:rsid w:val="00F03048"/>
    <w:rsid w:val="00F034DB"/>
    <w:rsid w:val="00F04422"/>
    <w:rsid w:val="00F0447B"/>
    <w:rsid w:val="00F04591"/>
    <w:rsid w:val="00F05589"/>
    <w:rsid w:val="00F06254"/>
    <w:rsid w:val="00F0649C"/>
    <w:rsid w:val="00F0654A"/>
    <w:rsid w:val="00F06BDC"/>
    <w:rsid w:val="00F070FE"/>
    <w:rsid w:val="00F076D6"/>
    <w:rsid w:val="00F07BD0"/>
    <w:rsid w:val="00F07E3D"/>
    <w:rsid w:val="00F1029A"/>
    <w:rsid w:val="00F10B41"/>
    <w:rsid w:val="00F10CA2"/>
    <w:rsid w:val="00F10EE3"/>
    <w:rsid w:val="00F11BFC"/>
    <w:rsid w:val="00F12876"/>
    <w:rsid w:val="00F13457"/>
    <w:rsid w:val="00F13847"/>
    <w:rsid w:val="00F13B0D"/>
    <w:rsid w:val="00F141D6"/>
    <w:rsid w:val="00F1493A"/>
    <w:rsid w:val="00F14FBF"/>
    <w:rsid w:val="00F155EA"/>
    <w:rsid w:val="00F1593D"/>
    <w:rsid w:val="00F16966"/>
    <w:rsid w:val="00F16BA2"/>
    <w:rsid w:val="00F170D7"/>
    <w:rsid w:val="00F204B8"/>
    <w:rsid w:val="00F20606"/>
    <w:rsid w:val="00F210CC"/>
    <w:rsid w:val="00F2142E"/>
    <w:rsid w:val="00F22C7A"/>
    <w:rsid w:val="00F22FA4"/>
    <w:rsid w:val="00F23047"/>
    <w:rsid w:val="00F236B7"/>
    <w:rsid w:val="00F24056"/>
    <w:rsid w:val="00F2429E"/>
    <w:rsid w:val="00F24EBB"/>
    <w:rsid w:val="00F24F73"/>
    <w:rsid w:val="00F25117"/>
    <w:rsid w:val="00F254D3"/>
    <w:rsid w:val="00F256D8"/>
    <w:rsid w:val="00F2778E"/>
    <w:rsid w:val="00F27AA1"/>
    <w:rsid w:val="00F27C98"/>
    <w:rsid w:val="00F301A9"/>
    <w:rsid w:val="00F30432"/>
    <w:rsid w:val="00F304E4"/>
    <w:rsid w:val="00F31051"/>
    <w:rsid w:val="00F31740"/>
    <w:rsid w:val="00F327E7"/>
    <w:rsid w:val="00F328D8"/>
    <w:rsid w:val="00F32B66"/>
    <w:rsid w:val="00F32E14"/>
    <w:rsid w:val="00F32E2E"/>
    <w:rsid w:val="00F33330"/>
    <w:rsid w:val="00F3438D"/>
    <w:rsid w:val="00F34CF7"/>
    <w:rsid w:val="00F35652"/>
    <w:rsid w:val="00F35975"/>
    <w:rsid w:val="00F35A37"/>
    <w:rsid w:val="00F35DCC"/>
    <w:rsid w:val="00F3611D"/>
    <w:rsid w:val="00F36685"/>
    <w:rsid w:val="00F373FF"/>
    <w:rsid w:val="00F37AB8"/>
    <w:rsid w:val="00F4069D"/>
    <w:rsid w:val="00F40784"/>
    <w:rsid w:val="00F4092A"/>
    <w:rsid w:val="00F40B86"/>
    <w:rsid w:val="00F40F3F"/>
    <w:rsid w:val="00F4114F"/>
    <w:rsid w:val="00F41CED"/>
    <w:rsid w:val="00F4202B"/>
    <w:rsid w:val="00F42644"/>
    <w:rsid w:val="00F42A8A"/>
    <w:rsid w:val="00F42D92"/>
    <w:rsid w:val="00F432FD"/>
    <w:rsid w:val="00F44CAB"/>
    <w:rsid w:val="00F45427"/>
    <w:rsid w:val="00F4574A"/>
    <w:rsid w:val="00F459C8"/>
    <w:rsid w:val="00F461D9"/>
    <w:rsid w:val="00F462B1"/>
    <w:rsid w:val="00F464C4"/>
    <w:rsid w:val="00F50011"/>
    <w:rsid w:val="00F505BF"/>
    <w:rsid w:val="00F50C29"/>
    <w:rsid w:val="00F50E52"/>
    <w:rsid w:val="00F511AB"/>
    <w:rsid w:val="00F511DC"/>
    <w:rsid w:val="00F51DD8"/>
    <w:rsid w:val="00F5258A"/>
    <w:rsid w:val="00F527BE"/>
    <w:rsid w:val="00F5287C"/>
    <w:rsid w:val="00F5431F"/>
    <w:rsid w:val="00F545DF"/>
    <w:rsid w:val="00F55539"/>
    <w:rsid w:val="00F55F7B"/>
    <w:rsid w:val="00F564D3"/>
    <w:rsid w:val="00F5670D"/>
    <w:rsid w:val="00F56A54"/>
    <w:rsid w:val="00F56C13"/>
    <w:rsid w:val="00F56CBA"/>
    <w:rsid w:val="00F56E76"/>
    <w:rsid w:val="00F56F6D"/>
    <w:rsid w:val="00F57141"/>
    <w:rsid w:val="00F57F91"/>
    <w:rsid w:val="00F600A9"/>
    <w:rsid w:val="00F6068E"/>
    <w:rsid w:val="00F617E0"/>
    <w:rsid w:val="00F6207D"/>
    <w:rsid w:val="00F627CE"/>
    <w:rsid w:val="00F63306"/>
    <w:rsid w:val="00F63354"/>
    <w:rsid w:val="00F63948"/>
    <w:rsid w:val="00F63FAC"/>
    <w:rsid w:val="00F63FC6"/>
    <w:rsid w:val="00F64D5E"/>
    <w:rsid w:val="00F6514F"/>
    <w:rsid w:val="00F6563D"/>
    <w:rsid w:val="00F65668"/>
    <w:rsid w:val="00F65DA7"/>
    <w:rsid w:val="00F6608D"/>
    <w:rsid w:val="00F676E3"/>
    <w:rsid w:val="00F678BF"/>
    <w:rsid w:val="00F700F5"/>
    <w:rsid w:val="00F70273"/>
    <w:rsid w:val="00F70DE0"/>
    <w:rsid w:val="00F713B0"/>
    <w:rsid w:val="00F723A2"/>
    <w:rsid w:val="00F72ACC"/>
    <w:rsid w:val="00F72BA8"/>
    <w:rsid w:val="00F72DA5"/>
    <w:rsid w:val="00F73635"/>
    <w:rsid w:val="00F73F8E"/>
    <w:rsid w:val="00F740C0"/>
    <w:rsid w:val="00F74914"/>
    <w:rsid w:val="00F74AA4"/>
    <w:rsid w:val="00F75402"/>
    <w:rsid w:val="00F75727"/>
    <w:rsid w:val="00F7588D"/>
    <w:rsid w:val="00F76963"/>
    <w:rsid w:val="00F773EE"/>
    <w:rsid w:val="00F77DC0"/>
    <w:rsid w:val="00F81BAD"/>
    <w:rsid w:val="00F81C51"/>
    <w:rsid w:val="00F81EF7"/>
    <w:rsid w:val="00F824B7"/>
    <w:rsid w:val="00F82F7C"/>
    <w:rsid w:val="00F8345B"/>
    <w:rsid w:val="00F839D1"/>
    <w:rsid w:val="00F83C29"/>
    <w:rsid w:val="00F83C89"/>
    <w:rsid w:val="00F8450D"/>
    <w:rsid w:val="00F8476C"/>
    <w:rsid w:val="00F849C5"/>
    <w:rsid w:val="00F84DB4"/>
    <w:rsid w:val="00F84E8C"/>
    <w:rsid w:val="00F8627D"/>
    <w:rsid w:val="00F86858"/>
    <w:rsid w:val="00F86A49"/>
    <w:rsid w:val="00F86C51"/>
    <w:rsid w:val="00F86FC1"/>
    <w:rsid w:val="00F875B0"/>
    <w:rsid w:val="00F87B9C"/>
    <w:rsid w:val="00F900E3"/>
    <w:rsid w:val="00F907D5"/>
    <w:rsid w:val="00F9130D"/>
    <w:rsid w:val="00F919B7"/>
    <w:rsid w:val="00F9215A"/>
    <w:rsid w:val="00F9267B"/>
    <w:rsid w:val="00F92782"/>
    <w:rsid w:val="00F92785"/>
    <w:rsid w:val="00F92DBD"/>
    <w:rsid w:val="00F930D1"/>
    <w:rsid w:val="00F9330C"/>
    <w:rsid w:val="00F9445E"/>
    <w:rsid w:val="00F947CA"/>
    <w:rsid w:val="00F94DC9"/>
    <w:rsid w:val="00F94E81"/>
    <w:rsid w:val="00F950E7"/>
    <w:rsid w:val="00F95AD0"/>
    <w:rsid w:val="00F95BAB"/>
    <w:rsid w:val="00F968A9"/>
    <w:rsid w:val="00F97433"/>
    <w:rsid w:val="00F978E2"/>
    <w:rsid w:val="00F97CA6"/>
    <w:rsid w:val="00F97F4B"/>
    <w:rsid w:val="00FA095B"/>
    <w:rsid w:val="00FA0CD8"/>
    <w:rsid w:val="00FA13D0"/>
    <w:rsid w:val="00FA1ABF"/>
    <w:rsid w:val="00FA30EA"/>
    <w:rsid w:val="00FA3655"/>
    <w:rsid w:val="00FA39F8"/>
    <w:rsid w:val="00FA3E85"/>
    <w:rsid w:val="00FA4063"/>
    <w:rsid w:val="00FA4135"/>
    <w:rsid w:val="00FA419F"/>
    <w:rsid w:val="00FA4311"/>
    <w:rsid w:val="00FA49FD"/>
    <w:rsid w:val="00FA4FCF"/>
    <w:rsid w:val="00FA52CD"/>
    <w:rsid w:val="00FA5B46"/>
    <w:rsid w:val="00FA5EA3"/>
    <w:rsid w:val="00FA6266"/>
    <w:rsid w:val="00FA659D"/>
    <w:rsid w:val="00FA7122"/>
    <w:rsid w:val="00FA7B8F"/>
    <w:rsid w:val="00FA7F92"/>
    <w:rsid w:val="00FB01A5"/>
    <w:rsid w:val="00FB13CD"/>
    <w:rsid w:val="00FB2149"/>
    <w:rsid w:val="00FB2852"/>
    <w:rsid w:val="00FB46E6"/>
    <w:rsid w:val="00FB4CB0"/>
    <w:rsid w:val="00FB4D79"/>
    <w:rsid w:val="00FB4E62"/>
    <w:rsid w:val="00FB5372"/>
    <w:rsid w:val="00FB53DF"/>
    <w:rsid w:val="00FB56F0"/>
    <w:rsid w:val="00FB5A7B"/>
    <w:rsid w:val="00FB5B9B"/>
    <w:rsid w:val="00FB679C"/>
    <w:rsid w:val="00FB6B38"/>
    <w:rsid w:val="00FB6B3F"/>
    <w:rsid w:val="00FB6DD9"/>
    <w:rsid w:val="00FB6EFC"/>
    <w:rsid w:val="00FB726D"/>
    <w:rsid w:val="00FB72EE"/>
    <w:rsid w:val="00FB7B9C"/>
    <w:rsid w:val="00FB7C84"/>
    <w:rsid w:val="00FC0130"/>
    <w:rsid w:val="00FC035D"/>
    <w:rsid w:val="00FC0B05"/>
    <w:rsid w:val="00FC0DC8"/>
    <w:rsid w:val="00FC10B6"/>
    <w:rsid w:val="00FC166B"/>
    <w:rsid w:val="00FC1DA5"/>
    <w:rsid w:val="00FC2979"/>
    <w:rsid w:val="00FC2C21"/>
    <w:rsid w:val="00FC3131"/>
    <w:rsid w:val="00FC31B4"/>
    <w:rsid w:val="00FC3D2F"/>
    <w:rsid w:val="00FC3EBB"/>
    <w:rsid w:val="00FC46E4"/>
    <w:rsid w:val="00FC475A"/>
    <w:rsid w:val="00FC4EA1"/>
    <w:rsid w:val="00FC5C72"/>
    <w:rsid w:val="00FC61CF"/>
    <w:rsid w:val="00FC61EA"/>
    <w:rsid w:val="00FC644A"/>
    <w:rsid w:val="00FC69DD"/>
    <w:rsid w:val="00FC6B77"/>
    <w:rsid w:val="00FC6CAF"/>
    <w:rsid w:val="00FC7315"/>
    <w:rsid w:val="00FC7430"/>
    <w:rsid w:val="00FC74C7"/>
    <w:rsid w:val="00FD04EF"/>
    <w:rsid w:val="00FD09A9"/>
    <w:rsid w:val="00FD1485"/>
    <w:rsid w:val="00FD20FC"/>
    <w:rsid w:val="00FD2D89"/>
    <w:rsid w:val="00FD35E7"/>
    <w:rsid w:val="00FD3847"/>
    <w:rsid w:val="00FD384B"/>
    <w:rsid w:val="00FD3CEE"/>
    <w:rsid w:val="00FD5B0B"/>
    <w:rsid w:val="00FD6434"/>
    <w:rsid w:val="00FD64A0"/>
    <w:rsid w:val="00FD743B"/>
    <w:rsid w:val="00FD7AF2"/>
    <w:rsid w:val="00FE078D"/>
    <w:rsid w:val="00FE1034"/>
    <w:rsid w:val="00FE1627"/>
    <w:rsid w:val="00FE2720"/>
    <w:rsid w:val="00FE2DF1"/>
    <w:rsid w:val="00FE31D9"/>
    <w:rsid w:val="00FE37C4"/>
    <w:rsid w:val="00FE3810"/>
    <w:rsid w:val="00FE3AB6"/>
    <w:rsid w:val="00FE57D1"/>
    <w:rsid w:val="00FE6732"/>
    <w:rsid w:val="00FE67F2"/>
    <w:rsid w:val="00FE7880"/>
    <w:rsid w:val="00FE7B5B"/>
    <w:rsid w:val="00FF02E5"/>
    <w:rsid w:val="00FF049B"/>
    <w:rsid w:val="00FF05C6"/>
    <w:rsid w:val="00FF08CB"/>
    <w:rsid w:val="00FF09D9"/>
    <w:rsid w:val="00FF0B09"/>
    <w:rsid w:val="00FF18D1"/>
    <w:rsid w:val="00FF1E46"/>
    <w:rsid w:val="00FF2806"/>
    <w:rsid w:val="00FF2F53"/>
    <w:rsid w:val="00FF32CD"/>
    <w:rsid w:val="00FF3407"/>
    <w:rsid w:val="00FF3445"/>
    <w:rsid w:val="00FF3B28"/>
    <w:rsid w:val="00FF3C0B"/>
    <w:rsid w:val="00FF4490"/>
    <w:rsid w:val="00FF4517"/>
    <w:rsid w:val="00FF6AAE"/>
    <w:rsid w:val="00FF6D6A"/>
    <w:rsid w:val="00FF7531"/>
    <w:rsid w:val="00FF7649"/>
    <w:rsid w:val="00FF7840"/>
    <w:rsid w:val="00FF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FC9450D"/>
  <w14:defaultImageDpi w14:val="300"/>
  <w15:docId w15:val="{76183A1C-125F-4368-B358-6DE11960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ok title"/>
    <w:qFormat/>
    <w:rsid w:val="00531EA5"/>
    <w:rPr>
      <w:rFonts w:ascii="Times New Roman" w:eastAsia="Times New Roman" w:hAnsi="Times New Roman" w:cs="Times New Roman"/>
      <w:lang w:val="fr-FR" w:eastAsia="fr-FR"/>
    </w:rPr>
  </w:style>
  <w:style w:type="paragraph" w:styleId="Heading1">
    <w:name w:val="heading 1"/>
    <w:basedOn w:val="Normal"/>
    <w:next w:val="Normal"/>
    <w:link w:val="Heading1Char"/>
    <w:autoRedefine/>
    <w:uiPriority w:val="9"/>
    <w:qFormat/>
    <w:rsid w:val="00211FA3"/>
    <w:pPr>
      <w:keepNext/>
      <w:keepLines/>
      <w:spacing w:before="480" w:line="276" w:lineRule="auto"/>
      <w:outlineLvl w:val="0"/>
    </w:pPr>
    <w:rPr>
      <w:rFonts w:eastAsiaTheme="majorEastAsia" w:cstheme="majorBidi"/>
      <w:b/>
      <w:bCs/>
      <w:color w:val="365F91" w:themeColor="accent1" w:themeShade="BF"/>
      <w:sz w:val="28"/>
      <w:szCs w:val="28"/>
      <w:lang w:val="en-US" w:eastAsia="ja-JP"/>
    </w:rPr>
  </w:style>
  <w:style w:type="paragraph" w:styleId="Heading2">
    <w:name w:val="heading 2"/>
    <w:basedOn w:val="Normal"/>
    <w:next w:val="Normal"/>
    <w:link w:val="Heading2Char"/>
    <w:autoRedefine/>
    <w:qFormat/>
    <w:rsid w:val="00C91B56"/>
    <w:pPr>
      <w:suppressAutoHyphens/>
      <w:spacing w:before="240" w:after="240" w:line="276" w:lineRule="auto"/>
      <w:jc w:val="both"/>
      <w:outlineLvl w:val="1"/>
    </w:pPr>
    <w:rPr>
      <w:rFonts w:asciiTheme="minorHAnsi" w:hAnsiTheme="minorHAnsi"/>
      <w:b/>
      <w:sz w:val="22"/>
      <w:szCs w:val="22"/>
      <w:lang w:val="en-US" w:eastAsia="ru-RU"/>
    </w:rPr>
  </w:style>
  <w:style w:type="paragraph" w:styleId="Heading3">
    <w:name w:val="heading 3"/>
    <w:basedOn w:val="Normal"/>
    <w:next w:val="Normal"/>
    <w:link w:val="Heading3Char"/>
    <w:autoRedefine/>
    <w:qFormat/>
    <w:rsid w:val="00C91B56"/>
    <w:pPr>
      <w:keepNext/>
      <w:keepLines/>
      <w:spacing w:before="200"/>
      <w:jc w:val="both"/>
      <w:outlineLvl w:val="2"/>
    </w:pPr>
    <w:rPr>
      <w:rFonts w:ascii="Times" w:eastAsia="MS Gothic" w:hAnsi="Times"/>
      <w:b/>
      <w:bCs/>
      <w:i/>
      <w:lang w:eastAsia="ja-JP"/>
    </w:rPr>
  </w:style>
  <w:style w:type="paragraph" w:styleId="Heading4">
    <w:name w:val="heading 4"/>
    <w:basedOn w:val="Normal"/>
    <w:next w:val="Normal"/>
    <w:link w:val="Heading4Char"/>
    <w:qFormat/>
    <w:rsid w:val="00FF32CD"/>
    <w:pPr>
      <w:keepNext/>
      <w:keepLines/>
      <w:tabs>
        <w:tab w:val="left" w:pos="567"/>
      </w:tabs>
      <w:snapToGrid w:val="0"/>
      <w:spacing w:after="240"/>
      <w:outlineLvl w:val="3"/>
    </w:pPr>
    <w:rPr>
      <w:rFonts w:ascii="Arial" w:hAnsi="Arial"/>
      <w:b/>
      <w:bCs/>
      <w:snapToGrid w:val="0"/>
      <w:sz w:val="20"/>
      <w:lang w:eastAsia="en-US"/>
    </w:rPr>
  </w:style>
  <w:style w:type="paragraph" w:styleId="Heading5">
    <w:name w:val="heading 5"/>
    <w:basedOn w:val="Normal"/>
    <w:next w:val="Normal"/>
    <w:link w:val="Heading5Char"/>
    <w:qFormat/>
    <w:rsid w:val="00FF32CD"/>
    <w:pPr>
      <w:keepNext/>
      <w:tabs>
        <w:tab w:val="left" w:pos="567"/>
        <w:tab w:val="left" w:pos="3544"/>
        <w:tab w:val="left" w:pos="6237"/>
      </w:tabs>
      <w:suppressAutoHyphens/>
      <w:spacing w:after="240"/>
      <w:ind w:left="851"/>
      <w:jc w:val="both"/>
      <w:outlineLvl w:val="4"/>
    </w:pPr>
    <w:rPr>
      <w:b/>
      <w:spacing w:val="-3"/>
      <w:sz w:val="28"/>
      <w:szCs w:val="20"/>
      <w:lang w:val="en-US" w:eastAsia="en-US"/>
    </w:rPr>
  </w:style>
  <w:style w:type="paragraph" w:styleId="Heading6">
    <w:name w:val="heading 6"/>
    <w:basedOn w:val="Normal"/>
    <w:next w:val="Marge"/>
    <w:link w:val="Heading6Char"/>
    <w:qFormat/>
    <w:rsid w:val="00FF32CD"/>
    <w:pPr>
      <w:keepNext/>
      <w:keepLines/>
      <w:tabs>
        <w:tab w:val="left" w:pos="1134"/>
      </w:tabs>
      <w:snapToGrid w:val="0"/>
      <w:spacing w:after="240"/>
      <w:ind w:left="567"/>
      <w:outlineLvl w:val="5"/>
    </w:pPr>
    <w:rPr>
      <w:b/>
      <w:iCs/>
      <w:snapToGrid w:val="0"/>
      <w:szCs w:val="22"/>
      <w:lang w:val="en-GB" w:eastAsia="en-US"/>
    </w:rPr>
  </w:style>
  <w:style w:type="paragraph" w:styleId="Heading8">
    <w:name w:val="heading 8"/>
    <w:basedOn w:val="Normal"/>
    <w:next w:val="Normal"/>
    <w:link w:val="Heading8Char"/>
    <w:qFormat/>
    <w:rsid w:val="00FF32CD"/>
    <w:pPr>
      <w:keepNext/>
      <w:framePr w:hSpace="180" w:wrap="around" w:hAnchor="text" w:y="-720"/>
      <w:tabs>
        <w:tab w:val="left" w:pos="567"/>
      </w:tabs>
      <w:snapToGrid w:val="0"/>
      <w:spacing w:before="240"/>
      <w:jc w:val="right"/>
      <w:outlineLvl w:val="7"/>
    </w:pPr>
    <w:rPr>
      <w:rFonts w:ascii="Arial" w:eastAsia="SimSun" w:hAnsi="Arial"/>
      <w:b/>
      <w:snapToGrid w:val="0"/>
      <w:sz w:val="36"/>
      <w:szCs w:val="3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91B56"/>
    <w:rPr>
      <w:rFonts w:ascii="Times" w:eastAsia="MS Gothic" w:hAnsi="Times"/>
      <w:b/>
      <w:bCs/>
      <w:i/>
      <w:lang w:val="en-GB"/>
    </w:rPr>
  </w:style>
  <w:style w:type="character" w:customStyle="1" w:styleId="Heading1Char">
    <w:name w:val="Heading 1 Char"/>
    <w:basedOn w:val="DefaultParagraphFont"/>
    <w:link w:val="Heading1"/>
    <w:uiPriority w:val="9"/>
    <w:rsid w:val="00211FA3"/>
    <w:rPr>
      <w:rFonts w:ascii="Times New Roman" w:eastAsiaTheme="majorEastAsia" w:hAnsi="Times New Roman" w:cstheme="majorBidi"/>
      <w:b/>
      <w:bCs/>
      <w:color w:val="365F91" w:themeColor="accent1" w:themeShade="BF"/>
      <w:sz w:val="28"/>
      <w:szCs w:val="28"/>
    </w:rPr>
  </w:style>
  <w:style w:type="paragraph" w:styleId="BodyText">
    <w:name w:val="Body Text"/>
    <w:basedOn w:val="Normal"/>
    <w:next w:val="Normal"/>
    <w:link w:val="BodyTextChar"/>
    <w:autoRedefine/>
    <w:qFormat/>
    <w:rsid w:val="008A64D1"/>
    <w:pPr>
      <w:suppressAutoHyphens/>
      <w:spacing w:line="240" w:lineRule="atLeast"/>
    </w:pPr>
    <w:rPr>
      <w:rFonts w:asciiTheme="minorHAnsi" w:hAnsiTheme="minorHAnsi"/>
      <w:lang w:val="en-US"/>
    </w:rPr>
  </w:style>
  <w:style w:type="character" w:customStyle="1" w:styleId="BodyTextChar">
    <w:name w:val="Body Text Char"/>
    <w:link w:val="BodyText"/>
    <w:rsid w:val="008A64D1"/>
    <w:rPr>
      <w:lang w:eastAsia="en-US"/>
    </w:rPr>
  </w:style>
  <w:style w:type="paragraph" w:styleId="List">
    <w:name w:val="List"/>
    <w:aliases w:val="List Text"/>
    <w:basedOn w:val="Normal"/>
    <w:autoRedefine/>
    <w:semiHidden/>
    <w:qFormat/>
    <w:rsid w:val="008A64D1"/>
    <w:pPr>
      <w:suppressAutoHyphens/>
      <w:spacing w:line="240" w:lineRule="atLeast"/>
      <w:ind w:left="283" w:hanging="283"/>
    </w:pPr>
    <w:rPr>
      <w:sz w:val="20"/>
      <w:szCs w:val="20"/>
    </w:rPr>
  </w:style>
  <w:style w:type="character" w:customStyle="1" w:styleId="Heading2Char">
    <w:name w:val="Heading 2 Char"/>
    <w:link w:val="Heading2"/>
    <w:uiPriority w:val="9"/>
    <w:rsid w:val="00C91B56"/>
    <w:rPr>
      <w:rFonts w:cs="Times New Roman"/>
      <w:b/>
      <w:sz w:val="22"/>
      <w:szCs w:val="22"/>
      <w:lang w:eastAsia="ru-RU"/>
    </w:rPr>
  </w:style>
  <w:style w:type="paragraph" w:styleId="BalloonText">
    <w:name w:val="Balloon Text"/>
    <w:basedOn w:val="Normal"/>
    <w:link w:val="BalloonTextChar"/>
    <w:uiPriority w:val="99"/>
    <w:unhideWhenUsed/>
    <w:rsid w:val="00437FF8"/>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37FF8"/>
    <w:rPr>
      <w:rFonts w:ascii="Lucida Grande" w:hAnsi="Lucida Grande" w:cs="Lucida Grande"/>
      <w:sz w:val="18"/>
      <w:szCs w:val="18"/>
      <w:lang w:val="en-GB" w:eastAsia="en-US"/>
    </w:rPr>
  </w:style>
  <w:style w:type="paragraph" w:customStyle="1" w:styleId="ChapterHead">
    <w:name w:val="Chapter Head"/>
    <w:basedOn w:val="Heading1"/>
    <w:autoRedefine/>
    <w:qFormat/>
    <w:rsid w:val="00C91B56"/>
    <w:pPr>
      <w:spacing w:line="240" w:lineRule="auto"/>
      <w:jc w:val="center"/>
    </w:pPr>
    <w:rPr>
      <w:rFonts w:eastAsia="MS Gothic" w:cs="Times New Roman"/>
      <w:color w:val="auto"/>
      <w:szCs w:val="32"/>
      <w:lang w:eastAsia="en-US"/>
    </w:rPr>
  </w:style>
  <w:style w:type="character" w:customStyle="1" w:styleId="Heading4Char">
    <w:name w:val="Heading 4 Char"/>
    <w:basedOn w:val="DefaultParagraphFont"/>
    <w:link w:val="Heading4"/>
    <w:rsid w:val="00FF32CD"/>
    <w:rPr>
      <w:rFonts w:ascii="Arial" w:eastAsia="Times New Roman" w:hAnsi="Arial" w:cs="Times New Roman"/>
      <w:b/>
      <w:bCs/>
      <w:snapToGrid w:val="0"/>
      <w:sz w:val="20"/>
      <w:lang w:val="fr-FR" w:eastAsia="en-US"/>
    </w:rPr>
  </w:style>
  <w:style w:type="character" w:customStyle="1" w:styleId="Heading5Char">
    <w:name w:val="Heading 5 Char"/>
    <w:basedOn w:val="DefaultParagraphFont"/>
    <w:link w:val="Heading5"/>
    <w:rsid w:val="00FF32CD"/>
    <w:rPr>
      <w:rFonts w:ascii="Times New Roman" w:eastAsia="Times New Roman" w:hAnsi="Times New Roman" w:cs="Times New Roman"/>
      <w:b/>
      <w:spacing w:val="-3"/>
      <w:sz w:val="28"/>
      <w:szCs w:val="20"/>
      <w:lang w:eastAsia="en-US"/>
    </w:rPr>
  </w:style>
  <w:style w:type="character" w:customStyle="1" w:styleId="Heading6Char">
    <w:name w:val="Heading 6 Char"/>
    <w:basedOn w:val="DefaultParagraphFont"/>
    <w:link w:val="Heading6"/>
    <w:rsid w:val="00FF32CD"/>
    <w:rPr>
      <w:rFonts w:ascii="Times New Roman" w:eastAsia="Times New Roman" w:hAnsi="Times New Roman" w:cs="Times New Roman"/>
      <w:b/>
      <w:iCs/>
      <w:snapToGrid w:val="0"/>
      <w:szCs w:val="22"/>
      <w:lang w:val="en-GB" w:eastAsia="en-US"/>
    </w:rPr>
  </w:style>
  <w:style w:type="character" w:customStyle="1" w:styleId="Heading8Char">
    <w:name w:val="Heading 8 Char"/>
    <w:basedOn w:val="DefaultParagraphFont"/>
    <w:link w:val="Heading8"/>
    <w:rsid w:val="00FF32CD"/>
    <w:rPr>
      <w:rFonts w:ascii="Arial" w:eastAsia="SimSun" w:hAnsi="Arial" w:cs="Times New Roman"/>
      <w:b/>
      <w:snapToGrid w:val="0"/>
      <w:sz w:val="36"/>
      <w:szCs w:val="36"/>
      <w:lang w:val="nl-NL" w:eastAsia="fr-FR"/>
    </w:rPr>
  </w:style>
  <w:style w:type="paragraph" w:styleId="DocumentMap">
    <w:name w:val="Document Map"/>
    <w:aliases w:val="UNESCO"/>
    <w:basedOn w:val="Normal"/>
    <w:link w:val="DocumentMapChar"/>
    <w:autoRedefine/>
    <w:rsid w:val="00FF32CD"/>
    <w:rPr>
      <w:color w:val="000000"/>
    </w:rPr>
  </w:style>
  <w:style w:type="character" w:customStyle="1" w:styleId="DocumentMapChar">
    <w:name w:val="Document Map Char"/>
    <w:aliases w:val="UNESCO Char"/>
    <w:basedOn w:val="DefaultParagraphFont"/>
    <w:link w:val="DocumentMap"/>
    <w:rsid w:val="00FF32CD"/>
    <w:rPr>
      <w:rFonts w:ascii="Times New Roman" w:eastAsia="Times New Roman" w:hAnsi="Times New Roman" w:cs="Times New Roman"/>
      <w:color w:val="000000"/>
      <w:lang w:val="fr-FR" w:eastAsia="fr-FR"/>
    </w:rPr>
  </w:style>
  <w:style w:type="paragraph" w:styleId="Header">
    <w:name w:val="header"/>
    <w:basedOn w:val="Normal"/>
    <w:link w:val="HeaderChar"/>
    <w:unhideWhenUsed/>
    <w:rsid w:val="00FF32CD"/>
    <w:pPr>
      <w:tabs>
        <w:tab w:val="center" w:pos="4536"/>
        <w:tab w:val="right" w:pos="9072"/>
      </w:tabs>
    </w:pPr>
    <w:rPr>
      <w:rFonts w:ascii="Calibri" w:eastAsia="SimSun" w:hAnsi="Calibri"/>
      <w:sz w:val="20"/>
      <w:szCs w:val="20"/>
      <w:lang w:val="en-GB"/>
    </w:rPr>
  </w:style>
  <w:style w:type="character" w:customStyle="1" w:styleId="HeaderChar">
    <w:name w:val="Header Char"/>
    <w:basedOn w:val="DefaultParagraphFont"/>
    <w:link w:val="Header"/>
    <w:rsid w:val="00FF32CD"/>
    <w:rPr>
      <w:rFonts w:ascii="Calibri" w:eastAsia="SimSun" w:hAnsi="Calibri" w:cs="Times New Roman"/>
      <w:sz w:val="20"/>
      <w:szCs w:val="20"/>
      <w:lang w:val="en-GB" w:eastAsia="fr-FR"/>
    </w:rPr>
  </w:style>
  <w:style w:type="paragraph" w:styleId="Footer">
    <w:name w:val="footer"/>
    <w:basedOn w:val="Normal"/>
    <w:link w:val="FooterChar"/>
    <w:uiPriority w:val="99"/>
    <w:unhideWhenUsed/>
    <w:rsid w:val="00FF32CD"/>
    <w:pPr>
      <w:tabs>
        <w:tab w:val="center" w:pos="4536"/>
        <w:tab w:val="right" w:pos="9072"/>
      </w:tabs>
    </w:pPr>
    <w:rPr>
      <w:rFonts w:ascii="Calibri" w:eastAsia="SimSun" w:hAnsi="Calibri"/>
      <w:sz w:val="20"/>
      <w:szCs w:val="20"/>
      <w:lang w:val="en-GB"/>
    </w:rPr>
  </w:style>
  <w:style w:type="character" w:customStyle="1" w:styleId="FooterChar">
    <w:name w:val="Footer Char"/>
    <w:basedOn w:val="DefaultParagraphFont"/>
    <w:link w:val="Footer"/>
    <w:uiPriority w:val="99"/>
    <w:rsid w:val="00FF32CD"/>
    <w:rPr>
      <w:rFonts w:ascii="Calibri" w:eastAsia="SimSun" w:hAnsi="Calibri" w:cs="Times New Roman"/>
      <w:sz w:val="20"/>
      <w:szCs w:val="20"/>
      <w:lang w:val="en-GB" w:eastAsia="fr-FR"/>
    </w:rPr>
  </w:style>
  <w:style w:type="paragraph" w:customStyle="1" w:styleId="Sansinterligne2">
    <w:name w:val="Sans interligne2"/>
    <w:uiPriority w:val="1"/>
    <w:qFormat/>
    <w:rsid w:val="00FF32CD"/>
    <w:rPr>
      <w:rFonts w:ascii="Times New Roman" w:eastAsia="Times New Roman" w:hAnsi="Times New Roman" w:cs="Times New Roman"/>
      <w:lang w:val="fr-FR" w:eastAsia="fr-FR"/>
    </w:rPr>
  </w:style>
  <w:style w:type="table" w:styleId="TableGrid">
    <w:name w:val="Table Grid"/>
    <w:basedOn w:val="TableNormal"/>
    <w:uiPriority w:val="59"/>
    <w:rsid w:val="00FF32CD"/>
    <w:rPr>
      <w:rFonts w:ascii="Calibri" w:eastAsia="SimSu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FF32CD"/>
  </w:style>
  <w:style w:type="paragraph" w:customStyle="1" w:styleId="Listecouleur-Accent11">
    <w:name w:val="Liste couleur - Accent 11"/>
    <w:basedOn w:val="Normal"/>
    <w:uiPriority w:val="34"/>
    <w:qFormat/>
    <w:rsid w:val="00FF32CD"/>
    <w:pPr>
      <w:ind w:left="720"/>
      <w:contextualSpacing/>
    </w:pPr>
  </w:style>
  <w:style w:type="paragraph" w:customStyle="1" w:styleId="b">
    <w:name w:val="(b)"/>
    <w:basedOn w:val="Normal"/>
    <w:rsid w:val="00FF32CD"/>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FF32CD"/>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FF32CD"/>
    <w:pPr>
      <w:ind w:firstLine="0"/>
    </w:pPr>
  </w:style>
  <w:style w:type="paragraph" w:customStyle="1" w:styleId="TIRETbul1cm">
    <w:name w:val="TIRET bul 1cm"/>
    <w:basedOn w:val="Normal"/>
    <w:rsid w:val="00FF32CD"/>
    <w:pPr>
      <w:numPr>
        <w:numId w:val="2"/>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FF32CD"/>
  </w:style>
  <w:style w:type="character" w:customStyle="1" w:styleId="apple-converted-space">
    <w:name w:val="apple-converted-space"/>
    <w:basedOn w:val="DefaultParagraphFont"/>
    <w:rsid w:val="00FF32CD"/>
  </w:style>
  <w:style w:type="paragraph" w:customStyle="1" w:styleId="Sansinterligne1">
    <w:name w:val="Sans interligne1"/>
    <w:uiPriority w:val="1"/>
    <w:qFormat/>
    <w:rsid w:val="00FF32CD"/>
    <w:rPr>
      <w:rFonts w:ascii="Times New Roman" w:eastAsia="Times New Roman" w:hAnsi="Times New Roman" w:cs="Times New Roman"/>
      <w:lang w:val="fr-FR" w:eastAsia="fr-FR"/>
    </w:rPr>
  </w:style>
  <w:style w:type="character" w:styleId="Hyperlink">
    <w:name w:val="Hyperlink"/>
    <w:uiPriority w:val="99"/>
    <w:rsid w:val="00FF32CD"/>
    <w:rPr>
      <w:color w:val="0000FF"/>
      <w:u w:val="single"/>
    </w:rPr>
  </w:style>
  <w:style w:type="paragraph" w:customStyle="1" w:styleId="alina">
    <w:name w:val="alinéa"/>
    <w:basedOn w:val="Normal"/>
    <w:rsid w:val="00FF32CD"/>
    <w:pPr>
      <w:tabs>
        <w:tab w:val="left" w:pos="567"/>
      </w:tabs>
      <w:spacing w:after="240"/>
      <w:ind w:left="567"/>
      <w:jc w:val="both"/>
    </w:pPr>
    <w:rPr>
      <w:rFonts w:ascii="Arial" w:hAnsi="Arial" w:cs="Arial"/>
      <w:sz w:val="22"/>
      <w:szCs w:val="22"/>
      <w:lang w:val="en-GB" w:eastAsia="en-US"/>
    </w:rPr>
  </w:style>
  <w:style w:type="character" w:styleId="FollowedHyperlink">
    <w:name w:val="FollowedHyperlink"/>
    <w:uiPriority w:val="99"/>
    <w:unhideWhenUsed/>
    <w:rsid w:val="00FF32CD"/>
    <w:rPr>
      <w:color w:val="800080"/>
      <w:u w:val="single"/>
    </w:rPr>
  </w:style>
  <w:style w:type="paragraph" w:styleId="FootnoteText">
    <w:name w:val="footnote text"/>
    <w:aliases w:val="Fodnotetekst,Footnote Text Char Char,Footnote Text Char Char Char"/>
    <w:basedOn w:val="Normal"/>
    <w:link w:val="FootnoteTextChar"/>
    <w:unhideWhenUsed/>
    <w:rsid w:val="00FF32CD"/>
    <w:rPr>
      <w:sz w:val="20"/>
      <w:szCs w:val="20"/>
    </w:rPr>
  </w:style>
  <w:style w:type="character" w:customStyle="1" w:styleId="FootnoteTextChar">
    <w:name w:val="Footnote Text Char"/>
    <w:aliases w:val="Fodnotetekst Char,Footnote Text Char Char Char1,Footnote Text Char Char Char Char1"/>
    <w:basedOn w:val="DefaultParagraphFont"/>
    <w:link w:val="FootnoteText"/>
    <w:rsid w:val="00FF32CD"/>
    <w:rPr>
      <w:rFonts w:ascii="Times New Roman" w:eastAsia="Times New Roman" w:hAnsi="Times New Roman" w:cs="Times New Roman"/>
      <w:sz w:val="20"/>
      <w:szCs w:val="20"/>
      <w:lang w:val="fr-FR" w:eastAsia="fr-FR"/>
    </w:rPr>
  </w:style>
  <w:style w:type="character" w:styleId="FootnoteReference">
    <w:name w:val="footnote reference"/>
    <w:unhideWhenUsed/>
    <w:rsid w:val="00FF32CD"/>
    <w:rPr>
      <w:vertAlign w:val="superscript"/>
    </w:rPr>
  </w:style>
  <w:style w:type="paragraph" w:customStyle="1" w:styleId="Bibliographie1">
    <w:name w:val="Bibliographie1"/>
    <w:basedOn w:val="Normal"/>
    <w:next w:val="Normal"/>
    <w:autoRedefine/>
    <w:rsid w:val="00FF32CD"/>
    <w:rPr>
      <w:sz w:val="22"/>
    </w:rPr>
  </w:style>
  <w:style w:type="paragraph" w:customStyle="1" w:styleId="Author">
    <w:name w:val="Author"/>
    <w:basedOn w:val="Normal"/>
    <w:autoRedefine/>
    <w:qFormat/>
    <w:rsid w:val="00FF32CD"/>
    <w:pPr>
      <w:autoSpaceDE w:val="0"/>
      <w:autoSpaceDN w:val="0"/>
      <w:adjustRightInd w:val="0"/>
    </w:pPr>
    <w:rPr>
      <w:b/>
      <w:bCs/>
      <w:lang w:val="en-US" w:eastAsia="en-US"/>
    </w:rPr>
  </w:style>
  <w:style w:type="paragraph" w:styleId="Title">
    <w:name w:val="Title"/>
    <w:basedOn w:val="Normal"/>
    <w:next w:val="Normal"/>
    <w:link w:val="TitleChar"/>
    <w:uiPriority w:val="10"/>
    <w:qFormat/>
    <w:rsid w:val="00FF32CD"/>
    <w:pPr>
      <w:pBdr>
        <w:bottom w:val="single" w:sz="8" w:space="4" w:color="4F81BD"/>
      </w:pBdr>
      <w:spacing w:after="300"/>
      <w:contextualSpacing/>
    </w:pPr>
    <w:rPr>
      <w:rFonts w:ascii="Calibri" w:hAnsi="Calibri"/>
      <w:color w:val="183A63"/>
      <w:spacing w:val="5"/>
      <w:kern w:val="28"/>
      <w:sz w:val="52"/>
      <w:szCs w:val="52"/>
    </w:rPr>
  </w:style>
  <w:style w:type="character" w:customStyle="1" w:styleId="TitleChar">
    <w:name w:val="Title Char"/>
    <w:basedOn w:val="DefaultParagraphFont"/>
    <w:link w:val="Title"/>
    <w:uiPriority w:val="10"/>
    <w:rsid w:val="00FF32CD"/>
    <w:rPr>
      <w:rFonts w:ascii="Calibri" w:eastAsia="Times New Roman" w:hAnsi="Calibri" w:cs="Times New Roman"/>
      <w:color w:val="183A63"/>
      <w:spacing w:val="5"/>
      <w:kern w:val="28"/>
      <w:sz w:val="52"/>
      <w:szCs w:val="52"/>
      <w:lang w:val="fr-FR" w:eastAsia="fr-FR"/>
    </w:rPr>
  </w:style>
  <w:style w:type="character" w:customStyle="1" w:styleId="FootnoteTextChar2">
    <w:name w:val="Footnote Text Char2"/>
    <w:aliases w:val="Footnote Text Char Char2,Footnote Text Char Char Char2,Footnote Text Char Char Char Char"/>
    <w:rsid w:val="00FF32CD"/>
    <w:rPr>
      <w:rFonts w:ascii="Times New Roman" w:hAnsi="Times New Roman"/>
      <w:sz w:val="18"/>
      <w:lang w:val="en-AU" w:eastAsia="en-US" w:bidi="ar-SA"/>
    </w:rPr>
  </w:style>
  <w:style w:type="paragraph" w:styleId="Subtitle">
    <w:name w:val="Subtitle"/>
    <w:basedOn w:val="Normal"/>
    <w:next w:val="Normal"/>
    <w:link w:val="SubtitleChar"/>
    <w:qFormat/>
    <w:rsid w:val="00FF32CD"/>
    <w:pPr>
      <w:numPr>
        <w:ilvl w:val="1"/>
      </w:numPr>
    </w:pPr>
    <w:rPr>
      <w:rFonts w:eastAsia="MS Gothic"/>
      <w:b/>
      <w:iCs/>
      <w:lang w:eastAsia="ja-JP"/>
    </w:rPr>
  </w:style>
  <w:style w:type="character" w:customStyle="1" w:styleId="SubtitleChar">
    <w:name w:val="Subtitle Char"/>
    <w:basedOn w:val="DefaultParagraphFont"/>
    <w:link w:val="Subtitle"/>
    <w:rsid w:val="00FF32CD"/>
    <w:rPr>
      <w:rFonts w:ascii="Times New Roman" w:eastAsia="MS Gothic" w:hAnsi="Times New Roman" w:cs="Times New Roman"/>
      <w:b/>
      <w:iCs/>
      <w:lang w:val="fr-FR"/>
    </w:rPr>
  </w:style>
  <w:style w:type="paragraph" w:customStyle="1" w:styleId="Chapterhead0">
    <w:name w:val="Chapter head"/>
    <w:basedOn w:val="Normal"/>
    <w:link w:val="ChapterheadChar"/>
    <w:autoRedefine/>
    <w:qFormat/>
    <w:rsid w:val="00FF32CD"/>
    <w:rPr>
      <w:b/>
    </w:rPr>
  </w:style>
  <w:style w:type="character" w:customStyle="1" w:styleId="ChapterheadChar">
    <w:name w:val="Chapter head Char"/>
    <w:link w:val="Chapterhead0"/>
    <w:rsid w:val="00FF32CD"/>
    <w:rPr>
      <w:rFonts w:ascii="Times New Roman" w:eastAsia="Times New Roman" w:hAnsi="Times New Roman" w:cs="Times New Roman"/>
      <w:b/>
      <w:lang w:val="fr-FR" w:eastAsia="fr-FR"/>
    </w:rPr>
  </w:style>
  <w:style w:type="paragraph" w:customStyle="1" w:styleId="Authorname">
    <w:name w:val="Author name"/>
    <w:basedOn w:val="Heading1"/>
    <w:autoRedefine/>
    <w:qFormat/>
    <w:rsid w:val="00FF32CD"/>
    <w:pPr>
      <w:keepLines w:val="0"/>
      <w:spacing w:before="240" w:after="60" w:line="240" w:lineRule="auto"/>
    </w:pPr>
    <w:rPr>
      <w:rFonts w:ascii="Cambria" w:eastAsia="Times New Roman" w:hAnsi="Cambria" w:cs="Times New Roman"/>
      <w:color w:val="auto"/>
      <w:kern w:val="32"/>
      <w:sz w:val="24"/>
      <w:szCs w:val="32"/>
      <w:lang w:eastAsia="en-US"/>
    </w:rPr>
  </w:style>
  <w:style w:type="paragraph" w:styleId="BlockText">
    <w:name w:val="Block Text"/>
    <w:basedOn w:val="Normal"/>
    <w:autoRedefine/>
    <w:rsid w:val="00FF32CD"/>
    <w:pPr>
      <w:numPr>
        <w:numId w:val="7"/>
      </w:numPr>
      <w:tabs>
        <w:tab w:val="clear" w:pos="397"/>
      </w:tabs>
      <w:spacing w:after="120"/>
      <w:ind w:left="1440" w:right="1440" w:firstLine="0"/>
    </w:pPr>
  </w:style>
  <w:style w:type="paragraph" w:styleId="ListBullet">
    <w:name w:val="List Bullet"/>
    <w:basedOn w:val="Normal"/>
    <w:autoRedefine/>
    <w:uiPriority w:val="99"/>
    <w:rsid w:val="00FF32CD"/>
    <w:pPr>
      <w:numPr>
        <w:numId w:val="5"/>
      </w:numPr>
      <w:tabs>
        <w:tab w:val="clear" w:pos="926"/>
        <w:tab w:val="num" w:pos="397"/>
      </w:tabs>
      <w:ind w:left="397" w:hanging="284"/>
      <w:contextualSpacing/>
    </w:pPr>
    <w:rPr>
      <w:i/>
    </w:rPr>
  </w:style>
  <w:style w:type="paragraph" w:styleId="ListBullet3">
    <w:name w:val="List Bullet 3"/>
    <w:aliases w:val="List Bullet 1"/>
    <w:basedOn w:val="Normal"/>
    <w:autoRedefine/>
    <w:rsid w:val="00FF32CD"/>
    <w:pPr>
      <w:numPr>
        <w:numId w:val="6"/>
      </w:numPr>
      <w:tabs>
        <w:tab w:val="clear" w:pos="397"/>
        <w:tab w:val="num" w:pos="926"/>
      </w:tabs>
      <w:ind w:left="926" w:hanging="360"/>
      <w:contextualSpacing/>
    </w:pPr>
  </w:style>
  <w:style w:type="paragraph" w:customStyle="1" w:styleId="ListBullet1">
    <w:name w:val="List Bullet1"/>
    <w:basedOn w:val="ListBullet3"/>
    <w:autoRedefine/>
    <w:qFormat/>
    <w:rsid w:val="00FF32CD"/>
    <w:pPr>
      <w:numPr>
        <w:numId w:val="1"/>
      </w:numPr>
    </w:pPr>
  </w:style>
  <w:style w:type="paragraph" w:customStyle="1" w:styleId="Chapterheading">
    <w:name w:val="Chapter heading"/>
    <w:basedOn w:val="Heading1"/>
    <w:autoRedefine/>
    <w:qFormat/>
    <w:rsid w:val="00FF32CD"/>
    <w:pPr>
      <w:keepLines w:val="0"/>
      <w:spacing w:before="240" w:after="60" w:line="240" w:lineRule="auto"/>
    </w:pPr>
    <w:rPr>
      <w:rFonts w:ascii="Cambria" w:eastAsia="Times New Roman" w:hAnsi="Cambria" w:cs="Times New Roman"/>
      <w:color w:val="auto"/>
      <w:kern w:val="32"/>
      <w:szCs w:val="32"/>
      <w:lang w:eastAsia="en-US"/>
    </w:rPr>
  </w:style>
  <w:style w:type="paragraph" w:customStyle="1" w:styleId="Sansinterligne4">
    <w:name w:val="Sans interligne4"/>
    <w:uiPriority w:val="1"/>
    <w:qFormat/>
    <w:rsid w:val="00FF32CD"/>
    <w:rPr>
      <w:rFonts w:ascii="Times New Roman" w:eastAsia="Times New Roman" w:hAnsi="Times New Roman" w:cs="Times New Roman"/>
      <w:lang w:val="fr-FR" w:eastAsia="fr-FR"/>
    </w:rPr>
  </w:style>
  <w:style w:type="paragraph" w:customStyle="1" w:styleId="Grillemoyenne1-Accent21">
    <w:name w:val="Grille moyenne 1 - Accent 21"/>
    <w:basedOn w:val="Normal"/>
    <w:uiPriority w:val="34"/>
    <w:qFormat/>
    <w:rsid w:val="00FF32CD"/>
    <w:pPr>
      <w:ind w:left="720"/>
      <w:contextualSpacing/>
    </w:pPr>
  </w:style>
  <w:style w:type="paragraph" w:styleId="BodyTextIndent">
    <w:name w:val="Body Text Indent"/>
    <w:basedOn w:val="Normal"/>
    <w:link w:val="BodyTextIndentChar"/>
    <w:rsid w:val="00FF32CD"/>
    <w:pPr>
      <w:autoSpaceDE w:val="0"/>
      <w:autoSpaceDN w:val="0"/>
      <w:ind w:left="709" w:hanging="709"/>
      <w:jc w:val="both"/>
    </w:pPr>
    <w:rPr>
      <w:rFonts w:ascii="Arial" w:hAnsi="Arial"/>
      <w:lang w:val="en-AU"/>
    </w:rPr>
  </w:style>
  <w:style w:type="character" w:customStyle="1" w:styleId="BodyTextIndentChar">
    <w:name w:val="Body Text Indent Char"/>
    <w:basedOn w:val="DefaultParagraphFont"/>
    <w:link w:val="BodyTextIndent"/>
    <w:rsid w:val="00FF32CD"/>
    <w:rPr>
      <w:rFonts w:ascii="Arial" w:eastAsia="Times New Roman" w:hAnsi="Arial" w:cs="Times New Roman"/>
      <w:lang w:val="en-AU" w:eastAsia="fr-FR"/>
    </w:rPr>
  </w:style>
  <w:style w:type="character" w:styleId="Strong">
    <w:name w:val="Strong"/>
    <w:uiPriority w:val="22"/>
    <w:qFormat/>
    <w:rsid w:val="00FF32CD"/>
    <w:rPr>
      <w:b/>
      <w:bCs/>
    </w:rPr>
  </w:style>
  <w:style w:type="character" w:styleId="CommentReference">
    <w:name w:val="annotation reference"/>
    <w:uiPriority w:val="99"/>
    <w:rsid w:val="00FF32CD"/>
    <w:rPr>
      <w:sz w:val="16"/>
      <w:szCs w:val="16"/>
    </w:rPr>
  </w:style>
  <w:style w:type="paragraph" w:styleId="CommentText">
    <w:name w:val="annotation text"/>
    <w:basedOn w:val="Normal"/>
    <w:link w:val="CommentTextChar"/>
    <w:uiPriority w:val="99"/>
    <w:rsid w:val="00FF32CD"/>
    <w:rPr>
      <w:rFonts w:ascii="Arial" w:hAnsi="Arial"/>
      <w:sz w:val="20"/>
      <w:szCs w:val="20"/>
    </w:rPr>
  </w:style>
  <w:style w:type="character" w:customStyle="1" w:styleId="CommentTextChar">
    <w:name w:val="Comment Text Char"/>
    <w:basedOn w:val="DefaultParagraphFont"/>
    <w:link w:val="CommentText"/>
    <w:uiPriority w:val="99"/>
    <w:rsid w:val="00FF32CD"/>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rsid w:val="00FF32CD"/>
    <w:rPr>
      <w:b/>
      <w:bCs/>
    </w:rPr>
  </w:style>
  <w:style w:type="character" w:customStyle="1" w:styleId="CommentSubjectChar">
    <w:name w:val="Comment Subject Char"/>
    <w:basedOn w:val="CommentTextChar"/>
    <w:link w:val="CommentSubject"/>
    <w:uiPriority w:val="99"/>
    <w:rsid w:val="00FF32CD"/>
    <w:rPr>
      <w:rFonts w:ascii="Arial" w:eastAsia="Times New Roman" w:hAnsi="Arial" w:cs="Times New Roman"/>
      <w:b/>
      <w:bCs/>
      <w:sz w:val="20"/>
      <w:szCs w:val="20"/>
      <w:lang w:val="fr-FR" w:eastAsia="fr-FR"/>
    </w:rPr>
  </w:style>
  <w:style w:type="paragraph" w:styleId="Date">
    <w:name w:val="Date"/>
    <w:basedOn w:val="Normal"/>
    <w:next w:val="Normal"/>
    <w:link w:val="DateChar"/>
    <w:rsid w:val="00FF32CD"/>
    <w:rPr>
      <w:rFonts w:ascii="Arial" w:hAnsi="Arial"/>
    </w:rPr>
  </w:style>
  <w:style w:type="character" w:customStyle="1" w:styleId="DateChar">
    <w:name w:val="Date Char"/>
    <w:basedOn w:val="DefaultParagraphFont"/>
    <w:link w:val="Date"/>
    <w:rsid w:val="00FF32CD"/>
    <w:rPr>
      <w:rFonts w:ascii="Arial" w:eastAsia="Times New Roman" w:hAnsi="Arial" w:cs="Times New Roman"/>
      <w:lang w:val="fr-FR" w:eastAsia="fr-FR"/>
    </w:rPr>
  </w:style>
  <w:style w:type="paragraph" w:customStyle="1" w:styleId="Paragraphedeliste2">
    <w:name w:val="Paragraphe de liste2"/>
    <w:basedOn w:val="Normal"/>
    <w:uiPriority w:val="34"/>
    <w:qFormat/>
    <w:rsid w:val="00FF32CD"/>
    <w:pPr>
      <w:ind w:left="708"/>
    </w:pPr>
    <w:rPr>
      <w:rFonts w:ascii="Arial" w:hAnsi="Arial"/>
    </w:rPr>
  </w:style>
  <w:style w:type="paragraph" w:customStyle="1" w:styleId="Sansinterligne3">
    <w:name w:val="Sans interligne3"/>
    <w:uiPriority w:val="1"/>
    <w:qFormat/>
    <w:rsid w:val="00FF32CD"/>
    <w:rPr>
      <w:rFonts w:ascii="Calibri" w:eastAsia="SimSun" w:hAnsi="Calibri" w:cs="Times New Roman"/>
      <w:sz w:val="22"/>
      <w:szCs w:val="22"/>
      <w:lang w:val="fr-FR" w:eastAsia="zh-CN"/>
    </w:rPr>
  </w:style>
  <w:style w:type="paragraph" w:styleId="NormalWeb">
    <w:name w:val="Normal (Web)"/>
    <w:basedOn w:val="Normal"/>
    <w:uiPriority w:val="99"/>
    <w:rsid w:val="00FF32CD"/>
    <w:pPr>
      <w:spacing w:before="100" w:beforeAutospacing="1" w:after="100" w:afterAutospacing="1"/>
    </w:pPr>
    <w:rPr>
      <w:lang w:val="en-US" w:eastAsia="en-US"/>
    </w:rPr>
  </w:style>
  <w:style w:type="paragraph" w:customStyle="1" w:styleId="Texteduscnario">
    <w:name w:val="Texte du scénario"/>
    <w:basedOn w:val="Normal"/>
    <w:qFormat/>
    <w:rsid w:val="00FF32CD"/>
    <w:pPr>
      <w:spacing w:after="240" w:line="360" w:lineRule="auto"/>
      <w:jc w:val="both"/>
    </w:pPr>
    <w:rPr>
      <w:rFonts w:ascii="Arial" w:eastAsia="SimSun" w:hAnsi="Arial" w:cs="Arial"/>
      <w:lang w:val="en-GB"/>
    </w:rPr>
  </w:style>
  <w:style w:type="paragraph" w:customStyle="1" w:styleId="NoSpacing2">
    <w:name w:val="No Spacing2"/>
    <w:link w:val="NoSpacingChar"/>
    <w:uiPriority w:val="1"/>
    <w:qFormat/>
    <w:rsid w:val="00FF32CD"/>
    <w:rPr>
      <w:rFonts w:ascii="Times New Roman" w:eastAsia="SimSun" w:hAnsi="Times New Roman" w:cs="Times New Roman"/>
      <w:lang w:val="en-GB" w:eastAsia="en-US"/>
    </w:rPr>
  </w:style>
  <w:style w:type="character" w:customStyle="1" w:styleId="NoSpacingChar">
    <w:name w:val="No Spacing Char"/>
    <w:link w:val="NoSpacing2"/>
    <w:uiPriority w:val="1"/>
    <w:rsid w:val="00FF32CD"/>
    <w:rPr>
      <w:rFonts w:ascii="Times New Roman" w:eastAsia="SimSun" w:hAnsi="Times New Roman" w:cs="Times New Roman"/>
      <w:lang w:val="en-GB" w:eastAsia="en-US"/>
    </w:rPr>
  </w:style>
  <w:style w:type="paragraph" w:customStyle="1" w:styleId="Bibliography2">
    <w:name w:val="Bibliography2"/>
    <w:basedOn w:val="Normal"/>
    <w:next w:val="Normal"/>
    <w:autoRedefine/>
    <w:rsid w:val="00FF32CD"/>
    <w:pPr>
      <w:spacing w:after="200" w:line="276" w:lineRule="auto"/>
    </w:pPr>
    <w:rPr>
      <w:rFonts w:ascii="Arial" w:eastAsia="Calibri" w:hAnsi="Arial"/>
      <w:szCs w:val="22"/>
      <w:lang w:eastAsia="en-US"/>
    </w:rPr>
  </w:style>
  <w:style w:type="character" w:customStyle="1" w:styleId="longtext1">
    <w:name w:val="long_text1"/>
    <w:rsid w:val="00FF32CD"/>
    <w:rPr>
      <w:sz w:val="20"/>
      <w:szCs w:val="20"/>
    </w:rPr>
  </w:style>
  <w:style w:type="paragraph" w:styleId="BodyText3">
    <w:name w:val="Body Text 3"/>
    <w:basedOn w:val="Normal"/>
    <w:link w:val="BodyText3Char"/>
    <w:rsid w:val="00FF32CD"/>
    <w:pPr>
      <w:spacing w:after="120"/>
    </w:pPr>
    <w:rPr>
      <w:rFonts w:ascii="Arial" w:hAnsi="Arial"/>
      <w:sz w:val="16"/>
      <w:szCs w:val="16"/>
    </w:rPr>
  </w:style>
  <w:style w:type="character" w:customStyle="1" w:styleId="BodyText3Char">
    <w:name w:val="Body Text 3 Char"/>
    <w:basedOn w:val="DefaultParagraphFont"/>
    <w:link w:val="BodyText3"/>
    <w:rsid w:val="00FF32CD"/>
    <w:rPr>
      <w:rFonts w:ascii="Arial" w:eastAsia="Times New Roman" w:hAnsi="Arial" w:cs="Times New Roman"/>
      <w:sz w:val="16"/>
      <w:szCs w:val="16"/>
      <w:lang w:val="fr-FR" w:eastAsia="fr-FR"/>
    </w:rPr>
  </w:style>
  <w:style w:type="paragraph" w:customStyle="1" w:styleId="Default">
    <w:name w:val="Default"/>
    <w:rsid w:val="00FF32CD"/>
    <w:pPr>
      <w:widowControl w:val="0"/>
      <w:autoSpaceDE w:val="0"/>
      <w:autoSpaceDN w:val="0"/>
      <w:adjustRightInd w:val="0"/>
    </w:pPr>
    <w:rPr>
      <w:rFonts w:ascii="Arial" w:eastAsia="SimSun" w:hAnsi="Arial" w:cs="Arial"/>
      <w:color w:val="000000"/>
      <w:lang w:eastAsia="en-US"/>
    </w:rPr>
  </w:style>
  <w:style w:type="character" w:customStyle="1" w:styleId="atenuated">
    <w:name w:val="atenuated"/>
    <w:basedOn w:val="DefaultParagraphFont"/>
    <w:rsid w:val="00FF32CD"/>
  </w:style>
  <w:style w:type="paragraph" w:customStyle="1" w:styleId="Orateurengris">
    <w:name w:val="Orateur en grisé"/>
    <w:basedOn w:val="Marge"/>
    <w:qFormat/>
    <w:rsid w:val="00685B6E"/>
    <w:pPr>
      <w:widowControl w:val="0"/>
      <w:numPr>
        <w:numId w:val="11"/>
      </w:numPr>
      <w:tabs>
        <w:tab w:val="clear" w:pos="567"/>
        <w:tab w:val="left" w:pos="709"/>
        <w:tab w:val="left" w:pos="1418"/>
        <w:tab w:val="left" w:pos="2126"/>
        <w:tab w:val="left" w:pos="2835"/>
        <w:tab w:val="num" w:pos="3686"/>
      </w:tabs>
      <w:spacing w:after="120"/>
    </w:pPr>
    <w:rPr>
      <w:rFonts w:cs="Arial"/>
      <w:szCs w:val="22"/>
    </w:rPr>
  </w:style>
  <w:style w:type="paragraph" w:customStyle="1" w:styleId="Bibliography1">
    <w:name w:val="Bibliography1"/>
    <w:basedOn w:val="Normal"/>
    <w:next w:val="Normal"/>
    <w:autoRedefine/>
    <w:rsid w:val="00FF32CD"/>
    <w:pPr>
      <w:spacing w:after="200" w:line="276" w:lineRule="auto"/>
    </w:pPr>
    <w:rPr>
      <w:rFonts w:ascii="Arial" w:eastAsia="Calibri" w:hAnsi="Arial"/>
      <w:szCs w:val="22"/>
      <w:lang w:eastAsia="en-US"/>
    </w:rPr>
  </w:style>
  <w:style w:type="paragraph" w:customStyle="1" w:styleId="Paragraphedeliste1">
    <w:name w:val="Paragraphe de liste1"/>
    <w:basedOn w:val="Normal"/>
    <w:uiPriority w:val="34"/>
    <w:qFormat/>
    <w:rsid w:val="00FF32CD"/>
    <w:pPr>
      <w:ind w:left="708"/>
    </w:pPr>
    <w:rPr>
      <w:rFonts w:ascii="Arial" w:hAnsi="Arial"/>
    </w:rPr>
  </w:style>
  <w:style w:type="paragraph" w:customStyle="1" w:styleId="NoSpacing1">
    <w:name w:val="No Spacing1"/>
    <w:uiPriority w:val="99"/>
    <w:qFormat/>
    <w:rsid w:val="00FF32CD"/>
    <w:rPr>
      <w:rFonts w:ascii="Times New Roman" w:eastAsia="SimSun" w:hAnsi="Times New Roman" w:cs="Times New Roman"/>
      <w:lang w:val="en-GB" w:eastAsia="fr-FR"/>
    </w:rPr>
  </w:style>
  <w:style w:type="character" w:customStyle="1" w:styleId="hps">
    <w:name w:val="hps"/>
    <w:basedOn w:val="DefaultParagraphFont"/>
    <w:rsid w:val="00FF32CD"/>
  </w:style>
  <w:style w:type="character" w:customStyle="1" w:styleId="Brdtekst3Tegn">
    <w:name w:val="Brødtekst 3 Tegn"/>
    <w:rsid w:val="00FF32CD"/>
    <w:rPr>
      <w:rFonts w:ascii="Times New Roman" w:eastAsia="SimSun" w:hAnsi="Times New Roman" w:cs="Times New Roman"/>
      <w:i/>
      <w:iCs/>
      <w:color w:val="000000"/>
      <w:sz w:val="22"/>
      <w:lang w:val="en-US"/>
    </w:rPr>
  </w:style>
  <w:style w:type="character" w:styleId="Emphasis">
    <w:name w:val="Emphasis"/>
    <w:uiPriority w:val="20"/>
    <w:qFormat/>
    <w:rsid w:val="00FF32CD"/>
    <w:rPr>
      <w:b/>
      <w:bCs/>
      <w:i w:val="0"/>
      <w:iCs w:val="0"/>
    </w:rPr>
  </w:style>
  <w:style w:type="paragraph" w:customStyle="1" w:styleId="txt">
    <w:name w:val="txt"/>
    <w:basedOn w:val="Normal"/>
    <w:rsid w:val="00FF32CD"/>
    <w:pPr>
      <w:spacing w:before="120" w:after="120" w:line="220" w:lineRule="exact"/>
      <w:ind w:left="113" w:right="113"/>
      <w:jc w:val="both"/>
    </w:pPr>
    <w:rPr>
      <w:rFonts w:ascii="Arial" w:hAnsi="Arial" w:cs="Arial"/>
      <w:sz w:val="20"/>
      <w:szCs w:val="22"/>
    </w:rPr>
  </w:style>
  <w:style w:type="character" w:customStyle="1" w:styleId="longtext">
    <w:name w:val="long_text"/>
    <w:basedOn w:val="DefaultParagraphFont"/>
    <w:rsid w:val="00FF32CD"/>
  </w:style>
  <w:style w:type="paragraph" w:customStyle="1" w:styleId="Sansinterligne5">
    <w:name w:val="Sans interligne5"/>
    <w:uiPriority w:val="1"/>
    <w:qFormat/>
    <w:rsid w:val="00FF32CD"/>
    <w:rPr>
      <w:rFonts w:ascii="Times New Roman" w:eastAsia="Times New Roman" w:hAnsi="Times New Roman" w:cs="Times New Roman"/>
      <w:lang w:val="fr-FR" w:eastAsia="fr-FR"/>
    </w:rPr>
  </w:style>
  <w:style w:type="character" w:customStyle="1" w:styleId="SidehovedTegn">
    <w:name w:val="Sidehoved Tegn"/>
    <w:rsid w:val="00FF32CD"/>
    <w:rPr>
      <w:rFonts w:ascii="Arial" w:eastAsia="Times" w:hAnsi="Arial" w:cs="Times New Roman"/>
      <w:szCs w:val="20"/>
      <w:lang w:val="en-GB" w:eastAsia="en-US"/>
    </w:rPr>
  </w:style>
  <w:style w:type="character" w:customStyle="1" w:styleId="BrdtekstindrykningTegn">
    <w:name w:val="Brødtekstindrykning Tegn"/>
    <w:rsid w:val="00FF32CD"/>
    <w:rPr>
      <w:rFonts w:ascii="Times New Roman" w:eastAsia="SimSun" w:hAnsi="Times New Roman" w:cs="Times New Roman"/>
      <w:sz w:val="24"/>
      <w:szCs w:val="24"/>
      <w:lang w:val="en-GB" w:eastAsia="fr-FR"/>
    </w:rPr>
  </w:style>
  <w:style w:type="paragraph" w:customStyle="1" w:styleId="Rougecentr">
    <w:name w:val="Rouge centré"/>
    <w:basedOn w:val="Normal"/>
    <w:link w:val="RougecentrChar"/>
    <w:rsid w:val="00FF32CD"/>
    <w:pPr>
      <w:spacing w:before="240" w:after="240" w:line="360" w:lineRule="auto"/>
      <w:jc w:val="center"/>
    </w:pPr>
    <w:rPr>
      <w:rFonts w:ascii="Arial" w:eastAsia="SimSun" w:hAnsi="Arial" w:cs="Arial"/>
      <w:i/>
      <w:color w:val="FF0000"/>
      <w:lang w:val="en-GB"/>
    </w:rPr>
  </w:style>
  <w:style w:type="character" w:customStyle="1" w:styleId="SidefodTegn">
    <w:name w:val="Sidefod Tegn"/>
    <w:uiPriority w:val="99"/>
    <w:rsid w:val="00FF32CD"/>
    <w:rPr>
      <w:rFonts w:ascii="Times New Roman" w:hAnsi="Times New Roman"/>
      <w:sz w:val="24"/>
      <w:szCs w:val="24"/>
      <w:lang w:val="en-GB" w:eastAsia="fr-FR"/>
    </w:rPr>
  </w:style>
  <w:style w:type="paragraph" w:customStyle="1" w:styleId="wiki-text">
    <w:name w:val="wiki-text"/>
    <w:basedOn w:val="Normal"/>
    <w:rsid w:val="00FF32CD"/>
    <w:pPr>
      <w:spacing w:before="100" w:beforeAutospacing="1" w:after="100" w:afterAutospacing="1"/>
    </w:pPr>
    <w:rPr>
      <w:lang w:eastAsia="zh-CN"/>
    </w:rPr>
  </w:style>
  <w:style w:type="paragraph" w:customStyle="1" w:styleId="DECISION">
    <w:name w:val="DECISION"/>
    <w:basedOn w:val="Normal"/>
    <w:uiPriority w:val="99"/>
    <w:rsid w:val="00FF32CD"/>
    <w:pPr>
      <w:keepNext/>
      <w:pageBreakBefore/>
      <w:spacing w:after="240"/>
    </w:pPr>
    <w:rPr>
      <w:rFonts w:ascii="Arial" w:eastAsia="SimSun" w:hAnsi="Arial" w:cs="Arial"/>
      <w:b/>
      <w:sz w:val="22"/>
      <w:szCs w:val="22"/>
      <w:lang w:val="en-US"/>
    </w:rPr>
  </w:style>
  <w:style w:type="paragraph" w:customStyle="1" w:styleId="Paradec">
    <w:name w:val="Para dec"/>
    <w:basedOn w:val="Normal"/>
    <w:qFormat/>
    <w:rsid w:val="00FF32CD"/>
    <w:pPr>
      <w:spacing w:before="240" w:after="120"/>
      <w:ind w:left="562" w:hanging="562"/>
      <w:jc w:val="both"/>
    </w:pPr>
    <w:rPr>
      <w:rFonts w:ascii="Arial" w:eastAsia="SimSun" w:hAnsi="Arial" w:cs="Arial"/>
      <w:bCs/>
      <w:sz w:val="22"/>
      <w:szCs w:val="22"/>
      <w:lang w:val="en-GB"/>
    </w:rPr>
  </w:style>
  <w:style w:type="paragraph" w:customStyle="1" w:styleId="ColorfulList-Accent11">
    <w:name w:val="Colorful List - Accent 11"/>
    <w:basedOn w:val="Normal"/>
    <w:uiPriority w:val="34"/>
    <w:qFormat/>
    <w:rsid w:val="00FF32CD"/>
    <w:pPr>
      <w:ind w:left="720"/>
      <w:contextualSpacing/>
    </w:pPr>
    <w:rPr>
      <w:lang w:val="en-GB"/>
    </w:rPr>
  </w:style>
  <w:style w:type="paragraph" w:customStyle="1" w:styleId="Description">
    <w:name w:val="Description"/>
    <w:basedOn w:val="Normal"/>
    <w:qFormat/>
    <w:rsid w:val="00FF32CD"/>
    <w:pPr>
      <w:spacing w:before="120" w:after="120"/>
      <w:ind w:left="922"/>
      <w:jc w:val="both"/>
    </w:pPr>
    <w:rPr>
      <w:rFonts w:ascii="Arial" w:hAnsi="Arial" w:cs="Arial"/>
      <w:noProof/>
      <w:sz w:val="22"/>
      <w:szCs w:val="22"/>
      <w:lang w:val="en-GB"/>
    </w:rPr>
  </w:style>
  <w:style w:type="paragraph" w:customStyle="1" w:styleId="Sub-decision">
    <w:name w:val="Sub-decision"/>
    <w:basedOn w:val="Normal"/>
    <w:qFormat/>
    <w:rsid w:val="00FF32CD"/>
    <w:pPr>
      <w:keepNext/>
      <w:spacing w:before="360" w:after="240"/>
      <w:ind w:left="562"/>
    </w:pPr>
    <w:rPr>
      <w:rFonts w:ascii="Arial" w:hAnsi="Arial" w:cs="Arial"/>
      <w:b/>
      <w:caps/>
      <w:snapToGrid w:val="0"/>
      <w:sz w:val="22"/>
      <w:szCs w:val="22"/>
      <w:lang w:val="en-GB" w:eastAsia="en-US"/>
    </w:rPr>
  </w:style>
  <w:style w:type="paragraph" w:customStyle="1" w:styleId="Critres">
    <w:name w:val="Critères"/>
    <w:basedOn w:val="Normal"/>
    <w:qFormat/>
    <w:rsid w:val="00FF32CD"/>
    <w:pPr>
      <w:spacing w:before="120" w:after="120"/>
      <w:ind w:left="1484" w:hanging="562"/>
      <w:jc w:val="both"/>
    </w:pPr>
    <w:rPr>
      <w:rFonts w:ascii="Arial" w:hAnsi="Arial" w:cs="Arial"/>
      <w:sz w:val="22"/>
      <w:szCs w:val="22"/>
      <w:lang w:val="en-GB"/>
    </w:rPr>
  </w:style>
  <w:style w:type="paragraph" w:customStyle="1" w:styleId="Parasubdec">
    <w:name w:val="Para subdec"/>
    <w:basedOn w:val="Normal"/>
    <w:qFormat/>
    <w:rsid w:val="00FF32CD"/>
    <w:pPr>
      <w:numPr>
        <w:numId w:val="3"/>
      </w:numPr>
      <w:spacing w:before="240"/>
      <w:jc w:val="both"/>
    </w:pPr>
    <w:rPr>
      <w:rFonts w:ascii="Arial" w:eastAsia="Calibri" w:hAnsi="Arial" w:cs="Arial"/>
      <w:bCs/>
      <w:sz w:val="22"/>
      <w:szCs w:val="22"/>
      <w:lang w:val="en-GB"/>
    </w:rPr>
  </w:style>
  <w:style w:type="character" w:customStyle="1" w:styleId="ft">
    <w:name w:val="ft"/>
    <w:rsid w:val="00FF32CD"/>
  </w:style>
  <w:style w:type="character" w:customStyle="1" w:styleId="rg">
    <w:name w:val="rg"/>
    <w:basedOn w:val="DefaultParagraphFont"/>
    <w:rsid w:val="00FF32CD"/>
  </w:style>
  <w:style w:type="paragraph" w:customStyle="1" w:styleId="nospacing10">
    <w:name w:val="nospacing1"/>
    <w:basedOn w:val="Normal"/>
    <w:rsid w:val="00FF32CD"/>
    <w:rPr>
      <w:rFonts w:ascii="Calibri" w:eastAsia="Calibri" w:hAnsi="Calibri"/>
      <w:sz w:val="22"/>
      <w:szCs w:val="22"/>
      <w:lang w:val="en-GB" w:eastAsia="en-GB"/>
    </w:rPr>
  </w:style>
  <w:style w:type="character" w:customStyle="1" w:styleId="goog-gtc-translatable">
    <w:name w:val="goog-gtc-translatable"/>
    <w:basedOn w:val="DefaultParagraphFont"/>
    <w:rsid w:val="00FF32CD"/>
  </w:style>
  <w:style w:type="paragraph" w:customStyle="1" w:styleId="DocMain">
    <w:name w:val="Doc_Main"/>
    <w:basedOn w:val="Sansinterligne5"/>
    <w:qFormat/>
    <w:rsid w:val="00FF32CD"/>
    <w:pPr>
      <w:spacing w:before="240" w:after="240"/>
      <w:ind w:left="720" w:hanging="360"/>
      <w:jc w:val="both"/>
    </w:pPr>
    <w:rPr>
      <w:rFonts w:ascii="Arial" w:eastAsia="SimSun" w:hAnsi="Arial" w:cs="Arial"/>
      <w:sz w:val="22"/>
      <w:szCs w:val="22"/>
      <w:lang w:eastAsia="zh-CN"/>
    </w:rPr>
  </w:style>
  <w:style w:type="paragraph" w:customStyle="1" w:styleId="Grille02N">
    <w:name w:val="Grille02N"/>
    <w:rsid w:val="00FF32CD"/>
    <w:pPr>
      <w:keepNext/>
      <w:spacing w:before="120" w:after="120"/>
      <w:ind w:left="113"/>
      <w:jc w:val="right"/>
    </w:pPr>
    <w:rPr>
      <w:rFonts w:ascii="Arial" w:eastAsia="SimSun" w:hAnsi="Arial" w:cs="Arial"/>
      <w:b/>
      <w:bCs/>
      <w:sz w:val="22"/>
      <w:szCs w:val="22"/>
      <w:lang w:eastAsia="fr-FR"/>
    </w:rPr>
  </w:style>
  <w:style w:type="paragraph" w:customStyle="1" w:styleId="Heading11">
    <w:name w:val="Heading 11"/>
    <w:basedOn w:val="Normal"/>
    <w:next w:val="Normal"/>
    <w:rsid w:val="00FF32CD"/>
    <w:pPr>
      <w:keepNext/>
      <w:widowControl w:val="0"/>
      <w:numPr>
        <w:numId w:val="8"/>
      </w:numPr>
      <w:tabs>
        <w:tab w:val="left" w:pos="720"/>
      </w:tabs>
      <w:suppressAutoHyphens/>
      <w:spacing w:before="240" w:after="60" w:line="276" w:lineRule="auto"/>
      <w:outlineLvl w:val="0"/>
    </w:pPr>
    <w:rPr>
      <w:rFonts w:ascii="Cambria" w:eastAsia="SimSun" w:hAnsi="Cambria" w:cs="Arial"/>
      <w:b/>
      <w:bCs/>
      <w:color w:val="000000"/>
      <w:szCs w:val="32"/>
      <w:lang w:val="en-GB" w:eastAsia="en-US"/>
    </w:rPr>
  </w:style>
  <w:style w:type="paragraph" w:customStyle="1" w:styleId="Heading21">
    <w:name w:val="Heading 21"/>
    <w:basedOn w:val="Normal"/>
    <w:next w:val="Normal"/>
    <w:rsid w:val="00FF32CD"/>
    <w:pPr>
      <w:keepNext/>
      <w:widowControl w:val="0"/>
      <w:numPr>
        <w:ilvl w:val="1"/>
        <w:numId w:val="8"/>
      </w:numPr>
      <w:tabs>
        <w:tab w:val="left" w:pos="720"/>
      </w:tabs>
      <w:suppressAutoHyphens/>
      <w:spacing w:line="276" w:lineRule="auto"/>
      <w:ind w:left="0" w:firstLine="567"/>
      <w:outlineLvl w:val="1"/>
    </w:pPr>
    <w:rPr>
      <w:rFonts w:ascii="Arial" w:eastAsia="SimSun" w:hAnsi="Arial" w:cs="Arial"/>
      <w:b/>
      <w:bCs/>
      <w:i/>
      <w:iCs/>
      <w:color w:val="000000"/>
      <w:lang w:val="en-GB"/>
    </w:rPr>
  </w:style>
  <w:style w:type="paragraph" w:customStyle="1" w:styleId="Heading31">
    <w:name w:val="Heading 31"/>
    <w:basedOn w:val="Normal"/>
    <w:next w:val="Normal"/>
    <w:rsid w:val="00FF32CD"/>
    <w:pPr>
      <w:widowControl w:val="0"/>
      <w:numPr>
        <w:ilvl w:val="2"/>
        <w:numId w:val="8"/>
      </w:numPr>
      <w:suppressAutoHyphens/>
      <w:spacing w:before="240" w:after="60" w:line="276" w:lineRule="auto"/>
      <w:outlineLvl w:val="2"/>
    </w:pPr>
    <w:rPr>
      <w:rFonts w:ascii="Arial" w:eastAsia="Arial" w:hAnsi="Arial" w:cs="Arial"/>
      <w:b/>
      <w:bCs/>
      <w:color w:val="000000"/>
      <w:szCs w:val="26"/>
      <w:lang w:val="en-GB"/>
    </w:rPr>
  </w:style>
  <w:style w:type="paragraph" w:customStyle="1" w:styleId="Heading41">
    <w:name w:val="Heading 41"/>
    <w:basedOn w:val="Normal"/>
    <w:next w:val="Normal"/>
    <w:rsid w:val="00FF32CD"/>
    <w:pPr>
      <w:keepNext/>
      <w:widowControl w:val="0"/>
      <w:numPr>
        <w:ilvl w:val="3"/>
        <w:numId w:val="8"/>
      </w:numPr>
      <w:tabs>
        <w:tab w:val="left" w:pos="720"/>
      </w:tabs>
      <w:suppressAutoHyphens/>
      <w:spacing w:before="240" w:after="60" w:line="276" w:lineRule="auto"/>
      <w:outlineLvl w:val="3"/>
    </w:pPr>
    <w:rPr>
      <w:rFonts w:ascii="Arial" w:eastAsia="SimSun" w:hAnsi="Arial" w:cs="Arial"/>
      <w:b/>
      <w:bCs/>
      <w:i/>
      <w:color w:val="000000"/>
      <w:sz w:val="22"/>
      <w:szCs w:val="28"/>
      <w:lang w:val="en-GB" w:eastAsia="en-US" w:bidi="he-IL"/>
    </w:rPr>
  </w:style>
  <w:style w:type="paragraph" w:customStyle="1" w:styleId="Heading81">
    <w:name w:val="Heading 81"/>
    <w:basedOn w:val="Normal"/>
    <w:next w:val="Normal"/>
    <w:rsid w:val="00FF32CD"/>
    <w:pPr>
      <w:keepNext/>
      <w:widowControl w:val="0"/>
      <w:numPr>
        <w:ilvl w:val="7"/>
        <w:numId w:val="8"/>
      </w:numPr>
      <w:tabs>
        <w:tab w:val="left" w:pos="567"/>
        <w:tab w:val="left" w:pos="720"/>
      </w:tabs>
      <w:suppressAutoHyphens/>
      <w:spacing w:before="240" w:line="276" w:lineRule="auto"/>
      <w:jc w:val="right"/>
      <w:outlineLvl w:val="7"/>
    </w:pPr>
    <w:rPr>
      <w:rFonts w:ascii="Arial" w:eastAsia="SimSun" w:hAnsi="Arial" w:cs="Arial"/>
      <w:b/>
      <w:color w:val="000000"/>
      <w:sz w:val="36"/>
      <w:szCs w:val="36"/>
      <w:lang w:val="en-GB"/>
    </w:rPr>
  </w:style>
  <w:style w:type="character" w:customStyle="1" w:styleId="Footnoteanchor">
    <w:name w:val="Footnote anchor"/>
    <w:rsid w:val="00FF32CD"/>
    <w:rPr>
      <w:vertAlign w:val="superscript"/>
    </w:rPr>
  </w:style>
  <w:style w:type="paragraph" w:styleId="ListParagraph">
    <w:name w:val="List Paragraph"/>
    <w:basedOn w:val="Normal"/>
    <w:uiPriority w:val="34"/>
    <w:qFormat/>
    <w:rsid w:val="00FF32CD"/>
    <w:pPr>
      <w:widowControl w:val="0"/>
      <w:tabs>
        <w:tab w:val="left" w:pos="720"/>
      </w:tabs>
      <w:suppressAutoHyphens/>
      <w:spacing w:line="276" w:lineRule="auto"/>
      <w:ind w:left="708"/>
    </w:pPr>
    <w:rPr>
      <w:rFonts w:ascii="Arial" w:eastAsia="SimSun" w:hAnsi="Arial" w:cs="Arial"/>
      <w:color w:val="000000"/>
      <w:lang w:val="en-GB" w:eastAsia="en-US"/>
    </w:rPr>
  </w:style>
  <w:style w:type="character" w:customStyle="1" w:styleId="shorttext">
    <w:name w:val="short_text"/>
    <w:rsid w:val="00FF32CD"/>
  </w:style>
  <w:style w:type="paragraph" w:styleId="NoSpacing">
    <w:name w:val="No Spacing"/>
    <w:uiPriority w:val="1"/>
    <w:qFormat/>
    <w:rsid w:val="00FF32CD"/>
    <w:rPr>
      <w:rFonts w:ascii="Times New Roman" w:eastAsia="SimSun" w:hAnsi="Times New Roman" w:cs="Times New Roman"/>
      <w:lang w:val="en-GB" w:eastAsia="fr-FR"/>
    </w:rPr>
  </w:style>
  <w:style w:type="paragraph" w:styleId="Revision">
    <w:name w:val="Revision"/>
    <w:hidden/>
    <w:uiPriority w:val="99"/>
    <w:rsid w:val="00FF32CD"/>
    <w:rPr>
      <w:rFonts w:ascii="Times New Roman" w:eastAsia="SimSun" w:hAnsi="Times New Roman" w:cs="Times New Roman"/>
      <w:lang w:val="en-GB" w:eastAsia="fr-FR"/>
    </w:rPr>
  </w:style>
  <w:style w:type="character" w:customStyle="1" w:styleId="MargeChar">
    <w:name w:val="Marge Char"/>
    <w:link w:val="Marge"/>
    <w:rsid w:val="00FF32CD"/>
    <w:rPr>
      <w:rFonts w:ascii="Arial" w:eastAsia="Times New Roman" w:hAnsi="Arial" w:cs="Times New Roman"/>
      <w:snapToGrid w:val="0"/>
      <w:sz w:val="22"/>
      <w:lang w:val="fr-FR" w:eastAsia="en-US"/>
    </w:rPr>
  </w:style>
  <w:style w:type="paragraph" w:customStyle="1" w:styleId="Marteau">
    <w:name w:val="Marteau"/>
    <w:basedOn w:val="Normal"/>
    <w:qFormat/>
    <w:rsid w:val="00FF32CD"/>
    <w:pPr>
      <w:keepNext/>
      <w:keepLines/>
      <w:spacing w:before="240" w:after="240" w:line="360" w:lineRule="auto"/>
      <w:jc w:val="center"/>
    </w:pPr>
    <w:rPr>
      <w:rFonts w:ascii="Arial" w:eastAsia="SimSun" w:hAnsi="Arial" w:cs="Arial"/>
      <w:b/>
      <w:i/>
      <w:color w:val="FF0000"/>
      <w:sz w:val="28"/>
      <w:szCs w:val="28"/>
      <w:lang w:val="en-GB"/>
    </w:rPr>
  </w:style>
  <w:style w:type="character" w:customStyle="1" w:styleId="atn">
    <w:name w:val="atn"/>
    <w:basedOn w:val="DefaultParagraphFont"/>
    <w:rsid w:val="00FF32CD"/>
  </w:style>
  <w:style w:type="paragraph" w:customStyle="1" w:styleId="Info03">
    <w:name w:val="Info03"/>
    <w:basedOn w:val="Normal"/>
    <w:rsid w:val="00FF32CD"/>
    <w:pPr>
      <w:keepNext/>
      <w:tabs>
        <w:tab w:val="left" w:pos="567"/>
        <w:tab w:val="left" w:pos="1134"/>
        <w:tab w:val="left" w:pos="1701"/>
        <w:tab w:val="left" w:pos="2268"/>
      </w:tabs>
      <w:spacing w:after="120" w:line="220" w:lineRule="exact"/>
      <w:ind w:left="113" w:right="113"/>
      <w:jc w:val="both"/>
    </w:pPr>
    <w:rPr>
      <w:rFonts w:ascii="Arial" w:eastAsia="SimSun" w:hAnsi="Arial" w:cs="Arial"/>
      <w:i/>
      <w:iCs/>
      <w:sz w:val="20"/>
      <w:szCs w:val="22"/>
      <w:lang w:val="en-US"/>
    </w:rPr>
  </w:style>
  <w:style w:type="character" w:customStyle="1" w:styleId="MargeCar">
    <w:name w:val="Marge Car"/>
    <w:rsid w:val="00FF32CD"/>
    <w:rPr>
      <w:rFonts w:ascii="Arial" w:eastAsia="Times New Roman" w:hAnsi="Arial"/>
      <w:snapToGrid/>
      <w:sz w:val="22"/>
      <w:szCs w:val="24"/>
      <w:lang w:val="en-GB" w:eastAsia="en-US"/>
    </w:rPr>
  </w:style>
  <w:style w:type="paragraph" w:customStyle="1" w:styleId="Remarks">
    <w:name w:val="Remarks"/>
    <w:basedOn w:val="Header"/>
    <w:link w:val="RemarksChar"/>
    <w:qFormat/>
    <w:rsid w:val="00FF32CD"/>
    <w:pPr>
      <w:tabs>
        <w:tab w:val="clear" w:pos="4536"/>
        <w:tab w:val="clear" w:pos="9072"/>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FF32CD"/>
    <w:rPr>
      <w:rFonts w:ascii="Arial" w:eastAsia="Times" w:hAnsi="Arial" w:cs="Arial"/>
      <w:bCs/>
      <w:sz w:val="28"/>
      <w:szCs w:val="28"/>
      <w:lang w:val="en-GB" w:eastAsia="en-US"/>
    </w:rPr>
  </w:style>
  <w:style w:type="paragraph" w:customStyle="1" w:styleId="Bullet1">
    <w:name w:val="Bullet_1"/>
    <w:basedOn w:val="Marge"/>
    <w:link w:val="Bullet1Char"/>
    <w:qFormat/>
    <w:rsid w:val="00FF32CD"/>
    <w:pPr>
      <w:numPr>
        <w:numId w:val="9"/>
      </w:numPr>
      <w:tabs>
        <w:tab w:val="clear" w:pos="567"/>
      </w:tabs>
      <w:spacing w:before="240" w:line="360" w:lineRule="auto"/>
      <w:ind w:left="567" w:hanging="567"/>
    </w:pPr>
    <w:rPr>
      <w:rFonts w:eastAsia="SimSun" w:cs="Arial"/>
      <w:sz w:val="28"/>
      <w:szCs w:val="28"/>
      <w:lang w:val="en-GB" w:eastAsia="zh-CN"/>
    </w:rPr>
  </w:style>
  <w:style w:type="paragraph" w:customStyle="1" w:styleId="Bullet2">
    <w:name w:val="Bullet_2"/>
    <w:basedOn w:val="Marge"/>
    <w:link w:val="Bullet2Char"/>
    <w:qFormat/>
    <w:rsid w:val="00FF32CD"/>
    <w:pPr>
      <w:numPr>
        <w:ilvl w:val="1"/>
        <w:numId w:val="9"/>
      </w:numPr>
      <w:tabs>
        <w:tab w:val="clear" w:pos="567"/>
      </w:tabs>
      <w:spacing w:before="240" w:line="360" w:lineRule="auto"/>
      <w:ind w:left="1134" w:hanging="567"/>
    </w:pPr>
    <w:rPr>
      <w:rFonts w:eastAsia="SimSun" w:cs="Arial"/>
      <w:sz w:val="28"/>
      <w:szCs w:val="28"/>
      <w:lang w:val="en-GB" w:eastAsia="zh-CN"/>
    </w:rPr>
  </w:style>
  <w:style w:type="character" w:customStyle="1" w:styleId="Bullet1Char">
    <w:name w:val="Bullet_1 Char"/>
    <w:link w:val="Bullet1"/>
    <w:rsid w:val="00FF32CD"/>
    <w:rPr>
      <w:rFonts w:ascii="Arial" w:eastAsia="SimSun" w:hAnsi="Arial" w:cs="Arial"/>
      <w:snapToGrid w:val="0"/>
      <w:sz w:val="28"/>
      <w:szCs w:val="28"/>
      <w:lang w:val="en-GB" w:eastAsia="zh-CN"/>
    </w:rPr>
  </w:style>
  <w:style w:type="character" w:customStyle="1" w:styleId="Bullet2Char">
    <w:name w:val="Bullet_2 Char"/>
    <w:link w:val="Bullet2"/>
    <w:rsid w:val="00FF32CD"/>
    <w:rPr>
      <w:rFonts w:ascii="Arial" w:eastAsia="SimSun" w:hAnsi="Arial" w:cs="Arial"/>
      <w:snapToGrid w:val="0"/>
      <w:sz w:val="28"/>
      <w:szCs w:val="28"/>
      <w:lang w:val="en-GB" w:eastAsia="zh-CN"/>
    </w:rPr>
  </w:style>
  <w:style w:type="paragraph" w:customStyle="1" w:styleId="Speakername">
    <w:name w:val="Speaker_name"/>
    <w:basedOn w:val="Orateurengris"/>
    <w:link w:val="SpeakernameChar"/>
    <w:qFormat/>
    <w:rsid w:val="00FF32CD"/>
    <w:rPr>
      <w:b/>
    </w:rPr>
  </w:style>
  <w:style w:type="character" w:customStyle="1" w:styleId="SpeakernameChar">
    <w:name w:val="Speaker_name Char"/>
    <w:link w:val="Speakername"/>
    <w:rsid w:val="00FF32CD"/>
    <w:rPr>
      <w:rFonts w:ascii="Arial" w:eastAsia="Times New Roman" w:hAnsi="Arial" w:cs="Arial"/>
      <w:b/>
      <w:snapToGrid w:val="0"/>
      <w:sz w:val="22"/>
      <w:szCs w:val="22"/>
      <w:lang w:val="en-GB" w:eastAsia="en-US"/>
    </w:rPr>
  </w:style>
  <w:style w:type="paragraph" w:customStyle="1" w:styleId="Hammer">
    <w:name w:val="Hammer"/>
    <w:basedOn w:val="Rougecentr"/>
    <w:link w:val="HammerChar"/>
    <w:qFormat/>
    <w:rsid w:val="00FF32CD"/>
    <w:rPr>
      <w:b/>
      <w:sz w:val="28"/>
      <w:szCs w:val="28"/>
    </w:rPr>
  </w:style>
  <w:style w:type="paragraph" w:customStyle="1" w:styleId="Agendaitem">
    <w:name w:val="Agenda_item"/>
    <w:basedOn w:val="BodyText3"/>
    <w:link w:val="AgendaitemChar"/>
    <w:qFormat/>
    <w:rsid w:val="00FF32CD"/>
    <w:pPr>
      <w:keepNext/>
      <w:adjustRightInd w:val="0"/>
      <w:spacing w:before="240" w:after="240" w:line="360" w:lineRule="auto"/>
      <w:jc w:val="both"/>
    </w:pPr>
    <w:rPr>
      <w:rFonts w:eastAsia="SimSun" w:cs="Arial"/>
      <w:b/>
      <w:iCs/>
      <w:color w:val="000000"/>
      <w:sz w:val="32"/>
      <w:szCs w:val="32"/>
      <w:u w:val="single"/>
      <w:lang w:val="en-GB" w:eastAsia="en-US"/>
    </w:rPr>
  </w:style>
  <w:style w:type="character" w:customStyle="1" w:styleId="RougecentrChar">
    <w:name w:val="Rouge centré Char"/>
    <w:link w:val="Rougecentr"/>
    <w:rsid w:val="00FF32CD"/>
    <w:rPr>
      <w:rFonts w:ascii="Arial" w:eastAsia="SimSun" w:hAnsi="Arial" w:cs="Arial"/>
      <w:i/>
      <w:color w:val="FF0000"/>
      <w:lang w:val="en-GB" w:eastAsia="fr-FR"/>
    </w:rPr>
  </w:style>
  <w:style w:type="character" w:customStyle="1" w:styleId="HammerChar">
    <w:name w:val="Hammer Char"/>
    <w:link w:val="Hammer"/>
    <w:rsid w:val="00FF32CD"/>
    <w:rPr>
      <w:rFonts w:ascii="Arial" w:eastAsia="SimSun" w:hAnsi="Arial" w:cs="Arial"/>
      <w:b/>
      <w:i/>
      <w:color w:val="FF0000"/>
      <w:sz w:val="28"/>
      <w:szCs w:val="28"/>
      <w:lang w:val="en-GB" w:eastAsia="fr-FR"/>
    </w:rPr>
  </w:style>
  <w:style w:type="paragraph" w:customStyle="1" w:styleId="Decision0">
    <w:name w:val="Decision"/>
    <w:basedOn w:val="Normal"/>
    <w:link w:val="DecisionChar"/>
    <w:qFormat/>
    <w:rsid w:val="00FF32CD"/>
    <w:pPr>
      <w:keepLines/>
      <w:spacing w:before="240" w:after="240" w:line="360" w:lineRule="auto"/>
      <w:ind w:left="709" w:hanging="283"/>
      <w:jc w:val="both"/>
    </w:pPr>
    <w:rPr>
      <w:rFonts w:ascii="Arial" w:eastAsia="SimSun" w:hAnsi="Arial" w:cs="Arial"/>
      <w:b/>
      <w:sz w:val="22"/>
      <w:szCs w:val="22"/>
      <w:lang w:val="en-GB"/>
    </w:rPr>
  </w:style>
  <w:style w:type="character" w:customStyle="1" w:styleId="AgendaitemChar">
    <w:name w:val="Agenda_item Char"/>
    <w:link w:val="Agendaitem"/>
    <w:rsid w:val="00FF32CD"/>
    <w:rPr>
      <w:rFonts w:ascii="Arial" w:eastAsia="SimSun" w:hAnsi="Arial" w:cs="Arial"/>
      <w:b/>
      <w:iCs/>
      <w:color w:val="000000"/>
      <w:sz w:val="32"/>
      <w:szCs w:val="32"/>
      <w:u w:val="single"/>
      <w:lang w:val="en-GB" w:eastAsia="en-US"/>
    </w:rPr>
  </w:style>
  <w:style w:type="paragraph" w:customStyle="1" w:styleId="Options">
    <w:name w:val="Options"/>
    <w:basedOn w:val="BodyTextIndent"/>
    <w:link w:val="OptionsChar"/>
    <w:qFormat/>
    <w:rsid w:val="00FF32CD"/>
    <w:pPr>
      <w:autoSpaceDE/>
      <w:autoSpaceDN/>
      <w:spacing w:before="240" w:after="240" w:line="360" w:lineRule="auto"/>
      <w:ind w:left="0" w:firstLine="0"/>
    </w:pPr>
    <w:rPr>
      <w:rFonts w:eastAsia="SimSun" w:cs="Arial"/>
      <w:b/>
      <w:i/>
      <w:color w:val="FF0000"/>
      <w:sz w:val="28"/>
      <w:szCs w:val="28"/>
      <w:lang w:val="en-GB"/>
    </w:rPr>
  </w:style>
  <w:style w:type="character" w:customStyle="1" w:styleId="DecisionChar">
    <w:name w:val="Decision Char"/>
    <w:link w:val="Decision0"/>
    <w:rsid w:val="00FF32CD"/>
    <w:rPr>
      <w:rFonts w:ascii="Arial" w:eastAsia="SimSun" w:hAnsi="Arial" w:cs="Arial"/>
      <w:b/>
      <w:sz w:val="22"/>
      <w:szCs w:val="22"/>
      <w:lang w:val="en-GB" w:eastAsia="fr-FR"/>
    </w:rPr>
  </w:style>
  <w:style w:type="character" w:customStyle="1" w:styleId="OptionsChar">
    <w:name w:val="Options Char"/>
    <w:link w:val="Options"/>
    <w:rsid w:val="00FF32CD"/>
    <w:rPr>
      <w:rFonts w:ascii="Arial" w:eastAsia="SimSun" w:hAnsi="Arial" w:cs="Arial"/>
      <w:b/>
      <w:i/>
      <w:color w:val="FF0000"/>
      <w:sz w:val="28"/>
      <w:szCs w:val="28"/>
      <w:lang w:val="en-GB" w:eastAsia="fr-FR"/>
    </w:rPr>
  </w:style>
  <w:style w:type="character" w:customStyle="1" w:styleId="ListLabel1">
    <w:name w:val="ListLabel 1"/>
    <w:rsid w:val="00FF32CD"/>
    <w:rPr>
      <w:rFonts w:cs="Calibri"/>
    </w:rPr>
  </w:style>
  <w:style w:type="paragraph" w:customStyle="1" w:styleId="a">
    <w:name w:val="(a)"/>
    <w:basedOn w:val="Normal"/>
    <w:rsid w:val="00FF32CD"/>
    <w:pPr>
      <w:tabs>
        <w:tab w:val="left" w:pos="-737"/>
        <w:tab w:val="left" w:pos="567"/>
      </w:tabs>
      <w:snapToGrid w:val="0"/>
      <w:spacing w:after="240"/>
      <w:ind w:left="567" w:hanging="567"/>
      <w:jc w:val="both"/>
    </w:pPr>
    <w:rPr>
      <w:snapToGrid w:val="0"/>
      <w:lang w:eastAsia="en-US"/>
    </w:rPr>
  </w:style>
  <w:style w:type="paragraph" w:customStyle="1" w:styleId="c">
    <w:name w:val="(c)"/>
    <w:basedOn w:val="Normal"/>
    <w:rsid w:val="00FF32CD"/>
    <w:pPr>
      <w:tabs>
        <w:tab w:val="left" w:pos="1701"/>
      </w:tabs>
      <w:snapToGrid w:val="0"/>
      <w:spacing w:after="240"/>
      <w:ind w:left="1701" w:hanging="567"/>
      <w:jc w:val="both"/>
    </w:pPr>
    <w:rPr>
      <w:snapToGrid w:val="0"/>
      <w:lang w:val="en-GB" w:eastAsia="en-US"/>
    </w:rPr>
  </w:style>
  <w:style w:type="character" w:customStyle="1" w:styleId="kno-a-v">
    <w:name w:val="kno-a-v"/>
    <w:basedOn w:val="DefaultParagraphFont"/>
    <w:rsid w:val="00FF32CD"/>
  </w:style>
  <w:style w:type="character" w:customStyle="1" w:styleId="st">
    <w:name w:val="st"/>
    <w:basedOn w:val="DefaultParagraphFont"/>
    <w:rsid w:val="00FF32CD"/>
  </w:style>
  <w:style w:type="paragraph" w:customStyle="1" w:styleId="num02">
    <w:name w:val="Énum02"/>
    <w:basedOn w:val="Normal"/>
    <w:rsid w:val="00FF32CD"/>
    <w:pPr>
      <w:numPr>
        <w:ilvl w:val="1"/>
        <w:numId w:val="10"/>
      </w:numPr>
      <w:spacing w:after="120" w:line="260" w:lineRule="exact"/>
      <w:jc w:val="both"/>
    </w:pPr>
    <w:rPr>
      <w:rFonts w:ascii="Arial" w:eastAsia="SimSun" w:hAnsi="Arial"/>
      <w:sz w:val="22"/>
      <w:lang w:val="en-US"/>
    </w:rPr>
  </w:style>
  <w:style w:type="paragraph" w:customStyle="1" w:styleId="formtext">
    <w:name w:val="formtext"/>
    <w:basedOn w:val="Normal"/>
    <w:rsid w:val="00FF32CD"/>
    <w:pPr>
      <w:spacing w:before="80" w:after="80" w:line="240" w:lineRule="exact"/>
    </w:pPr>
    <w:rPr>
      <w:rFonts w:ascii="Arial" w:eastAsia="SimSun" w:hAnsi="Arial"/>
      <w:sz w:val="22"/>
      <w:szCs w:val="22"/>
      <w:lang w:val="en-US"/>
    </w:rPr>
  </w:style>
  <w:style w:type="paragraph" w:customStyle="1" w:styleId="Jourdelasession">
    <w:name w:val="Jour de la session"/>
    <w:basedOn w:val="Marge"/>
    <w:qFormat/>
    <w:rsid w:val="00FF32CD"/>
    <w:pPr>
      <w:keepNext/>
      <w:spacing w:before="360"/>
      <w:jc w:val="center"/>
    </w:pPr>
    <w:rPr>
      <w:rFonts w:cs="Arial"/>
      <w:i/>
      <w:szCs w:val="22"/>
      <w:lang w:val="en-GB"/>
    </w:rPr>
  </w:style>
  <w:style w:type="paragraph" w:customStyle="1" w:styleId="ITEMTYPE">
    <w:name w:val="ITEM TYPE"/>
    <w:basedOn w:val="Marge"/>
    <w:qFormat/>
    <w:rsid w:val="00FF32CD"/>
    <w:pPr>
      <w:keepNext/>
      <w:spacing w:before="360"/>
      <w:jc w:val="left"/>
    </w:pPr>
    <w:rPr>
      <w:rFonts w:cs="Arial"/>
      <w:b/>
      <w:szCs w:val="22"/>
      <w:lang w:val="en-GB"/>
    </w:rPr>
  </w:style>
  <w:style w:type="paragraph" w:customStyle="1" w:styleId="COMPara">
    <w:name w:val="COM Para"/>
    <w:qFormat/>
    <w:rsid w:val="00FF32CD"/>
    <w:p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FF32C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FF32CD"/>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FF32CD"/>
    <w:pPr>
      <w:autoSpaceDE w:val="0"/>
      <w:autoSpaceDN w:val="0"/>
      <w:adjustRightInd w:val="0"/>
      <w:spacing w:after="120"/>
      <w:jc w:val="both"/>
    </w:pPr>
    <w:rPr>
      <w:rFonts w:ascii="Arial" w:eastAsia="SimSun" w:hAnsi="Arial" w:cs="Arial"/>
      <w:sz w:val="22"/>
      <w:szCs w:val="22"/>
      <w:u w:val="single"/>
      <w:lang w:val="en-GB"/>
    </w:rPr>
  </w:style>
  <w:style w:type="character" w:customStyle="1" w:styleId="ParaChar">
    <w:name w:val="Para Char"/>
    <w:link w:val="Para"/>
    <w:locked/>
    <w:rsid w:val="003853D5"/>
    <w:rPr>
      <w:rFonts w:ascii="Arial" w:hAnsi="Arial"/>
    </w:rPr>
  </w:style>
  <w:style w:type="paragraph" w:customStyle="1" w:styleId="Para">
    <w:name w:val="Para"/>
    <w:basedOn w:val="Normal"/>
    <w:link w:val="ParaChar"/>
    <w:qFormat/>
    <w:rsid w:val="003853D5"/>
    <w:pPr>
      <w:numPr>
        <w:numId w:val="12"/>
      </w:numPr>
      <w:spacing w:after="120" w:line="240" w:lineRule="exact"/>
      <w:jc w:val="both"/>
    </w:pPr>
    <w:rPr>
      <w:rFonts w:ascii="Arial" w:eastAsiaTheme="minorEastAsia" w:hAnsi="Arial" w:cstheme="minorBidi"/>
      <w:lang w:val="en-US" w:eastAsia="ja-JP"/>
    </w:rPr>
  </w:style>
  <w:style w:type="paragraph" w:customStyle="1" w:styleId="Marge2">
    <w:name w:val="Marge 2"/>
    <w:basedOn w:val="Marge"/>
    <w:link w:val="Marge2Car"/>
    <w:qFormat/>
    <w:rsid w:val="00BE5D08"/>
    <w:pPr>
      <w:widowControl w:val="0"/>
      <w:spacing w:after="0"/>
    </w:pPr>
    <w:rPr>
      <w:iCs/>
    </w:rPr>
  </w:style>
  <w:style w:type="character" w:customStyle="1" w:styleId="Marge2Car">
    <w:name w:val="Marge 2 Car"/>
    <w:basedOn w:val="MargeCar"/>
    <w:link w:val="Marge2"/>
    <w:rsid w:val="00BE5D08"/>
    <w:rPr>
      <w:rFonts w:ascii="Arial" w:eastAsia="Times New Roman" w:hAnsi="Arial" w:cs="Times New Roman"/>
      <w:iCs/>
      <w:snapToGrid w:val="0"/>
      <w:sz w:val="22"/>
      <w:szCs w:val="24"/>
      <w:lang w:val="fr-FR" w:eastAsia="en-US"/>
    </w:rPr>
  </w:style>
  <w:style w:type="paragraph" w:customStyle="1" w:styleId="of">
    <w:name w:val="of"/>
    <w:basedOn w:val="Orateurengris"/>
    <w:rsid w:val="00352EE4"/>
    <w:rPr>
      <w:rFonts w:cs="Times New Roman"/>
      <w:szCs w:val="24"/>
    </w:rPr>
  </w:style>
  <w:style w:type="paragraph" w:customStyle="1" w:styleId="BODYTEXT0">
    <w:name w:val="¬BODY TEXT"/>
    <w:basedOn w:val="Orateurengris"/>
    <w:link w:val="BODYTEXTChar0"/>
    <w:qFormat/>
    <w:rsid w:val="004B3F49"/>
    <w:pPr>
      <w:widowControl/>
      <w:numPr>
        <w:numId w:val="0"/>
      </w:numPr>
      <w:spacing w:before="240"/>
    </w:pPr>
    <w:rPr>
      <w:rFonts w:eastAsia="Calibri"/>
      <w:snapToGrid/>
      <w:color w:val="000000"/>
      <w:lang w:val="en-GB" w:eastAsia="fr-FR"/>
    </w:rPr>
  </w:style>
  <w:style w:type="character" w:customStyle="1" w:styleId="BODYTEXTChar0">
    <w:name w:val="¬BODY TEXT Char"/>
    <w:link w:val="BODYTEXT0"/>
    <w:rsid w:val="004B3F49"/>
    <w:rPr>
      <w:rFonts w:ascii="Arial" w:eastAsia="Calibri" w:hAnsi="Arial" w:cs="Arial"/>
      <w:color w:val="000000"/>
      <w:sz w:val="22"/>
      <w:szCs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ITH-16-11.COM-INF.2.2_Rev.3-FR.docx" TargetMode="External"/><Relationship Id="rId18" Type="http://schemas.openxmlformats.org/officeDocument/2006/relationships/hyperlink" Target="http://www.ichngoforum.org/category/heritage-alive/" TargetMode="External"/><Relationship Id="rId26" Type="http://schemas.openxmlformats.org/officeDocument/2006/relationships/hyperlink" Target="https://ich.unesco.org/doc/src/ITH-16-6.GA-6-FR.docx" TargetMode="External"/><Relationship Id="rId39" Type="http://schemas.openxmlformats.org/officeDocument/2006/relationships/hyperlink" Target="https://ich.unesco.org/doc/src/ITH-16-11.COM-9.c-FR.docx" TargetMode="External"/><Relationship Id="rId21" Type="http://schemas.openxmlformats.org/officeDocument/2006/relationships/hyperlink" Target="https://twitter.com/IchNGO" TargetMode="External"/><Relationship Id="rId34" Type="http://schemas.openxmlformats.org/officeDocument/2006/relationships/hyperlink" Target="https://ich.unesco.org/doc/src/ITH-16-11.COM-8-FR.docx" TargetMode="External"/><Relationship Id="rId42" Type="http://schemas.openxmlformats.org/officeDocument/2006/relationships/hyperlink" Target="https://ich.unesco.org/fr/Decisions/8.COM/7.a.6" TargetMode="External"/><Relationship Id="rId47" Type="http://schemas.openxmlformats.org/officeDocument/2006/relationships/hyperlink" Target="https://ich.unesco.org/doc/src/ITH-16-11.COM-12-FR.docx" TargetMode="External"/><Relationship Id="rId50" Type="http://schemas.openxmlformats.org/officeDocument/2006/relationships/hyperlink" Target="https://ich.unesco.org/doc/src/ITH-16-11.COM-14-FR.docx" TargetMode="External"/><Relationship Id="rId55" Type="http://schemas.openxmlformats.org/officeDocument/2006/relationships/hyperlink" Target="http://www.coe.int/fr/web/culture-and-heritage/strategy-2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fr/10com" TargetMode="External"/><Relationship Id="rId29" Type="http://schemas.openxmlformats.org/officeDocument/2006/relationships/hyperlink" Target="https://ich.unesco.org/fr/cat%C3%A9gorie2" TargetMode="External"/><Relationship Id="rId11" Type="http://schemas.openxmlformats.org/officeDocument/2006/relationships/hyperlink" Target="https://ich.unesco.org/fr/11com" TargetMode="External"/><Relationship Id="rId24" Type="http://schemas.openxmlformats.org/officeDocument/2006/relationships/hyperlink" Target="https://ich.unesco.org/doc/src/ITH-16-11.COM-INF.5-FR.docx" TargetMode="External"/><Relationship Id="rId32" Type="http://schemas.openxmlformats.org/officeDocument/2006/relationships/hyperlink" Target="https://ich.unesco.org/doc/src/ITH-16-11.COM-INF.5-FR.docx" TargetMode="External"/><Relationship Id="rId37" Type="http://schemas.openxmlformats.org/officeDocument/2006/relationships/hyperlink" Target="http://fr.unesco.org/creativity/rapport-mondial-2015" TargetMode="External"/><Relationship Id="rId40" Type="http://schemas.openxmlformats.org/officeDocument/2006/relationships/hyperlink" Target="https://ich.unesco.org/doc/src/ITH-16-11.COM-10.a+Add.-FR.docx" TargetMode="External"/><Relationship Id="rId45" Type="http://schemas.openxmlformats.org/officeDocument/2006/relationships/hyperlink" Target="https://ich.unesco.org/fr/10c-register-00892" TargetMode="External"/><Relationship Id="rId53" Type="http://schemas.openxmlformats.org/officeDocument/2006/relationships/hyperlink" Target="https://ich.unesco.org/doc/src/ITH-16-11.COM-15-FR.docx"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www.ichngoforum.org" TargetMode="External"/><Relationship Id="rId14" Type="http://schemas.openxmlformats.org/officeDocument/2006/relationships/hyperlink" Target="https://ich.unesco.org/doc/src/ITH-16-11.COM-INF.2.1_Rev.3-FR.docx" TargetMode="External"/><Relationship Id="rId22" Type="http://schemas.openxmlformats.org/officeDocument/2006/relationships/hyperlink" Target="https://www.facebook.com/Intangible-cultural-heritage-and-civil-society-123664631007622/" TargetMode="External"/><Relationship Id="rId27" Type="http://schemas.openxmlformats.org/officeDocument/2006/relationships/hyperlink" Target="https://ich.unesco.org/doc/src/ITH-16-11.COM-7-FR.docx" TargetMode="External"/><Relationship Id="rId30" Type="http://schemas.openxmlformats.org/officeDocument/2006/relationships/hyperlink" Target="https://ich.unesco.org/fr/facilitateur" TargetMode="External"/><Relationship Id="rId35" Type="http://schemas.openxmlformats.org/officeDocument/2006/relationships/hyperlink" Target="https://ich.unesco.org/fr/soumissions-et-echeances-00861" TargetMode="External"/><Relationship Id="rId43" Type="http://schemas.openxmlformats.org/officeDocument/2006/relationships/hyperlink" Target="https://ich.unesco.org/fr/Decisions/9.COM/10.3" TargetMode="External"/><Relationship Id="rId48" Type="http://schemas.openxmlformats.org/officeDocument/2006/relationships/hyperlink" Target="https://ich.unesco.org/doc/src/ITH-16-11.COM-16-FR.docx" TargetMode="External"/><Relationship Id="rId56" Type="http://schemas.openxmlformats.org/officeDocument/2006/relationships/hyperlink" Target="https://ich.unesco.org/doc/src/ITH-16-11.COM-15-FR.docx" TargetMode="External"/><Relationship Id="rId64" Type="http://schemas.openxmlformats.org/officeDocument/2006/relationships/theme" Target="theme/theme1.xml"/><Relationship Id="rId8" Type="http://schemas.openxmlformats.org/officeDocument/2006/relationships/hyperlink" Target="https://ich.unesco.org/fr/liste-preliminaire-de-participants-00885" TargetMode="External"/><Relationship Id="rId51" Type="http://schemas.openxmlformats.org/officeDocument/2006/relationships/hyperlink" Target="https://ich.unesco.org/doc/src/ITH-16-11.COM-14-FR.docx" TargetMode="External"/><Relationship Id="rId3" Type="http://schemas.openxmlformats.org/officeDocument/2006/relationships/styles" Target="styles.xml"/><Relationship Id="rId12" Type="http://schemas.openxmlformats.org/officeDocument/2006/relationships/hyperlink" Target="https://ich.unesco.org/fr/convention" TargetMode="External"/><Relationship Id="rId17" Type="http://schemas.openxmlformats.org/officeDocument/2006/relationships/hyperlink" Target="https://ich.unesco.org/fr/11.com-bureau" TargetMode="External"/><Relationship Id="rId25" Type="http://schemas.openxmlformats.org/officeDocument/2006/relationships/hyperlink" Target="https://ich.unesco.org/doc/src/ITH-16-11.COM-INF.5-FR.docx" TargetMode="External"/><Relationship Id="rId33" Type="http://schemas.openxmlformats.org/officeDocument/2006/relationships/hyperlink" Target="https://ich.unesco.org/doc/src/ITH-16-11.COM-7-FR.docx" TargetMode="External"/><Relationship Id="rId38" Type="http://schemas.openxmlformats.org/officeDocument/2006/relationships/hyperlink" Target="https://ich.unesco.org/doc/src/ITH-16-11.COM-9.b-FR.docx" TargetMode="External"/><Relationship Id="rId46" Type="http://schemas.openxmlformats.org/officeDocument/2006/relationships/hyperlink" Target="https://ich.unesco.org/doc/src/ITH-16-11.COM-11_Rev.-FR.docx" TargetMode="External"/><Relationship Id="rId59" Type="http://schemas.openxmlformats.org/officeDocument/2006/relationships/header" Target="header2.xml"/><Relationship Id="rId20" Type="http://schemas.openxmlformats.org/officeDocument/2006/relationships/hyperlink" Target="http://www.ichngoforum.org" TargetMode="External"/><Relationship Id="rId41" Type="http://schemas.openxmlformats.org/officeDocument/2006/relationships/hyperlink" Target="https://ich.unesco.org/fr/10a-urgent-safeguarding-list-00890" TargetMode="External"/><Relationship Id="rId54" Type="http://schemas.openxmlformats.org/officeDocument/2006/relationships/hyperlink" Target="http://www.unite4heritage.org/fr"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fr/side-events-00899" TargetMode="External"/><Relationship Id="rId23" Type="http://schemas.openxmlformats.org/officeDocument/2006/relationships/hyperlink" Target="https://ich.unesco.org/doc/src/ITH-16-11.COM-5-FR.docx" TargetMode="External"/><Relationship Id="rId28" Type="http://schemas.openxmlformats.org/officeDocument/2006/relationships/hyperlink" Target="https://ich.unesco.org/doc/src/ITH-16-11.COM-5-FR.docx" TargetMode="External"/><Relationship Id="rId36" Type="http://schemas.openxmlformats.org/officeDocument/2006/relationships/hyperlink" Target="https://ich.unesco.org/fr/soumissions-et-echeances-00861" TargetMode="External"/><Relationship Id="rId49" Type="http://schemas.openxmlformats.org/officeDocument/2006/relationships/hyperlink" Target="https://ich.unesco.org/doc/src/ITH-16-11.COM-17-FR.docx" TargetMode="External"/><Relationship Id="rId57" Type="http://schemas.openxmlformats.org/officeDocument/2006/relationships/hyperlink" Target="https://ich.unesco.org/doc/src/ITH-16-11.COM-Decisions-FR.docx" TargetMode="External"/><Relationship Id="rId10" Type="http://schemas.openxmlformats.org/officeDocument/2006/relationships/hyperlink" Target="http://fr.unesco.org/sustainable-cities" TargetMode="External"/><Relationship Id="rId31" Type="http://schemas.openxmlformats.org/officeDocument/2006/relationships/hyperlink" Target="https://ich.unesco.org/doc/src/ITH-16-11.COM-6-Rev.-FR.docx" TargetMode="External"/><Relationship Id="rId44" Type="http://schemas.openxmlformats.org/officeDocument/2006/relationships/hyperlink" Target="https://ich.unesco.org/doc/src/ITH-16-11.COM-10.c-FR.docx" TargetMode="External"/><Relationship Id="rId52" Type="http://schemas.openxmlformats.org/officeDocument/2006/relationships/hyperlink" Target="https://ich.unesco.org/doc/src/ITH-16-11.COM-15-FR.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esco.org/culture/ich/doc/src/ITH-16-11.COM-INF.1_Rev._FR.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esco.org/new/fr/social-and-human-sciences/themes/most-programme/" TargetMode="External"/><Relationship Id="rId2" Type="http://schemas.openxmlformats.org/officeDocument/2006/relationships/hyperlink" Target="http://fr.unesco.org/patrimoine-menac&#233;/Strat&#233;gie-culture-conflit-arm&#233;" TargetMode="External"/><Relationship Id="rId1" Type="http://schemas.openxmlformats.org/officeDocument/2006/relationships/hyperlink" Target="http://unesdoc.unesco.org/images/0023/002351/235186f.pdf" TargetMode="External"/><Relationship Id="rId4" Type="http://schemas.openxmlformats.org/officeDocument/2006/relationships/hyperlink" Target="http://www.ecowas.int/forum-de-la-cedeao-a-niamey-sur-leducation-a-la-culture-de-la-paix-par-le-dialogue-intra-et-interreligieux/?lang=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434157-780F-4206-BF66-111D7464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235</Pages>
  <Words>154851</Words>
  <Characters>882656</Characters>
  <Application>Microsoft Office Word</Application>
  <DocSecurity>0</DocSecurity>
  <Lines>7355</Lines>
  <Paragraphs>2070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Lee</dc:creator>
  <cp:lastModifiedBy>Shin, Eunkyung</cp:lastModifiedBy>
  <cp:revision>2</cp:revision>
  <cp:lastPrinted>2017-02-21T07:27:00Z</cp:lastPrinted>
  <dcterms:created xsi:type="dcterms:W3CDTF">2017-10-06T13:06:00Z</dcterms:created>
  <dcterms:modified xsi:type="dcterms:W3CDTF">2017-10-06T13:06:00Z</dcterms:modified>
</cp:coreProperties>
</file>